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235A9" w14:textId="77777777" w:rsidR="00C671A9" w:rsidRDefault="00C671A9">
      <w:pPr>
        <w:pStyle w:val="Covertitle"/>
        <w:rPr>
          <w:rFonts w:cs="Segoe UI"/>
          <w:b/>
          <w:color w:val="FFFFFF" w:themeColor="background1"/>
          <w:sz w:val="64"/>
          <w:szCs w:val="64"/>
        </w:rPr>
      </w:pPr>
    </w:p>
    <w:p w14:paraId="03890D38" w14:textId="7B34DCB8" w:rsidR="0049607F" w:rsidRPr="00E36891" w:rsidRDefault="00BC78FB">
      <w:pPr>
        <w:pStyle w:val="Covertitle"/>
        <w:rPr>
          <w:rFonts w:cs="Segoe UI"/>
          <w:b/>
          <w:color w:val="FFFFFF" w:themeColor="background1"/>
          <w:sz w:val="64"/>
          <w:szCs w:val="64"/>
        </w:rPr>
      </w:pPr>
      <w:r>
        <w:rPr>
          <w:noProof/>
        </w:rPr>
        <w:drawing>
          <wp:anchor distT="0" distB="0" distL="114300" distR="114300" simplePos="0" relativeHeight="251658243" behindDoc="1" locked="0" layoutInCell="1" allowOverlap="1" wp14:anchorId="1188A79B" wp14:editId="0B462E5B">
            <wp:simplePos x="0" y="0"/>
            <wp:positionH relativeFrom="page">
              <wp:align>left</wp:align>
            </wp:positionH>
            <wp:positionV relativeFrom="page">
              <wp:align>top</wp:align>
            </wp:positionV>
            <wp:extent cx="7559998" cy="10693739"/>
            <wp:effectExtent l="0" t="0" r="3175" b="0"/>
            <wp:wrapNone/>
            <wp:docPr id="99549317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93179" name="Picture 5">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9998" cy="10693739"/>
                    </a:xfrm>
                    <a:prstGeom prst="rect">
                      <a:avLst/>
                    </a:prstGeom>
                  </pic:spPr>
                </pic:pic>
              </a:graphicData>
            </a:graphic>
            <wp14:sizeRelH relativeFrom="page">
              <wp14:pctWidth>0</wp14:pctWidth>
            </wp14:sizeRelH>
            <wp14:sizeRelV relativeFrom="page">
              <wp14:pctHeight>0</wp14:pctHeight>
            </wp14:sizeRelV>
          </wp:anchor>
        </w:drawing>
      </w:r>
      <w:sdt>
        <w:sdtPr>
          <w:rPr>
            <w:rFonts w:cs="Segoe UI"/>
            <w:b/>
            <w:color w:val="FFFFFF" w:themeColor="background1"/>
            <w:sz w:val="64"/>
            <w:szCs w:val="64"/>
          </w:rPr>
          <w:id w:val="1268505229"/>
          <w:docPartObj>
            <w:docPartGallery w:val="Cover Pages"/>
            <w:docPartUnique/>
          </w:docPartObj>
        </w:sdtPr>
        <w:sdtEndPr>
          <w:rPr>
            <w:sz w:val="36"/>
            <w:szCs w:val="36"/>
          </w:rPr>
        </w:sdtEndPr>
        <w:sdtContent>
          <w:r w:rsidR="0049607F" w:rsidRPr="00E762E8">
            <w:rPr>
              <w:rStyle w:val="Heading1Char"/>
              <w:sz w:val="64"/>
              <w:szCs w:val="64"/>
            </w:rPr>
            <w:t xml:space="preserve">Strong and Resilient Communities – Inclusive Communities Grant </w:t>
          </w:r>
          <w:r w:rsidR="00307358" w:rsidRPr="00E762E8">
            <w:rPr>
              <w:rStyle w:val="Heading1Char"/>
              <w:sz w:val="64"/>
              <w:szCs w:val="64"/>
            </w:rPr>
            <w:t>E</w:t>
          </w:r>
          <w:r w:rsidR="0049607F" w:rsidRPr="00E762E8">
            <w:rPr>
              <w:rStyle w:val="Heading1Char"/>
              <w:sz w:val="64"/>
              <w:szCs w:val="64"/>
            </w:rPr>
            <w:t xml:space="preserve">valuation | </w:t>
          </w:r>
          <w:r w:rsidR="00DE0370" w:rsidRPr="00E762E8">
            <w:rPr>
              <w:rStyle w:val="Heading1Char"/>
              <w:sz w:val="64"/>
              <w:szCs w:val="64"/>
            </w:rPr>
            <w:t>Final</w:t>
          </w:r>
          <w:r w:rsidR="0049607F" w:rsidRPr="00E762E8">
            <w:rPr>
              <w:rStyle w:val="Heading1Char"/>
              <w:sz w:val="64"/>
              <w:szCs w:val="64"/>
            </w:rPr>
            <w:t xml:space="preserve"> Report</w:t>
          </w:r>
        </w:sdtContent>
      </w:sdt>
    </w:p>
    <w:p w14:paraId="3BCCE25A" w14:textId="4A733D74" w:rsidR="0049607F" w:rsidRPr="002279E8" w:rsidRDefault="0049607F">
      <w:pPr>
        <w:pStyle w:val="CoverPage-Client"/>
        <w:spacing w:before="360"/>
        <w:rPr>
          <w:rFonts w:cs="Segoe UI"/>
          <w:color w:val="00264D" w:themeColor="background2"/>
        </w:rPr>
      </w:pPr>
      <w:r>
        <w:rPr>
          <w:rStyle w:val="CoverPage-ClientChar"/>
          <w:rFonts w:cs="Segoe UI"/>
          <w:color w:val="00264D" w:themeColor="background2"/>
        </w:rPr>
        <w:t>Department of Social Services</w:t>
      </w:r>
    </w:p>
    <w:p w14:paraId="3E147BB3" w14:textId="6ACEBB1F" w:rsidR="0049607F" w:rsidRPr="00E36891" w:rsidRDefault="00E641BA">
      <w:pPr>
        <w:pStyle w:val="CoverPage-Date"/>
        <w:spacing w:before="240"/>
        <w:rPr>
          <w:color w:val="FFFFFF" w:themeColor="background1"/>
        </w:rPr>
      </w:pPr>
      <w:r>
        <w:rPr>
          <w:rStyle w:val="CoverPage-DateChar"/>
          <w:rFonts w:cs="Segoe UI"/>
          <w:color w:val="FFFFFF" w:themeColor="background1"/>
          <w:sz w:val="20"/>
          <w:szCs w:val="20"/>
        </w:rPr>
        <w:t>10</w:t>
      </w:r>
      <w:r w:rsidR="00DE0370">
        <w:rPr>
          <w:rStyle w:val="CoverPage-DateChar"/>
          <w:rFonts w:cs="Segoe UI"/>
          <w:color w:val="FFFFFF" w:themeColor="background1"/>
          <w:sz w:val="20"/>
          <w:szCs w:val="20"/>
        </w:rPr>
        <w:t xml:space="preserve"> April</w:t>
      </w:r>
      <w:r w:rsidR="00693161">
        <w:rPr>
          <w:rStyle w:val="CoverPage-DateChar"/>
          <w:rFonts w:cs="Segoe UI"/>
          <w:color w:val="FFFFFF" w:themeColor="background1"/>
          <w:sz w:val="20"/>
          <w:szCs w:val="20"/>
        </w:rPr>
        <w:t xml:space="preserve"> 2026</w:t>
      </w:r>
    </w:p>
    <w:p w14:paraId="32DA562C" w14:textId="77777777" w:rsidR="0049607F" w:rsidRDefault="0049607F">
      <w:pPr>
        <w:suppressAutoHyphens/>
        <w:spacing w:after="0" w:line="680" w:lineRule="exact"/>
        <w:sectPr w:rsidR="0049607F" w:rsidSect="0049607F">
          <w:headerReference w:type="default" r:id="rId10"/>
          <w:footerReference w:type="default" r:id="rId11"/>
          <w:headerReference w:type="first" r:id="rId12"/>
          <w:pgSz w:w="11907" w:h="16839" w:code="9"/>
          <w:pgMar w:top="4820" w:right="1418" w:bottom="1701" w:left="1559" w:header="737" w:footer="567" w:gutter="0"/>
          <w:pgNumType w:start="0"/>
          <w:cols w:space="720"/>
          <w:titlePg/>
          <w:docGrid w:linePitch="360"/>
        </w:sectPr>
      </w:pPr>
    </w:p>
    <w:p w14:paraId="7D28AF25" w14:textId="096F5B0D" w:rsidR="0049607F" w:rsidRPr="00004F7F" w:rsidRDefault="00BC78FB">
      <w:r w:rsidRPr="001B6D21">
        <w:rPr>
          <w:rFonts w:cs="Segoe UI Semibold"/>
          <w:i/>
          <w:noProof/>
          <w:sz w:val="16"/>
          <w:szCs w:val="16"/>
        </w:rPr>
        <w:lastRenderedPageBreak/>
        <w:drawing>
          <wp:anchor distT="0" distB="0" distL="114300" distR="114300" simplePos="0" relativeHeight="251658241" behindDoc="1" locked="0" layoutInCell="1" allowOverlap="1" wp14:anchorId="24A8C14F" wp14:editId="3DB292C5">
            <wp:simplePos x="0" y="0"/>
            <wp:positionH relativeFrom="page">
              <wp:posOffset>13998</wp:posOffset>
            </wp:positionH>
            <wp:positionV relativeFrom="page">
              <wp:posOffset>114935</wp:posOffset>
            </wp:positionV>
            <wp:extent cx="7559907" cy="9608399"/>
            <wp:effectExtent l="0" t="0" r="3175" b="0"/>
            <wp:wrapNone/>
            <wp:docPr id="806" name="Picture 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Picture 806">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559907" cy="9608399"/>
                    </a:xfrm>
                    <a:prstGeom prst="rect">
                      <a:avLst/>
                    </a:prstGeom>
                  </pic:spPr>
                </pic:pic>
              </a:graphicData>
            </a:graphic>
            <wp14:sizeRelH relativeFrom="margin">
              <wp14:pctWidth>0</wp14:pctWidth>
            </wp14:sizeRelH>
            <wp14:sizeRelV relativeFrom="margin">
              <wp14:pctHeight>0</wp14:pctHeight>
            </wp14:sizeRelV>
          </wp:anchor>
        </w:drawing>
      </w:r>
    </w:p>
    <w:p w14:paraId="5A0AF540" w14:textId="4D7144F4" w:rsidR="00C76C1E" w:rsidRPr="001B6D21" w:rsidRDefault="00BC78FB" w:rsidP="00C76C1E">
      <w:pPr>
        <w:pStyle w:val="Heading4"/>
        <w:ind w:right="2409"/>
        <w:rPr>
          <w:rFonts w:asciiTheme="minorHAnsi" w:hAnsiTheme="minorHAnsi" w:cstheme="minorHAnsi"/>
          <w:sz w:val="23"/>
          <w:szCs w:val="23"/>
        </w:rPr>
      </w:pPr>
      <w:r>
        <w:rPr>
          <w:rFonts w:asciiTheme="minorHAnsi" w:hAnsiTheme="minorHAnsi" w:cstheme="minorHAnsi"/>
          <w:b/>
          <w:bCs/>
          <w:sz w:val="23"/>
          <w:szCs w:val="23"/>
        </w:rPr>
        <w:t>N</w:t>
      </w:r>
      <w:r w:rsidR="00C76C1E" w:rsidRPr="001B6D21">
        <w:rPr>
          <w:rFonts w:asciiTheme="minorHAnsi" w:hAnsiTheme="minorHAnsi" w:cstheme="minorHAnsi"/>
          <w:b/>
          <w:bCs/>
          <w:sz w:val="23"/>
          <w:szCs w:val="23"/>
        </w:rPr>
        <w:t>ous Group</w:t>
      </w:r>
      <w:r w:rsidR="00C05A43" w:rsidRPr="001B6D21">
        <w:rPr>
          <w:rFonts w:asciiTheme="minorHAnsi" w:hAnsiTheme="minorHAnsi" w:cstheme="minorHAnsi"/>
          <w:sz w:val="23"/>
          <w:szCs w:val="23"/>
        </w:rPr>
        <w:t xml:space="preserve"> acknowledges Aboriginal and Torres Strait Islander peoples as the First Australians and the Traditional Custodians of Country throughout Australia. We pay our respect to Elders past and present, who maintain their culture, Country and spiritual connection to the land, sea and community.</w:t>
      </w:r>
    </w:p>
    <w:p w14:paraId="716F7A07" w14:textId="77777777" w:rsidR="00C76C1E" w:rsidRPr="001B6D21" w:rsidRDefault="00C76C1E" w:rsidP="00C76C1E">
      <w:pPr>
        <w:pBdr>
          <w:bottom w:val="single" w:sz="12" w:space="1" w:color="auto"/>
        </w:pBdr>
        <w:spacing w:before="480"/>
        <w:ind w:right="2267"/>
        <w:rPr>
          <w:sz w:val="18"/>
          <w:szCs w:val="18"/>
          <w:lang w:eastAsia="en-AU"/>
        </w:rPr>
      </w:pPr>
      <w:r w:rsidRPr="001B6D21">
        <w:rPr>
          <w:sz w:val="18"/>
          <w:szCs w:val="18"/>
          <w:lang w:eastAsia="en-AU"/>
        </w:rPr>
        <w:t>This artwork was developed by Marcus Lee Design to reflect Nous Group’s Reconciliation Action Plan and our aspirations for respectful and productive engagement with Aboriginal and Torres Strait Islander peoples and communities.</w:t>
      </w:r>
      <w:r w:rsidRPr="001B6D21">
        <w:rPr>
          <w:sz w:val="18"/>
          <w:szCs w:val="18"/>
          <w:lang w:eastAsia="en-AU"/>
        </w:rPr>
        <w:br/>
      </w:r>
    </w:p>
    <w:p w14:paraId="5CA96051" w14:textId="77777777" w:rsidR="00C76C1E" w:rsidRPr="001B6D21" w:rsidRDefault="00C76C1E" w:rsidP="00C76C1E">
      <w:pPr>
        <w:spacing w:before="1680" w:after="240"/>
        <w:ind w:right="-1"/>
        <w:rPr>
          <w:rFonts w:ascii="Segoe UI Semibold" w:hAnsi="Segoe UI Semibold" w:cs="Segoe UI Semibold"/>
          <w:i/>
          <w:sz w:val="16"/>
          <w:szCs w:val="16"/>
        </w:rPr>
      </w:pPr>
      <w:r w:rsidRPr="001B6D21">
        <w:rPr>
          <w:rFonts w:ascii="Segoe UI Semibold" w:hAnsi="Segoe UI Semibold" w:cs="Segoe UI Semibold"/>
          <w:i/>
          <w:sz w:val="16"/>
          <w:szCs w:val="16"/>
        </w:rPr>
        <w:t>Disclaimer:</w:t>
      </w:r>
    </w:p>
    <w:p w14:paraId="68E0F457" w14:textId="6BEE771A" w:rsidR="00C76C1E" w:rsidRPr="001B6D21" w:rsidRDefault="00C76C1E" w:rsidP="00C76C1E">
      <w:pPr>
        <w:ind w:right="-1"/>
        <w:rPr>
          <w:i/>
          <w:sz w:val="16"/>
          <w:szCs w:val="16"/>
        </w:rPr>
      </w:pPr>
      <w:r w:rsidRPr="001B6D21">
        <w:rPr>
          <w:i/>
          <w:sz w:val="16"/>
          <w:szCs w:val="16"/>
        </w:rPr>
        <w:t>Nous Group (</w:t>
      </w:r>
      <w:r w:rsidRPr="001B6D21">
        <w:rPr>
          <w:b/>
          <w:i/>
          <w:sz w:val="16"/>
          <w:szCs w:val="16"/>
        </w:rPr>
        <w:t>Nous</w:t>
      </w:r>
      <w:r w:rsidRPr="001B6D21">
        <w:rPr>
          <w:i/>
          <w:sz w:val="16"/>
          <w:szCs w:val="16"/>
        </w:rPr>
        <w:t xml:space="preserve">) has prepared this report for the benefit of </w:t>
      </w:r>
      <w:r w:rsidR="001B23BC">
        <w:rPr>
          <w:i/>
          <w:sz w:val="16"/>
          <w:szCs w:val="16"/>
        </w:rPr>
        <w:t>the Department of Social Services</w:t>
      </w:r>
      <w:r w:rsidRPr="001B6D21">
        <w:rPr>
          <w:i/>
          <w:sz w:val="16"/>
          <w:szCs w:val="16"/>
        </w:rPr>
        <w:t xml:space="preserve"> (the </w:t>
      </w:r>
      <w:r w:rsidRPr="001B6D21">
        <w:rPr>
          <w:b/>
          <w:i/>
          <w:sz w:val="16"/>
          <w:szCs w:val="16"/>
        </w:rPr>
        <w:t>Client</w:t>
      </w:r>
      <w:r w:rsidRPr="001B6D21">
        <w:rPr>
          <w:i/>
          <w:sz w:val="16"/>
          <w:szCs w:val="16"/>
        </w:rPr>
        <w:t>).</w:t>
      </w:r>
    </w:p>
    <w:p w14:paraId="190AA38C" w14:textId="77777777" w:rsidR="00BA618A" w:rsidRPr="00BA618A" w:rsidRDefault="00BA618A" w:rsidP="00BA618A">
      <w:pPr>
        <w:rPr>
          <w:rFonts w:eastAsia="Segoe UI" w:cs="Times New Roman"/>
          <w:i/>
          <w:sz w:val="16"/>
          <w:szCs w:val="16"/>
        </w:rPr>
      </w:pPr>
      <w:r w:rsidRPr="00BA618A">
        <w:rPr>
          <w:rFonts w:eastAsia="Segoe UI" w:cs="Times New Roman"/>
          <w:i/>
          <w:sz w:val="16"/>
          <w:szCs w:val="16"/>
        </w:rPr>
        <w:t>The report should not be used or relied upon for any purpose other than as an expression of the conclusions and recommendations</w:t>
      </w:r>
      <w:r>
        <w:rPr>
          <w:rFonts w:eastAsia="Segoe UI" w:cs="Times New Roman"/>
          <w:i/>
          <w:sz w:val="16"/>
          <w:szCs w:val="16"/>
        </w:rPr>
        <w:br/>
      </w:r>
      <w:r w:rsidRPr="00BA618A">
        <w:rPr>
          <w:rFonts w:eastAsia="Segoe UI" w:cs="Times New Roman"/>
          <w:i/>
          <w:sz w:val="16"/>
          <w:szCs w:val="16"/>
        </w:rPr>
        <w:t>of Nous to the Client as to the matters within the scope of the report (</w:t>
      </w:r>
      <w:r w:rsidRPr="00BA618A">
        <w:rPr>
          <w:rFonts w:eastAsia="Segoe UI" w:cs="Times New Roman"/>
          <w:b/>
          <w:bCs/>
          <w:i/>
          <w:sz w:val="16"/>
          <w:szCs w:val="16"/>
        </w:rPr>
        <w:t>Permitted Purpose</w:t>
      </w:r>
      <w:r w:rsidRPr="00BA618A">
        <w:rPr>
          <w:rFonts w:eastAsia="Segoe UI" w:cs="Times New Roman"/>
          <w:i/>
          <w:sz w:val="16"/>
          <w:szCs w:val="16"/>
        </w:rPr>
        <w:t>). Nous and its officers and employees expressly disclaim any liability: (i) to any person other than the Client, and (ii) to the Client to the extent the report is used or relied upon for any purpose other than the Permitted Purpose.</w:t>
      </w:r>
    </w:p>
    <w:p w14:paraId="4830E197" w14:textId="77777777" w:rsidR="00C76C1E" w:rsidRPr="001B6D21" w:rsidRDefault="00C76C1E" w:rsidP="00C76C1E">
      <w:pPr>
        <w:rPr>
          <w:i/>
          <w:sz w:val="16"/>
          <w:szCs w:val="16"/>
        </w:rPr>
      </w:pPr>
      <w:r w:rsidRPr="001B6D21">
        <w:rPr>
          <w:noProof/>
          <w:sz w:val="16"/>
          <w:szCs w:val="16"/>
          <w:lang w:eastAsia="en-AU"/>
        </w:rPr>
        <mc:AlternateContent>
          <mc:Choice Requires="wps">
            <w:drawing>
              <wp:anchor distT="0" distB="0" distL="114300" distR="114300" simplePos="0" relativeHeight="251658242" behindDoc="0" locked="0" layoutInCell="0" allowOverlap="1" wp14:anchorId="766D6FE5" wp14:editId="7FE27C2F">
                <wp:simplePos x="0" y="0"/>
                <wp:positionH relativeFrom="margin">
                  <wp:align>left</wp:align>
                </wp:positionH>
                <wp:positionV relativeFrom="bottomMargin">
                  <wp:posOffset>-702310</wp:posOffset>
                </wp:positionV>
                <wp:extent cx="1720800" cy="313200"/>
                <wp:effectExtent l="0" t="0" r="0" b="0"/>
                <wp:wrapNone/>
                <wp:docPr id="805" name="Text Box 805" descr="P11TB7bA#y1"/>
                <wp:cNvGraphicFramePr/>
                <a:graphic xmlns:a="http://schemas.openxmlformats.org/drawingml/2006/main">
                  <a:graphicData uri="http://schemas.microsoft.com/office/word/2010/wordprocessingShape">
                    <wps:wsp>
                      <wps:cNvSpPr txBox="1"/>
                      <wps:spPr>
                        <a:xfrm>
                          <a:off x="0" y="0"/>
                          <a:ext cx="1720800" cy="313200"/>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p w14:paraId="453AEA56" w14:textId="77777777" w:rsidR="00C76C1E" w:rsidRPr="001B6D21" w:rsidRDefault="00C76C1E" w:rsidP="00C76C1E">
                            <w:pPr>
                              <w:rPr>
                                <w:color w:val="808080" w:themeColor="background1" w:themeShade="80"/>
                              </w:rPr>
                            </w:pPr>
                            <w:r w:rsidRPr="001B6D21">
                              <w:rPr>
                                <w:color w:val="808080" w:themeColor="background1" w:themeShade="80"/>
                              </w:rPr>
                              <w:t>© Nous Group</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D6FE5" id="_x0000_t202" coordsize="21600,21600" o:spt="202" path="m,l,21600r21600,l21600,xe">
                <v:stroke joinstyle="miter"/>
                <v:path gradientshapeok="t" o:connecttype="rect"/>
              </v:shapetype>
              <v:shape id="Text Box 805" o:spid="_x0000_s1026" type="#_x0000_t202" alt="P11TB7bA#y1" style="position:absolute;margin-left:0;margin-top:-55.3pt;width:135.5pt;height:24.6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" o:allowincell="f" filled="f" strokeweight=".5pt">
                <v:stroke opacity="0" joinstyle="round"/>
                <v:textbox inset="0">
                  <w:txbxContent>
                    <w:p w14:paraId="453AEA56" w14:textId="77777777" w:rsidR="00C76C1E" w:rsidRPr="001B6D21" w:rsidRDefault="00C76C1E" w:rsidP="00C76C1E">
                      <w:pPr>
                        <w:rPr>
                          <w:color w:val="808080" w:themeColor="background1" w:themeShade="80"/>
                        </w:rPr>
                      </w:pPr>
                      <w:r w:rsidRPr="001B6D21">
                        <w:rPr>
                          <w:color w:val="808080" w:themeColor="background1" w:themeShade="80"/>
                        </w:rPr>
                        <w:t>© Nous Group</w:t>
                      </w:r>
                    </w:p>
                  </w:txbxContent>
                </v:textbox>
                <w10:wrap anchorx="margin" anchory="margin"/>
              </v:shape>
            </w:pict>
          </mc:Fallback>
        </mc:AlternateContent>
      </w:r>
      <w:r w:rsidRPr="001B6D21">
        <w:rPr>
          <w:i/>
          <w:sz w:val="16"/>
          <w:szCs w:val="16"/>
        </w:rPr>
        <w:t>Nous has prepared the report with care and diligence. The conclusions and recommendations given by Nous in the report are given in good faith and in the reasonable belief that they are correct and not misleading. The report has been prepared by Nous based on information provided by the Client and by other persons. Nous has relied on that information and has not independently verified or audited that information.</w:t>
      </w:r>
      <w:r w:rsidRPr="001B6D21">
        <w:rPr>
          <w:i/>
          <w:sz w:val="16"/>
          <w:szCs w:val="16"/>
        </w:rPr>
        <w:br w:type="page"/>
      </w:r>
    </w:p>
    <w:p w14:paraId="164B2C62" w14:textId="77777777" w:rsidR="00FD4AB1" w:rsidRPr="001B6D21" w:rsidRDefault="00FD4AB1" w:rsidP="00C76C1E">
      <w:pPr>
        <w:ind w:right="-1"/>
        <w:rPr>
          <w:sz w:val="16"/>
          <w:szCs w:val="16"/>
        </w:rPr>
        <w:sectPr w:rsidR="00FD4AB1" w:rsidRPr="001B6D21" w:rsidSect="00C05A43">
          <w:headerReference w:type="default" r:id="rId14"/>
          <w:footerReference w:type="default" r:id="rId15"/>
          <w:pgSz w:w="11907" w:h="16839" w:code="9"/>
          <w:pgMar w:top="5954" w:right="1361" w:bottom="1361" w:left="1361" w:header="737" w:footer="720" w:gutter="0"/>
          <w:pgNumType w:start="1"/>
          <w:cols w:space="720"/>
          <w:docGrid w:linePitch="360"/>
        </w:sectPr>
      </w:pPr>
    </w:p>
    <w:p w14:paraId="5CF26CDD" w14:textId="77777777" w:rsidR="00CF7BA0" w:rsidRPr="001B6D21" w:rsidRDefault="00CF7BA0" w:rsidP="000424CD">
      <w:pPr>
        <w:pStyle w:val="ContentsHeading"/>
        <w:spacing w:before="0" w:after="360"/>
      </w:pPr>
      <w:r w:rsidRPr="001B6D21">
        <w:lastRenderedPageBreak/>
        <w:t>Contents</w:t>
      </w:r>
    </w:p>
    <w:p w14:paraId="3018DDFD" w14:textId="4D7D655C" w:rsidR="00C86E6B" w:rsidRDefault="008A4363">
      <w:pPr>
        <w:pStyle w:val="TOC1"/>
        <w:rPr>
          <w:rFonts w:asciiTheme="minorHAnsi" w:eastAsiaTheme="minorEastAsia" w:hAnsiTheme="minorHAnsi"/>
          <w:kern w:val="2"/>
          <w:sz w:val="24"/>
          <w:szCs w:val="24"/>
          <w:lang w:val="en-AU" w:eastAsia="en-AU"/>
          <w14:ligatures w14:val="standardContextual"/>
        </w:rPr>
      </w:pPr>
      <w:r w:rsidRPr="00BC308F">
        <w:rPr>
          <w:lang w:eastAsia="en-AU"/>
        </w:rPr>
        <w:fldChar w:fldCharType="begin"/>
      </w:r>
      <w:r w:rsidRPr="00BC308F">
        <w:rPr>
          <w:lang w:eastAsia="en-AU"/>
        </w:rPr>
        <w:instrText xml:space="preserve"> TOC \o "1-3" \h \z \u </w:instrText>
      </w:r>
      <w:r w:rsidRPr="00BC308F">
        <w:rPr>
          <w:lang w:eastAsia="en-AU"/>
        </w:rPr>
        <w:fldChar w:fldCharType="separate"/>
      </w:r>
      <w:hyperlink w:anchor="_Toc240883537" w:history="1">
        <w:r w:rsidR="00C86E6B" w:rsidRPr="00E566B4">
          <w:rPr>
            <w:rStyle w:val="Hyperlink"/>
          </w:rPr>
          <w:t>1</w:t>
        </w:r>
        <w:r w:rsidR="00C86E6B">
          <w:rPr>
            <w:rFonts w:asciiTheme="minorHAnsi" w:eastAsiaTheme="minorEastAsia" w:hAnsiTheme="minorHAnsi"/>
            <w:kern w:val="2"/>
            <w:sz w:val="24"/>
            <w:szCs w:val="24"/>
            <w:lang w:val="en-AU" w:eastAsia="en-AU"/>
            <w14:ligatures w14:val="standardContextual"/>
          </w:rPr>
          <w:tab/>
        </w:r>
        <w:r w:rsidR="00C86E6B" w:rsidRPr="00E566B4">
          <w:rPr>
            <w:rStyle w:val="Hyperlink"/>
          </w:rPr>
          <w:t>Glossary</w:t>
        </w:r>
        <w:r w:rsidR="00C86E6B">
          <w:rPr>
            <w:webHidden/>
          </w:rPr>
          <w:tab/>
        </w:r>
        <w:r w:rsidR="00C86E6B">
          <w:rPr>
            <w:webHidden/>
          </w:rPr>
          <w:fldChar w:fldCharType="begin"/>
        </w:r>
        <w:r w:rsidR="00C86E6B">
          <w:rPr>
            <w:webHidden/>
          </w:rPr>
          <w:instrText xml:space="preserve"> PAGEREF _Toc240883537 \h </w:instrText>
        </w:r>
        <w:r w:rsidR="00C86E6B">
          <w:rPr>
            <w:webHidden/>
          </w:rPr>
        </w:r>
        <w:r w:rsidR="00C86E6B">
          <w:rPr>
            <w:webHidden/>
          </w:rPr>
          <w:fldChar w:fldCharType="separate"/>
        </w:r>
        <w:r w:rsidR="002B0AD6">
          <w:rPr>
            <w:webHidden/>
          </w:rPr>
          <w:t>1</w:t>
        </w:r>
        <w:r w:rsidR="00C86E6B">
          <w:rPr>
            <w:webHidden/>
          </w:rPr>
          <w:fldChar w:fldCharType="end"/>
        </w:r>
      </w:hyperlink>
    </w:p>
    <w:p w14:paraId="450902A2" w14:textId="6A9323DB"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38" w:history="1">
        <w:r w:rsidRPr="00E566B4">
          <w:rPr>
            <w:rStyle w:val="Hyperlink"/>
          </w:rPr>
          <w:t>2</w:t>
        </w:r>
        <w:r>
          <w:rPr>
            <w:rFonts w:asciiTheme="minorHAnsi" w:eastAsiaTheme="minorEastAsia" w:hAnsiTheme="minorHAnsi"/>
            <w:kern w:val="2"/>
            <w:sz w:val="24"/>
            <w:szCs w:val="24"/>
            <w:lang w:val="en-AU" w:eastAsia="en-AU"/>
            <w14:ligatures w14:val="standardContextual"/>
          </w:rPr>
          <w:tab/>
        </w:r>
        <w:r w:rsidRPr="00E566B4">
          <w:rPr>
            <w:rStyle w:val="Hyperlink"/>
          </w:rPr>
          <w:t>Preface to the report</w:t>
        </w:r>
        <w:r>
          <w:rPr>
            <w:webHidden/>
          </w:rPr>
          <w:tab/>
        </w:r>
        <w:r>
          <w:rPr>
            <w:webHidden/>
          </w:rPr>
          <w:fldChar w:fldCharType="begin"/>
        </w:r>
        <w:r>
          <w:rPr>
            <w:webHidden/>
          </w:rPr>
          <w:instrText xml:space="preserve"> PAGEREF _Toc240883538 \h </w:instrText>
        </w:r>
        <w:r>
          <w:rPr>
            <w:webHidden/>
          </w:rPr>
        </w:r>
        <w:r>
          <w:rPr>
            <w:webHidden/>
          </w:rPr>
          <w:fldChar w:fldCharType="separate"/>
        </w:r>
        <w:r w:rsidR="002B0AD6">
          <w:rPr>
            <w:webHidden/>
          </w:rPr>
          <w:t>2</w:t>
        </w:r>
        <w:r>
          <w:rPr>
            <w:webHidden/>
          </w:rPr>
          <w:fldChar w:fldCharType="end"/>
        </w:r>
      </w:hyperlink>
    </w:p>
    <w:p w14:paraId="05B6E4E2" w14:textId="23643DC0"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39" w:history="1">
        <w:r w:rsidRPr="00E566B4">
          <w:rPr>
            <w:rStyle w:val="Hyperlink"/>
            <w:noProof/>
          </w:rPr>
          <w:t>2.1</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Program evaluated</w:t>
        </w:r>
        <w:r>
          <w:rPr>
            <w:noProof/>
            <w:webHidden/>
          </w:rPr>
          <w:tab/>
        </w:r>
        <w:r>
          <w:rPr>
            <w:noProof/>
            <w:webHidden/>
          </w:rPr>
          <w:fldChar w:fldCharType="begin"/>
        </w:r>
        <w:r>
          <w:rPr>
            <w:noProof/>
            <w:webHidden/>
          </w:rPr>
          <w:instrText xml:space="preserve"> PAGEREF _Toc240883539 \h </w:instrText>
        </w:r>
        <w:r>
          <w:rPr>
            <w:noProof/>
            <w:webHidden/>
          </w:rPr>
        </w:r>
        <w:r>
          <w:rPr>
            <w:noProof/>
            <w:webHidden/>
          </w:rPr>
          <w:fldChar w:fldCharType="separate"/>
        </w:r>
        <w:r w:rsidR="002B0AD6">
          <w:rPr>
            <w:noProof/>
            <w:webHidden/>
          </w:rPr>
          <w:t>2</w:t>
        </w:r>
        <w:r>
          <w:rPr>
            <w:noProof/>
            <w:webHidden/>
          </w:rPr>
          <w:fldChar w:fldCharType="end"/>
        </w:r>
      </w:hyperlink>
    </w:p>
    <w:p w14:paraId="54777862" w14:textId="7FD4713D"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40" w:history="1">
        <w:r w:rsidRPr="00E566B4">
          <w:rPr>
            <w:rStyle w:val="Hyperlink"/>
            <w:noProof/>
          </w:rPr>
          <w:t>2.2</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Report authorship</w:t>
        </w:r>
        <w:r>
          <w:rPr>
            <w:noProof/>
            <w:webHidden/>
          </w:rPr>
          <w:tab/>
        </w:r>
        <w:r>
          <w:rPr>
            <w:noProof/>
            <w:webHidden/>
          </w:rPr>
          <w:fldChar w:fldCharType="begin"/>
        </w:r>
        <w:r>
          <w:rPr>
            <w:noProof/>
            <w:webHidden/>
          </w:rPr>
          <w:instrText xml:space="preserve"> PAGEREF _Toc240883540 \h </w:instrText>
        </w:r>
        <w:r>
          <w:rPr>
            <w:noProof/>
            <w:webHidden/>
          </w:rPr>
        </w:r>
        <w:r>
          <w:rPr>
            <w:noProof/>
            <w:webHidden/>
          </w:rPr>
          <w:fldChar w:fldCharType="separate"/>
        </w:r>
        <w:r w:rsidR="002B0AD6">
          <w:rPr>
            <w:noProof/>
            <w:webHidden/>
          </w:rPr>
          <w:t>2</w:t>
        </w:r>
        <w:r>
          <w:rPr>
            <w:noProof/>
            <w:webHidden/>
          </w:rPr>
          <w:fldChar w:fldCharType="end"/>
        </w:r>
      </w:hyperlink>
    </w:p>
    <w:p w14:paraId="06522FFB" w14:textId="7ABF5104"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41" w:history="1">
        <w:r w:rsidRPr="00E566B4">
          <w:rPr>
            <w:rStyle w:val="Hyperlink"/>
          </w:rPr>
          <w:t>3</w:t>
        </w:r>
        <w:r>
          <w:rPr>
            <w:rFonts w:asciiTheme="minorHAnsi" w:eastAsiaTheme="minorEastAsia" w:hAnsiTheme="minorHAnsi"/>
            <w:kern w:val="2"/>
            <w:sz w:val="24"/>
            <w:szCs w:val="24"/>
            <w:lang w:val="en-AU" w:eastAsia="en-AU"/>
            <w14:ligatures w14:val="standardContextual"/>
          </w:rPr>
          <w:tab/>
        </w:r>
        <w:r w:rsidRPr="00E566B4">
          <w:rPr>
            <w:rStyle w:val="Hyperlink"/>
          </w:rPr>
          <w:t>Executive summary</w:t>
        </w:r>
        <w:r>
          <w:rPr>
            <w:webHidden/>
          </w:rPr>
          <w:tab/>
        </w:r>
        <w:r>
          <w:rPr>
            <w:webHidden/>
          </w:rPr>
          <w:fldChar w:fldCharType="begin"/>
        </w:r>
        <w:r>
          <w:rPr>
            <w:webHidden/>
          </w:rPr>
          <w:instrText xml:space="preserve"> PAGEREF _Toc240883541 \h </w:instrText>
        </w:r>
        <w:r>
          <w:rPr>
            <w:webHidden/>
          </w:rPr>
        </w:r>
        <w:r>
          <w:rPr>
            <w:webHidden/>
          </w:rPr>
          <w:fldChar w:fldCharType="separate"/>
        </w:r>
        <w:r w:rsidR="002B0AD6">
          <w:rPr>
            <w:webHidden/>
          </w:rPr>
          <w:t>4</w:t>
        </w:r>
        <w:r>
          <w:rPr>
            <w:webHidden/>
          </w:rPr>
          <w:fldChar w:fldCharType="end"/>
        </w:r>
      </w:hyperlink>
    </w:p>
    <w:p w14:paraId="1A0764A3" w14:textId="6EC47501"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42" w:history="1">
        <w:r w:rsidRPr="00E566B4">
          <w:rPr>
            <w:rStyle w:val="Hyperlink"/>
            <w:noProof/>
          </w:rPr>
          <w:t>Findings</w:t>
        </w:r>
        <w:r>
          <w:rPr>
            <w:noProof/>
            <w:webHidden/>
          </w:rPr>
          <w:tab/>
        </w:r>
        <w:r>
          <w:rPr>
            <w:noProof/>
            <w:webHidden/>
          </w:rPr>
          <w:fldChar w:fldCharType="begin"/>
        </w:r>
        <w:r>
          <w:rPr>
            <w:noProof/>
            <w:webHidden/>
          </w:rPr>
          <w:instrText xml:space="preserve"> PAGEREF _Toc240883542 \h </w:instrText>
        </w:r>
        <w:r>
          <w:rPr>
            <w:noProof/>
            <w:webHidden/>
          </w:rPr>
        </w:r>
        <w:r>
          <w:rPr>
            <w:noProof/>
            <w:webHidden/>
          </w:rPr>
          <w:fldChar w:fldCharType="separate"/>
        </w:r>
        <w:r w:rsidR="002B0AD6">
          <w:rPr>
            <w:noProof/>
            <w:webHidden/>
          </w:rPr>
          <w:t>5</w:t>
        </w:r>
        <w:r>
          <w:rPr>
            <w:noProof/>
            <w:webHidden/>
          </w:rPr>
          <w:fldChar w:fldCharType="end"/>
        </w:r>
      </w:hyperlink>
    </w:p>
    <w:p w14:paraId="28AC7A63" w14:textId="64D260B1"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43" w:history="1">
        <w:r w:rsidRPr="00E566B4">
          <w:rPr>
            <w:rStyle w:val="Hyperlink"/>
            <w:noProof/>
          </w:rPr>
          <w:t>Recommendations</w:t>
        </w:r>
        <w:r>
          <w:rPr>
            <w:noProof/>
            <w:webHidden/>
          </w:rPr>
          <w:tab/>
        </w:r>
        <w:r>
          <w:rPr>
            <w:noProof/>
            <w:webHidden/>
          </w:rPr>
          <w:fldChar w:fldCharType="begin"/>
        </w:r>
        <w:r>
          <w:rPr>
            <w:noProof/>
            <w:webHidden/>
          </w:rPr>
          <w:instrText xml:space="preserve"> PAGEREF _Toc240883543 \h </w:instrText>
        </w:r>
        <w:r>
          <w:rPr>
            <w:noProof/>
            <w:webHidden/>
          </w:rPr>
        </w:r>
        <w:r>
          <w:rPr>
            <w:noProof/>
            <w:webHidden/>
          </w:rPr>
          <w:fldChar w:fldCharType="separate"/>
        </w:r>
        <w:r w:rsidR="002B0AD6">
          <w:rPr>
            <w:noProof/>
            <w:webHidden/>
          </w:rPr>
          <w:t>7</w:t>
        </w:r>
        <w:r>
          <w:rPr>
            <w:noProof/>
            <w:webHidden/>
          </w:rPr>
          <w:fldChar w:fldCharType="end"/>
        </w:r>
      </w:hyperlink>
    </w:p>
    <w:p w14:paraId="7BDFF224" w14:textId="015E4251"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44" w:history="1">
        <w:r w:rsidRPr="00E566B4">
          <w:rPr>
            <w:rStyle w:val="Hyperlink"/>
          </w:rPr>
          <w:t>4</w:t>
        </w:r>
        <w:r>
          <w:rPr>
            <w:rFonts w:asciiTheme="minorHAnsi" w:eastAsiaTheme="minorEastAsia" w:hAnsiTheme="minorHAnsi"/>
            <w:kern w:val="2"/>
            <w:sz w:val="24"/>
            <w:szCs w:val="24"/>
            <w:lang w:val="en-AU" w:eastAsia="en-AU"/>
            <w14:ligatures w14:val="standardContextual"/>
          </w:rPr>
          <w:tab/>
        </w:r>
        <w:r w:rsidRPr="00E566B4">
          <w:rPr>
            <w:rStyle w:val="Hyperlink"/>
          </w:rPr>
          <w:t>Project background</w:t>
        </w:r>
        <w:r>
          <w:rPr>
            <w:webHidden/>
          </w:rPr>
          <w:tab/>
        </w:r>
        <w:r>
          <w:rPr>
            <w:webHidden/>
          </w:rPr>
          <w:fldChar w:fldCharType="begin"/>
        </w:r>
        <w:r>
          <w:rPr>
            <w:webHidden/>
          </w:rPr>
          <w:instrText xml:space="preserve"> PAGEREF _Toc240883544 \h </w:instrText>
        </w:r>
        <w:r>
          <w:rPr>
            <w:webHidden/>
          </w:rPr>
        </w:r>
        <w:r>
          <w:rPr>
            <w:webHidden/>
          </w:rPr>
          <w:fldChar w:fldCharType="separate"/>
        </w:r>
        <w:r w:rsidR="002B0AD6">
          <w:rPr>
            <w:webHidden/>
          </w:rPr>
          <w:t>9</w:t>
        </w:r>
        <w:r>
          <w:rPr>
            <w:webHidden/>
          </w:rPr>
          <w:fldChar w:fldCharType="end"/>
        </w:r>
      </w:hyperlink>
    </w:p>
    <w:p w14:paraId="59594889" w14:textId="3A2796EF"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45" w:history="1">
        <w:r w:rsidRPr="00E566B4">
          <w:rPr>
            <w:rStyle w:val="Hyperlink"/>
            <w:noProof/>
          </w:rPr>
          <w:t>4.1</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Summary of the SARC – IC Activity</w:t>
        </w:r>
        <w:r>
          <w:rPr>
            <w:noProof/>
            <w:webHidden/>
          </w:rPr>
          <w:tab/>
        </w:r>
        <w:r>
          <w:rPr>
            <w:noProof/>
            <w:webHidden/>
          </w:rPr>
          <w:fldChar w:fldCharType="begin"/>
        </w:r>
        <w:r>
          <w:rPr>
            <w:noProof/>
            <w:webHidden/>
          </w:rPr>
          <w:instrText xml:space="preserve"> PAGEREF _Toc240883545 \h </w:instrText>
        </w:r>
        <w:r>
          <w:rPr>
            <w:noProof/>
            <w:webHidden/>
          </w:rPr>
        </w:r>
        <w:r>
          <w:rPr>
            <w:noProof/>
            <w:webHidden/>
          </w:rPr>
          <w:fldChar w:fldCharType="separate"/>
        </w:r>
        <w:r w:rsidR="002B0AD6">
          <w:rPr>
            <w:noProof/>
            <w:webHidden/>
          </w:rPr>
          <w:t>9</w:t>
        </w:r>
        <w:r>
          <w:rPr>
            <w:noProof/>
            <w:webHidden/>
          </w:rPr>
          <w:fldChar w:fldCharType="end"/>
        </w:r>
      </w:hyperlink>
    </w:p>
    <w:p w14:paraId="51409A8B" w14:textId="5B690466"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46" w:history="1">
        <w:r w:rsidRPr="00E566B4">
          <w:rPr>
            <w:rStyle w:val="Hyperlink"/>
            <w:noProof/>
          </w:rPr>
          <w:t>4.1.1</w:t>
        </w:r>
        <w:r>
          <w:rPr>
            <w:rFonts w:asciiTheme="minorHAnsi" w:eastAsiaTheme="minorEastAsia" w:hAnsiTheme="minorHAnsi"/>
            <w:noProof/>
            <w:kern w:val="2"/>
            <w:sz w:val="24"/>
            <w:szCs w:val="24"/>
            <w:lang w:eastAsia="en-AU"/>
            <w14:ligatures w14:val="standardContextual"/>
          </w:rPr>
          <w:tab/>
        </w:r>
        <w:r w:rsidRPr="00E566B4">
          <w:rPr>
            <w:rStyle w:val="Hyperlink"/>
            <w:noProof/>
          </w:rPr>
          <w:t>The SARC – IC Activity has supported 144 projects and almost 32,000 people since 2022</w:t>
        </w:r>
        <w:r>
          <w:rPr>
            <w:noProof/>
            <w:webHidden/>
          </w:rPr>
          <w:tab/>
        </w:r>
        <w:r>
          <w:rPr>
            <w:noProof/>
            <w:webHidden/>
          </w:rPr>
          <w:fldChar w:fldCharType="begin"/>
        </w:r>
        <w:r>
          <w:rPr>
            <w:noProof/>
            <w:webHidden/>
          </w:rPr>
          <w:instrText xml:space="preserve"> PAGEREF _Toc240883546 \h </w:instrText>
        </w:r>
        <w:r>
          <w:rPr>
            <w:noProof/>
            <w:webHidden/>
          </w:rPr>
        </w:r>
        <w:r>
          <w:rPr>
            <w:noProof/>
            <w:webHidden/>
          </w:rPr>
          <w:fldChar w:fldCharType="separate"/>
        </w:r>
        <w:r w:rsidR="002B0AD6">
          <w:rPr>
            <w:noProof/>
            <w:webHidden/>
          </w:rPr>
          <w:t>10</w:t>
        </w:r>
        <w:r>
          <w:rPr>
            <w:noProof/>
            <w:webHidden/>
          </w:rPr>
          <w:fldChar w:fldCharType="end"/>
        </w:r>
      </w:hyperlink>
    </w:p>
    <w:p w14:paraId="36759A1E" w14:textId="2BB9D209"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47" w:history="1">
        <w:r w:rsidRPr="00E566B4">
          <w:rPr>
            <w:rStyle w:val="Hyperlink"/>
            <w:noProof/>
          </w:rPr>
          <w:t>4.2</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Purpose of the evaluation</w:t>
        </w:r>
        <w:r>
          <w:rPr>
            <w:noProof/>
            <w:webHidden/>
          </w:rPr>
          <w:tab/>
        </w:r>
        <w:r>
          <w:rPr>
            <w:noProof/>
            <w:webHidden/>
          </w:rPr>
          <w:fldChar w:fldCharType="begin"/>
        </w:r>
        <w:r>
          <w:rPr>
            <w:noProof/>
            <w:webHidden/>
          </w:rPr>
          <w:instrText xml:space="preserve"> PAGEREF _Toc240883547 \h </w:instrText>
        </w:r>
        <w:r>
          <w:rPr>
            <w:noProof/>
            <w:webHidden/>
          </w:rPr>
        </w:r>
        <w:r>
          <w:rPr>
            <w:noProof/>
            <w:webHidden/>
          </w:rPr>
          <w:fldChar w:fldCharType="separate"/>
        </w:r>
        <w:r w:rsidR="002B0AD6">
          <w:rPr>
            <w:noProof/>
            <w:webHidden/>
          </w:rPr>
          <w:t>11</w:t>
        </w:r>
        <w:r>
          <w:rPr>
            <w:noProof/>
            <w:webHidden/>
          </w:rPr>
          <w:fldChar w:fldCharType="end"/>
        </w:r>
      </w:hyperlink>
    </w:p>
    <w:p w14:paraId="58A63FA6" w14:textId="42C75056"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48" w:history="1">
        <w:r w:rsidRPr="00E566B4">
          <w:rPr>
            <w:rStyle w:val="Hyperlink"/>
          </w:rPr>
          <w:t>5</w:t>
        </w:r>
        <w:r>
          <w:rPr>
            <w:rFonts w:asciiTheme="minorHAnsi" w:eastAsiaTheme="minorEastAsia" w:hAnsiTheme="minorHAnsi"/>
            <w:kern w:val="2"/>
            <w:sz w:val="24"/>
            <w:szCs w:val="24"/>
            <w:lang w:val="en-AU" w:eastAsia="en-AU"/>
            <w14:ligatures w14:val="standardContextual"/>
          </w:rPr>
          <w:tab/>
        </w:r>
        <w:r w:rsidRPr="00E566B4">
          <w:rPr>
            <w:rStyle w:val="Hyperlink"/>
          </w:rPr>
          <w:t>Evaluation methodology</w:t>
        </w:r>
        <w:r>
          <w:rPr>
            <w:webHidden/>
          </w:rPr>
          <w:tab/>
        </w:r>
        <w:r>
          <w:rPr>
            <w:webHidden/>
          </w:rPr>
          <w:fldChar w:fldCharType="begin"/>
        </w:r>
        <w:r>
          <w:rPr>
            <w:webHidden/>
          </w:rPr>
          <w:instrText xml:space="preserve"> PAGEREF _Toc240883548 \h </w:instrText>
        </w:r>
        <w:r>
          <w:rPr>
            <w:webHidden/>
          </w:rPr>
        </w:r>
        <w:r>
          <w:rPr>
            <w:webHidden/>
          </w:rPr>
          <w:fldChar w:fldCharType="separate"/>
        </w:r>
        <w:r w:rsidR="002B0AD6">
          <w:rPr>
            <w:webHidden/>
          </w:rPr>
          <w:t>12</w:t>
        </w:r>
        <w:r>
          <w:rPr>
            <w:webHidden/>
          </w:rPr>
          <w:fldChar w:fldCharType="end"/>
        </w:r>
      </w:hyperlink>
    </w:p>
    <w:p w14:paraId="7CE49978" w14:textId="7C67AC90"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49" w:history="1">
        <w:r w:rsidRPr="00E566B4">
          <w:rPr>
            <w:rStyle w:val="Hyperlink"/>
            <w:noProof/>
          </w:rPr>
          <w:t>5.1</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The evaluation takes a mixed-methods approach, with a scope defined by four Key Evaluation Questions (KEQs)</w:t>
        </w:r>
        <w:r>
          <w:rPr>
            <w:noProof/>
            <w:webHidden/>
          </w:rPr>
          <w:tab/>
        </w:r>
        <w:r>
          <w:rPr>
            <w:noProof/>
            <w:webHidden/>
          </w:rPr>
          <w:fldChar w:fldCharType="begin"/>
        </w:r>
        <w:r>
          <w:rPr>
            <w:noProof/>
            <w:webHidden/>
          </w:rPr>
          <w:instrText xml:space="preserve"> PAGEREF _Toc240883549 \h </w:instrText>
        </w:r>
        <w:r>
          <w:rPr>
            <w:noProof/>
            <w:webHidden/>
          </w:rPr>
        </w:r>
        <w:r>
          <w:rPr>
            <w:noProof/>
            <w:webHidden/>
          </w:rPr>
          <w:fldChar w:fldCharType="separate"/>
        </w:r>
        <w:r w:rsidR="002B0AD6">
          <w:rPr>
            <w:noProof/>
            <w:webHidden/>
          </w:rPr>
          <w:t>12</w:t>
        </w:r>
        <w:r>
          <w:rPr>
            <w:noProof/>
            <w:webHidden/>
          </w:rPr>
          <w:fldChar w:fldCharType="end"/>
        </w:r>
      </w:hyperlink>
    </w:p>
    <w:p w14:paraId="68E08C73" w14:textId="17E97615"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50" w:history="1">
        <w:r w:rsidRPr="00E566B4">
          <w:rPr>
            <w:rStyle w:val="Hyperlink"/>
            <w:noProof/>
          </w:rPr>
          <w:t>5.2</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Data limitations affected the depth and robustness of findings</w:t>
        </w:r>
        <w:r>
          <w:rPr>
            <w:noProof/>
            <w:webHidden/>
          </w:rPr>
          <w:tab/>
        </w:r>
        <w:r>
          <w:rPr>
            <w:noProof/>
            <w:webHidden/>
          </w:rPr>
          <w:fldChar w:fldCharType="begin"/>
        </w:r>
        <w:r>
          <w:rPr>
            <w:noProof/>
            <w:webHidden/>
          </w:rPr>
          <w:instrText xml:space="preserve"> PAGEREF _Toc240883550 \h </w:instrText>
        </w:r>
        <w:r>
          <w:rPr>
            <w:noProof/>
            <w:webHidden/>
          </w:rPr>
        </w:r>
        <w:r>
          <w:rPr>
            <w:noProof/>
            <w:webHidden/>
          </w:rPr>
          <w:fldChar w:fldCharType="separate"/>
        </w:r>
        <w:r w:rsidR="002B0AD6">
          <w:rPr>
            <w:noProof/>
            <w:webHidden/>
          </w:rPr>
          <w:t>13</w:t>
        </w:r>
        <w:r>
          <w:rPr>
            <w:noProof/>
            <w:webHidden/>
          </w:rPr>
          <w:fldChar w:fldCharType="end"/>
        </w:r>
      </w:hyperlink>
    </w:p>
    <w:p w14:paraId="0978FB5C" w14:textId="0B5F4D4A"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51" w:history="1">
        <w:r w:rsidRPr="00E566B4">
          <w:rPr>
            <w:rStyle w:val="Hyperlink"/>
          </w:rPr>
          <w:t>6</w:t>
        </w:r>
        <w:r>
          <w:rPr>
            <w:rFonts w:asciiTheme="minorHAnsi" w:eastAsiaTheme="minorEastAsia" w:hAnsiTheme="minorHAnsi"/>
            <w:kern w:val="2"/>
            <w:sz w:val="24"/>
            <w:szCs w:val="24"/>
            <w:lang w:val="en-AU" w:eastAsia="en-AU"/>
            <w14:ligatures w14:val="standardContextual"/>
          </w:rPr>
          <w:tab/>
        </w:r>
        <w:r w:rsidRPr="00E566B4">
          <w:rPr>
            <w:rStyle w:val="Hyperlink"/>
          </w:rPr>
          <w:t>Findings</w:t>
        </w:r>
        <w:r>
          <w:rPr>
            <w:webHidden/>
          </w:rPr>
          <w:tab/>
        </w:r>
        <w:r>
          <w:rPr>
            <w:webHidden/>
          </w:rPr>
          <w:fldChar w:fldCharType="begin"/>
        </w:r>
        <w:r>
          <w:rPr>
            <w:webHidden/>
          </w:rPr>
          <w:instrText xml:space="preserve"> PAGEREF _Toc240883551 \h </w:instrText>
        </w:r>
        <w:r>
          <w:rPr>
            <w:webHidden/>
          </w:rPr>
        </w:r>
        <w:r>
          <w:rPr>
            <w:webHidden/>
          </w:rPr>
          <w:fldChar w:fldCharType="separate"/>
        </w:r>
        <w:r w:rsidR="002B0AD6">
          <w:rPr>
            <w:webHidden/>
          </w:rPr>
          <w:t>15</w:t>
        </w:r>
        <w:r>
          <w:rPr>
            <w:webHidden/>
          </w:rPr>
          <w:fldChar w:fldCharType="end"/>
        </w:r>
      </w:hyperlink>
    </w:p>
    <w:p w14:paraId="014FBB43" w14:textId="3496A2AF"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52" w:history="1">
        <w:r w:rsidRPr="00E566B4">
          <w:rPr>
            <w:rStyle w:val="Hyperlink"/>
            <w:noProof/>
          </w:rPr>
          <w:t>6.1</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Appropriateness and design</w:t>
        </w:r>
        <w:r>
          <w:rPr>
            <w:noProof/>
            <w:webHidden/>
          </w:rPr>
          <w:tab/>
        </w:r>
        <w:r>
          <w:rPr>
            <w:noProof/>
            <w:webHidden/>
          </w:rPr>
          <w:fldChar w:fldCharType="begin"/>
        </w:r>
        <w:r>
          <w:rPr>
            <w:noProof/>
            <w:webHidden/>
          </w:rPr>
          <w:instrText xml:space="preserve"> PAGEREF _Toc240883552 \h </w:instrText>
        </w:r>
        <w:r>
          <w:rPr>
            <w:noProof/>
            <w:webHidden/>
          </w:rPr>
        </w:r>
        <w:r>
          <w:rPr>
            <w:noProof/>
            <w:webHidden/>
          </w:rPr>
          <w:fldChar w:fldCharType="separate"/>
        </w:r>
        <w:r w:rsidR="002B0AD6">
          <w:rPr>
            <w:noProof/>
            <w:webHidden/>
          </w:rPr>
          <w:t>15</w:t>
        </w:r>
        <w:r>
          <w:rPr>
            <w:noProof/>
            <w:webHidden/>
          </w:rPr>
          <w:fldChar w:fldCharType="end"/>
        </w:r>
      </w:hyperlink>
    </w:p>
    <w:p w14:paraId="6ACFADB6" w14:textId="436FD8C6"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53" w:history="1">
        <w:r w:rsidRPr="00E566B4">
          <w:rPr>
            <w:rStyle w:val="Hyperlink"/>
            <w:noProof/>
          </w:rPr>
          <w:t>6.1.1</w:t>
        </w:r>
        <w:r>
          <w:rPr>
            <w:rFonts w:asciiTheme="minorHAnsi" w:eastAsiaTheme="minorEastAsia" w:hAnsiTheme="minorHAnsi"/>
            <w:noProof/>
            <w:kern w:val="2"/>
            <w:sz w:val="24"/>
            <w:szCs w:val="24"/>
            <w:lang w:eastAsia="en-AU"/>
            <w14:ligatures w14:val="standardContextual"/>
          </w:rPr>
          <w:tab/>
        </w:r>
        <w:r w:rsidRPr="00E566B4">
          <w:rPr>
            <w:rStyle w:val="Hyperlink"/>
            <w:noProof/>
          </w:rPr>
          <w:t>Key findings on appropriateness and design</w:t>
        </w:r>
        <w:r>
          <w:rPr>
            <w:noProof/>
            <w:webHidden/>
          </w:rPr>
          <w:tab/>
        </w:r>
        <w:r>
          <w:rPr>
            <w:noProof/>
            <w:webHidden/>
          </w:rPr>
          <w:fldChar w:fldCharType="begin"/>
        </w:r>
        <w:r>
          <w:rPr>
            <w:noProof/>
            <w:webHidden/>
          </w:rPr>
          <w:instrText xml:space="preserve"> PAGEREF _Toc240883553 \h </w:instrText>
        </w:r>
        <w:r>
          <w:rPr>
            <w:noProof/>
            <w:webHidden/>
          </w:rPr>
        </w:r>
        <w:r>
          <w:rPr>
            <w:noProof/>
            <w:webHidden/>
          </w:rPr>
          <w:fldChar w:fldCharType="separate"/>
        </w:r>
        <w:r w:rsidR="002B0AD6">
          <w:rPr>
            <w:noProof/>
            <w:webHidden/>
          </w:rPr>
          <w:t>15</w:t>
        </w:r>
        <w:r>
          <w:rPr>
            <w:noProof/>
            <w:webHidden/>
          </w:rPr>
          <w:fldChar w:fldCharType="end"/>
        </w:r>
      </w:hyperlink>
    </w:p>
    <w:p w14:paraId="3C481E0C" w14:textId="24F1697C"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54" w:history="1">
        <w:r w:rsidRPr="00E566B4">
          <w:rPr>
            <w:rStyle w:val="Hyperlink"/>
            <w:noProof/>
          </w:rPr>
          <w:t>6.1.2</w:t>
        </w:r>
        <w:r>
          <w:rPr>
            <w:rFonts w:asciiTheme="minorHAnsi" w:eastAsiaTheme="minorEastAsia" w:hAnsiTheme="minorHAnsi"/>
            <w:noProof/>
            <w:kern w:val="2"/>
            <w:sz w:val="24"/>
            <w:szCs w:val="24"/>
            <w:lang w:eastAsia="en-AU"/>
            <w14:ligatures w14:val="standardContextual"/>
          </w:rPr>
          <w:tab/>
        </w:r>
        <w:r w:rsidRPr="00E566B4">
          <w:rPr>
            <w:rStyle w:val="Hyperlink"/>
            <w:noProof/>
          </w:rPr>
          <w:t>SARC – IC is designed to improve social and economic participation for young people, vulnerable women, unemployed people and people with disability</w:t>
        </w:r>
        <w:r>
          <w:rPr>
            <w:noProof/>
            <w:webHidden/>
          </w:rPr>
          <w:tab/>
        </w:r>
        <w:r>
          <w:rPr>
            <w:noProof/>
            <w:webHidden/>
          </w:rPr>
          <w:fldChar w:fldCharType="begin"/>
        </w:r>
        <w:r>
          <w:rPr>
            <w:noProof/>
            <w:webHidden/>
          </w:rPr>
          <w:instrText xml:space="preserve"> PAGEREF _Toc240883554 \h </w:instrText>
        </w:r>
        <w:r>
          <w:rPr>
            <w:noProof/>
            <w:webHidden/>
          </w:rPr>
        </w:r>
        <w:r>
          <w:rPr>
            <w:noProof/>
            <w:webHidden/>
          </w:rPr>
          <w:fldChar w:fldCharType="separate"/>
        </w:r>
        <w:r w:rsidR="002B0AD6">
          <w:rPr>
            <w:noProof/>
            <w:webHidden/>
          </w:rPr>
          <w:t>15</w:t>
        </w:r>
        <w:r>
          <w:rPr>
            <w:noProof/>
            <w:webHidden/>
          </w:rPr>
          <w:fldChar w:fldCharType="end"/>
        </w:r>
      </w:hyperlink>
    </w:p>
    <w:p w14:paraId="35B58C33" w14:textId="694732E0"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55" w:history="1">
        <w:r w:rsidRPr="00E566B4">
          <w:rPr>
            <w:rStyle w:val="Hyperlink"/>
            <w:noProof/>
          </w:rPr>
          <w:t>6.1.3</w:t>
        </w:r>
        <w:r>
          <w:rPr>
            <w:rFonts w:asciiTheme="minorHAnsi" w:eastAsiaTheme="minorEastAsia" w:hAnsiTheme="minorHAnsi"/>
            <w:noProof/>
            <w:kern w:val="2"/>
            <w:sz w:val="24"/>
            <w:szCs w:val="24"/>
            <w:lang w:eastAsia="en-AU"/>
            <w14:ligatures w14:val="standardContextual"/>
          </w:rPr>
          <w:tab/>
        </w:r>
        <w:r w:rsidRPr="00E566B4">
          <w:rPr>
            <w:rStyle w:val="Hyperlink"/>
            <w:noProof/>
          </w:rPr>
          <w:t>SARC – IC’s design aligns with literature on good practice, but broad scope and key design tensions limit its effectiveness</w:t>
        </w:r>
        <w:r>
          <w:rPr>
            <w:noProof/>
            <w:webHidden/>
          </w:rPr>
          <w:tab/>
        </w:r>
        <w:r>
          <w:rPr>
            <w:noProof/>
            <w:webHidden/>
          </w:rPr>
          <w:fldChar w:fldCharType="begin"/>
        </w:r>
        <w:r>
          <w:rPr>
            <w:noProof/>
            <w:webHidden/>
          </w:rPr>
          <w:instrText xml:space="preserve"> PAGEREF _Toc240883555 \h </w:instrText>
        </w:r>
        <w:r>
          <w:rPr>
            <w:noProof/>
            <w:webHidden/>
          </w:rPr>
        </w:r>
        <w:r>
          <w:rPr>
            <w:noProof/>
            <w:webHidden/>
          </w:rPr>
          <w:fldChar w:fldCharType="separate"/>
        </w:r>
        <w:r w:rsidR="002B0AD6">
          <w:rPr>
            <w:noProof/>
            <w:webHidden/>
          </w:rPr>
          <w:t>17</w:t>
        </w:r>
        <w:r>
          <w:rPr>
            <w:noProof/>
            <w:webHidden/>
          </w:rPr>
          <w:fldChar w:fldCharType="end"/>
        </w:r>
      </w:hyperlink>
    </w:p>
    <w:p w14:paraId="10D05234" w14:textId="188E8000"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56" w:history="1">
        <w:r w:rsidRPr="00E566B4">
          <w:rPr>
            <w:rStyle w:val="Hyperlink"/>
            <w:noProof/>
          </w:rPr>
          <w:t>6.1.4</w:t>
        </w:r>
        <w:r>
          <w:rPr>
            <w:rFonts w:asciiTheme="minorHAnsi" w:eastAsiaTheme="minorEastAsia" w:hAnsiTheme="minorHAnsi"/>
            <w:noProof/>
            <w:kern w:val="2"/>
            <w:sz w:val="24"/>
            <w:szCs w:val="24"/>
            <w:lang w:eastAsia="en-AU"/>
            <w14:ligatures w14:val="standardContextual"/>
          </w:rPr>
          <w:tab/>
        </w:r>
        <w:r w:rsidRPr="00E566B4">
          <w:rPr>
            <w:rStyle w:val="Hyperlink"/>
            <w:noProof/>
          </w:rPr>
          <w:t>SARC – IC’s objectives align to the broader policy landscape</w:t>
        </w:r>
        <w:r>
          <w:rPr>
            <w:noProof/>
            <w:webHidden/>
          </w:rPr>
          <w:tab/>
        </w:r>
        <w:r>
          <w:rPr>
            <w:noProof/>
            <w:webHidden/>
          </w:rPr>
          <w:fldChar w:fldCharType="begin"/>
        </w:r>
        <w:r>
          <w:rPr>
            <w:noProof/>
            <w:webHidden/>
          </w:rPr>
          <w:instrText xml:space="preserve"> PAGEREF _Toc240883556 \h </w:instrText>
        </w:r>
        <w:r>
          <w:rPr>
            <w:noProof/>
            <w:webHidden/>
          </w:rPr>
        </w:r>
        <w:r>
          <w:rPr>
            <w:noProof/>
            <w:webHidden/>
          </w:rPr>
          <w:fldChar w:fldCharType="separate"/>
        </w:r>
        <w:r w:rsidR="002B0AD6">
          <w:rPr>
            <w:noProof/>
            <w:webHidden/>
          </w:rPr>
          <w:t>23</w:t>
        </w:r>
        <w:r>
          <w:rPr>
            <w:noProof/>
            <w:webHidden/>
          </w:rPr>
          <w:fldChar w:fldCharType="end"/>
        </w:r>
      </w:hyperlink>
    </w:p>
    <w:p w14:paraId="22EE47EB" w14:textId="73441ED3"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57" w:history="1">
        <w:r w:rsidRPr="00E566B4">
          <w:rPr>
            <w:rStyle w:val="Hyperlink"/>
            <w:noProof/>
          </w:rPr>
          <w:t>6.2</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Implementation</w:t>
        </w:r>
        <w:r>
          <w:rPr>
            <w:noProof/>
            <w:webHidden/>
          </w:rPr>
          <w:tab/>
        </w:r>
        <w:r>
          <w:rPr>
            <w:noProof/>
            <w:webHidden/>
          </w:rPr>
          <w:fldChar w:fldCharType="begin"/>
        </w:r>
        <w:r>
          <w:rPr>
            <w:noProof/>
            <w:webHidden/>
          </w:rPr>
          <w:instrText xml:space="preserve"> PAGEREF _Toc240883557 \h </w:instrText>
        </w:r>
        <w:r>
          <w:rPr>
            <w:noProof/>
            <w:webHidden/>
          </w:rPr>
        </w:r>
        <w:r>
          <w:rPr>
            <w:noProof/>
            <w:webHidden/>
          </w:rPr>
          <w:fldChar w:fldCharType="separate"/>
        </w:r>
        <w:r w:rsidR="002B0AD6">
          <w:rPr>
            <w:noProof/>
            <w:webHidden/>
          </w:rPr>
          <w:t>26</w:t>
        </w:r>
        <w:r>
          <w:rPr>
            <w:noProof/>
            <w:webHidden/>
          </w:rPr>
          <w:fldChar w:fldCharType="end"/>
        </w:r>
      </w:hyperlink>
    </w:p>
    <w:p w14:paraId="2A49D099" w14:textId="2DA5E78A"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58" w:history="1">
        <w:r w:rsidRPr="00E566B4">
          <w:rPr>
            <w:rStyle w:val="Hyperlink"/>
            <w:noProof/>
          </w:rPr>
          <w:t>6.2.1</w:t>
        </w:r>
        <w:r>
          <w:rPr>
            <w:rFonts w:asciiTheme="minorHAnsi" w:eastAsiaTheme="minorEastAsia" w:hAnsiTheme="minorHAnsi"/>
            <w:noProof/>
            <w:kern w:val="2"/>
            <w:sz w:val="24"/>
            <w:szCs w:val="24"/>
            <w:lang w:eastAsia="en-AU"/>
            <w14:ligatures w14:val="standardContextual"/>
          </w:rPr>
          <w:tab/>
        </w:r>
        <w:r w:rsidRPr="00E566B4">
          <w:rPr>
            <w:rStyle w:val="Hyperlink"/>
            <w:noProof/>
          </w:rPr>
          <w:t>Key findings on implementation and administration</w:t>
        </w:r>
        <w:r>
          <w:rPr>
            <w:noProof/>
            <w:webHidden/>
          </w:rPr>
          <w:tab/>
        </w:r>
        <w:r>
          <w:rPr>
            <w:noProof/>
            <w:webHidden/>
          </w:rPr>
          <w:fldChar w:fldCharType="begin"/>
        </w:r>
        <w:r>
          <w:rPr>
            <w:noProof/>
            <w:webHidden/>
          </w:rPr>
          <w:instrText xml:space="preserve"> PAGEREF _Toc240883558 \h </w:instrText>
        </w:r>
        <w:r>
          <w:rPr>
            <w:noProof/>
            <w:webHidden/>
          </w:rPr>
        </w:r>
        <w:r>
          <w:rPr>
            <w:noProof/>
            <w:webHidden/>
          </w:rPr>
          <w:fldChar w:fldCharType="separate"/>
        </w:r>
        <w:r w:rsidR="002B0AD6">
          <w:rPr>
            <w:noProof/>
            <w:webHidden/>
          </w:rPr>
          <w:t>26</w:t>
        </w:r>
        <w:r>
          <w:rPr>
            <w:noProof/>
            <w:webHidden/>
          </w:rPr>
          <w:fldChar w:fldCharType="end"/>
        </w:r>
      </w:hyperlink>
    </w:p>
    <w:p w14:paraId="6CD44955" w14:textId="6064660E"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59" w:history="1">
        <w:r w:rsidRPr="00E566B4">
          <w:rPr>
            <w:rStyle w:val="Hyperlink"/>
            <w:noProof/>
            <w:lang w:val="en-US"/>
          </w:rPr>
          <w:t>6.2.2</w:t>
        </w:r>
        <w:r>
          <w:rPr>
            <w:rFonts w:asciiTheme="minorHAnsi" w:eastAsiaTheme="minorEastAsia" w:hAnsiTheme="minorHAnsi"/>
            <w:noProof/>
            <w:kern w:val="2"/>
            <w:sz w:val="24"/>
            <w:szCs w:val="24"/>
            <w:lang w:eastAsia="en-AU"/>
            <w14:ligatures w14:val="standardContextual"/>
          </w:rPr>
          <w:tab/>
        </w:r>
        <w:r w:rsidRPr="00E566B4">
          <w:rPr>
            <w:rStyle w:val="Hyperlink"/>
            <w:noProof/>
            <w:lang w:val="en-US"/>
          </w:rPr>
          <w:t>While the application process was simple to navigate, the broad eligibility criteria resulted in additional effort for many applicants and the Department</w:t>
        </w:r>
        <w:r>
          <w:rPr>
            <w:noProof/>
            <w:webHidden/>
          </w:rPr>
          <w:tab/>
        </w:r>
        <w:r>
          <w:rPr>
            <w:noProof/>
            <w:webHidden/>
          </w:rPr>
          <w:fldChar w:fldCharType="begin"/>
        </w:r>
        <w:r>
          <w:rPr>
            <w:noProof/>
            <w:webHidden/>
          </w:rPr>
          <w:instrText xml:space="preserve"> PAGEREF _Toc240883559 \h </w:instrText>
        </w:r>
        <w:r>
          <w:rPr>
            <w:noProof/>
            <w:webHidden/>
          </w:rPr>
        </w:r>
        <w:r>
          <w:rPr>
            <w:noProof/>
            <w:webHidden/>
          </w:rPr>
          <w:fldChar w:fldCharType="separate"/>
        </w:r>
        <w:r w:rsidR="002B0AD6">
          <w:rPr>
            <w:noProof/>
            <w:webHidden/>
          </w:rPr>
          <w:t>26</w:t>
        </w:r>
        <w:r>
          <w:rPr>
            <w:noProof/>
            <w:webHidden/>
          </w:rPr>
          <w:fldChar w:fldCharType="end"/>
        </w:r>
      </w:hyperlink>
    </w:p>
    <w:p w14:paraId="270E3439" w14:textId="12FB84AD"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0" w:history="1">
        <w:r w:rsidRPr="00E566B4">
          <w:rPr>
            <w:rStyle w:val="Hyperlink"/>
            <w:noProof/>
            <w:lang w:val="en-US"/>
          </w:rPr>
          <w:t>6.2.3</w:t>
        </w:r>
        <w:r>
          <w:rPr>
            <w:rFonts w:asciiTheme="minorHAnsi" w:eastAsiaTheme="minorEastAsia" w:hAnsiTheme="minorHAnsi"/>
            <w:noProof/>
            <w:kern w:val="2"/>
            <w:sz w:val="24"/>
            <w:szCs w:val="24"/>
            <w:lang w:eastAsia="en-AU"/>
            <w14:ligatures w14:val="standardContextual"/>
          </w:rPr>
          <w:tab/>
        </w:r>
        <w:r w:rsidRPr="00E566B4">
          <w:rPr>
            <w:rStyle w:val="Hyperlink"/>
            <w:noProof/>
            <w:lang w:val="en-US"/>
          </w:rPr>
          <w:t>The successful delivery of SARC – IC funded services depends on FAMs, recruitment and community trust</w:t>
        </w:r>
        <w:r>
          <w:rPr>
            <w:noProof/>
            <w:webHidden/>
          </w:rPr>
          <w:tab/>
        </w:r>
        <w:r>
          <w:rPr>
            <w:noProof/>
            <w:webHidden/>
          </w:rPr>
          <w:fldChar w:fldCharType="begin"/>
        </w:r>
        <w:r>
          <w:rPr>
            <w:noProof/>
            <w:webHidden/>
          </w:rPr>
          <w:instrText xml:space="preserve"> PAGEREF _Toc240883560 \h </w:instrText>
        </w:r>
        <w:r>
          <w:rPr>
            <w:noProof/>
            <w:webHidden/>
          </w:rPr>
        </w:r>
        <w:r>
          <w:rPr>
            <w:noProof/>
            <w:webHidden/>
          </w:rPr>
          <w:fldChar w:fldCharType="separate"/>
        </w:r>
        <w:r w:rsidR="002B0AD6">
          <w:rPr>
            <w:noProof/>
            <w:webHidden/>
          </w:rPr>
          <w:t>28</w:t>
        </w:r>
        <w:r>
          <w:rPr>
            <w:noProof/>
            <w:webHidden/>
          </w:rPr>
          <w:fldChar w:fldCharType="end"/>
        </w:r>
      </w:hyperlink>
    </w:p>
    <w:p w14:paraId="66F62960" w14:textId="6FEB0BDB"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1" w:history="1">
        <w:r w:rsidRPr="00E566B4">
          <w:rPr>
            <w:rStyle w:val="Hyperlink"/>
            <w:noProof/>
            <w:lang w:val="en-US"/>
          </w:rPr>
          <w:t>6.2.4</w:t>
        </w:r>
        <w:r>
          <w:rPr>
            <w:rFonts w:asciiTheme="minorHAnsi" w:eastAsiaTheme="minorEastAsia" w:hAnsiTheme="minorHAnsi"/>
            <w:noProof/>
            <w:kern w:val="2"/>
            <w:sz w:val="24"/>
            <w:szCs w:val="24"/>
            <w:lang w:eastAsia="en-AU"/>
            <w14:ligatures w14:val="standardContextual"/>
          </w:rPr>
          <w:tab/>
        </w:r>
        <w:r w:rsidRPr="00E566B4">
          <w:rPr>
            <w:rStyle w:val="Hyperlink"/>
            <w:noProof/>
            <w:lang w:val="en-US"/>
          </w:rPr>
          <w:t>Challenges with DEX resulted in limited standardised reporting on outcomes</w:t>
        </w:r>
        <w:r>
          <w:rPr>
            <w:noProof/>
            <w:webHidden/>
          </w:rPr>
          <w:tab/>
        </w:r>
        <w:r>
          <w:rPr>
            <w:noProof/>
            <w:webHidden/>
          </w:rPr>
          <w:fldChar w:fldCharType="begin"/>
        </w:r>
        <w:r>
          <w:rPr>
            <w:noProof/>
            <w:webHidden/>
          </w:rPr>
          <w:instrText xml:space="preserve"> PAGEREF _Toc240883561 \h </w:instrText>
        </w:r>
        <w:r>
          <w:rPr>
            <w:noProof/>
            <w:webHidden/>
          </w:rPr>
        </w:r>
        <w:r>
          <w:rPr>
            <w:noProof/>
            <w:webHidden/>
          </w:rPr>
          <w:fldChar w:fldCharType="separate"/>
        </w:r>
        <w:r w:rsidR="002B0AD6">
          <w:rPr>
            <w:noProof/>
            <w:webHidden/>
          </w:rPr>
          <w:t>29</w:t>
        </w:r>
        <w:r>
          <w:rPr>
            <w:noProof/>
            <w:webHidden/>
          </w:rPr>
          <w:fldChar w:fldCharType="end"/>
        </w:r>
      </w:hyperlink>
    </w:p>
    <w:p w14:paraId="0C9E2A56" w14:textId="4F6EBD37"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2" w:history="1">
        <w:r w:rsidRPr="00E566B4">
          <w:rPr>
            <w:rStyle w:val="Hyperlink"/>
            <w:noProof/>
          </w:rPr>
          <w:t>6.2.5</w:t>
        </w:r>
        <w:r>
          <w:rPr>
            <w:rFonts w:asciiTheme="minorHAnsi" w:eastAsiaTheme="minorEastAsia" w:hAnsiTheme="minorHAnsi"/>
            <w:noProof/>
            <w:kern w:val="2"/>
            <w:sz w:val="24"/>
            <w:szCs w:val="24"/>
            <w:lang w:eastAsia="en-AU"/>
            <w14:ligatures w14:val="standardContextual"/>
          </w:rPr>
          <w:tab/>
        </w:r>
        <w:r w:rsidRPr="00E566B4">
          <w:rPr>
            <w:rStyle w:val="Hyperlink"/>
            <w:noProof/>
          </w:rPr>
          <w:t>While flexible funding helped grant recipients tailor services, the two-year funding model had limited pathways to long-term funding</w:t>
        </w:r>
        <w:r>
          <w:rPr>
            <w:noProof/>
            <w:webHidden/>
          </w:rPr>
          <w:tab/>
        </w:r>
        <w:r>
          <w:rPr>
            <w:noProof/>
            <w:webHidden/>
          </w:rPr>
          <w:fldChar w:fldCharType="begin"/>
        </w:r>
        <w:r>
          <w:rPr>
            <w:noProof/>
            <w:webHidden/>
          </w:rPr>
          <w:instrText xml:space="preserve"> PAGEREF _Toc240883562 \h </w:instrText>
        </w:r>
        <w:r>
          <w:rPr>
            <w:noProof/>
            <w:webHidden/>
          </w:rPr>
        </w:r>
        <w:r>
          <w:rPr>
            <w:noProof/>
            <w:webHidden/>
          </w:rPr>
          <w:fldChar w:fldCharType="separate"/>
        </w:r>
        <w:r w:rsidR="002B0AD6">
          <w:rPr>
            <w:noProof/>
            <w:webHidden/>
          </w:rPr>
          <w:t>31</w:t>
        </w:r>
        <w:r>
          <w:rPr>
            <w:noProof/>
            <w:webHidden/>
          </w:rPr>
          <w:fldChar w:fldCharType="end"/>
        </w:r>
      </w:hyperlink>
    </w:p>
    <w:p w14:paraId="2ACACC48" w14:textId="35749D79"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63" w:history="1">
        <w:r w:rsidRPr="00E566B4">
          <w:rPr>
            <w:rStyle w:val="Hyperlink"/>
            <w:noProof/>
          </w:rPr>
          <w:t>6.3</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Effectiveness and impact</w:t>
        </w:r>
        <w:r>
          <w:rPr>
            <w:noProof/>
            <w:webHidden/>
          </w:rPr>
          <w:tab/>
        </w:r>
        <w:r>
          <w:rPr>
            <w:noProof/>
            <w:webHidden/>
          </w:rPr>
          <w:fldChar w:fldCharType="begin"/>
        </w:r>
        <w:r>
          <w:rPr>
            <w:noProof/>
            <w:webHidden/>
          </w:rPr>
          <w:instrText xml:space="preserve"> PAGEREF _Toc240883563 \h </w:instrText>
        </w:r>
        <w:r>
          <w:rPr>
            <w:noProof/>
            <w:webHidden/>
          </w:rPr>
        </w:r>
        <w:r>
          <w:rPr>
            <w:noProof/>
            <w:webHidden/>
          </w:rPr>
          <w:fldChar w:fldCharType="separate"/>
        </w:r>
        <w:r w:rsidR="002B0AD6">
          <w:rPr>
            <w:noProof/>
            <w:webHidden/>
          </w:rPr>
          <w:t>33</w:t>
        </w:r>
        <w:r>
          <w:rPr>
            <w:noProof/>
            <w:webHidden/>
          </w:rPr>
          <w:fldChar w:fldCharType="end"/>
        </w:r>
      </w:hyperlink>
    </w:p>
    <w:p w14:paraId="410BB1FC" w14:textId="7F755E7A"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4" w:history="1">
        <w:r w:rsidRPr="00E566B4">
          <w:rPr>
            <w:rStyle w:val="Hyperlink"/>
            <w:noProof/>
          </w:rPr>
          <w:t>6.3.1</w:t>
        </w:r>
        <w:r>
          <w:rPr>
            <w:rFonts w:asciiTheme="minorHAnsi" w:eastAsiaTheme="minorEastAsia" w:hAnsiTheme="minorHAnsi"/>
            <w:noProof/>
            <w:kern w:val="2"/>
            <w:sz w:val="24"/>
            <w:szCs w:val="24"/>
            <w:lang w:eastAsia="en-AU"/>
            <w14:ligatures w14:val="standardContextual"/>
          </w:rPr>
          <w:tab/>
        </w:r>
        <w:r w:rsidRPr="00E566B4">
          <w:rPr>
            <w:rStyle w:val="Hyperlink"/>
            <w:noProof/>
          </w:rPr>
          <w:t>Key findings effectiveness and impact</w:t>
        </w:r>
        <w:r>
          <w:rPr>
            <w:noProof/>
            <w:webHidden/>
          </w:rPr>
          <w:tab/>
        </w:r>
        <w:r>
          <w:rPr>
            <w:noProof/>
            <w:webHidden/>
          </w:rPr>
          <w:fldChar w:fldCharType="begin"/>
        </w:r>
        <w:r>
          <w:rPr>
            <w:noProof/>
            <w:webHidden/>
          </w:rPr>
          <w:instrText xml:space="preserve"> PAGEREF _Toc240883564 \h </w:instrText>
        </w:r>
        <w:r>
          <w:rPr>
            <w:noProof/>
            <w:webHidden/>
          </w:rPr>
        </w:r>
        <w:r>
          <w:rPr>
            <w:noProof/>
            <w:webHidden/>
          </w:rPr>
          <w:fldChar w:fldCharType="separate"/>
        </w:r>
        <w:r w:rsidR="002B0AD6">
          <w:rPr>
            <w:noProof/>
            <w:webHidden/>
          </w:rPr>
          <w:t>33</w:t>
        </w:r>
        <w:r>
          <w:rPr>
            <w:noProof/>
            <w:webHidden/>
          </w:rPr>
          <w:fldChar w:fldCharType="end"/>
        </w:r>
      </w:hyperlink>
    </w:p>
    <w:p w14:paraId="78B7E37D" w14:textId="24C8E95D"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5" w:history="1">
        <w:r w:rsidRPr="00E566B4">
          <w:rPr>
            <w:rStyle w:val="Hyperlink"/>
            <w:noProof/>
          </w:rPr>
          <w:t>6.3.2</w:t>
        </w:r>
        <w:r>
          <w:rPr>
            <w:rFonts w:asciiTheme="minorHAnsi" w:eastAsiaTheme="minorEastAsia" w:hAnsiTheme="minorHAnsi"/>
            <w:noProof/>
            <w:kern w:val="2"/>
            <w:sz w:val="24"/>
            <w:szCs w:val="24"/>
            <w:lang w:eastAsia="en-AU"/>
            <w14:ligatures w14:val="standardContextual"/>
          </w:rPr>
          <w:tab/>
        </w:r>
        <w:r w:rsidRPr="00E566B4">
          <w:rPr>
            <w:rStyle w:val="Hyperlink"/>
            <w:noProof/>
          </w:rPr>
          <w:t>Projects funded through SARC – IC saw improvements in the social and economic participation of most of their participants (pre/post)</w:t>
        </w:r>
        <w:r>
          <w:rPr>
            <w:noProof/>
            <w:webHidden/>
          </w:rPr>
          <w:tab/>
        </w:r>
        <w:r>
          <w:rPr>
            <w:noProof/>
            <w:webHidden/>
          </w:rPr>
          <w:fldChar w:fldCharType="begin"/>
        </w:r>
        <w:r>
          <w:rPr>
            <w:noProof/>
            <w:webHidden/>
          </w:rPr>
          <w:instrText xml:space="preserve"> PAGEREF _Toc240883565 \h </w:instrText>
        </w:r>
        <w:r>
          <w:rPr>
            <w:noProof/>
            <w:webHidden/>
          </w:rPr>
        </w:r>
        <w:r>
          <w:rPr>
            <w:noProof/>
            <w:webHidden/>
          </w:rPr>
          <w:fldChar w:fldCharType="separate"/>
        </w:r>
        <w:r w:rsidR="002B0AD6">
          <w:rPr>
            <w:noProof/>
            <w:webHidden/>
          </w:rPr>
          <w:t>33</w:t>
        </w:r>
        <w:r>
          <w:rPr>
            <w:noProof/>
            <w:webHidden/>
          </w:rPr>
          <w:fldChar w:fldCharType="end"/>
        </w:r>
      </w:hyperlink>
    </w:p>
    <w:p w14:paraId="419F3589" w14:textId="0C72B684"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6" w:history="1">
        <w:r w:rsidRPr="00E566B4">
          <w:rPr>
            <w:rStyle w:val="Hyperlink"/>
            <w:noProof/>
          </w:rPr>
          <w:t>6.3.3</w:t>
        </w:r>
        <w:r>
          <w:rPr>
            <w:rFonts w:asciiTheme="minorHAnsi" w:eastAsiaTheme="minorEastAsia" w:hAnsiTheme="minorHAnsi"/>
            <w:noProof/>
            <w:kern w:val="2"/>
            <w:sz w:val="24"/>
            <w:szCs w:val="24"/>
            <w:lang w:eastAsia="en-AU"/>
            <w14:ligatures w14:val="standardContextual"/>
          </w:rPr>
          <w:tab/>
        </w:r>
        <w:r w:rsidRPr="00E566B4">
          <w:rPr>
            <w:rStyle w:val="Hyperlink"/>
            <w:noProof/>
          </w:rPr>
          <w:t>Building community helped to increase social and economic engagement</w:t>
        </w:r>
        <w:r>
          <w:rPr>
            <w:noProof/>
            <w:webHidden/>
          </w:rPr>
          <w:tab/>
        </w:r>
        <w:r>
          <w:rPr>
            <w:noProof/>
            <w:webHidden/>
          </w:rPr>
          <w:fldChar w:fldCharType="begin"/>
        </w:r>
        <w:r>
          <w:rPr>
            <w:noProof/>
            <w:webHidden/>
          </w:rPr>
          <w:instrText xml:space="preserve"> PAGEREF _Toc240883566 \h </w:instrText>
        </w:r>
        <w:r>
          <w:rPr>
            <w:noProof/>
            <w:webHidden/>
          </w:rPr>
        </w:r>
        <w:r>
          <w:rPr>
            <w:noProof/>
            <w:webHidden/>
          </w:rPr>
          <w:fldChar w:fldCharType="separate"/>
        </w:r>
        <w:r w:rsidR="002B0AD6">
          <w:rPr>
            <w:noProof/>
            <w:webHidden/>
          </w:rPr>
          <w:t>41</w:t>
        </w:r>
        <w:r>
          <w:rPr>
            <w:noProof/>
            <w:webHidden/>
          </w:rPr>
          <w:fldChar w:fldCharType="end"/>
        </w:r>
      </w:hyperlink>
    </w:p>
    <w:p w14:paraId="13D59DD1" w14:textId="427A4B31"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7" w:history="1">
        <w:r w:rsidRPr="00E566B4">
          <w:rPr>
            <w:rStyle w:val="Hyperlink"/>
            <w:noProof/>
          </w:rPr>
          <w:t>6.3.4</w:t>
        </w:r>
        <w:r>
          <w:rPr>
            <w:rFonts w:asciiTheme="minorHAnsi" w:eastAsiaTheme="minorEastAsia" w:hAnsiTheme="minorHAnsi"/>
            <w:noProof/>
            <w:kern w:val="2"/>
            <w:sz w:val="24"/>
            <w:szCs w:val="24"/>
            <w:lang w:eastAsia="en-AU"/>
            <w14:ligatures w14:val="standardContextual"/>
          </w:rPr>
          <w:tab/>
        </w:r>
        <w:r w:rsidRPr="00E566B4">
          <w:rPr>
            <w:rStyle w:val="Hyperlink"/>
            <w:noProof/>
          </w:rPr>
          <w:t>Sustainability of outcomes</w:t>
        </w:r>
        <w:r>
          <w:rPr>
            <w:noProof/>
            <w:webHidden/>
          </w:rPr>
          <w:tab/>
        </w:r>
        <w:r>
          <w:rPr>
            <w:noProof/>
            <w:webHidden/>
          </w:rPr>
          <w:fldChar w:fldCharType="begin"/>
        </w:r>
        <w:r>
          <w:rPr>
            <w:noProof/>
            <w:webHidden/>
          </w:rPr>
          <w:instrText xml:space="preserve"> PAGEREF _Toc240883567 \h </w:instrText>
        </w:r>
        <w:r>
          <w:rPr>
            <w:noProof/>
            <w:webHidden/>
          </w:rPr>
        </w:r>
        <w:r>
          <w:rPr>
            <w:noProof/>
            <w:webHidden/>
          </w:rPr>
          <w:fldChar w:fldCharType="separate"/>
        </w:r>
        <w:r w:rsidR="002B0AD6">
          <w:rPr>
            <w:noProof/>
            <w:webHidden/>
          </w:rPr>
          <w:t>43</w:t>
        </w:r>
        <w:r>
          <w:rPr>
            <w:noProof/>
            <w:webHidden/>
          </w:rPr>
          <w:fldChar w:fldCharType="end"/>
        </w:r>
      </w:hyperlink>
    </w:p>
    <w:p w14:paraId="051414A0" w14:textId="3C31C920"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68" w:history="1">
        <w:r w:rsidRPr="00E566B4">
          <w:rPr>
            <w:rStyle w:val="Hyperlink"/>
            <w:noProof/>
          </w:rPr>
          <w:t>6.4</w:t>
        </w:r>
        <w:r>
          <w:rPr>
            <w:rFonts w:asciiTheme="minorHAnsi" w:eastAsiaTheme="minorEastAsia" w:hAnsiTheme="minorHAnsi"/>
            <w:noProof/>
            <w:kern w:val="2"/>
            <w:sz w:val="24"/>
            <w:szCs w:val="24"/>
            <w:lang w:val="en-AU" w:eastAsia="en-AU"/>
            <w14:ligatures w14:val="standardContextual"/>
          </w:rPr>
          <w:tab/>
        </w:r>
        <w:r w:rsidRPr="00E566B4">
          <w:rPr>
            <w:rStyle w:val="Hyperlink"/>
            <w:noProof/>
          </w:rPr>
          <w:t>Cost-effectiveness and cost-efficiency</w:t>
        </w:r>
        <w:r>
          <w:rPr>
            <w:noProof/>
            <w:webHidden/>
          </w:rPr>
          <w:tab/>
        </w:r>
        <w:r>
          <w:rPr>
            <w:noProof/>
            <w:webHidden/>
          </w:rPr>
          <w:fldChar w:fldCharType="begin"/>
        </w:r>
        <w:r>
          <w:rPr>
            <w:noProof/>
            <w:webHidden/>
          </w:rPr>
          <w:instrText xml:space="preserve"> PAGEREF _Toc240883568 \h </w:instrText>
        </w:r>
        <w:r>
          <w:rPr>
            <w:noProof/>
            <w:webHidden/>
          </w:rPr>
        </w:r>
        <w:r>
          <w:rPr>
            <w:noProof/>
            <w:webHidden/>
          </w:rPr>
          <w:fldChar w:fldCharType="separate"/>
        </w:r>
        <w:r w:rsidR="002B0AD6">
          <w:rPr>
            <w:noProof/>
            <w:webHidden/>
          </w:rPr>
          <w:t>45</w:t>
        </w:r>
        <w:r>
          <w:rPr>
            <w:noProof/>
            <w:webHidden/>
          </w:rPr>
          <w:fldChar w:fldCharType="end"/>
        </w:r>
      </w:hyperlink>
    </w:p>
    <w:p w14:paraId="6E67EC5A" w14:textId="3F641D03" w:rsidR="00C86E6B" w:rsidRDefault="00C86E6B">
      <w:pPr>
        <w:pStyle w:val="TOC3"/>
        <w:tabs>
          <w:tab w:val="left" w:pos="1140"/>
        </w:tabs>
        <w:rPr>
          <w:rFonts w:asciiTheme="minorHAnsi" w:eastAsiaTheme="minorEastAsia" w:hAnsiTheme="minorHAnsi"/>
          <w:noProof/>
          <w:kern w:val="2"/>
          <w:sz w:val="24"/>
          <w:szCs w:val="24"/>
          <w:lang w:eastAsia="en-AU"/>
          <w14:ligatures w14:val="standardContextual"/>
        </w:rPr>
      </w:pPr>
      <w:hyperlink w:anchor="_Toc240883569" w:history="1">
        <w:r w:rsidRPr="00E566B4">
          <w:rPr>
            <w:rStyle w:val="Hyperlink"/>
            <w:noProof/>
          </w:rPr>
          <w:t>6.4.1</w:t>
        </w:r>
        <w:r>
          <w:rPr>
            <w:rFonts w:asciiTheme="minorHAnsi" w:eastAsiaTheme="minorEastAsia" w:hAnsiTheme="minorHAnsi"/>
            <w:noProof/>
            <w:kern w:val="2"/>
            <w:sz w:val="24"/>
            <w:szCs w:val="24"/>
            <w:lang w:eastAsia="en-AU"/>
            <w14:ligatures w14:val="standardContextual"/>
          </w:rPr>
          <w:tab/>
        </w:r>
        <w:r w:rsidRPr="00E566B4">
          <w:rPr>
            <w:rStyle w:val="Hyperlink"/>
            <w:noProof/>
          </w:rPr>
          <w:t>The SARC – IC Activity is relatively cost efficient at delivering services through a broad range of providers and to a broad range of participants</w:t>
        </w:r>
        <w:r>
          <w:rPr>
            <w:noProof/>
            <w:webHidden/>
          </w:rPr>
          <w:tab/>
        </w:r>
        <w:r>
          <w:rPr>
            <w:noProof/>
            <w:webHidden/>
          </w:rPr>
          <w:fldChar w:fldCharType="begin"/>
        </w:r>
        <w:r>
          <w:rPr>
            <w:noProof/>
            <w:webHidden/>
          </w:rPr>
          <w:instrText xml:space="preserve"> PAGEREF _Toc240883569 \h </w:instrText>
        </w:r>
        <w:r>
          <w:rPr>
            <w:noProof/>
            <w:webHidden/>
          </w:rPr>
        </w:r>
        <w:r>
          <w:rPr>
            <w:noProof/>
            <w:webHidden/>
          </w:rPr>
          <w:fldChar w:fldCharType="separate"/>
        </w:r>
        <w:r w:rsidR="002B0AD6">
          <w:rPr>
            <w:noProof/>
            <w:webHidden/>
          </w:rPr>
          <w:t>45</w:t>
        </w:r>
        <w:r>
          <w:rPr>
            <w:noProof/>
            <w:webHidden/>
          </w:rPr>
          <w:fldChar w:fldCharType="end"/>
        </w:r>
      </w:hyperlink>
    </w:p>
    <w:p w14:paraId="23E33BAC" w14:textId="0B3DE1EA"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70" w:history="1">
        <w:r w:rsidRPr="00E566B4">
          <w:rPr>
            <w:rStyle w:val="Hyperlink"/>
          </w:rPr>
          <w:t>7</w:t>
        </w:r>
        <w:r>
          <w:rPr>
            <w:rFonts w:asciiTheme="minorHAnsi" w:eastAsiaTheme="minorEastAsia" w:hAnsiTheme="minorHAnsi"/>
            <w:kern w:val="2"/>
            <w:sz w:val="24"/>
            <w:szCs w:val="24"/>
            <w:lang w:val="en-AU" w:eastAsia="en-AU"/>
            <w14:ligatures w14:val="standardContextual"/>
          </w:rPr>
          <w:tab/>
        </w:r>
        <w:r w:rsidRPr="00E566B4">
          <w:rPr>
            <w:rStyle w:val="Hyperlink"/>
          </w:rPr>
          <w:t>Recommendations</w:t>
        </w:r>
        <w:r>
          <w:rPr>
            <w:webHidden/>
          </w:rPr>
          <w:tab/>
        </w:r>
        <w:r>
          <w:rPr>
            <w:webHidden/>
          </w:rPr>
          <w:fldChar w:fldCharType="begin"/>
        </w:r>
        <w:r>
          <w:rPr>
            <w:webHidden/>
          </w:rPr>
          <w:instrText xml:space="preserve"> PAGEREF _Toc240883570 \h </w:instrText>
        </w:r>
        <w:r>
          <w:rPr>
            <w:webHidden/>
          </w:rPr>
        </w:r>
        <w:r>
          <w:rPr>
            <w:webHidden/>
          </w:rPr>
          <w:fldChar w:fldCharType="separate"/>
        </w:r>
        <w:r w:rsidR="002B0AD6">
          <w:rPr>
            <w:webHidden/>
          </w:rPr>
          <w:t>49</w:t>
        </w:r>
        <w:r>
          <w:rPr>
            <w:webHidden/>
          </w:rPr>
          <w:fldChar w:fldCharType="end"/>
        </w:r>
      </w:hyperlink>
    </w:p>
    <w:p w14:paraId="5F74FC71" w14:textId="24B16A70"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71" w:history="1">
        <w:r w:rsidRPr="00E566B4">
          <w:rPr>
            <w:rStyle w:val="Hyperlink"/>
          </w:rPr>
          <w:t>Appendix A – Program logic</w:t>
        </w:r>
        <w:r>
          <w:rPr>
            <w:webHidden/>
          </w:rPr>
          <w:tab/>
        </w:r>
        <w:r>
          <w:rPr>
            <w:webHidden/>
          </w:rPr>
          <w:fldChar w:fldCharType="begin"/>
        </w:r>
        <w:r>
          <w:rPr>
            <w:webHidden/>
          </w:rPr>
          <w:instrText xml:space="preserve"> PAGEREF _Toc240883571 \h </w:instrText>
        </w:r>
        <w:r>
          <w:rPr>
            <w:webHidden/>
          </w:rPr>
        </w:r>
        <w:r>
          <w:rPr>
            <w:webHidden/>
          </w:rPr>
          <w:fldChar w:fldCharType="separate"/>
        </w:r>
        <w:r w:rsidR="002B0AD6">
          <w:rPr>
            <w:webHidden/>
          </w:rPr>
          <w:t>52</w:t>
        </w:r>
        <w:r>
          <w:rPr>
            <w:webHidden/>
          </w:rPr>
          <w:fldChar w:fldCharType="end"/>
        </w:r>
      </w:hyperlink>
    </w:p>
    <w:p w14:paraId="2605556B" w14:textId="55C1F307"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72" w:history="1">
        <w:r w:rsidRPr="00E566B4">
          <w:rPr>
            <w:rStyle w:val="Hyperlink"/>
          </w:rPr>
          <w:t>Appendix B – KEQs and sub-KEQs</w:t>
        </w:r>
        <w:r>
          <w:rPr>
            <w:webHidden/>
          </w:rPr>
          <w:tab/>
        </w:r>
        <w:r>
          <w:rPr>
            <w:webHidden/>
          </w:rPr>
          <w:fldChar w:fldCharType="begin"/>
        </w:r>
        <w:r>
          <w:rPr>
            <w:webHidden/>
          </w:rPr>
          <w:instrText xml:space="preserve"> PAGEREF _Toc240883572 \h </w:instrText>
        </w:r>
        <w:r>
          <w:rPr>
            <w:webHidden/>
          </w:rPr>
        </w:r>
        <w:r>
          <w:rPr>
            <w:webHidden/>
          </w:rPr>
          <w:fldChar w:fldCharType="separate"/>
        </w:r>
        <w:r w:rsidR="002B0AD6">
          <w:rPr>
            <w:webHidden/>
          </w:rPr>
          <w:t>53</w:t>
        </w:r>
        <w:r>
          <w:rPr>
            <w:webHidden/>
          </w:rPr>
          <w:fldChar w:fldCharType="end"/>
        </w:r>
      </w:hyperlink>
    </w:p>
    <w:p w14:paraId="35AA9F98" w14:textId="7BDF039E"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73" w:history="1">
        <w:r w:rsidRPr="00E566B4">
          <w:rPr>
            <w:rStyle w:val="Hyperlink"/>
          </w:rPr>
          <w:t>Appendix C – Detailed evaluation methodology</w:t>
        </w:r>
        <w:r>
          <w:rPr>
            <w:webHidden/>
          </w:rPr>
          <w:tab/>
        </w:r>
        <w:r>
          <w:rPr>
            <w:webHidden/>
          </w:rPr>
          <w:fldChar w:fldCharType="begin"/>
        </w:r>
        <w:r>
          <w:rPr>
            <w:webHidden/>
          </w:rPr>
          <w:instrText xml:space="preserve"> PAGEREF _Toc240883573 \h </w:instrText>
        </w:r>
        <w:r>
          <w:rPr>
            <w:webHidden/>
          </w:rPr>
        </w:r>
        <w:r>
          <w:rPr>
            <w:webHidden/>
          </w:rPr>
          <w:fldChar w:fldCharType="separate"/>
        </w:r>
        <w:r w:rsidR="002B0AD6">
          <w:rPr>
            <w:webHidden/>
          </w:rPr>
          <w:t>54</w:t>
        </w:r>
        <w:r>
          <w:rPr>
            <w:webHidden/>
          </w:rPr>
          <w:fldChar w:fldCharType="end"/>
        </w:r>
      </w:hyperlink>
    </w:p>
    <w:p w14:paraId="6DB96D1F" w14:textId="67F57B77"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74" w:history="1">
        <w:r w:rsidRPr="00E566B4">
          <w:rPr>
            <w:rStyle w:val="Hyperlink"/>
            <w:noProof/>
          </w:rPr>
          <w:t>C.1 A variety of evidence informed the final report</w:t>
        </w:r>
        <w:r>
          <w:rPr>
            <w:noProof/>
            <w:webHidden/>
          </w:rPr>
          <w:tab/>
        </w:r>
        <w:r>
          <w:rPr>
            <w:noProof/>
            <w:webHidden/>
          </w:rPr>
          <w:fldChar w:fldCharType="begin"/>
        </w:r>
        <w:r>
          <w:rPr>
            <w:noProof/>
            <w:webHidden/>
          </w:rPr>
          <w:instrText xml:space="preserve"> PAGEREF _Toc240883574 \h </w:instrText>
        </w:r>
        <w:r>
          <w:rPr>
            <w:noProof/>
            <w:webHidden/>
          </w:rPr>
        </w:r>
        <w:r>
          <w:rPr>
            <w:noProof/>
            <w:webHidden/>
          </w:rPr>
          <w:fldChar w:fldCharType="separate"/>
        </w:r>
        <w:r w:rsidR="002B0AD6">
          <w:rPr>
            <w:noProof/>
            <w:webHidden/>
          </w:rPr>
          <w:t>54</w:t>
        </w:r>
        <w:r>
          <w:rPr>
            <w:noProof/>
            <w:webHidden/>
          </w:rPr>
          <w:fldChar w:fldCharType="end"/>
        </w:r>
      </w:hyperlink>
    </w:p>
    <w:p w14:paraId="7D9C3578" w14:textId="533DD6A7" w:rsidR="00C86E6B" w:rsidRDefault="00C86E6B">
      <w:pPr>
        <w:pStyle w:val="TOC3"/>
        <w:rPr>
          <w:rFonts w:asciiTheme="minorHAnsi" w:eastAsiaTheme="minorEastAsia" w:hAnsiTheme="minorHAnsi"/>
          <w:noProof/>
          <w:kern w:val="2"/>
          <w:sz w:val="24"/>
          <w:szCs w:val="24"/>
          <w:lang w:eastAsia="en-AU"/>
          <w14:ligatures w14:val="standardContextual"/>
        </w:rPr>
      </w:pPr>
      <w:hyperlink w:anchor="_Toc240883575" w:history="1">
        <w:r w:rsidRPr="00E566B4">
          <w:rPr>
            <w:rStyle w:val="Hyperlink"/>
            <w:noProof/>
          </w:rPr>
          <w:t>C.1.1 Stakeholder engagement</w:t>
        </w:r>
        <w:r>
          <w:rPr>
            <w:noProof/>
            <w:webHidden/>
          </w:rPr>
          <w:tab/>
        </w:r>
        <w:r>
          <w:rPr>
            <w:noProof/>
            <w:webHidden/>
          </w:rPr>
          <w:fldChar w:fldCharType="begin"/>
        </w:r>
        <w:r>
          <w:rPr>
            <w:noProof/>
            <w:webHidden/>
          </w:rPr>
          <w:instrText xml:space="preserve"> PAGEREF _Toc240883575 \h </w:instrText>
        </w:r>
        <w:r>
          <w:rPr>
            <w:noProof/>
            <w:webHidden/>
          </w:rPr>
        </w:r>
        <w:r>
          <w:rPr>
            <w:noProof/>
            <w:webHidden/>
          </w:rPr>
          <w:fldChar w:fldCharType="separate"/>
        </w:r>
        <w:r w:rsidR="002B0AD6">
          <w:rPr>
            <w:noProof/>
            <w:webHidden/>
          </w:rPr>
          <w:t>54</w:t>
        </w:r>
        <w:r>
          <w:rPr>
            <w:noProof/>
            <w:webHidden/>
          </w:rPr>
          <w:fldChar w:fldCharType="end"/>
        </w:r>
      </w:hyperlink>
    </w:p>
    <w:p w14:paraId="6CBC3C7E" w14:textId="4CBAB5F7" w:rsidR="00C86E6B" w:rsidRDefault="00C86E6B">
      <w:pPr>
        <w:pStyle w:val="TOC3"/>
        <w:rPr>
          <w:rFonts w:asciiTheme="minorHAnsi" w:eastAsiaTheme="minorEastAsia" w:hAnsiTheme="minorHAnsi"/>
          <w:noProof/>
          <w:kern w:val="2"/>
          <w:sz w:val="24"/>
          <w:szCs w:val="24"/>
          <w:lang w:eastAsia="en-AU"/>
          <w14:ligatures w14:val="standardContextual"/>
        </w:rPr>
      </w:pPr>
      <w:hyperlink w:anchor="_Toc240883576" w:history="1">
        <w:r w:rsidRPr="00E566B4">
          <w:rPr>
            <w:rStyle w:val="Hyperlink"/>
            <w:noProof/>
          </w:rPr>
          <w:t>C.1.2 Program documents and data</w:t>
        </w:r>
        <w:r>
          <w:rPr>
            <w:noProof/>
            <w:webHidden/>
          </w:rPr>
          <w:tab/>
        </w:r>
        <w:r>
          <w:rPr>
            <w:noProof/>
            <w:webHidden/>
          </w:rPr>
          <w:fldChar w:fldCharType="begin"/>
        </w:r>
        <w:r>
          <w:rPr>
            <w:noProof/>
            <w:webHidden/>
          </w:rPr>
          <w:instrText xml:space="preserve"> PAGEREF _Toc240883576 \h </w:instrText>
        </w:r>
        <w:r>
          <w:rPr>
            <w:noProof/>
            <w:webHidden/>
          </w:rPr>
        </w:r>
        <w:r>
          <w:rPr>
            <w:noProof/>
            <w:webHidden/>
          </w:rPr>
          <w:fldChar w:fldCharType="separate"/>
        </w:r>
        <w:r w:rsidR="002B0AD6">
          <w:rPr>
            <w:noProof/>
            <w:webHidden/>
          </w:rPr>
          <w:t>55</w:t>
        </w:r>
        <w:r>
          <w:rPr>
            <w:noProof/>
            <w:webHidden/>
          </w:rPr>
          <w:fldChar w:fldCharType="end"/>
        </w:r>
      </w:hyperlink>
    </w:p>
    <w:p w14:paraId="0C69B060" w14:textId="67546061" w:rsidR="00C86E6B" w:rsidRDefault="00C86E6B">
      <w:pPr>
        <w:pStyle w:val="TOC3"/>
        <w:rPr>
          <w:rFonts w:asciiTheme="minorHAnsi" w:eastAsiaTheme="minorEastAsia" w:hAnsiTheme="minorHAnsi"/>
          <w:noProof/>
          <w:kern w:val="2"/>
          <w:sz w:val="24"/>
          <w:szCs w:val="24"/>
          <w:lang w:eastAsia="en-AU"/>
          <w14:ligatures w14:val="standardContextual"/>
        </w:rPr>
      </w:pPr>
      <w:hyperlink w:anchor="_Toc240883577" w:history="1">
        <w:r w:rsidRPr="00E566B4">
          <w:rPr>
            <w:rStyle w:val="Hyperlink"/>
            <w:noProof/>
          </w:rPr>
          <w:t>C.1.3 Literature and grey literature</w:t>
        </w:r>
        <w:r>
          <w:rPr>
            <w:noProof/>
            <w:webHidden/>
          </w:rPr>
          <w:tab/>
        </w:r>
        <w:r>
          <w:rPr>
            <w:noProof/>
            <w:webHidden/>
          </w:rPr>
          <w:fldChar w:fldCharType="begin"/>
        </w:r>
        <w:r>
          <w:rPr>
            <w:noProof/>
            <w:webHidden/>
          </w:rPr>
          <w:instrText xml:space="preserve"> PAGEREF _Toc240883577 \h </w:instrText>
        </w:r>
        <w:r>
          <w:rPr>
            <w:noProof/>
            <w:webHidden/>
          </w:rPr>
        </w:r>
        <w:r>
          <w:rPr>
            <w:noProof/>
            <w:webHidden/>
          </w:rPr>
          <w:fldChar w:fldCharType="separate"/>
        </w:r>
        <w:r w:rsidR="002B0AD6">
          <w:rPr>
            <w:noProof/>
            <w:webHidden/>
          </w:rPr>
          <w:t>55</w:t>
        </w:r>
        <w:r>
          <w:rPr>
            <w:noProof/>
            <w:webHidden/>
          </w:rPr>
          <w:fldChar w:fldCharType="end"/>
        </w:r>
      </w:hyperlink>
    </w:p>
    <w:p w14:paraId="4DA01D6E" w14:textId="47FF8C3F" w:rsidR="00C86E6B" w:rsidRDefault="00C86E6B">
      <w:pPr>
        <w:pStyle w:val="TOC2"/>
        <w:rPr>
          <w:rFonts w:asciiTheme="minorHAnsi" w:eastAsiaTheme="minorEastAsia" w:hAnsiTheme="minorHAnsi"/>
          <w:noProof/>
          <w:kern w:val="2"/>
          <w:sz w:val="24"/>
          <w:szCs w:val="24"/>
          <w:lang w:val="en-AU" w:eastAsia="en-AU"/>
          <w14:ligatures w14:val="standardContextual"/>
        </w:rPr>
      </w:pPr>
      <w:hyperlink w:anchor="_Toc240883578" w:history="1">
        <w:r w:rsidRPr="00E566B4">
          <w:rPr>
            <w:rStyle w:val="Hyperlink"/>
            <w:noProof/>
          </w:rPr>
          <w:t>C.2 Data analysis methods</w:t>
        </w:r>
        <w:r>
          <w:rPr>
            <w:noProof/>
            <w:webHidden/>
          </w:rPr>
          <w:tab/>
        </w:r>
        <w:r>
          <w:rPr>
            <w:noProof/>
            <w:webHidden/>
          </w:rPr>
          <w:fldChar w:fldCharType="begin"/>
        </w:r>
        <w:r>
          <w:rPr>
            <w:noProof/>
            <w:webHidden/>
          </w:rPr>
          <w:instrText xml:space="preserve"> PAGEREF _Toc240883578 \h </w:instrText>
        </w:r>
        <w:r>
          <w:rPr>
            <w:noProof/>
            <w:webHidden/>
          </w:rPr>
        </w:r>
        <w:r>
          <w:rPr>
            <w:noProof/>
            <w:webHidden/>
          </w:rPr>
          <w:fldChar w:fldCharType="separate"/>
        </w:r>
        <w:r w:rsidR="002B0AD6">
          <w:rPr>
            <w:noProof/>
            <w:webHidden/>
          </w:rPr>
          <w:t>56</w:t>
        </w:r>
        <w:r>
          <w:rPr>
            <w:noProof/>
            <w:webHidden/>
          </w:rPr>
          <w:fldChar w:fldCharType="end"/>
        </w:r>
      </w:hyperlink>
    </w:p>
    <w:p w14:paraId="1295D48A" w14:textId="67DDA16F" w:rsidR="00C86E6B" w:rsidRDefault="00C86E6B">
      <w:pPr>
        <w:pStyle w:val="TOC3"/>
        <w:rPr>
          <w:rFonts w:asciiTheme="minorHAnsi" w:eastAsiaTheme="minorEastAsia" w:hAnsiTheme="minorHAnsi"/>
          <w:noProof/>
          <w:kern w:val="2"/>
          <w:sz w:val="24"/>
          <w:szCs w:val="24"/>
          <w:lang w:eastAsia="en-AU"/>
          <w14:ligatures w14:val="standardContextual"/>
        </w:rPr>
      </w:pPr>
      <w:hyperlink w:anchor="_Toc240883579" w:history="1">
        <w:r w:rsidRPr="00E566B4">
          <w:rPr>
            <w:rStyle w:val="Hyperlink"/>
            <w:noProof/>
          </w:rPr>
          <w:t>C.2.1 Quantitative data analysis methods</w:t>
        </w:r>
        <w:r>
          <w:rPr>
            <w:noProof/>
            <w:webHidden/>
          </w:rPr>
          <w:tab/>
        </w:r>
        <w:r>
          <w:rPr>
            <w:noProof/>
            <w:webHidden/>
          </w:rPr>
          <w:fldChar w:fldCharType="begin"/>
        </w:r>
        <w:r>
          <w:rPr>
            <w:noProof/>
            <w:webHidden/>
          </w:rPr>
          <w:instrText xml:space="preserve"> PAGEREF _Toc240883579 \h </w:instrText>
        </w:r>
        <w:r>
          <w:rPr>
            <w:noProof/>
            <w:webHidden/>
          </w:rPr>
        </w:r>
        <w:r>
          <w:rPr>
            <w:noProof/>
            <w:webHidden/>
          </w:rPr>
          <w:fldChar w:fldCharType="separate"/>
        </w:r>
        <w:r w:rsidR="002B0AD6">
          <w:rPr>
            <w:noProof/>
            <w:webHidden/>
          </w:rPr>
          <w:t>56</w:t>
        </w:r>
        <w:r>
          <w:rPr>
            <w:noProof/>
            <w:webHidden/>
          </w:rPr>
          <w:fldChar w:fldCharType="end"/>
        </w:r>
      </w:hyperlink>
    </w:p>
    <w:p w14:paraId="190761DD" w14:textId="5770D946" w:rsidR="00C86E6B" w:rsidRDefault="00C86E6B">
      <w:pPr>
        <w:pStyle w:val="TOC3"/>
        <w:rPr>
          <w:rFonts w:asciiTheme="minorHAnsi" w:eastAsiaTheme="minorEastAsia" w:hAnsiTheme="minorHAnsi"/>
          <w:noProof/>
          <w:kern w:val="2"/>
          <w:sz w:val="24"/>
          <w:szCs w:val="24"/>
          <w:lang w:eastAsia="en-AU"/>
          <w14:ligatures w14:val="standardContextual"/>
        </w:rPr>
      </w:pPr>
      <w:hyperlink w:anchor="_Toc240883580" w:history="1">
        <w:r w:rsidRPr="00E566B4">
          <w:rPr>
            <w:rStyle w:val="Hyperlink"/>
            <w:noProof/>
          </w:rPr>
          <w:t>C.2.2 Qualitative data analysis</w:t>
        </w:r>
        <w:r>
          <w:rPr>
            <w:noProof/>
            <w:webHidden/>
          </w:rPr>
          <w:tab/>
        </w:r>
        <w:r>
          <w:rPr>
            <w:noProof/>
            <w:webHidden/>
          </w:rPr>
          <w:fldChar w:fldCharType="begin"/>
        </w:r>
        <w:r>
          <w:rPr>
            <w:noProof/>
            <w:webHidden/>
          </w:rPr>
          <w:instrText xml:space="preserve"> PAGEREF _Toc240883580 \h </w:instrText>
        </w:r>
        <w:r>
          <w:rPr>
            <w:noProof/>
            <w:webHidden/>
          </w:rPr>
        </w:r>
        <w:r>
          <w:rPr>
            <w:noProof/>
            <w:webHidden/>
          </w:rPr>
          <w:fldChar w:fldCharType="separate"/>
        </w:r>
        <w:r w:rsidR="002B0AD6">
          <w:rPr>
            <w:noProof/>
            <w:webHidden/>
          </w:rPr>
          <w:t>58</w:t>
        </w:r>
        <w:r>
          <w:rPr>
            <w:noProof/>
            <w:webHidden/>
          </w:rPr>
          <w:fldChar w:fldCharType="end"/>
        </w:r>
      </w:hyperlink>
    </w:p>
    <w:p w14:paraId="4B4229CF" w14:textId="7959FDB3"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81" w:history="1">
        <w:r w:rsidRPr="00E566B4">
          <w:rPr>
            <w:rStyle w:val="Hyperlink"/>
          </w:rPr>
          <w:t>Appendix D – Potential areas of duplication between SARC – IC and other programs</w:t>
        </w:r>
        <w:r>
          <w:rPr>
            <w:webHidden/>
          </w:rPr>
          <w:tab/>
        </w:r>
        <w:r>
          <w:rPr>
            <w:webHidden/>
          </w:rPr>
          <w:fldChar w:fldCharType="begin"/>
        </w:r>
        <w:r>
          <w:rPr>
            <w:webHidden/>
          </w:rPr>
          <w:instrText xml:space="preserve"> PAGEREF _Toc240883581 \h </w:instrText>
        </w:r>
        <w:r>
          <w:rPr>
            <w:webHidden/>
          </w:rPr>
        </w:r>
        <w:r>
          <w:rPr>
            <w:webHidden/>
          </w:rPr>
          <w:fldChar w:fldCharType="separate"/>
        </w:r>
        <w:r w:rsidR="002B0AD6">
          <w:rPr>
            <w:webHidden/>
          </w:rPr>
          <w:t>59</w:t>
        </w:r>
        <w:r>
          <w:rPr>
            <w:webHidden/>
          </w:rPr>
          <w:fldChar w:fldCharType="end"/>
        </w:r>
      </w:hyperlink>
    </w:p>
    <w:p w14:paraId="444AD1D3" w14:textId="59A4B530"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82" w:history="1">
        <w:r w:rsidRPr="00E566B4">
          <w:rPr>
            <w:rStyle w:val="Hyperlink"/>
          </w:rPr>
          <w:t>Appendix E – Literature review findings</w:t>
        </w:r>
        <w:r>
          <w:rPr>
            <w:webHidden/>
          </w:rPr>
          <w:tab/>
        </w:r>
        <w:r>
          <w:rPr>
            <w:webHidden/>
          </w:rPr>
          <w:fldChar w:fldCharType="begin"/>
        </w:r>
        <w:r>
          <w:rPr>
            <w:webHidden/>
          </w:rPr>
          <w:instrText xml:space="preserve"> PAGEREF _Toc240883582 \h </w:instrText>
        </w:r>
        <w:r>
          <w:rPr>
            <w:webHidden/>
          </w:rPr>
        </w:r>
        <w:r>
          <w:rPr>
            <w:webHidden/>
          </w:rPr>
          <w:fldChar w:fldCharType="separate"/>
        </w:r>
        <w:r w:rsidR="002B0AD6">
          <w:rPr>
            <w:webHidden/>
          </w:rPr>
          <w:t>64</w:t>
        </w:r>
        <w:r>
          <w:rPr>
            <w:webHidden/>
          </w:rPr>
          <w:fldChar w:fldCharType="end"/>
        </w:r>
      </w:hyperlink>
    </w:p>
    <w:p w14:paraId="05606D83" w14:textId="5D37B38D" w:rsidR="00C86E6B" w:rsidRDefault="00C86E6B">
      <w:pPr>
        <w:pStyle w:val="TOC1"/>
        <w:rPr>
          <w:rFonts w:asciiTheme="minorHAnsi" w:eastAsiaTheme="minorEastAsia" w:hAnsiTheme="minorHAnsi"/>
          <w:kern w:val="2"/>
          <w:sz w:val="24"/>
          <w:szCs w:val="24"/>
          <w:lang w:val="en-AU" w:eastAsia="en-AU"/>
          <w14:ligatures w14:val="standardContextual"/>
        </w:rPr>
      </w:pPr>
      <w:hyperlink w:anchor="_Toc240883583" w:history="1">
        <w:r w:rsidRPr="00E566B4">
          <w:rPr>
            <w:rStyle w:val="Hyperlink"/>
          </w:rPr>
          <w:t>Appendix F – Literature on target cohorts</w:t>
        </w:r>
        <w:r>
          <w:rPr>
            <w:webHidden/>
          </w:rPr>
          <w:tab/>
        </w:r>
        <w:r>
          <w:rPr>
            <w:webHidden/>
          </w:rPr>
          <w:fldChar w:fldCharType="begin"/>
        </w:r>
        <w:r>
          <w:rPr>
            <w:webHidden/>
          </w:rPr>
          <w:instrText xml:space="preserve"> PAGEREF _Toc240883583 \h </w:instrText>
        </w:r>
        <w:r>
          <w:rPr>
            <w:webHidden/>
          </w:rPr>
        </w:r>
        <w:r>
          <w:rPr>
            <w:webHidden/>
          </w:rPr>
          <w:fldChar w:fldCharType="separate"/>
        </w:r>
        <w:r w:rsidR="002B0AD6">
          <w:rPr>
            <w:webHidden/>
          </w:rPr>
          <w:t>66</w:t>
        </w:r>
        <w:r>
          <w:rPr>
            <w:webHidden/>
          </w:rPr>
          <w:fldChar w:fldCharType="end"/>
        </w:r>
      </w:hyperlink>
    </w:p>
    <w:p w14:paraId="5F55F69B" w14:textId="76519552" w:rsidR="00C86E6B" w:rsidRDefault="00C86E6B">
      <w:pPr>
        <w:pStyle w:val="TOC1"/>
        <w:rPr>
          <w:rFonts w:asciiTheme="minorHAnsi" w:eastAsiaTheme="minorEastAsia" w:hAnsiTheme="minorHAnsi"/>
          <w:kern w:val="2"/>
          <w:sz w:val="24"/>
          <w:szCs w:val="24"/>
          <w:lang w:val="en-AU" w:eastAsia="en-AU"/>
          <w14:ligatures w14:val="standardContextual"/>
        </w:rPr>
      </w:pPr>
      <w:hyperlink w:anchor="_Appendix_G_–" w:history="1">
        <w:r w:rsidRPr="00E566B4">
          <w:rPr>
            <w:rStyle w:val="Hyperlink"/>
          </w:rPr>
          <w:t>Appendix G – Figure descriptions</w:t>
        </w:r>
        <w:r>
          <w:rPr>
            <w:webHidden/>
          </w:rPr>
          <w:tab/>
        </w:r>
        <w:r>
          <w:rPr>
            <w:webHidden/>
          </w:rPr>
          <w:fldChar w:fldCharType="begin"/>
        </w:r>
        <w:r>
          <w:rPr>
            <w:webHidden/>
          </w:rPr>
          <w:instrText xml:space="preserve"> PAGEREF _Toc240883584 \h </w:instrText>
        </w:r>
        <w:r>
          <w:rPr>
            <w:webHidden/>
          </w:rPr>
        </w:r>
        <w:r>
          <w:rPr>
            <w:webHidden/>
          </w:rPr>
          <w:fldChar w:fldCharType="separate"/>
        </w:r>
        <w:r w:rsidR="002B0AD6">
          <w:rPr>
            <w:webHidden/>
          </w:rPr>
          <w:t>69</w:t>
        </w:r>
        <w:r>
          <w:rPr>
            <w:webHidden/>
          </w:rPr>
          <w:fldChar w:fldCharType="end"/>
        </w:r>
      </w:hyperlink>
    </w:p>
    <w:p w14:paraId="2D865C4D" w14:textId="7FE2851A" w:rsidR="00347671" w:rsidRPr="001B6D21" w:rsidRDefault="008A4363" w:rsidP="000D5CE3">
      <w:pPr>
        <w:rPr>
          <w:lang w:eastAsia="en-AU"/>
        </w:rPr>
        <w:sectPr w:rsidR="00347671" w:rsidRPr="001B6D21" w:rsidSect="00C05A43">
          <w:pgSz w:w="11907" w:h="16839" w:code="9"/>
          <w:pgMar w:top="1361" w:right="1361" w:bottom="1361" w:left="1361" w:header="720" w:footer="720" w:gutter="0"/>
          <w:cols w:space="720"/>
          <w:docGrid w:linePitch="360"/>
        </w:sectPr>
      </w:pPr>
      <w:r w:rsidRPr="00BC308F">
        <w:rPr>
          <w:lang w:eastAsia="en-AU"/>
        </w:rPr>
        <w:fldChar w:fldCharType="end"/>
      </w:r>
    </w:p>
    <w:p w14:paraId="270B64B9" w14:textId="77777777" w:rsidR="00DF25A3" w:rsidRDefault="00F258DD" w:rsidP="00F258DD">
      <w:pPr>
        <w:pStyle w:val="Heading1"/>
      </w:pPr>
      <w:bookmarkStart w:id="0" w:name="_Toc240883537"/>
      <w:r>
        <w:lastRenderedPageBreak/>
        <w:t>G</w:t>
      </w:r>
      <w:r w:rsidR="00DF25A3">
        <w:t>lossary</w:t>
      </w:r>
      <w:bookmarkEnd w:id="0"/>
    </w:p>
    <w:tbl>
      <w:tblPr>
        <w:tblStyle w:val="NousTableStyletopandsideheading"/>
        <w:tblW w:w="0" w:type="auto"/>
        <w:tblLook w:val="04A0" w:firstRow="1" w:lastRow="0" w:firstColumn="1" w:lastColumn="0" w:noHBand="0" w:noVBand="1"/>
      </w:tblPr>
      <w:tblGrid>
        <w:gridCol w:w="2694"/>
        <w:gridCol w:w="6481"/>
      </w:tblGrid>
      <w:tr w:rsidR="00AE1391" w14:paraId="55822428" w14:textId="77777777" w:rsidTr="00E762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right w:val="nil"/>
            </w:tcBorders>
            <w:shd w:val="clear" w:color="auto" w:fill="00264D" w:themeFill="background2"/>
          </w:tcPr>
          <w:p w14:paraId="645FA557" w14:textId="757DA92E" w:rsidR="00DF25A3" w:rsidRPr="00585438" w:rsidRDefault="00B3582C" w:rsidP="00C7503D">
            <w:pPr>
              <w:pStyle w:val="TableNheader"/>
              <w:rPr>
                <w:color w:val="FFFFFF" w:themeColor="background1"/>
                <w:lang w:eastAsia="en-AU"/>
              </w:rPr>
            </w:pPr>
            <w:r w:rsidRPr="00585438">
              <w:rPr>
                <w:color w:val="FFFFFF" w:themeColor="background1"/>
                <w:lang w:eastAsia="en-AU"/>
              </w:rPr>
              <w:t>Term</w:t>
            </w:r>
          </w:p>
        </w:tc>
        <w:tc>
          <w:tcPr>
            <w:tcW w:w="6481" w:type="dxa"/>
            <w:tcBorders>
              <w:top w:val="nil"/>
              <w:left w:val="nil"/>
              <w:bottom w:val="nil"/>
            </w:tcBorders>
            <w:shd w:val="clear" w:color="auto" w:fill="00264D" w:themeFill="background2"/>
          </w:tcPr>
          <w:p w14:paraId="4456EAFF" w14:textId="302E8EBF" w:rsidR="00DF25A3" w:rsidRPr="00585438" w:rsidRDefault="00B3582C" w:rsidP="00C7503D">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lang w:eastAsia="en-AU"/>
              </w:rPr>
            </w:pPr>
            <w:r w:rsidRPr="00585438">
              <w:rPr>
                <w:color w:val="FFFFFF" w:themeColor="background1"/>
                <w:lang w:eastAsia="en-AU"/>
              </w:rPr>
              <w:t>Definition</w:t>
            </w:r>
          </w:p>
        </w:tc>
      </w:tr>
      <w:tr w:rsidR="00A828C7" w14:paraId="2FAE21D4" w14:textId="77777777" w:rsidTr="00252F0C">
        <w:tc>
          <w:tcPr>
            <w:cnfStyle w:val="001000000000" w:firstRow="0" w:lastRow="0" w:firstColumn="1" w:lastColumn="0" w:oddVBand="0" w:evenVBand="0" w:oddHBand="0" w:evenHBand="0" w:firstRowFirstColumn="0" w:firstRowLastColumn="0" w:lastRowFirstColumn="0" w:lastRowLastColumn="0"/>
            <w:tcW w:w="2694" w:type="dxa"/>
            <w:tcBorders>
              <w:top w:val="nil"/>
            </w:tcBorders>
          </w:tcPr>
          <w:p w14:paraId="23F00536" w14:textId="7BC78787" w:rsidR="00D8560C" w:rsidRPr="00CE798E" w:rsidRDefault="00D8560C" w:rsidP="00307358">
            <w:pPr>
              <w:pStyle w:val="TableNheader"/>
              <w:jc w:val="left"/>
              <w:rPr>
                <w:lang w:eastAsia="en-AU"/>
              </w:rPr>
            </w:pPr>
            <w:r w:rsidRPr="00025D35">
              <w:rPr>
                <w:lang w:eastAsia="en-AU"/>
              </w:rPr>
              <w:t>Commonwealth Grant Rules and Principles (CGRPs)</w:t>
            </w:r>
          </w:p>
        </w:tc>
        <w:tc>
          <w:tcPr>
            <w:tcW w:w="6481" w:type="dxa"/>
            <w:tcBorders>
              <w:top w:val="nil"/>
            </w:tcBorders>
          </w:tcPr>
          <w:p w14:paraId="4A04A802" w14:textId="028D5980" w:rsidR="00D8560C" w:rsidRPr="00F96474" w:rsidRDefault="00547EF3"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547EF3">
              <w:rPr>
                <w:lang w:eastAsia="en-AU"/>
              </w:rPr>
              <w:t xml:space="preserve">The CGRPs are a legislative instrument made by the Minister for Finance under section 105C of the PGPA Act. The CGRPs apply to accountable authorities and officials of NCEs, as well as ministers and third parties undertaking grant administration activities on behalf of </w:t>
            </w:r>
            <w:r w:rsidR="00E5485D">
              <w:rPr>
                <w:lang w:eastAsia="en-AU"/>
              </w:rPr>
              <w:t>non-corporate commonwealth entity (NCEs)</w:t>
            </w:r>
            <w:r w:rsidRPr="00547EF3">
              <w:rPr>
                <w:lang w:eastAsia="en-AU"/>
              </w:rPr>
              <w:t xml:space="preserve">. The CGRPs do not place mandatory requirements on grantees.  </w:t>
            </w:r>
          </w:p>
        </w:tc>
      </w:tr>
      <w:tr w:rsidR="00F937A3" w14:paraId="684F739B"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0A97B78F" w14:textId="77777777" w:rsidR="00D8560C" w:rsidRPr="00E502B3" w:rsidRDefault="00D8560C" w:rsidP="00307358">
            <w:pPr>
              <w:pStyle w:val="TableNheader"/>
              <w:jc w:val="left"/>
              <w:rPr>
                <w:lang w:eastAsia="en-AU"/>
              </w:rPr>
            </w:pPr>
            <w:r w:rsidRPr="00E502B3">
              <w:rPr>
                <w:lang w:eastAsia="en-AU"/>
              </w:rPr>
              <w:t>Data Exchange</w:t>
            </w:r>
            <w:r>
              <w:rPr>
                <w:lang w:eastAsia="en-AU"/>
              </w:rPr>
              <w:t xml:space="preserve"> (DEX)</w:t>
            </w:r>
          </w:p>
          <w:p w14:paraId="349D21B8" w14:textId="77777777" w:rsidR="00D8560C" w:rsidRPr="00CE798E" w:rsidRDefault="00D8560C" w:rsidP="00307358">
            <w:pPr>
              <w:pStyle w:val="TableNheader"/>
              <w:jc w:val="left"/>
              <w:rPr>
                <w:lang w:eastAsia="en-AU"/>
              </w:rPr>
            </w:pPr>
          </w:p>
        </w:tc>
        <w:tc>
          <w:tcPr>
            <w:tcW w:w="6481" w:type="dxa"/>
          </w:tcPr>
          <w:p w14:paraId="0B2367BD" w14:textId="2C3F5322" w:rsidR="00D8560C" w:rsidRPr="00F96474" w:rsidRDefault="00E01DE0"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T</w:t>
            </w:r>
            <w:r w:rsidR="00962C3C" w:rsidRPr="00962C3C">
              <w:rPr>
                <w:lang w:eastAsia="en-AU"/>
              </w:rPr>
              <w:t xml:space="preserve">he Data Exchange </w:t>
            </w:r>
            <w:r>
              <w:rPr>
                <w:lang w:eastAsia="en-AU"/>
              </w:rPr>
              <w:t>s</w:t>
            </w:r>
            <w:r w:rsidR="00962C3C">
              <w:rPr>
                <w:lang w:eastAsia="en-AU"/>
              </w:rPr>
              <w:t>ystem</w:t>
            </w:r>
            <w:r>
              <w:rPr>
                <w:lang w:eastAsia="en-AU"/>
              </w:rPr>
              <w:t xml:space="preserve"> (DEX)</w:t>
            </w:r>
            <w:r w:rsidR="00962C3C">
              <w:rPr>
                <w:lang w:eastAsia="en-AU"/>
              </w:rPr>
              <w:t xml:space="preserve"> is </w:t>
            </w:r>
            <w:r>
              <w:rPr>
                <w:lang w:eastAsia="en-AU"/>
              </w:rPr>
              <w:t xml:space="preserve">DSS primary </w:t>
            </w:r>
            <w:r w:rsidR="006D5567">
              <w:rPr>
                <w:lang w:eastAsia="en-AU"/>
              </w:rPr>
              <w:t>digital platform</w:t>
            </w:r>
            <w:r>
              <w:rPr>
                <w:lang w:eastAsia="en-AU"/>
              </w:rPr>
              <w:t xml:space="preserve"> for contract management</w:t>
            </w:r>
            <w:r w:rsidR="006D5567">
              <w:rPr>
                <w:lang w:eastAsia="en-AU"/>
              </w:rPr>
              <w:t>. I</w:t>
            </w:r>
            <w:r>
              <w:rPr>
                <w:lang w:eastAsia="en-AU"/>
              </w:rPr>
              <w:t xml:space="preserve">t enables a </w:t>
            </w:r>
            <w:r w:rsidR="00962C3C" w:rsidRPr="00962C3C">
              <w:rPr>
                <w:lang w:eastAsia="en-AU"/>
              </w:rPr>
              <w:t>two-way partnership of information sharing between funding agencies and service providers</w:t>
            </w:r>
            <w:r>
              <w:rPr>
                <w:lang w:eastAsia="en-AU"/>
              </w:rPr>
              <w:t xml:space="preserve">. This </w:t>
            </w:r>
            <w:r w:rsidR="006D5567">
              <w:rPr>
                <w:lang w:eastAsia="en-AU"/>
              </w:rPr>
              <w:t xml:space="preserve">can help </w:t>
            </w:r>
            <w:r>
              <w:rPr>
                <w:lang w:eastAsia="en-AU"/>
              </w:rPr>
              <w:t xml:space="preserve">the Government </w:t>
            </w:r>
            <w:r w:rsidR="00962C3C" w:rsidRPr="00962C3C">
              <w:rPr>
                <w:lang w:eastAsia="en-AU"/>
              </w:rPr>
              <w:t>find smarter and more efficient ways of improving service delivery and understanding the overall outcomes being achieved for individuals, families and their communities.</w:t>
            </w:r>
          </w:p>
        </w:tc>
      </w:tr>
      <w:tr w:rsidR="00F937A3" w14:paraId="4297C37C"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623A9B3D" w14:textId="0861AB0D" w:rsidR="00D8560C" w:rsidRPr="00E502B3" w:rsidRDefault="00D8560C" w:rsidP="00307358">
            <w:pPr>
              <w:pStyle w:val="TableNheader"/>
              <w:jc w:val="left"/>
              <w:rPr>
                <w:lang w:eastAsia="en-AU"/>
              </w:rPr>
            </w:pPr>
            <w:r w:rsidRPr="00762CE8">
              <w:rPr>
                <w:lang w:eastAsia="en-AU"/>
              </w:rPr>
              <w:t>Funding Arrangement Managers</w:t>
            </w:r>
            <w:r>
              <w:rPr>
                <w:lang w:eastAsia="en-AU"/>
              </w:rPr>
              <w:t xml:space="preserve"> (</w:t>
            </w:r>
            <w:r w:rsidRPr="00762CE8">
              <w:rPr>
                <w:lang w:eastAsia="en-AU"/>
              </w:rPr>
              <w:t>FAMs</w:t>
            </w:r>
            <w:r>
              <w:rPr>
                <w:lang w:eastAsia="en-AU"/>
              </w:rPr>
              <w:t>)</w:t>
            </w:r>
          </w:p>
        </w:tc>
        <w:tc>
          <w:tcPr>
            <w:tcW w:w="6481" w:type="dxa"/>
          </w:tcPr>
          <w:p w14:paraId="7D6263B3" w14:textId="7DADD77A" w:rsidR="00D8560C" w:rsidRPr="00F96474" w:rsidRDefault="00D8560C"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 xml:space="preserve">DSS staff responsible for managing grant agreements, </w:t>
            </w:r>
            <w:r w:rsidR="00426A8C">
              <w:rPr>
                <w:lang w:eastAsia="en-AU"/>
              </w:rPr>
              <w:t>support</w:t>
            </w:r>
            <w:r w:rsidRPr="00F96474">
              <w:rPr>
                <w:lang w:eastAsia="en-AU"/>
              </w:rPr>
              <w:t xml:space="preserve"> reporting, and </w:t>
            </w:r>
            <w:r w:rsidR="00E65111">
              <w:rPr>
                <w:lang w:eastAsia="en-AU"/>
              </w:rPr>
              <w:t>act</w:t>
            </w:r>
            <w:r w:rsidRPr="00F96474">
              <w:rPr>
                <w:lang w:eastAsia="en-AU"/>
              </w:rPr>
              <w:t xml:space="preserve"> as the primary contact for grant recipients.</w:t>
            </w:r>
          </w:p>
        </w:tc>
      </w:tr>
      <w:tr w:rsidR="00F937A3" w14:paraId="299DA141"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1C66EC15" w14:textId="47D0CCC4" w:rsidR="00D8560C" w:rsidRPr="00E502B3" w:rsidRDefault="00D8560C" w:rsidP="00307358">
            <w:pPr>
              <w:pStyle w:val="TableNheader"/>
              <w:jc w:val="left"/>
              <w:rPr>
                <w:lang w:eastAsia="en-AU"/>
              </w:rPr>
            </w:pPr>
            <w:r w:rsidRPr="006E4F7D">
              <w:rPr>
                <w:lang w:eastAsia="en-AU"/>
              </w:rPr>
              <w:t xml:space="preserve">Grant </w:t>
            </w:r>
            <w:r>
              <w:rPr>
                <w:lang w:eastAsia="en-AU"/>
              </w:rPr>
              <w:t>r</w:t>
            </w:r>
            <w:r w:rsidRPr="006E4F7D">
              <w:rPr>
                <w:lang w:eastAsia="en-AU"/>
              </w:rPr>
              <w:t>ecipients</w:t>
            </w:r>
          </w:p>
        </w:tc>
        <w:tc>
          <w:tcPr>
            <w:tcW w:w="6481" w:type="dxa"/>
          </w:tcPr>
          <w:p w14:paraId="337BA60A" w14:textId="304C4BE7" w:rsidR="00D8560C" w:rsidRPr="00F96474" w:rsidRDefault="00D8560C"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Organisations funded through SARC – IC to deliver projects.</w:t>
            </w:r>
          </w:p>
        </w:tc>
      </w:tr>
      <w:tr w:rsidR="00F937A3" w14:paraId="5941CE5F"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794DCEB7" w14:textId="667F0EA0" w:rsidR="00A928EF" w:rsidRPr="006E4F7D" w:rsidRDefault="00A928EF" w:rsidP="00307358">
            <w:pPr>
              <w:pStyle w:val="TableNheader"/>
              <w:jc w:val="left"/>
              <w:rPr>
                <w:lang w:eastAsia="en-AU"/>
              </w:rPr>
            </w:pPr>
            <w:r w:rsidRPr="002F2B4A">
              <w:rPr>
                <w:lang w:eastAsia="en-AU"/>
              </w:rPr>
              <w:t>Key Evaluation Questions</w:t>
            </w:r>
            <w:r>
              <w:rPr>
                <w:lang w:eastAsia="en-AU"/>
              </w:rPr>
              <w:t xml:space="preserve"> (KEQs)</w:t>
            </w:r>
          </w:p>
        </w:tc>
        <w:tc>
          <w:tcPr>
            <w:tcW w:w="6481" w:type="dxa"/>
          </w:tcPr>
          <w:p w14:paraId="39003D70" w14:textId="5B4D77CB" w:rsidR="00A928EF" w:rsidRPr="00F96474" w:rsidRDefault="00DB1715"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DB1715">
              <w:rPr>
                <w:lang w:eastAsia="en-AU"/>
              </w:rPr>
              <w:t>Key Evaluation Questions (KEQs) are the high-level questions that an evaluation is designed to answer</w:t>
            </w:r>
            <w:r>
              <w:rPr>
                <w:lang w:eastAsia="en-AU"/>
              </w:rPr>
              <w:t xml:space="preserve">. </w:t>
            </w:r>
          </w:p>
        </w:tc>
      </w:tr>
      <w:tr w:rsidR="00F937A3" w14:paraId="6C5377BE"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67291294" w14:textId="2F90A9F9" w:rsidR="00A928EF" w:rsidRPr="002F2B4A" w:rsidRDefault="00286D1E" w:rsidP="00307358">
            <w:pPr>
              <w:pStyle w:val="TableNheader"/>
              <w:jc w:val="left"/>
              <w:rPr>
                <w:lang w:eastAsia="en-AU"/>
              </w:rPr>
            </w:pPr>
            <w:r>
              <w:rPr>
                <w:lang w:eastAsia="en-AU"/>
              </w:rPr>
              <w:t>Long-term unemployment (</w:t>
            </w:r>
            <w:r w:rsidR="00A928EF">
              <w:rPr>
                <w:lang w:eastAsia="en-AU"/>
              </w:rPr>
              <w:t>LTU</w:t>
            </w:r>
            <w:r>
              <w:rPr>
                <w:lang w:eastAsia="en-AU"/>
              </w:rPr>
              <w:t>)</w:t>
            </w:r>
          </w:p>
        </w:tc>
        <w:tc>
          <w:tcPr>
            <w:tcW w:w="6481" w:type="dxa"/>
          </w:tcPr>
          <w:p w14:paraId="2DBAA4DD" w14:textId="73390081" w:rsidR="00A928EF" w:rsidRPr="00F96474" w:rsidRDefault="00A928EF"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Typically, unemployment lasting longer than 12 months.</w:t>
            </w:r>
          </w:p>
        </w:tc>
      </w:tr>
      <w:tr w:rsidR="00F937A3" w14:paraId="5F764095"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62DDEC85" w14:textId="782A42B5" w:rsidR="00A928EF" w:rsidRPr="002F2B4A" w:rsidRDefault="00984DC1" w:rsidP="00307358">
            <w:pPr>
              <w:pStyle w:val="TableNheader"/>
              <w:jc w:val="left"/>
              <w:rPr>
                <w:lang w:eastAsia="en-AU"/>
              </w:rPr>
            </w:pPr>
            <w:r>
              <w:rPr>
                <w:lang w:eastAsia="en-AU"/>
              </w:rPr>
              <w:t>N</w:t>
            </w:r>
            <w:r w:rsidR="001A455B" w:rsidRPr="001A455B">
              <w:rPr>
                <w:lang w:eastAsia="en-AU"/>
              </w:rPr>
              <w:t xml:space="preserve">ot in employment, education or training </w:t>
            </w:r>
            <w:r w:rsidR="001A455B">
              <w:rPr>
                <w:lang w:eastAsia="en-AU"/>
              </w:rPr>
              <w:t>(</w:t>
            </w:r>
            <w:r w:rsidR="00A928EF">
              <w:rPr>
                <w:lang w:eastAsia="en-AU"/>
              </w:rPr>
              <w:t>NEET</w:t>
            </w:r>
            <w:r w:rsidR="001A455B">
              <w:rPr>
                <w:lang w:eastAsia="en-AU"/>
              </w:rPr>
              <w:t>)</w:t>
            </w:r>
          </w:p>
        </w:tc>
        <w:tc>
          <w:tcPr>
            <w:tcW w:w="6481" w:type="dxa"/>
          </w:tcPr>
          <w:p w14:paraId="76C78640" w14:textId="02CE6A3F" w:rsidR="00A928EF" w:rsidRPr="00F96474" w:rsidRDefault="00984DC1"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Refers to young people who are not engaged in any form of employment, formal education, or training activities.</w:t>
            </w:r>
          </w:p>
        </w:tc>
      </w:tr>
      <w:tr w:rsidR="00F937A3" w14:paraId="4EA07549" w14:textId="77777777" w:rsidTr="00F96474">
        <w:tc>
          <w:tcPr>
            <w:cnfStyle w:val="001000000000" w:firstRow="0" w:lastRow="0" w:firstColumn="1" w:lastColumn="0" w:oddVBand="0" w:evenVBand="0" w:oddHBand="0" w:evenHBand="0" w:firstRowFirstColumn="0" w:firstRowLastColumn="0" w:lastRowFirstColumn="0" w:lastRowLastColumn="0"/>
            <w:tcW w:w="2694" w:type="dxa"/>
          </w:tcPr>
          <w:p w14:paraId="154BB351" w14:textId="225B2F6B" w:rsidR="00350CE3" w:rsidRPr="00933F26" w:rsidRDefault="00350CE3" w:rsidP="00307358">
            <w:pPr>
              <w:pStyle w:val="TableNheader"/>
              <w:jc w:val="left"/>
              <w:rPr>
                <w:lang w:eastAsia="en-AU"/>
              </w:rPr>
            </w:pPr>
            <w:r>
              <w:rPr>
                <w:lang w:eastAsia="en-AU"/>
              </w:rPr>
              <w:t>Participants</w:t>
            </w:r>
            <w:r w:rsidR="00A1490A">
              <w:rPr>
                <w:lang w:eastAsia="en-AU"/>
              </w:rPr>
              <w:t>/</w:t>
            </w:r>
            <w:r w:rsidR="003C3F64">
              <w:rPr>
                <w:lang w:eastAsia="en-AU"/>
              </w:rPr>
              <w:t>participants</w:t>
            </w:r>
          </w:p>
        </w:tc>
        <w:tc>
          <w:tcPr>
            <w:tcW w:w="6481" w:type="dxa"/>
          </w:tcPr>
          <w:p w14:paraId="142AF25C" w14:textId="06C48675" w:rsidR="00350CE3" w:rsidRPr="00F96474" w:rsidRDefault="00350CE3"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Individuals who received support through SARC – IC funded projects.</w:t>
            </w:r>
          </w:p>
        </w:tc>
      </w:tr>
      <w:tr w:rsidR="00F937A3" w14:paraId="6CFE2336" w14:textId="77777777" w:rsidTr="00A97EA5">
        <w:trPr>
          <w:trHeight w:val="814"/>
        </w:trPr>
        <w:tc>
          <w:tcPr>
            <w:cnfStyle w:val="001000000000" w:firstRow="0" w:lastRow="0" w:firstColumn="1" w:lastColumn="0" w:oddVBand="0" w:evenVBand="0" w:oddHBand="0" w:evenHBand="0" w:firstRowFirstColumn="0" w:firstRowLastColumn="0" w:lastRowFirstColumn="0" w:lastRowLastColumn="0"/>
            <w:tcW w:w="2694" w:type="dxa"/>
          </w:tcPr>
          <w:p w14:paraId="4E87AD77" w14:textId="195F6842" w:rsidR="00A928EF" w:rsidRPr="002F2B4A" w:rsidRDefault="00A928EF" w:rsidP="00307358">
            <w:pPr>
              <w:pStyle w:val="TableNheader"/>
              <w:jc w:val="left"/>
              <w:rPr>
                <w:lang w:eastAsia="en-AU"/>
              </w:rPr>
            </w:pPr>
            <w:r>
              <w:rPr>
                <w:lang w:eastAsia="en-AU"/>
              </w:rPr>
              <w:t>Priority cohorts</w:t>
            </w:r>
          </w:p>
        </w:tc>
        <w:tc>
          <w:tcPr>
            <w:tcW w:w="6481" w:type="dxa"/>
          </w:tcPr>
          <w:p w14:paraId="46169FD2" w14:textId="4A53C373" w:rsidR="00A928EF" w:rsidRPr="00F96474" w:rsidRDefault="00A928EF"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 xml:space="preserve">The four target groups for </w:t>
            </w:r>
            <w:r w:rsidR="00181F3D" w:rsidRPr="00F96474">
              <w:rPr>
                <w:lang w:eastAsia="en-AU"/>
              </w:rPr>
              <w:t>SARC – IC</w:t>
            </w:r>
            <w:r w:rsidRPr="00F96474">
              <w:rPr>
                <w:lang w:eastAsia="en-AU"/>
              </w:rPr>
              <w:t>: disengaged young people, people with disability, women at risk of isolation or discrimination, and unemployed people facing barriers.</w:t>
            </w:r>
          </w:p>
        </w:tc>
      </w:tr>
      <w:tr w:rsidR="00F937A3" w14:paraId="78CFA5CA"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1A68D652" w14:textId="3A74F15C" w:rsidR="00A928EF" w:rsidRPr="00CE798E" w:rsidRDefault="00A928EF" w:rsidP="00307358">
            <w:pPr>
              <w:pStyle w:val="TableNheader"/>
              <w:jc w:val="left"/>
              <w:rPr>
                <w:lang w:eastAsia="en-AU"/>
              </w:rPr>
            </w:pPr>
            <w:r>
              <w:rPr>
                <w:lang w:eastAsia="en-AU"/>
              </w:rPr>
              <w:t>Projects</w:t>
            </w:r>
          </w:p>
        </w:tc>
        <w:tc>
          <w:tcPr>
            <w:tcW w:w="6481" w:type="dxa"/>
          </w:tcPr>
          <w:p w14:paraId="42F2D484" w14:textId="1D51D81B" w:rsidR="00A928EF" w:rsidRPr="00F96474" w:rsidRDefault="00A928EF"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 xml:space="preserve">Funded initiatives </w:t>
            </w:r>
            <w:r w:rsidR="00DA53F8">
              <w:rPr>
                <w:lang w:eastAsia="en-AU"/>
              </w:rPr>
              <w:t>and services</w:t>
            </w:r>
            <w:r w:rsidRPr="00F96474">
              <w:rPr>
                <w:lang w:eastAsia="en-AU"/>
              </w:rPr>
              <w:t xml:space="preserve"> delivered by organisations under </w:t>
            </w:r>
            <w:r w:rsidR="00181F3D" w:rsidRPr="00F96474">
              <w:rPr>
                <w:lang w:eastAsia="en-AU"/>
              </w:rPr>
              <w:t xml:space="preserve">SARC – IC </w:t>
            </w:r>
            <w:r w:rsidRPr="00F96474">
              <w:rPr>
                <w:lang w:eastAsia="en-AU"/>
              </w:rPr>
              <w:t>to support target cohorts through community‑driven and/or innovative approaches.</w:t>
            </w:r>
          </w:p>
        </w:tc>
      </w:tr>
      <w:tr w:rsidR="00F937A3" w14:paraId="1D0ED7EA"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7CB20578" w14:textId="312DC3D4" w:rsidR="00DF25A3" w:rsidRDefault="00CE798E" w:rsidP="00307358">
            <w:pPr>
              <w:pStyle w:val="TableNheader"/>
              <w:jc w:val="left"/>
              <w:rPr>
                <w:lang w:eastAsia="en-AU"/>
              </w:rPr>
            </w:pPr>
            <w:r w:rsidRPr="00CE798E">
              <w:rPr>
                <w:lang w:eastAsia="en-AU"/>
              </w:rPr>
              <w:t>SARC Activity</w:t>
            </w:r>
          </w:p>
        </w:tc>
        <w:tc>
          <w:tcPr>
            <w:tcW w:w="6481" w:type="dxa"/>
          </w:tcPr>
          <w:p w14:paraId="5488BEDC" w14:textId="707E3F93" w:rsidR="00DF25A3" w:rsidRPr="00F96474" w:rsidRDefault="00CE798E"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The earlier Strong and Resilient Communities grant (2018–2022), comprising three streams: Inclusive Communities, Community Resilience, and National Research; replaced by SARC</w:t>
            </w:r>
            <w:r w:rsidR="00DA5940" w:rsidRPr="00F96474">
              <w:rPr>
                <w:lang w:eastAsia="en-AU"/>
              </w:rPr>
              <w:t xml:space="preserve"> – </w:t>
            </w:r>
            <w:r w:rsidRPr="00F96474">
              <w:rPr>
                <w:lang w:eastAsia="en-AU"/>
              </w:rPr>
              <w:t>IC</w:t>
            </w:r>
          </w:p>
        </w:tc>
      </w:tr>
      <w:tr w:rsidR="00F937A3" w14:paraId="00596AD2"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5D7DE540" w14:textId="14840A1F" w:rsidR="00DF25A3" w:rsidRDefault="00DC32CD" w:rsidP="00307358">
            <w:pPr>
              <w:pStyle w:val="TableNheader"/>
              <w:jc w:val="left"/>
              <w:rPr>
                <w:lang w:eastAsia="en-AU"/>
              </w:rPr>
            </w:pPr>
            <w:r w:rsidRPr="00F96474">
              <w:rPr>
                <w:lang w:eastAsia="en-AU"/>
              </w:rPr>
              <w:t xml:space="preserve">SARC – IC </w:t>
            </w:r>
            <w:r w:rsidR="00B82664" w:rsidRPr="00B82664">
              <w:rPr>
                <w:lang w:eastAsia="en-AU"/>
              </w:rPr>
              <w:t>Activity</w:t>
            </w:r>
            <w:r w:rsidR="00F24C4E">
              <w:rPr>
                <w:lang w:eastAsia="en-AU"/>
              </w:rPr>
              <w:t xml:space="preserve"> (SARC</w:t>
            </w:r>
            <w:r w:rsidR="00893507">
              <w:rPr>
                <w:lang w:eastAsia="en-AU"/>
              </w:rPr>
              <w:t xml:space="preserve"> – IC)</w:t>
            </w:r>
          </w:p>
        </w:tc>
        <w:tc>
          <w:tcPr>
            <w:tcW w:w="6481" w:type="dxa"/>
          </w:tcPr>
          <w:p w14:paraId="41D0BFC3" w14:textId="7233C12D" w:rsidR="00DF25A3" w:rsidRPr="00F96474" w:rsidRDefault="00B82664"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The Strong and Resilient Communities – Inclusive Communities Activity (2022–2028), the subject of this evaluation, focused on improving social and economic participation for four priority cohorts.</w:t>
            </w:r>
          </w:p>
        </w:tc>
      </w:tr>
      <w:tr w:rsidR="00F937A3" w14:paraId="040D18FA" w14:textId="77777777" w:rsidTr="00585438">
        <w:tc>
          <w:tcPr>
            <w:cnfStyle w:val="001000000000" w:firstRow="0" w:lastRow="0" w:firstColumn="1" w:lastColumn="0" w:oddVBand="0" w:evenVBand="0" w:oddHBand="0" w:evenHBand="0" w:firstRowFirstColumn="0" w:firstRowLastColumn="0" w:lastRowFirstColumn="0" w:lastRowLastColumn="0"/>
            <w:tcW w:w="2694" w:type="dxa"/>
          </w:tcPr>
          <w:p w14:paraId="016398A4" w14:textId="3CA7748C" w:rsidR="00DF25A3" w:rsidRDefault="00C7503D" w:rsidP="00307358">
            <w:pPr>
              <w:pStyle w:val="TableNheader"/>
              <w:jc w:val="left"/>
              <w:rPr>
                <w:lang w:eastAsia="en-AU"/>
              </w:rPr>
            </w:pPr>
            <w:r>
              <w:rPr>
                <w:lang w:eastAsia="en-AU"/>
              </w:rPr>
              <w:t>SCORE</w:t>
            </w:r>
          </w:p>
        </w:tc>
        <w:tc>
          <w:tcPr>
            <w:tcW w:w="6481" w:type="dxa"/>
          </w:tcPr>
          <w:p w14:paraId="64E36E58" w14:textId="76AF6EC8" w:rsidR="00DF25A3" w:rsidRPr="00F96474" w:rsidRDefault="00C7503D" w:rsidP="00307358">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96474">
              <w:rPr>
                <w:lang w:eastAsia="en-AU"/>
              </w:rPr>
              <w:t>A 1–5 outcome measurement scale used in DEX to track progress across four areas: employment, education, community participation, and mental health/wellbeing.</w:t>
            </w:r>
          </w:p>
        </w:tc>
      </w:tr>
    </w:tbl>
    <w:p w14:paraId="40B39EE3" w14:textId="77777777" w:rsidR="00DF25A3" w:rsidRPr="00585438" w:rsidRDefault="00DF25A3" w:rsidP="00585438">
      <w:pPr>
        <w:rPr>
          <w:lang w:eastAsia="en-AU"/>
        </w:rPr>
      </w:pPr>
    </w:p>
    <w:p w14:paraId="43ED31B2" w14:textId="28DFFAB3" w:rsidR="00C05D26" w:rsidRDefault="00C05D26" w:rsidP="008850A9">
      <w:pPr>
        <w:pStyle w:val="Heading1"/>
      </w:pPr>
      <w:bookmarkStart w:id="1" w:name="_Toc240883538"/>
      <w:r>
        <w:lastRenderedPageBreak/>
        <w:t>Preface to the report</w:t>
      </w:r>
      <w:bookmarkEnd w:id="1"/>
      <w:r>
        <w:t xml:space="preserve"> </w:t>
      </w:r>
    </w:p>
    <w:p w14:paraId="0F6534BB" w14:textId="781498E3" w:rsidR="00CF3ABA" w:rsidRDefault="00CF3ABA" w:rsidP="00CF3ABA">
      <w:pPr>
        <w:pStyle w:val="Heading2"/>
      </w:pPr>
      <w:bookmarkStart w:id="2" w:name="_Toc240883539"/>
      <w:r>
        <w:t>Program evaluated</w:t>
      </w:r>
      <w:bookmarkEnd w:id="2"/>
    </w:p>
    <w:p w14:paraId="73F032EB" w14:textId="7EDF6C1B" w:rsidR="003F75CD" w:rsidRPr="003F75CD" w:rsidRDefault="003F75CD" w:rsidP="003F75CD">
      <w:pPr>
        <w:rPr>
          <w:lang w:eastAsia="en-AU"/>
        </w:rPr>
      </w:pPr>
      <w:r>
        <w:rPr>
          <w:lang w:eastAsia="en-AU"/>
        </w:rPr>
        <w:t xml:space="preserve">This report is </w:t>
      </w:r>
      <w:r w:rsidR="00DE0370">
        <w:rPr>
          <w:lang w:eastAsia="en-AU"/>
        </w:rPr>
        <w:t>a final</w:t>
      </w:r>
      <w:r>
        <w:rPr>
          <w:lang w:eastAsia="en-AU"/>
        </w:rPr>
        <w:t xml:space="preserve"> evaluation of the Department of Social Services’ Strong and Resilient Communities – Inclusive Communities</w:t>
      </w:r>
      <w:r w:rsidR="00450B15">
        <w:rPr>
          <w:lang w:eastAsia="en-AU"/>
        </w:rPr>
        <w:t xml:space="preserve"> Activity</w:t>
      </w:r>
      <w:r>
        <w:rPr>
          <w:lang w:eastAsia="en-AU"/>
        </w:rPr>
        <w:t xml:space="preserve">. </w:t>
      </w:r>
      <w:r w:rsidR="00BD6F50">
        <w:rPr>
          <w:lang w:eastAsia="en-AU"/>
        </w:rPr>
        <w:t>The evaluation includes rounds 1-3 of the grant as well as</w:t>
      </w:r>
      <w:r w:rsidR="003307E3">
        <w:rPr>
          <w:lang w:eastAsia="en-AU"/>
        </w:rPr>
        <w:t xml:space="preserve"> early insights from round 4 and ad hoc grants. </w:t>
      </w:r>
    </w:p>
    <w:p w14:paraId="567BE8CE" w14:textId="4A612A53" w:rsidR="00CF3ABA" w:rsidRDefault="00CF3ABA" w:rsidP="00CF3ABA">
      <w:pPr>
        <w:pStyle w:val="Heading2"/>
      </w:pPr>
      <w:bookmarkStart w:id="3" w:name="_Report_authorship"/>
      <w:bookmarkStart w:id="4" w:name="_Toc240883540"/>
      <w:bookmarkEnd w:id="3"/>
      <w:r>
        <w:t>Report authorship</w:t>
      </w:r>
      <w:bookmarkEnd w:id="4"/>
      <w:r>
        <w:t xml:space="preserve"> </w:t>
      </w:r>
    </w:p>
    <w:p w14:paraId="73E74C9B" w14:textId="17B86C8D" w:rsidR="00BD6F50" w:rsidRPr="00BD6F50" w:rsidRDefault="00BD6F50" w:rsidP="00BD6F50">
      <w:pPr>
        <w:rPr>
          <w:lang w:eastAsia="en-AU"/>
        </w:rPr>
      </w:pPr>
      <w:r>
        <w:rPr>
          <w:lang w:eastAsia="en-AU"/>
        </w:rPr>
        <w:t xml:space="preserve">This report has been drafted by Nous Group on behalf of the Department of Social Services. </w:t>
      </w:r>
    </w:p>
    <w:p w14:paraId="6C211718" w14:textId="77777777" w:rsidR="000C5414" w:rsidRDefault="000C5414">
      <w:pPr>
        <w:spacing w:after="160"/>
        <w:rPr>
          <w:rFonts w:eastAsia="Times New Roman" w:cs="Times New Roman"/>
          <w:b/>
          <w:color w:val="00264D"/>
          <w:sz w:val="36"/>
          <w:szCs w:val="19"/>
          <w:lang w:eastAsia="en-AU"/>
        </w:rPr>
      </w:pPr>
      <w:r>
        <w:br w:type="page"/>
      </w:r>
    </w:p>
    <w:p w14:paraId="74F8BF4D" w14:textId="22286A36" w:rsidR="00766CB9" w:rsidRDefault="00A75B1A">
      <w:pPr>
        <w:spacing w:after="160"/>
      </w:pPr>
      <w:bookmarkStart w:id="5" w:name="SARC_IC_evaluation_summary"/>
      <w:bookmarkEnd w:id="5"/>
      <w:r>
        <w:rPr>
          <w:noProof/>
        </w:rPr>
        <w:lastRenderedPageBreak/>
        <w:drawing>
          <wp:anchor distT="0" distB="0" distL="114300" distR="114300" simplePos="0" relativeHeight="251658282" behindDoc="0" locked="0" layoutInCell="1" allowOverlap="1" wp14:anchorId="428DDD28" wp14:editId="678C3144">
            <wp:simplePos x="0" y="0"/>
            <wp:positionH relativeFrom="page">
              <wp:align>left</wp:align>
            </wp:positionH>
            <wp:positionV relativeFrom="paragraph">
              <wp:posOffset>-864235</wp:posOffset>
            </wp:positionV>
            <wp:extent cx="7578968" cy="10709826"/>
            <wp:effectExtent l="0" t="0" r="3175" b="0"/>
            <wp:wrapNone/>
            <wp:docPr id="628883687" name="Picture 1" descr="SARC - IC Evaluation Summary - Figure Description at Appendix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83687" name="Picture 1" descr="SARC - IC Evaluation Summary - Figure Description at Appendix G."/>
                    <pic:cNvPicPr>
                      <a:picLocks noChangeAspect="1" noChangeArrowheads="1"/>
                    </pic:cNvPicPr>
                  </pic:nvPicPr>
                  <pic:blipFill>
                    <a:blip r:embed="rId16">
                      <a:extLst>
                        <a:ext uri="{96DAC541-7B7A-43D3-8B79-37D633B846F1}">
                          <asvg:svgBlip xmlns:asvg="http://schemas.microsoft.com/office/drawing/2016/SVG/main" r:embed="rId17"/>
                        </a:ext>
                      </a:extLst>
                    </a:blip>
                    <a:stretch>
                      <a:fillRect/>
                    </a:stretch>
                  </pic:blipFill>
                  <pic:spPr bwMode="auto">
                    <a:xfrm>
                      <a:off x="0" y="0"/>
                      <a:ext cx="7578968" cy="10709826"/>
                    </a:xfrm>
                    <a:prstGeom prst="rect">
                      <a:avLst/>
                    </a:prstGeom>
                  </pic:spPr>
                </pic:pic>
              </a:graphicData>
            </a:graphic>
            <wp14:sizeRelH relativeFrom="page">
              <wp14:pctWidth>0</wp14:pctWidth>
            </wp14:sizeRelH>
            <wp14:sizeRelV relativeFrom="page">
              <wp14:pctHeight>0</wp14:pctHeight>
            </wp14:sizeRelV>
          </wp:anchor>
        </w:drawing>
      </w:r>
      <w:hyperlink w:anchor="_Page_3_SARC" w:history="1">
        <w:r w:rsidRPr="00A75B1A">
          <w:rPr>
            <w:rStyle w:val="Hyperlink"/>
          </w:rPr>
          <w:t>Read the SARC – IC evaluation summary full description</w:t>
        </w:r>
      </w:hyperlink>
      <w:r w:rsidRPr="00A75B1A">
        <w:t xml:space="preserve"> </w:t>
      </w:r>
      <w:r w:rsidR="000C5414">
        <w:br w:type="page"/>
      </w:r>
    </w:p>
    <w:p w14:paraId="5566E8F4" w14:textId="653D5C42" w:rsidR="00C05D26" w:rsidRPr="00784D9D" w:rsidRDefault="00C05D26" w:rsidP="004A2034">
      <w:pPr>
        <w:pStyle w:val="Heading1"/>
      </w:pPr>
      <w:bookmarkStart w:id="6" w:name="_Executive_summary_1"/>
      <w:bookmarkStart w:id="7" w:name="_Toc240883541"/>
      <w:bookmarkEnd w:id="6"/>
      <w:r w:rsidRPr="00784D9D">
        <w:lastRenderedPageBreak/>
        <w:t>Executive summary</w:t>
      </w:r>
      <w:bookmarkEnd w:id="7"/>
      <w:r w:rsidRPr="00784D9D">
        <w:t xml:space="preserve"> </w:t>
      </w:r>
    </w:p>
    <w:p w14:paraId="7575EC68" w14:textId="5C2BCC75" w:rsidR="0007356B" w:rsidRDefault="00C92C0F" w:rsidP="00C64B72">
      <w:pPr>
        <w:rPr>
          <w:lang w:eastAsia="en-AU"/>
        </w:rPr>
      </w:pPr>
      <w:r>
        <w:rPr>
          <w:lang w:eastAsia="en-AU"/>
        </w:rPr>
        <w:t xml:space="preserve">Social and economic participation </w:t>
      </w:r>
      <w:r w:rsidR="007F338D">
        <w:rPr>
          <w:lang w:eastAsia="en-AU"/>
        </w:rPr>
        <w:t xml:space="preserve">are foundational to the health and prosperity of Australia. However, </w:t>
      </w:r>
      <w:r w:rsidR="00C80769">
        <w:rPr>
          <w:lang w:eastAsia="en-AU"/>
        </w:rPr>
        <w:t xml:space="preserve">many people face significant barriers that prevent them from </w:t>
      </w:r>
      <w:r w:rsidR="004C6180">
        <w:rPr>
          <w:lang w:eastAsia="en-AU"/>
        </w:rPr>
        <w:t>participating</w:t>
      </w:r>
      <w:r w:rsidR="00C80769">
        <w:rPr>
          <w:lang w:eastAsia="en-AU"/>
        </w:rPr>
        <w:t xml:space="preserve"> fully in economic and </w:t>
      </w:r>
      <w:r w:rsidR="004C6180">
        <w:rPr>
          <w:lang w:eastAsia="en-AU"/>
        </w:rPr>
        <w:t>social life</w:t>
      </w:r>
      <w:r w:rsidR="00C80769">
        <w:rPr>
          <w:lang w:eastAsia="en-AU"/>
        </w:rPr>
        <w:t xml:space="preserve">. </w:t>
      </w:r>
      <w:r w:rsidR="00860246">
        <w:rPr>
          <w:lang w:eastAsia="en-AU"/>
        </w:rPr>
        <w:t xml:space="preserve">Recent literature suggests </w:t>
      </w:r>
      <w:r w:rsidR="008B670A">
        <w:rPr>
          <w:lang w:eastAsia="en-AU"/>
        </w:rPr>
        <w:t>more than</w:t>
      </w:r>
      <w:r w:rsidR="00860246" w:rsidRPr="00860246">
        <w:rPr>
          <w:lang w:eastAsia="en-AU"/>
        </w:rPr>
        <w:t xml:space="preserve"> 1.2 million Australians experience deep social exclusion</w:t>
      </w:r>
      <w:r w:rsidR="002B29BE">
        <w:rPr>
          <w:rFonts w:ascii="ZWAdobeF" w:hAnsi="ZWAdobeF" w:cs="ZWAdobeF"/>
          <w:sz w:val="2"/>
          <w:szCs w:val="2"/>
          <w:lang w:eastAsia="en-AU"/>
        </w:rPr>
        <w:t>0F</w:t>
      </w:r>
      <w:r w:rsidR="00265DB9">
        <w:rPr>
          <w:rStyle w:val="FootnoteReference"/>
          <w:lang w:eastAsia="en-AU"/>
        </w:rPr>
        <w:footnoteReference w:id="1"/>
      </w:r>
      <w:r w:rsidR="00860246" w:rsidRPr="00860246">
        <w:rPr>
          <w:lang w:eastAsia="en-AU"/>
        </w:rPr>
        <w:t>,</w:t>
      </w:r>
      <w:r w:rsidR="00BE3706">
        <w:rPr>
          <w:lang w:eastAsia="en-AU"/>
        </w:rPr>
        <w:t xml:space="preserve"> something that is disproportionately felt </w:t>
      </w:r>
      <w:r w:rsidR="00245662">
        <w:rPr>
          <w:lang w:eastAsia="en-AU"/>
        </w:rPr>
        <w:t xml:space="preserve">by </w:t>
      </w:r>
      <w:r w:rsidR="00F1564F">
        <w:rPr>
          <w:lang w:eastAsia="en-AU"/>
        </w:rPr>
        <w:t>disengaged young people</w:t>
      </w:r>
      <w:r w:rsidR="00F0043F">
        <w:rPr>
          <w:lang w:eastAsia="en-AU"/>
        </w:rPr>
        <w:t>,</w:t>
      </w:r>
      <w:r w:rsidR="002B29BE">
        <w:rPr>
          <w:rFonts w:ascii="ZWAdobeF" w:hAnsi="ZWAdobeF" w:cs="ZWAdobeF"/>
          <w:sz w:val="2"/>
          <w:szCs w:val="2"/>
          <w:lang w:eastAsia="en-AU"/>
        </w:rPr>
        <w:t>1F</w:t>
      </w:r>
      <w:r w:rsidR="00265DB9">
        <w:rPr>
          <w:rStyle w:val="FootnoteReference"/>
          <w:lang w:eastAsia="en-AU"/>
        </w:rPr>
        <w:footnoteReference w:id="2"/>
      </w:r>
      <w:r w:rsidR="00265DB9" w:rsidRPr="00BC71A3">
        <w:rPr>
          <w:lang w:eastAsia="en-AU"/>
        </w:rPr>
        <w:t xml:space="preserve"> </w:t>
      </w:r>
      <w:r w:rsidR="00F1564F">
        <w:rPr>
          <w:lang w:eastAsia="en-AU"/>
        </w:rPr>
        <w:t>people with a disability</w:t>
      </w:r>
      <w:r w:rsidR="00F0043F">
        <w:rPr>
          <w:lang w:eastAsia="en-AU"/>
        </w:rPr>
        <w:t>,</w:t>
      </w:r>
      <w:r w:rsidR="002B29BE">
        <w:rPr>
          <w:rFonts w:ascii="ZWAdobeF" w:hAnsi="ZWAdobeF" w:cs="ZWAdobeF"/>
          <w:sz w:val="2"/>
          <w:szCs w:val="2"/>
          <w:lang w:eastAsia="en-AU"/>
        </w:rPr>
        <w:t>2F</w:t>
      </w:r>
      <w:r w:rsidR="00F0043F">
        <w:rPr>
          <w:rStyle w:val="FootnoteReference"/>
          <w:lang w:eastAsia="en-AU"/>
        </w:rPr>
        <w:footnoteReference w:id="3"/>
      </w:r>
      <w:r w:rsidR="00F1564F">
        <w:rPr>
          <w:lang w:eastAsia="en-AU"/>
        </w:rPr>
        <w:t xml:space="preserve"> women at risk of </w:t>
      </w:r>
      <w:r w:rsidR="00F1564F" w:rsidRPr="00367D30">
        <w:rPr>
          <w:lang w:eastAsia="en-AU"/>
        </w:rPr>
        <w:t>isolation</w:t>
      </w:r>
      <w:r w:rsidR="00F1564F">
        <w:rPr>
          <w:lang w:eastAsia="en-AU"/>
        </w:rPr>
        <w:t xml:space="preserve"> or discrimination</w:t>
      </w:r>
      <w:r w:rsidR="00F0043F">
        <w:rPr>
          <w:lang w:eastAsia="en-AU"/>
        </w:rPr>
        <w:t>,</w:t>
      </w:r>
      <w:r w:rsidR="001648B5">
        <w:rPr>
          <w:lang w:eastAsia="en-AU"/>
        </w:rPr>
        <w:t xml:space="preserve"> </w:t>
      </w:r>
      <w:r w:rsidR="00F1564F">
        <w:rPr>
          <w:lang w:eastAsia="en-AU"/>
        </w:rPr>
        <w:t xml:space="preserve">and </w:t>
      </w:r>
      <w:r w:rsidR="00A20E97">
        <w:rPr>
          <w:lang w:eastAsia="en-AU"/>
        </w:rPr>
        <w:t>unemployed people who face barriers to employment.</w:t>
      </w:r>
      <w:r w:rsidR="002B29BE">
        <w:rPr>
          <w:rFonts w:ascii="ZWAdobeF" w:hAnsi="ZWAdobeF" w:cs="ZWAdobeF"/>
          <w:sz w:val="2"/>
          <w:szCs w:val="2"/>
          <w:lang w:eastAsia="en-AU"/>
        </w:rPr>
        <w:t>3F</w:t>
      </w:r>
      <w:r w:rsidR="00367D30">
        <w:rPr>
          <w:rStyle w:val="FootnoteReference"/>
          <w:lang w:eastAsia="en-AU"/>
        </w:rPr>
        <w:footnoteReference w:id="4"/>
      </w:r>
      <w:r w:rsidR="00627E33">
        <w:rPr>
          <w:lang w:eastAsia="en-AU"/>
        </w:rPr>
        <w:t xml:space="preserve"> The effect</w:t>
      </w:r>
      <w:r w:rsidR="00DB233A">
        <w:rPr>
          <w:lang w:eastAsia="en-AU"/>
        </w:rPr>
        <w:t>s</w:t>
      </w:r>
      <w:r w:rsidR="00627E33">
        <w:rPr>
          <w:lang w:eastAsia="en-AU"/>
        </w:rPr>
        <w:t xml:space="preserve"> of this are significant, </w:t>
      </w:r>
      <w:r w:rsidR="002275FE">
        <w:rPr>
          <w:lang w:eastAsia="en-AU"/>
        </w:rPr>
        <w:t xml:space="preserve">often leading to </w:t>
      </w:r>
      <w:r w:rsidR="00627E33">
        <w:rPr>
          <w:lang w:eastAsia="en-AU"/>
        </w:rPr>
        <w:t>reduced</w:t>
      </w:r>
      <w:r w:rsidR="00627E33" w:rsidRPr="00BC71A3">
        <w:rPr>
          <w:lang w:eastAsia="en-AU"/>
        </w:rPr>
        <w:t xml:space="preserve"> earning potential, </w:t>
      </w:r>
      <w:r w:rsidR="00627E33">
        <w:rPr>
          <w:lang w:eastAsia="en-AU"/>
        </w:rPr>
        <w:t xml:space="preserve">increased </w:t>
      </w:r>
      <w:r w:rsidR="00627E33" w:rsidRPr="00BC71A3">
        <w:rPr>
          <w:lang w:eastAsia="en-AU"/>
        </w:rPr>
        <w:t>stress and anxiety, and poorer health outcomes.</w:t>
      </w:r>
      <w:r w:rsidR="002B29BE">
        <w:rPr>
          <w:rFonts w:ascii="ZWAdobeF" w:hAnsi="ZWAdobeF" w:cs="ZWAdobeF"/>
          <w:sz w:val="2"/>
          <w:szCs w:val="2"/>
          <w:lang w:eastAsia="en-AU"/>
        </w:rPr>
        <w:t>4F</w:t>
      </w:r>
      <w:r w:rsidR="00627E33">
        <w:rPr>
          <w:rStyle w:val="FootnoteReference"/>
          <w:lang w:eastAsia="en-AU"/>
        </w:rPr>
        <w:footnoteReference w:id="5"/>
      </w:r>
      <w:r w:rsidR="00B66B26">
        <w:rPr>
          <w:lang w:eastAsia="en-AU"/>
        </w:rPr>
        <w:t xml:space="preserve"> </w:t>
      </w:r>
    </w:p>
    <w:p w14:paraId="30877C41" w14:textId="235BA10B" w:rsidR="007D463F" w:rsidRDefault="0007356B" w:rsidP="00C64B72">
      <w:pPr>
        <w:rPr>
          <w:lang w:eastAsia="en-AU"/>
        </w:rPr>
      </w:pPr>
      <w:r>
        <w:rPr>
          <w:lang w:eastAsia="en-AU"/>
        </w:rPr>
        <w:t xml:space="preserve">The Strong and Resilient Communities </w:t>
      </w:r>
      <w:r w:rsidR="00183868">
        <w:rPr>
          <w:lang w:eastAsia="en-AU"/>
        </w:rPr>
        <w:t xml:space="preserve">Activity </w:t>
      </w:r>
      <w:r w:rsidR="001648B5">
        <w:rPr>
          <w:lang w:eastAsia="en-AU"/>
        </w:rPr>
        <w:t>(SARC</w:t>
      </w:r>
      <w:r w:rsidR="00E1668F">
        <w:rPr>
          <w:lang w:eastAsia="en-AU"/>
        </w:rPr>
        <w:t xml:space="preserve"> – </w:t>
      </w:r>
      <w:r w:rsidR="001648B5">
        <w:rPr>
          <w:lang w:eastAsia="en-AU"/>
        </w:rPr>
        <w:t xml:space="preserve">IC) </w:t>
      </w:r>
      <w:r>
        <w:rPr>
          <w:lang w:eastAsia="en-AU"/>
        </w:rPr>
        <w:t xml:space="preserve">is designed to </w:t>
      </w:r>
      <w:r w:rsidR="004B45F6">
        <w:rPr>
          <w:lang w:eastAsia="en-AU"/>
        </w:rPr>
        <w:t>address barriers to social and economic participation</w:t>
      </w:r>
      <w:r w:rsidR="006F277D">
        <w:rPr>
          <w:lang w:eastAsia="en-AU"/>
        </w:rPr>
        <w:t>.</w:t>
      </w:r>
      <w:r w:rsidR="009D4A9E">
        <w:rPr>
          <w:lang w:eastAsia="en-AU"/>
        </w:rPr>
        <w:t xml:space="preserve"> </w:t>
      </w:r>
      <w:bookmarkStart w:id="8" w:name="_Hlk220493367"/>
      <w:r w:rsidR="009D4A9E">
        <w:rPr>
          <w:lang w:eastAsia="en-AU"/>
        </w:rPr>
        <w:t xml:space="preserve">SARC – IC </w:t>
      </w:r>
      <w:bookmarkEnd w:id="8"/>
      <w:r w:rsidR="00A20E97">
        <w:rPr>
          <w:lang w:eastAsia="en-AU"/>
        </w:rPr>
        <w:t xml:space="preserve">uses </w:t>
      </w:r>
      <w:r w:rsidR="009D7CF0">
        <w:rPr>
          <w:lang w:eastAsia="en-AU"/>
        </w:rPr>
        <w:t>two</w:t>
      </w:r>
      <w:r w:rsidR="00917868">
        <w:rPr>
          <w:lang w:eastAsia="en-AU"/>
        </w:rPr>
        <w:t>-</w:t>
      </w:r>
      <w:r w:rsidR="009D7CF0">
        <w:rPr>
          <w:lang w:eastAsia="en-AU"/>
        </w:rPr>
        <w:t>year grants</w:t>
      </w:r>
      <w:r w:rsidR="0092093A">
        <w:rPr>
          <w:lang w:eastAsia="en-AU"/>
        </w:rPr>
        <w:t xml:space="preserve"> for participating organisations</w:t>
      </w:r>
      <w:r w:rsidR="00A20E97">
        <w:rPr>
          <w:lang w:eastAsia="en-AU"/>
        </w:rPr>
        <w:t xml:space="preserve"> to trial new approaches</w:t>
      </w:r>
      <w:r w:rsidR="00F9481A">
        <w:rPr>
          <w:lang w:eastAsia="en-AU"/>
        </w:rPr>
        <w:t xml:space="preserve"> </w:t>
      </w:r>
      <w:r w:rsidR="00546EDF">
        <w:rPr>
          <w:lang w:eastAsia="en-AU"/>
        </w:rPr>
        <w:t xml:space="preserve">with </w:t>
      </w:r>
      <w:r w:rsidR="002275FE">
        <w:rPr>
          <w:lang w:eastAsia="en-AU"/>
        </w:rPr>
        <w:t>these four groups</w:t>
      </w:r>
      <w:r w:rsidR="00A20E97">
        <w:rPr>
          <w:lang w:eastAsia="en-AU"/>
        </w:rPr>
        <w:t xml:space="preserve"> and relies on </w:t>
      </w:r>
      <w:r w:rsidR="003D5A44">
        <w:rPr>
          <w:lang w:eastAsia="en-AU"/>
        </w:rPr>
        <w:t>local</w:t>
      </w:r>
      <w:r w:rsidR="00A20E97">
        <w:rPr>
          <w:lang w:eastAsia="en-AU"/>
        </w:rPr>
        <w:t xml:space="preserve"> design and delivery of services.</w:t>
      </w:r>
      <w:r w:rsidR="006F277D">
        <w:rPr>
          <w:lang w:eastAsia="en-AU"/>
        </w:rPr>
        <w:t xml:space="preserve"> </w:t>
      </w:r>
      <w:bookmarkStart w:id="9" w:name="_Hlk221693666"/>
      <w:r w:rsidR="006F6F70">
        <w:rPr>
          <w:lang w:eastAsia="en-AU"/>
        </w:rPr>
        <w:t xml:space="preserve">It is funded by a $63m commitment from the Australian </w:t>
      </w:r>
      <w:r w:rsidR="00C64674">
        <w:rPr>
          <w:lang w:eastAsia="en-AU"/>
        </w:rPr>
        <w:t>G</w:t>
      </w:r>
      <w:r w:rsidR="006F6F70">
        <w:rPr>
          <w:lang w:eastAsia="en-AU"/>
        </w:rPr>
        <w:t>overnment</w:t>
      </w:r>
      <w:r w:rsidR="002275FE">
        <w:rPr>
          <w:lang w:eastAsia="en-AU"/>
        </w:rPr>
        <w:t xml:space="preserve"> from July 2022 to June 2028</w:t>
      </w:r>
      <w:r w:rsidR="006F6F70">
        <w:rPr>
          <w:lang w:eastAsia="en-AU"/>
        </w:rPr>
        <w:t>, and has reached</w:t>
      </w:r>
      <w:r w:rsidR="0012288A">
        <w:rPr>
          <w:lang w:eastAsia="en-AU"/>
        </w:rPr>
        <w:t xml:space="preserve"> </w:t>
      </w:r>
      <w:r w:rsidR="001D23E6">
        <w:rPr>
          <w:lang w:eastAsia="en-AU"/>
        </w:rPr>
        <w:t>around</w:t>
      </w:r>
      <w:r w:rsidR="00523480">
        <w:rPr>
          <w:lang w:eastAsia="en-AU"/>
        </w:rPr>
        <w:t xml:space="preserve"> 32,000</w:t>
      </w:r>
      <w:r w:rsidR="00EE508C">
        <w:rPr>
          <w:lang w:eastAsia="en-AU"/>
        </w:rPr>
        <w:t xml:space="preserve"> people</w:t>
      </w:r>
      <w:r w:rsidR="008B337E">
        <w:rPr>
          <w:lang w:eastAsia="en-AU"/>
        </w:rPr>
        <w:t xml:space="preserve"> </w:t>
      </w:r>
      <w:r w:rsidR="0012288A">
        <w:rPr>
          <w:lang w:eastAsia="en-AU"/>
        </w:rPr>
        <w:t>from 2022 to 2025</w:t>
      </w:r>
      <w:r w:rsidR="00455106">
        <w:rPr>
          <w:lang w:eastAsia="en-AU"/>
        </w:rPr>
        <w:t>.</w:t>
      </w:r>
      <w:r w:rsidR="002B29BE">
        <w:rPr>
          <w:rFonts w:ascii="ZWAdobeF" w:hAnsi="ZWAdobeF" w:cs="ZWAdobeF"/>
          <w:sz w:val="2"/>
          <w:szCs w:val="2"/>
          <w:lang w:eastAsia="en-AU"/>
        </w:rPr>
        <w:t>F</w:t>
      </w:r>
      <w:r w:rsidR="00E25379">
        <w:rPr>
          <w:rStyle w:val="FootnoteReference"/>
          <w:lang w:eastAsia="en-AU"/>
        </w:rPr>
        <w:footnoteReference w:id="6"/>
      </w:r>
      <w:r w:rsidR="00171295">
        <w:rPr>
          <w:lang w:eastAsia="en-AU"/>
        </w:rPr>
        <w:t xml:space="preserve"> </w:t>
      </w:r>
      <w:bookmarkEnd w:id="9"/>
      <w:r w:rsidR="000A5F54" w:rsidRPr="000A5F54">
        <w:rPr>
          <w:lang w:eastAsia="en-AU"/>
        </w:rPr>
        <w:t xml:space="preserve">SARC – IC </w:t>
      </w:r>
      <w:r w:rsidR="00574369">
        <w:rPr>
          <w:lang w:eastAsia="en-AU"/>
        </w:rPr>
        <w:t>operates</w:t>
      </w:r>
      <w:r w:rsidR="00171295">
        <w:rPr>
          <w:lang w:eastAsia="en-AU"/>
        </w:rPr>
        <w:t xml:space="preserve"> alongside a broader range of investments </w:t>
      </w:r>
      <w:r w:rsidR="00721776">
        <w:rPr>
          <w:lang w:eastAsia="en-AU"/>
        </w:rPr>
        <w:t xml:space="preserve">across all layers of government </w:t>
      </w:r>
      <w:r w:rsidR="00171295">
        <w:rPr>
          <w:lang w:eastAsia="en-AU"/>
        </w:rPr>
        <w:t xml:space="preserve">to address </w:t>
      </w:r>
      <w:r w:rsidR="00574369">
        <w:rPr>
          <w:lang w:eastAsia="en-AU"/>
        </w:rPr>
        <w:t>social and economic exclusion</w:t>
      </w:r>
      <w:r w:rsidR="00171295">
        <w:rPr>
          <w:lang w:eastAsia="en-AU"/>
        </w:rPr>
        <w:t xml:space="preserve"> (see </w:t>
      </w:r>
      <w:r w:rsidR="000D08D4">
        <w:rPr>
          <w:lang w:eastAsia="en-AU"/>
        </w:rPr>
        <w:t xml:space="preserve">section </w:t>
      </w:r>
      <w:r w:rsidR="000D08D4">
        <w:rPr>
          <w:lang w:eastAsia="en-AU"/>
        </w:rPr>
        <w:fldChar w:fldCharType="begin" w:fldLock="1"/>
      </w:r>
      <w:r w:rsidR="000D08D4">
        <w:rPr>
          <w:lang w:eastAsia="en-AU"/>
        </w:rPr>
        <w:instrText xml:space="preserve"> REF _Ref216864000 \n \h </w:instrText>
      </w:r>
      <w:r w:rsidR="000D08D4">
        <w:rPr>
          <w:lang w:eastAsia="en-AU"/>
        </w:rPr>
      </w:r>
      <w:r w:rsidR="000D08D4">
        <w:rPr>
          <w:lang w:eastAsia="en-AU"/>
        </w:rPr>
        <w:fldChar w:fldCharType="separate"/>
      </w:r>
      <w:r w:rsidR="000D08D4">
        <w:rPr>
          <w:lang w:eastAsia="en-AU"/>
        </w:rPr>
        <w:t>5.1.4</w:t>
      </w:r>
      <w:r w:rsidR="000D08D4">
        <w:rPr>
          <w:lang w:eastAsia="en-AU"/>
        </w:rPr>
        <w:fldChar w:fldCharType="end"/>
      </w:r>
      <w:r w:rsidR="00171295">
        <w:rPr>
          <w:lang w:eastAsia="en-AU"/>
        </w:rPr>
        <w:t>).</w:t>
      </w:r>
    </w:p>
    <w:p w14:paraId="58B68DA6" w14:textId="77777777" w:rsidR="00003DE7" w:rsidRDefault="008B337E" w:rsidP="006D2F42">
      <w:r>
        <w:t xml:space="preserve">This evaluation </w:t>
      </w:r>
      <w:r w:rsidR="00E56013">
        <w:t>has been designed</w:t>
      </w:r>
      <w:r>
        <w:t xml:space="preserve"> to answer four </w:t>
      </w:r>
      <w:r w:rsidR="009460D1">
        <w:t>key questions</w:t>
      </w:r>
      <w:r w:rsidR="00634A91">
        <w:t xml:space="preserve"> about SARC</w:t>
      </w:r>
      <w:r w:rsidR="003E09C5">
        <w:t xml:space="preserve"> – </w:t>
      </w:r>
      <w:r w:rsidR="00634A91">
        <w:t>IC</w:t>
      </w:r>
      <w:r w:rsidR="00003DE7">
        <w:t>:</w:t>
      </w:r>
    </w:p>
    <w:p w14:paraId="6E64F072" w14:textId="77777777" w:rsidR="00003DE7" w:rsidRPr="00B03AC3" w:rsidRDefault="00003DE7" w:rsidP="0009253A">
      <w:pPr>
        <w:pStyle w:val="Listnumbered"/>
      </w:pPr>
      <w:r w:rsidRPr="00B03AC3">
        <w:t>To what extent was</w:t>
      </w:r>
      <w:r w:rsidR="009460D1" w:rsidRPr="00B03AC3">
        <w:t xml:space="preserve"> </w:t>
      </w:r>
      <w:r w:rsidR="00FD304C" w:rsidRPr="00B03AC3">
        <w:t>SARC – IC</w:t>
      </w:r>
      <w:r w:rsidRPr="00B03AC3">
        <w:t>’s design appropriate for achieving its intended aim?</w:t>
      </w:r>
    </w:p>
    <w:p w14:paraId="316928C5" w14:textId="77777777" w:rsidR="00003DE7" w:rsidRPr="00B03AC3" w:rsidRDefault="00003DE7" w:rsidP="00B03AC3">
      <w:pPr>
        <w:pStyle w:val="Listnumbered"/>
      </w:pPr>
      <w:r w:rsidRPr="00B03AC3">
        <w:t xml:space="preserve">To what extent was </w:t>
      </w:r>
      <w:r w:rsidR="00FD304C" w:rsidRPr="00B03AC3">
        <w:t>SARC – IC</w:t>
      </w:r>
      <w:r w:rsidRPr="00B03AC3">
        <w:t xml:space="preserve"> implemented as expected to deliver economic participation, wellbeing and social participation measures?</w:t>
      </w:r>
    </w:p>
    <w:p w14:paraId="2A4DE203" w14:textId="77777777" w:rsidR="00003DE7" w:rsidRPr="00B03AC3" w:rsidRDefault="00003DE7" w:rsidP="00B03AC3">
      <w:pPr>
        <w:pStyle w:val="Listnumbered"/>
      </w:pPr>
      <w:r w:rsidRPr="00B03AC3">
        <w:t xml:space="preserve">How effective is </w:t>
      </w:r>
      <w:r w:rsidR="00FD304C" w:rsidRPr="00B03AC3">
        <w:t>SARC – IC</w:t>
      </w:r>
      <w:r w:rsidRPr="00B03AC3">
        <w:t xml:space="preserve"> design in delivering program objectives and short, medium and long-term outcomes?</w:t>
      </w:r>
    </w:p>
    <w:p w14:paraId="08E45BC5" w14:textId="77777777" w:rsidR="00003DE7" w:rsidRPr="00B03AC3" w:rsidRDefault="00003DE7" w:rsidP="00B03AC3">
      <w:pPr>
        <w:pStyle w:val="Listnumbered"/>
      </w:pPr>
      <w:r w:rsidRPr="00B03AC3">
        <w:t xml:space="preserve">How cost effective is </w:t>
      </w:r>
      <w:r w:rsidR="001E4D65" w:rsidRPr="00B03AC3">
        <w:t>SARC – IC</w:t>
      </w:r>
      <w:r w:rsidRPr="00B03AC3">
        <w:t xml:space="preserve"> considering expected outcomes and benefits?</w:t>
      </w:r>
    </w:p>
    <w:p w14:paraId="3BA13D67" w14:textId="16A7307F" w:rsidR="006C7B32" w:rsidRDefault="00B74649" w:rsidP="00C64B72">
      <w:pPr>
        <w:rPr>
          <w:lang w:eastAsia="en-AU"/>
        </w:rPr>
      </w:pPr>
      <w:r>
        <w:rPr>
          <w:lang w:eastAsia="en-AU"/>
        </w:rPr>
        <w:t xml:space="preserve">It has taken a mixed methods approach to answering these questions, through primary data sources (23 interviews with, and 51 survey responses from, grant recipients; 39 interviews/focus groups with, and </w:t>
      </w:r>
      <w:r w:rsidR="00DE472D">
        <w:rPr>
          <w:lang w:eastAsia="en-AU"/>
        </w:rPr>
        <w:t>21</w:t>
      </w:r>
      <w:r>
        <w:rPr>
          <w:lang w:eastAsia="en-AU"/>
        </w:rPr>
        <w:t xml:space="preserve"> survey responses from, participants) and secondary data collected through the Data Exchange (DEX, 9,902 unique participants) and Activity Work Plans (72 AWPs). Collectively this represents a significant evidence base to inform future investment decisions. The key limitations in the evaluation include: </w:t>
      </w:r>
      <w:r w:rsidRPr="00B64470">
        <w:rPr>
          <w:lang w:eastAsia="en-AU"/>
        </w:rPr>
        <w:t>The evaluation relies on observational administrative data and does not include a randomised control group or a clearly defined counterfactual</w:t>
      </w:r>
      <w:r>
        <w:rPr>
          <w:rFonts w:ascii="ZWAdobeF" w:hAnsi="ZWAdobeF" w:cs="ZWAdobeF"/>
          <w:sz w:val="2"/>
          <w:szCs w:val="2"/>
          <w:lang w:eastAsia="en-AU"/>
        </w:rPr>
        <w:t>6F</w:t>
      </w:r>
      <w:r>
        <w:rPr>
          <w:rStyle w:val="FootnoteReference"/>
          <w:lang w:eastAsia="en-AU"/>
        </w:rPr>
        <w:footnoteReference w:id="7"/>
      </w:r>
      <w:r w:rsidRPr="00B64470">
        <w:rPr>
          <w:lang w:eastAsia="en-AU"/>
        </w:rPr>
        <w:t xml:space="preserve"> and</w:t>
      </w:r>
      <w:r>
        <w:rPr>
          <w:lang w:eastAsia="en-AU"/>
        </w:rPr>
        <w:t xml:space="preserve"> the secondary data had some completeness and quality limitations (see Section </w:t>
      </w:r>
      <w:r w:rsidR="000D6314">
        <w:rPr>
          <w:lang w:eastAsia="en-AU"/>
        </w:rPr>
        <w:fldChar w:fldCharType="begin" w:fldLock="1"/>
      </w:r>
      <w:r w:rsidR="000D6314">
        <w:rPr>
          <w:lang w:eastAsia="en-AU"/>
        </w:rPr>
        <w:instrText xml:space="preserve"> REF _Ref216795913 \n \h </w:instrText>
      </w:r>
      <w:r w:rsidR="000D6314">
        <w:rPr>
          <w:lang w:eastAsia="en-AU"/>
        </w:rPr>
      </w:r>
      <w:r w:rsidR="000D6314">
        <w:rPr>
          <w:lang w:eastAsia="en-AU"/>
        </w:rPr>
        <w:fldChar w:fldCharType="separate"/>
      </w:r>
      <w:r w:rsidR="000D6314">
        <w:rPr>
          <w:lang w:eastAsia="en-AU"/>
        </w:rPr>
        <w:t>4.2</w:t>
      </w:r>
      <w:r w:rsidR="000D6314">
        <w:rPr>
          <w:lang w:eastAsia="en-AU"/>
        </w:rPr>
        <w:fldChar w:fldCharType="end"/>
      </w:r>
      <w:r w:rsidR="00C943E8">
        <w:rPr>
          <w:lang w:eastAsia="en-AU"/>
        </w:rPr>
        <w:t>)</w:t>
      </w:r>
      <w:r w:rsidR="00EE1A95">
        <w:rPr>
          <w:lang w:eastAsia="en-AU"/>
        </w:rPr>
        <w:t>.</w:t>
      </w:r>
      <w:r w:rsidR="006C7B32">
        <w:rPr>
          <w:lang w:eastAsia="en-AU"/>
        </w:rPr>
        <w:t xml:space="preserve"> Below is a summary of our findings.</w:t>
      </w:r>
    </w:p>
    <w:p w14:paraId="26B98789" w14:textId="77777777" w:rsidR="00F87DFB" w:rsidRDefault="00F87DFB">
      <w:pPr>
        <w:spacing w:after="160"/>
        <w:rPr>
          <w:rFonts w:ascii="Segoe UI Semibold" w:eastAsia="Times New Roman" w:hAnsi="Segoe UI Semibold" w:cs="Times New Roman"/>
          <w:color w:val="00264D" w:themeColor="background2"/>
          <w:sz w:val="22"/>
          <w:szCs w:val="19"/>
          <w:lang w:eastAsia="en-AU"/>
        </w:rPr>
      </w:pPr>
      <w:r>
        <w:br w:type="page"/>
      </w:r>
    </w:p>
    <w:p w14:paraId="283B1E84" w14:textId="4AAA81E7" w:rsidR="006C7B32" w:rsidRDefault="002246D2" w:rsidP="002246D2">
      <w:pPr>
        <w:pStyle w:val="Heading2"/>
        <w:numPr>
          <w:ilvl w:val="0"/>
          <w:numId w:val="0"/>
        </w:numPr>
      </w:pPr>
      <w:bookmarkStart w:id="10" w:name="_Toc240883542"/>
      <w:r>
        <w:lastRenderedPageBreak/>
        <w:t>Findings</w:t>
      </w:r>
      <w:bookmarkEnd w:id="10"/>
    </w:p>
    <w:p w14:paraId="4AF95694" w14:textId="272485CD" w:rsidR="006E660B" w:rsidRPr="00132D4D" w:rsidRDefault="002D47D9" w:rsidP="00CA4FAA">
      <w:pPr>
        <w:spacing w:after="0"/>
        <w:rPr>
          <w:rFonts w:asciiTheme="majorHAnsi" w:hAnsiTheme="majorHAnsi" w:cstheme="majorHAnsi"/>
          <w:color w:val="00264D" w:themeColor="background2"/>
        </w:rPr>
      </w:pPr>
      <w:r w:rsidRPr="00132D4D">
        <w:rPr>
          <w:rFonts w:asciiTheme="majorHAnsi" w:hAnsiTheme="majorHAnsi" w:cstheme="majorHAnsi"/>
          <w:color w:val="00264D" w:themeColor="background2"/>
        </w:rPr>
        <w:t>SARC</w:t>
      </w:r>
      <w:r w:rsidR="003E09C5" w:rsidRPr="00132D4D">
        <w:rPr>
          <w:rFonts w:asciiTheme="majorHAnsi" w:hAnsiTheme="majorHAnsi" w:cstheme="majorHAnsi"/>
          <w:color w:val="00264D" w:themeColor="background2"/>
        </w:rPr>
        <w:t xml:space="preserve"> – </w:t>
      </w:r>
      <w:r w:rsidRPr="00132D4D">
        <w:rPr>
          <w:rFonts w:asciiTheme="majorHAnsi" w:hAnsiTheme="majorHAnsi" w:cstheme="majorHAnsi"/>
          <w:color w:val="00264D" w:themeColor="background2"/>
        </w:rPr>
        <w:t>IC’s de</w:t>
      </w:r>
      <w:r w:rsidR="00E0376C" w:rsidRPr="00132D4D">
        <w:rPr>
          <w:rFonts w:asciiTheme="majorHAnsi" w:hAnsiTheme="majorHAnsi" w:cstheme="majorHAnsi"/>
          <w:color w:val="00264D" w:themeColor="background2"/>
        </w:rPr>
        <w:t xml:space="preserve">cision to </w:t>
      </w:r>
      <w:r w:rsidR="002D78A2" w:rsidRPr="00132D4D">
        <w:rPr>
          <w:rFonts w:asciiTheme="majorHAnsi" w:hAnsiTheme="majorHAnsi" w:cstheme="majorHAnsi"/>
          <w:color w:val="00264D" w:themeColor="background2"/>
        </w:rPr>
        <w:t>focus on</w:t>
      </w:r>
      <w:r w:rsidR="00E0376C" w:rsidRPr="00132D4D">
        <w:rPr>
          <w:rFonts w:asciiTheme="majorHAnsi" w:hAnsiTheme="majorHAnsi" w:cstheme="majorHAnsi"/>
          <w:color w:val="00264D" w:themeColor="background2"/>
        </w:rPr>
        <w:t xml:space="preserve"> community driven </w:t>
      </w:r>
      <w:r w:rsidR="00A568B7">
        <w:rPr>
          <w:rFonts w:asciiTheme="majorHAnsi" w:hAnsiTheme="majorHAnsi" w:cstheme="majorHAnsi"/>
          <w:color w:val="00264D" w:themeColor="background2"/>
        </w:rPr>
        <w:t xml:space="preserve">initiatives </w:t>
      </w:r>
      <w:r w:rsidR="00E0376C" w:rsidRPr="00132D4D">
        <w:rPr>
          <w:rFonts w:asciiTheme="majorHAnsi" w:hAnsiTheme="majorHAnsi" w:cstheme="majorHAnsi"/>
          <w:color w:val="00264D" w:themeColor="background2"/>
        </w:rPr>
        <w:t xml:space="preserve">and trialling new approaches </w:t>
      </w:r>
      <w:r w:rsidR="001E1434" w:rsidRPr="00132D4D">
        <w:rPr>
          <w:rFonts w:asciiTheme="majorHAnsi" w:hAnsiTheme="majorHAnsi" w:cstheme="majorHAnsi"/>
          <w:color w:val="00264D" w:themeColor="background2"/>
        </w:rPr>
        <w:t>helped</w:t>
      </w:r>
      <w:r w:rsidR="00E0376C" w:rsidRPr="00132D4D">
        <w:rPr>
          <w:rFonts w:asciiTheme="majorHAnsi" w:hAnsiTheme="majorHAnsi" w:cstheme="majorHAnsi"/>
          <w:color w:val="00264D" w:themeColor="background2"/>
        </w:rPr>
        <w:t xml:space="preserve"> it meet</w:t>
      </w:r>
      <w:r w:rsidR="001E1434" w:rsidRPr="00132D4D">
        <w:rPr>
          <w:rFonts w:asciiTheme="majorHAnsi" w:hAnsiTheme="majorHAnsi" w:cstheme="majorHAnsi"/>
          <w:color w:val="00264D" w:themeColor="background2"/>
        </w:rPr>
        <w:t xml:space="preserve"> local</w:t>
      </w:r>
      <w:r w:rsidR="00E0376C" w:rsidRPr="00132D4D">
        <w:rPr>
          <w:rFonts w:asciiTheme="majorHAnsi" w:hAnsiTheme="majorHAnsi" w:cstheme="majorHAnsi"/>
          <w:color w:val="00264D" w:themeColor="background2"/>
        </w:rPr>
        <w:t xml:space="preserve"> need, but</w:t>
      </w:r>
      <w:r w:rsidR="00C753C9">
        <w:rPr>
          <w:rFonts w:asciiTheme="majorHAnsi" w:hAnsiTheme="majorHAnsi" w:cstheme="majorHAnsi"/>
          <w:color w:val="00264D" w:themeColor="background2"/>
        </w:rPr>
        <w:t xml:space="preserve"> it overlaps with other programs and</w:t>
      </w:r>
      <w:r w:rsidR="00E0376C" w:rsidRPr="00132D4D">
        <w:rPr>
          <w:rFonts w:asciiTheme="majorHAnsi" w:hAnsiTheme="majorHAnsi" w:cstheme="majorHAnsi"/>
          <w:color w:val="00264D" w:themeColor="background2"/>
        </w:rPr>
        <w:t xml:space="preserve"> </w:t>
      </w:r>
      <w:r w:rsidR="001E1434" w:rsidRPr="00132D4D">
        <w:rPr>
          <w:rFonts w:asciiTheme="majorHAnsi" w:hAnsiTheme="majorHAnsi" w:cstheme="majorHAnsi"/>
          <w:color w:val="00264D" w:themeColor="background2"/>
        </w:rPr>
        <w:t xml:space="preserve">short-term funding limits </w:t>
      </w:r>
      <w:r w:rsidR="00E0376C" w:rsidRPr="00132D4D">
        <w:rPr>
          <w:rFonts w:asciiTheme="majorHAnsi" w:hAnsiTheme="majorHAnsi" w:cstheme="majorHAnsi"/>
          <w:color w:val="00264D" w:themeColor="background2"/>
        </w:rPr>
        <w:t>long</w:t>
      </w:r>
      <w:r w:rsidR="00455106">
        <w:rPr>
          <w:rFonts w:asciiTheme="majorHAnsi" w:hAnsiTheme="majorHAnsi" w:cstheme="majorHAnsi"/>
          <w:color w:val="00264D" w:themeColor="background2"/>
        </w:rPr>
        <w:t>-</w:t>
      </w:r>
      <w:r w:rsidR="00E0376C" w:rsidRPr="00132D4D">
        <w:rPr>
          <w:rFonts w:asciiTheme="majorHAnsi" w:hAnsiTheme="majorHAnsi" w:cstheme="majorHAnsi"/>
          <w:color w:val="00264D" w:themeColor="background2"/>
        </w:rPr>
        <w:t xml:space="preserve">term </w:t>
      </w:r>
      <w:r w:rsidR="002D78A2" w:rsidRPr="00132D4D">
        <w:rPr>
          <w:rFonts w:asciiTheme="majorHAnsi" w:hAnsiTheme="majorHAnsi" w:cstheme="majorHAnsi"/>
          <w:color w:val="00264D" w:themeColor="background2"/>
        </w:rPr>
        <w:t>change</w:t>
      </w:r>
      <w:r w:rsidR="005C673A" w:rsidRPr="00132D4D">
        <w:rPr>
          <w:rFonts w:asciiTheme="majorHAnsi" w:hAnsiTheme="majorHAnsi" w:cstheme="majorHAnsi"/>
          <w:color w:val="00264D" w:themeColor="background2"/>
        </w:rPr>
        <w:t>.</w:t>
      </w:r>
    </w:p>
    <w:p w14:paraId="341AD677" w14:textId="401FAF1C" w:rsidR="00AA19A6" w:rsidRDefault="00310768" w:rsidP="00A52B34">
      <w:pPr>
        <w:rPr>
          <w:rFonts w:asciiTheme="minorHAnsi" w:hAnsiTheme="minorHAnsi" w:cstheme="minorHAnsi"/>
        </w:rPr>
      </w:pPr>
      <w:r w:rsidRPr="00B60DA0">
        <w:rPr>
          <w:rFonts w:asciiTheme="minorHAnsi" w:hAnsiTheme="minorHAnsi" w:cstheme="minorHAnsi"/>
        </w:rPr>
        <w:t>SARC</w:t>
      </w:r>
      <w:r w:rsidR="003E09C5">
        <w:rPr>
          <w:rFonts w:asciiTheme="minorHAnsi" w:hAnsiTheme="minorHAnsi" w:cstheme="minorHAnsi"/>
        </w:rPr>
        <w:t xml:space="preserve"> – </w:t>
      </w:r>
      <w:r w:rsidRPr="00B60DA0">
        <w:rPr>
          <w:rFonts w:asciiTheme="minorHAnsi" w:hAnsiTheme="minorHAnsi" w:cstheme="minorHAnsi"/>
        </w:rPr>
        <w:t xml:space="preserve">IC has two key </w:t>
      </w:r>
      <w:r w:rsidR="00B60DA0" w:rsidRPr="00B60DA0">
        <w:rPr>
          <w:rFonts w:asciiTheme="minorHAnsi" w:hAnsiTheme="minorHAnsi" w:cstheme="minorHAnsi"/>
        </w:rPr>
        <w:t>design choices</w:t>
      </w:r>
      <w:r w:rsidRPr="00B60DA0">
        <w:rPr>
          <w:rFonts w:asciiTheme="minorHAnsi" w:hAnsiTheme="minorHAnsi" w:cstheme="minorHAnsi"/>
        </w:rPr>
        <w:t xml:space="preserve"> that shape </w:t>
      </w:r>
      <w:r w:rsidR="00B60DA0">
        <w:rPr>
          <w:rFonts w:asciiTheme="minorHAnsi" w:hAnsiTheme="minorHAnsi" w:cstheme="minorHAnsi"/>
        </w:rPr>
        <w:t>it</w:t>
      </w:r>
      <w:r w:rsidR="001E1434">
        <w:rPr>
          <w:rFonts w:asciiTheme="minorHAnsi" w:hAnsiTheme="minorHAnsi" w:cstheme="minorHAnsi"/>
        </w:rPr>
        <w:t>s design</w:t>
      </w:r>
      <w:r w:rsidRPr="00B60DA0">
        <w:rPr>
          <w:rFonts w:asciiTheme="minorHAnsi" w:hAnsiTheme="minorHAnsi" w:cstheme="minorHAnsi"/>
        </w:rPr>
        <w:t xml:space="preserve">: trialling new approaches and </w:t>
      </w:r>
      <w:r w:rsidR="00B60DA0" w:rsidRPr="00B60DA0">
        <w:rPr>
          <w:rFonts w:asciiTheme="minorHAnsi" w:hAnsiTheme="minorHAnsi" w:cstheme="minorHAnsi"/>
        </w:rPr>
        <w:t xml:space="preserve">focusing on community driven initiatives. </w:t>
      </w:r>
      <w:r w:rsidR="00030118">
        <w:rPr>
          <w:rFonts w:asciiTheme="minorHAnsi" w:hAnsiTheme="minorHAnsi" w:cstheme="minorHAnsi"/>
        </w:rPr>
        <w:t>These then underpin a cohort specific approach</w:t>
      </w:r>
      <w:r w:rsidR="004147BC">
        <w:rPr>
          <w:rFonts w:asciiTheme="minorHAnsi" w:hAnsiTheme="minorHAnsi" w:cstheme="minorHAnsi"/>
        </w:rPr>
        <w:t>, as outlined below.</w:t>
      </w:r>
    </w:p>
    <w:p w14:paraId="2B4521C4" w14:textId="4FF2930C" w:rsidR="009F7C85" w:rsidRDefault="00B83CD9" w:rsidP="00A52B34">
      <w:pPr>
        <w:rPr>
          <w:rFonts w:asciiTheme="minorHAnsi" w:hAnsiTheme="minorHAnsi" w:cstheme="minorHAnsi"/>
        </w:rPr>
      </w:pPr>
      <w:r>
        <w:rPr>
          <w:rFonts w:asciiTheme="minorHAnsi" w:hAnsiTheme="minorHAnsi" w:cstheme="minorHAnsi"/>
        </w:rPr>
        <w:t>The community</w:t>
      </w:r>
      <w:r w:rsidR="00F40C7E">
        <w:rPr>
          <w:rFonts w:asciiTheme="minorHAnsi" w:hAnsiTheme="minorHAnsi" w:cstheme="minorHAnsi"/>
        </w:rPr>
        <w:t>-</w:t>
      </w:r>
      <w:r>
        <w:rPr>
          <w:rFonts w:asciiTheme="minorHAnsi" w:hAnsiTheme="minorHAnsi" w:cstheme="minorHAnsi"/>
        </w:rPr>
        <w:t xml:space="preserve">driven </w:t>
      </w:r>
      <w:r w:rsidR="009F7C85">
        <w:rPr>
          <w:rFonts w:asciiTheme="minorHAnsi" w:hAnsiTheme="minorHAnsi" w:cstheme="minorHAnsi"/>
        </w:rPr>
        <w:t>design choices are about giving recipients flexibility.</w:t>
      </w:r>
      <w:r w:rsidR="005B355F" w:rsidRPr="005B355F">
        <w:rPr>
          <w:lang w:eastAsia="en-AU"/>
        </w:rPr>
        <w:t xml:space="preserve"> </w:t>
      </w:r>
      <w:r w:rsidR="005B355F">
        <w:rPr>
          <w:lang w:eastAsia="en-AU"/>
        </w:rPr>
        <w:t>This approach aligns with growing government investment in place-based approaches</w:t>
      </w:r>
      <w:r w:rsidR="002B29BE">
        <w:rPr>
          <w:rFonts w:ascii="ZWAdobeF" w:hAnsi="ZWAdobeF" w:cs="ZWAdobeF"/>
          <w:sz w:val="2"/>
          <w:szCs w:val="2"/>
          <w:lang w:eastAsia="en-AU"/>
        </w:rPr>
        <w:t>7F</w:t>
      </w:r>
      <w:r w:rsidR="005B355F">
        <w:rPr>
          <w:rStyle w:val="FootnoteReference"/>
          <w:lang w:eastAsia="en-AU"/>
        </w:rPr>
        <w:footnoteReference w:id="8"/>
      </w:r>
      <w:r w:rsidR="005B355F">
        <w:rPr>
          <w:lang w:eastAsia="en-AU"/>
        </w:rPr>
        <w:t xml:space="preserve"> and recommendations from r</w:t>
      </w:r>
      <w:r w:rsidR="005B355F" w:rsidRPr="00534CE8">
        <w:rPr>
          <w:lang w:eastAsia="en-AU"/>
        </w:rPr>
        <w:t xml:space="preserve">ecent consultations with </w:t>
      </w:r>
      <w:r w:rsidR="005B355F">
        <w:rPr>
          <w:lang w:eastAsia="en-AU"/>
        </w:rPr>
        <w:t>C</w:t>
      </w:r>
      <w:r w:rsidR="005B355F" w:rsidRPr="00534CE8">
        <w:rPr>
          <w:lang w:eastAsia="en-AU"/>
        </w:rPr>
        <w:t xml:space="preserve">ommunity </w:t>
      </w:r>
      <w:r w:rsidR="005B355F">
        <w:rPr>
          <w:lang w:eastAsia="en-AU"/>
        </w:rPr>
        <w:t>S</w:t>
      </w:r>
      <w:r w:rsidR="005B355F" w:rsidRPr="00534CE8">
        <w:rPr>
          <w:lang w:eastAsia="en-AU"/>
        </w:rPr>
        <w:t xml:space="preserve">ector </w:t>
      </w:r>
      <w:r w:rsidR="005B355F">
        <w:rPr>
          <w:lang w:eastAsia="en-AU"/>
        </w:rPr>
        <w:t>O</w:t>
      </w:r>
      <w:r w:rsidR="005B355F" w:rsidRPr="00534CE8">
        <w:rPr>
          <w:lang w:eastAsia="en-AU"/>
        </w:rPr>
        <w:t>rganisations</w:t>
      </w:r>
      <w:r w:rsidR="005B355F">
        <w:rPr>
          <w:lang w:eastAsia="en-AU"/>
        </w:rPr>
        <w:t xml:space="preserve"> that</w:t>
      </w:r>
      <w:r w:rsidR="005B355F" w:rsidRPr="00534CE8">
        <w:rPr>
          <w:lang w:eastAsia="en-AU"/>
        </w:rPr>
        <w:t xml:space="preserve"> underscore the </w:t>
      </w:r>
      <w:r w:rsidR="005B355F">
        <w:rPr>
          <w:lang w:eastAsia="en-AU"/>
        </w:rPr>
        <w:t>need</w:t>
      </w:r>
      <w:r w:rsidR="005B355F" w:rsidRPr="00534CE8">
        <w:rPr>
          <w:lang w:eastAsia="en-AU"/>
        </w:rPr>
        <w:t xml:space="preserve"> for increased opportunities to engage community members in co-design</w:t>
      </w:r>
      <w:r w:rsidR="005B355F">
        <w:rPr>
          <w:lang w:eastAsia="en-AU"/>
        </w:rPr>
        <w:t>.</w:t>
      </w:r>
      <w:r w:rsidR="002B29BE">
        <w:rPr>
          <w:rFonts w:ascii="ZWAdobeF" w:hAnsi="ZWAdobeF" w:cs="ZWAdobeF"/>
          <w:sz w:val="2"/>
          <w:szCs w:val="2"/>
          <w:lang w:eastAsia="en-AU"/>
        </w:rPr>
        <w:t>8F</w:t>
      </w:r>
      <w:r w:rsidR="005B355F">
        <w:rPr>
          <w:rStyle w:val="FootnoteReference"/>
          <w:lang w:eastAsia="en-AU"/>
        </w:rPr>
        <w:footnoteReference w:id="9"/>
      </w:r>
      <w:r w:rsidR="009F7C85">
        <w:rPr>
          <w:rFonts w:asciiTheme="minorHAnsi" w:hAnsiTheme="minorHAnsi" w:cstheme="minorHAnsi"/>
        </w:rPr>
        <w:t xml:space="preserve"> Interviews with recipients suggest</w:t>
      </w:r>
      <w:r w:rsidR="00757405">
        <w:rPr>
          <w:rFonts w:asciiTheme="minorHAnsi" w:hAnsiTheme="minorHAnsi" w:cstheme="minorHAnsi"/>
        </w:rPr>
        <w:t xml:space="preserve"> they </w:t>
      </w:r>
      <w:r w:rsidR="00E42348">
        <w:rPr>
          <w:rFonts w:asciiTheme="minorHAnsi" w:hAnsiTheme="minorHAnsi" w:cstheme="minorHAnsi"/>
        </w:rPr>
        <w:t xml:space="preserve">valued the flexibility in the grant guidelines, </w:t>
      </w:r>
      <w:r w:rsidR="00CF54D9">
        <w:rPr>
          <w:rFonts w:asciiTheme="minorHAnsi" w:hAnsiTheme="minorHAnsi" w:cstheme="minorHAnsi"/>
        </w:rPr>
        <w:t>that</w:t>
      </w:r>
      <w:r w:rsidR="00F22D43">
        <w:rPr>
          <w:rFonts w:asciiTheme="minorHAnsi" w:hAnsiTheme="minorHAnsi" w:cstheme="minorHAnsi"/>
        </w:rPr>
        <w:t xml:space="preserve"> allowed</w:t>
      </w:r>
      <w:r w:rsidR="00F22D43" w:rsidRPr="00F22D43">
        <w:rPr>
          <w:rFonts w:asciiTheme="minorHAnsi" w:hAnsiTheme="minorHAnsi" w:cstheme="minorHAnsi"/>
        </w:rPr>
        <w:t xml:space="preserve"> </w:t>
      </w:r>
      <w:r w:rsidR="009F7C85">
        <w:rPr>
          <w:rFonts w:asciiTheme="minorHAnsi" w:hAnsiTheme="minorHAnsi" w:cstheme="minorHAnsi"/>
        </w:rPr>
        <w:t>them</w:t>
      </w:r>
      <w:r w:rsidR="00F22D43" w:rsidRPr="00F22D43">
        <w:rPr>
          <w:rFonts w:asciiTheme="minorHAnsi" w:hAnsiTheme="minorHAnsi" w:cstheme="minorHAnsi"/>
        </w:rPr>
        <w:t xml:space="preserve"> to use funding to remove barriers to access</w:t>
      </w:r>
      <w:r w:rsidR="006F7DAC">
        <w:rPr>
          <w:rFonts w:asciiTheme="minorHAnsi" w:hAnsiTheme="minorHAnsi" w:cstheme="minorHAnsi"/>
        </w:rPr>
        <w:t>,</w:t>
      </w:r>
      <w:r w:rsidR="00F22D43" w:rsidRPr="00F22D43">
        <w:rPr>
          <w:rFonts w:asciiTheme="minorHAnsi" w:hAnsiTheme="minorHAnsi" w:cstheme="minorHAnsi"/>
        </w:rPr>
        <w:t xml:space="preserve"> such as transport or session costs</w:t>
      </w:r>
      <w:r w:rsidR="00437FC2">
        <w:rPr>
          <w:rFonts w:asciiTheme="minorHAnsi" w:hAnsiTheme="minorHAnsi" w:cstheme="minorHAnsi"/>
        </w:rPr>
        <w:t>,</w:t>
      </w:r>
      <w:r w:rsidR="00F053F5">
        <w:rPr>
          <w:rFonts w:asciiTheme="minorHAnsi" w:hAnsiTheme="minorHAnsi" w:cstheme="minorHAnsi"/>
        </w:rPr>
        <w:t xml:space="preserve"> and to</w:t>
      </w:r>
      <w:r w:rsidR="00F22D43" w:rsidRPr="00F22D43">
        <w:rPr>
          <w:rFonts w:asciiTheme="minorHAnsi" w:hAnsiTheme="minorHAnsi" w:cstheme="minorHAnsi"/>
        </w:rPr>
        <w:t xml:space="preserve"> tailor the focus of the </w:t>
      </w:r>
      <w:r w:rsidR="00FA42E1">
        <w:rPr>
          <w:rFonts w:asciiTheme="minorHAnsi" w:hAnsiTheme="minorHAnsi" w:cstheme="minorHAnsi"/>
        </w:rPr>
        <w:t>project</w:t>
      </w:r>
      <w:r w:rsidR="00FA42E1" w:rsidRPr="00F22D43">
        <w:rPr>
          <w:rFonts w:asciiTheme="minorHAnsi" w:hAnsiTheme="minorHAnsi" w:cstheme="minorHAnsi"/>
        </w:rPr>
        <w:t xml:space="preserve"> </w:t>
      </w:r>
      <w:r w:rsidR="00F22D43" w:rsidRPr="00F22D43">
        <w:rPr>
          <w:rFonts w:asciiTheme="minorHAnsi" w:hAnsiTheme="minorHAnsi" w:cstheme="minorHAnsi"/>
        </w:rPr>
        <w:t>to meet client needs and requests</w:t>
      </w:r>
      <w:r w:rsidR="006936A4">
        <w:rPr>
          <w:rFonts w:asciiTheme="minorHAnsi" w:hAnsiTheme="minorHAnsi" w:cstheme="minorHAnsi"/>
        </w:rPr>
        <w:t>. Th</w:t>
      </w:r>
      <w:r w:rsidR="009F7C85">
        <w:rPr>
          <w:rFonts w:asciiTheme="minorHAnsi" w:hAnsiTheme="minorHAnsi" w:cstheme="minorHAnsi"/>
        </w:rPr>
        <w:t xml:space="preserve">e flexibility also allowed them </w:t>
      </w:r>
      <w:r w:rsidR="006936A4">
        <w:rPr>
          <w:rFonts w:asciiTheme="minorHAnsi" w:hAnsiTheme="minorHAnsi" w:cstheme="minorHAnsi"/>
        </w:rPr>
        <w:t xml:space="preserve">to build on their local networks, </w:t>
      </w:r>
      <w:r w:rsidR="00C022E8" w:rsidRPr="00C022E8">
        <w:rPr>
          <w:rFonts w:asciiTheme="minorHAnsi" w:hAnsiTheme="minorHAnsi" w:cstheme="minorHAnsi"/>
        </w:rPr>
        <w:t xml:space="preserve">invest in local capability </w:t>
      </w:r>
      <w:r w:rsidR="006936A4">
        <w:rPr>
          <w:rFonts w:asciiTheme="minorHAnsi" w:hAnsiTheme="minorHAnsi" w:cstheme="minorHAnsi"/>
        </w:rPr>
        <w:t>and</w:t>
      </w:r>
      <w:r w:rsidR="00994118">
        <w:rPr>
          <w:rFonts w:asciiTheme="minorHAnsi" w:hAnsiTheme="minorHAnsi" w:cstheme="minorHAnsi"/>
        </w:rPr>
        <w:t xml:space="preserve"> fill gaps in the system. </w:t>
      </w:r>
    </w:p>
    <w:p w14:paraId="72C913E3" w14:textId="02B49BB7" w:rsidR="00001757" w:rsidRDefault="00957B62" w:rsidP="00001757">
      <w:r w:rsidRPr="35608556">
        <w:rPr>
          <w:rFonts w:asciiTheme="minorHAnsi" w:hAnsiTheme="minorHAnsi"/>
        </w:rPr>
        <w:t>The trialling new approaches elements focused on short</w:t>
      </w:r>
      <w:r w:rsidR="00A14D7F">
        <w:rPr>
          <w:rFonts w:asciiTheme="minorHAnsi" w:hAnsiTheme="minorHAnsi"/>
        </w:rPr>
        <w:t>-</w:t>
      </w:r>
      <w:r w:rsidRPr="35608556">
        <w:rPr>
          <w:rFonts w:asciiTheme="minorHAnsi" w:hAnsiTheme="minorHAnsi"/>
        </w:rPr>
        <w:t xml:space="preserve">term funding, filling a gap in a system and </w:t>
      </w:r>
      <w:r w:rsidR="005B355F" w:rsidRPr="35608556">
        <w:rPr>
          <w:rFonts w:asciiTheme="minorHAnsi" w:hAnsiTheme="minorHAnsi"/>
        </w:rPr>
        <w:t>build</w:t>
      </w:r>
      <w:r w:rsidR="007718FF" w:rsidRPr="35608556">
        <w:rPr>
          <w:rFonts w:asciiTheme="minorHAnsi" w:hAnsiTheme="minorHAnsi"/>
        </w:rPr>
        <w:t>ing</w:t>
      </w:r>
      <w:r w:rsidR="005B355F" w:rsidRPr="35608556">
        <w:rPr>
          <w:rFonts w:asciiTheme="minorHAnsi" w:hAnsiTheme="minorHAnsi"/>
        </w:rPr>
        <w:t xml:space="preserve"> evidence on what works through evaluation</w:t>
      </w:r>
      <w:r w:rsidRPr="35608556">
        <w:rPr>
          <w:rFonts w:asciiTheme="minorHAnsi" w:hAnsiTheme="minorHAnsi"/>
        </w:rPr>
        <w:t xml:space="preserve">. While </w:t>
      </w:r>
      <w:r w:rsidR="00682626" w:rsidRPr="35608556">
        <w:rPr>
          <w:rFonts w:asciiTheme="minorHAnsi" w:hAnsiTheme="minorHAnsi"/>
        </w:rPr>
        <w:t xml:space="preserve">the </w:t>
      </w:r>
      <w:r w:rsidR="00240203" w:rsidRPr="35608556">
        <w:rPr>
          <w:rFonts w:asciiTheme="minorHAnsi" w:hAnsiTheme="minorHAnsi"/>
        </w:rPr>
        <w:t>SARC</w:t>
      </w:r>
      <w:r w:rsidR="009C5F9A" w:rsidRPr="35608556">
        <w:rPr>
          <w:rFonts w:asciiTheme="minorHAnsi" w:hAnsiTheme="minorHAnsi"/>
        </w:rPr>
        <w:t xml:space="preserve"> – </w:t>
      </w:r>
      <w:r w:rsidR="00240203" w:rsidRPr="35608556">
        <w:rPr>
          <w:rFonts w:asciiTheme="minorHAnsi" w:hAnsiTheme="minorHAnsi"/>
        </w:rPr>
        <w:t>IC</w:t>
      </w:r>
      <w:r w:rsidR="00682626" w:rsidRPr="35608556">
        <w:rPr>
          <w:rFonts w:asciiTheme="minorHAnsi" w:hAnsiTheme="minorHAnsi"/>
        </w:rPr>
        <w:t xml:space="preserve"> </w:t>
      </w:r>
      <w:r w:rsidR="00D77085">
        <w:rPr>
          <w:rFonts w:asciiTheme="minorHAnsi" w:hAnsiTheme="minorHAnsi"/>
        </w:rPr>
        <w:t xml:space="preserve">Activity </w:t>
      </w:r>
      <w:r w:rsidR="00682626" w:rsidRPr="35608556">
        <w:rPr>
          <w:rFonts w:asciiTheme="minorHAnsi" w:hAnsiTheme="minorHAnsi"/>
        </w:rPr>
        <w:t xml:space="preserve">is clearly meeting need (see section 5.1.2), </w:t>
      </w:r>
      <w:r w:rsidR="00D77085">
        <w:t xml:space="preserve">grant recipients </w:t>
      </w:r>
      <w:r w:rsidR="00001757">
        <w:t>consistently commented on the negative effect of the short funding rounds with limited pathways to sustainable funding. The short turnaround time from being awarded the grant to beginning delivery encouraged ‘shovel ready’ projects which may have reduced levels of co-design after the grant was awarded</w:t>
      </w:r>
      <w:r w:rsidR="00A26F30">
        <w:t>,</w:t>
      </w:r>
      <w:r w:rsidR="00CF2953">
        <w:t xml:space="preserve"> as there was not </w:t>
      </w:r>
      <w:r w:rsidR="00031E76">
        <w:t>much time to conduct additional consultation or design after funding, and any co-design before receiving the grant was unpaid</w:t>
      </w:r>
      <w:r w:rsidR="00001757">
        <w:t xml:space="preserve">. </w:t>
      </w:r>
      <w:r w:rsidR="009E1C39">
        <w:t xml:space="preserve">Whilst it was made clear to applicants that </w:t>
      </w:r>
      <w:r w:rsidR="000F30F7">
        <w:t xml:space="preserve">funding was only for two years, </w:t>
      </w:r>
      <w:r w:rsidR="000474DB">
        <w:t>s</w:t>
      </w:r>
      <w:r w:rsidR="00001757">
        <w:t>urvey data suggests that only 1</w:t>
      </w:r>
      <w:r w:rsidR="006C338A">
        <w:t>6</w:t>
      </w:r>
      <w:r w:rsidR="00001757">
        <w:t xml:space="preserve"> per cent of services </w:t>
      </w:r>
      <w:r w:rsidR="00585438" w:rsidRPr="006C338A">
        <w:t>(n</w:t>
      </w:r>
      <w:r w:rsidR="00CD3FC1">
        <w:t xml:space="preserve"> </w:t>
      </w:r>
      <w:r w:rsidR="00585438" w:rsidRPr="006C338A">
        <w:t>=</w:t>
      </w:r>
      <w:r w:rsidR="00CD3FC1">
        <w:t xml:space="preserve"> 51</w:t>
      </w:r>
      <w:r w:rsidR="00585438" w:rsidRPr="006C338A">
        <w:t>)</w:t>
      </w:r>
      <w:r w:rsidR="00585438">
        <w:t xml:space="preserve"> </w:t>
      </w:r>
      <w:r w:rsidR="00001757">
        <w:t xml:space="preserve">were able to find funding afterwards, meaning </w:t>
      </w:r>
      <w:r w:rsidR="005B355F">
        <w:t>th</w:t>
      </w:r>
      <w:r w:rsidR="000F3D0F">
        <w:t xml:space="preserve">ere is </w:t>
      </w:r>
      <w:r w:rsidR="00916373">
        <w:t>considerable time being spent by grant recipien</w:t>
      </w:r>
      <w:r w:rsidR="00363E91">
        <w:t>ts standing up and standing down pro</w:t>
      </w:r>
      <w:r w:rsidR="00BD05DB">
        <w:t>ject</w:t>
      </w:r>
      <w:r w:rsidR="00363E91">
        <w:t>s, with a smaller window for delivery</w:t>
      </w:r>
      <w:r w:rsidR="00030118">
        <w:t xml:space="preserve">. </w:t>
      </w:r>
      <w:r w:rsidR="00872251">
        <w:t xml:space="preserve">When </w:t>
      </w:r>
      <w:r w:rsidR="006A024A" w:rsidRPr="00B60DA0">
        <w:rPr>
          <w:rFonts w:asciiTheme="minorHAnsi" w:hAnsiTheme="minorHAnsi" w:cstheme="minorHAnsi"/>
        </w:rPr>
        <w:t>SARC</w:t>
      </w:r>
      <w:r w:rsidR="006A024A">
        <w:rPr>
          <w:rFonts w:asciiTheme="minorHAnsi" w:hAnsiTheme="minorHAnsi" w:cstheme="minorHAnsi"/>
        </w:rPr>
        <w:t xml:space="preserve"> – </w:t>
      </w:r>
      <w:r w:rsidR="006A024A" w:rsidRPr="00B60DA0">
        <w:rPr>
          <w:rFonts w:asciiTheme="minorHAnsi" w:hAnsiTheme="minorHAnsi" w:cstheme="minorHAnsi"/>
        </w:rPr>
        <w:t xml:space="preserve">IC </w:t>
      </w:r>
      <w:r w:rsidR="006C338A">
        <w:rPr>
          <w:rFonts w:asciiTheme="minorHAnsi" w:hAnsiTheme="minorHAnsi" w:cstheme="minorHAnsi"/>
        </w:rPr>
        <w:t>p</w:t>
      </w:r>
      <w:r w:rsidR="00872251">
        <w:t xml:space="preserve">rojects close, it can </w:t>
      </w:r>
      <w:r w:rsidR="00030118">
        <w:t xml:space="preserve">create </w:t>
      </w:r>
      <w:r w:rsidR="00E446E0">
        <w:t>a</w:t>
      </w:r>
      <w:r w:rsidR="00872251">
        <w:t>n unintentional</w:t>
      </w:r>
      <w:r w:rsidR="00E446E0">
        <w:t xml:space="preserve"> perception of loss when a community </w:t>
      </w:r>
      <w:r w:rsidR="00537470">
        <w:t xml:space="preserve">loses </w:t>
      </w:r>
      <w:r w:rsidR="00872251">
        <w:t>something that was</w:t>
      </w:r>
      <w:r w:rsidR="00E446E0">
        <w:t xml:space="preserve"> </w:t>
      </w:r>
      <w:r w:rsidR="005C7485">
        <w:t>seen to be</w:t>
      </w:r>
      <w:r w:rsidR="00E446E0">
        <w:t xml:space="preserve"> </w:t>
      </w:r>
      <w:r w:rsidR="009C2135">
        <w:t xml:space="preserve">improving the lives of </w:t>
      </w:r>
      <w:r w:rsidR="00537470">
        <w:t>its residents</w:t>
      </w:r>
      <w:r w:rsidR="00030118">
        <w:t>, and workers lose their jobs</w:t>
      </w:r>
      <w:r w:rsidR="00001757">
        <w:t>.</w:t>
      </w:r>
    </w:p>
    <w:p w14:paraId="373EDB49" w14:textId="71E26F52" w:rsidR="009F4DB0" w:rsidRDefault="00F202A3" w:rsidP="00C6465F">
      <w:pPr>
        <w:rPr>
          <w:rFonts w:asciiTheme="minorHAnsi" w:hAnsiTheme="minorHAnsi" w:cstheme="minorHAnsi"/>
        </w:rPr>
      </w:pPr>
      <w:r>
        <w:rPr>
          <w:rFonts w:asciiTheme="minorHAnsi" w:hAnsiTheme="minorHAnsi" w:cstheme="minorHAnsi"/>
        </w:rPr>
        <w:t>The focus on the four</w:t>
      </w:r>
      <w:r w:rsidRPr="00F202A3">
        <w:rPr>
          <w:rFonts w:asciiTheme="minorHAnsi" w:hAnsiTheme="minorHAnsi" w:cstheme="minorHAnsi"/>
        </w:rPr>
        <w:t xml:space="preserve"> cohorts generally aligned with </w:t>
      </w:r>
      <w:r>
        <w:rPr>
          <w:rFonts w:asciiTheme="minorHAnsi" w:hAnsiTheme="minorHAnsi" w:cstheme="minorHAnsi"/>
        </w:rPr>
        <w:t xml:space="preserve">literature </w:t>
      </w:r>
      <w:r w:rsidRPr="00F202A3">
        <w:rPr>
          <w:rFonts w:asciiTheme="minorHAnsi" w:hAnsiTheme="minorHAnsi" w:cstheme="minorHAnsi"/>
        </w:rPr>
        <w:t xml:space="preserve">by offering holistic, flexible support that addressed barriers </w:t>
      </w:r>
      <w:r>
        <w:rPr>
          <w:rFonts w:asciiTheme="minorHAnsi" w:hAnsiTheme="minorHAnsi" w:cstheme="minorHAnsi"/>
        </w:rPr>
        <w:t xml:space="preserve">for </w:t>
      </w:r>
      <w:r w:rsidR="008C0647">
        <w:rPr>
          <w:rFonts w:asciiTheme="minorHAnsi" w:hAnsiTheme="minorHAnsi" w:cstheme="minorHAnsi"/>
        </w:rPr>
        <w:t>social and economic participation</w:t>
      </w:r>
      <w:r w:rsidRPr="00F202A3">
        <w:rPr>
          <w:rFonts w:asciiTheme="minorHAnsi" w:hAnsiTheme="minorHAnsi" w:cstheme="minorHAnsi"/>
        </w:rPr>
        <w:t xml:space="preserve">. </w:t>
      </w:r>
      <w:r w:rsidR="004903AC" w:rsidRPr="004903AC">
        <w:rPr>
          <w:rFonts w:asciiTheme="minorHAnsi" w:hAnsiTheme="minorHAnsi" w:cstheme="minorHAnsi"/>
        </w:rPr>
        <w:t xml:space="preserve">The four current priority cohorts reflect key groups the Department has had responsibility for (which has changed as the Department’s remit changes between machineries of government). </w:t>
      </w:r>
      <w:r w:rsidR="009F4DB0">
        <w:rPr>
          <w:rFonts w:asciiTheme="minorHAnsi" w:hAnsiTheme="minorHAnsi" w:cstheme="minorHAnsi"/>
        </w:rPr>
        <w:t xml:space="preserve">However, the evaluation notes that </w:t>
      </w:r>
      <w:r w:rsidR="009F4DB0">
        <w:rPr>
          <w:lang w:eastAsia="en-AU"/>
        </w:rPr>
        <w:t>SARC</w:t>
      </w:r>
      <w:r w:rsidR="009F4DB0">
        <w:t xml:space="preserve"> – </w:t>
      </w:r>
      <w:r w:rsidR="009F4DB0">
        <w:rPr>
          <w:lang w:eastAsia="en-AU"/>
        </w:rPr>
        <w:t>IC operates in isolation from other funding sources, without links to other Department or state/territory funding sources. This is an especially critical gap given SARC</w:t>
      </w:r>
      <w:r w:rsidR="009F4DB0">
        <w:t xml:space="preserve"> – </w:t>
      </w:r>
      <w:r w:rsidR="009F4DB0">
        <w:rPr>
          <w:lang w:eastAsia="en-AU"/>
        </w:rPr>
        <w:t>IC only provides short-term once-off funding, and the policy and program mapping in this evaluation suggests there is significant overlap across other Australian and state government investments (see Section 5.1.4).</w:t>
      </w:r>
    </w:p>
    <w:p w14:paraId="50F978CC" w14:textId="4E048555" w:rsidR="00E26820" w:rsidRPr="00132D4D" w:rsidRDefault="00624BC7" w:rsidP="00CA4FAA">
      <w:pPr>
        <w:spacing w:after="0"/>
        <w:rPr>
          <w:rFonts w:asciiTheme="majorHAnsi" w:hAnsiTheme="majorHAnsi" w:cstheme="majorHAnsi"/>
          <w:color w:val="00264D" w:themeColor="background2"/>
        </w:rPr>
      </w:pPr>
      <w:r w:rsidRPr="00132D4D">
        <w:rPr>
          <w:rFonts w:asciiTheme="majorHAnsi" w:hAnsiTheme="majorHAnsi" w:cstheme="majorHAnsi"/>
          <w:color w:val="00264D" w:themeColor="background2"/>
        </w:rPr>
        <w:t>SARC – IC</w:t>
      </w:r>
      <w:r w:rsidR="00756A4F">
        <w:rPr>
          <w:rFonts w:asciiTheme="majorHAnsi" w:hAnsiTheme="majorHAnsi" w:cstheme="majorHAnsi"/>
          <w:color w:val="00264D" w:themeColor="background2"/>
        </w:rPr>
        <w:t xml:space="preserve"> generally delivered its design as intended</w:t>
      </w:r>
      <w:r w:rsidR="0051272B" w:rsidRPr="00132D4D">
        <w:rPr>
          <w:rFonts w:asciiTheme="majorHAnsi" w:hAnsiTheme="majorHAnsi" w:cstheme="majorHAnsi"/>
          <w:color w:val="00264D" w:themeColor="background2"/>
        </w:rPr>
        <w:t xml:space="preserve">, </w:t>
      </w:r>
      <w:r w:rsidR="00083C93">
        <w:rPr>
          <w:rFonts w:asciiTheme="majorHAnsi" w:hAnsiTheme="majorHAnsi" w:cstheme="majorHAnsi"/>
          <w:color w:val="00264D" w:themeColor="background2"/>
        </w:rPr>
        <w:t xml:space="preserve">but </w:t>
      </w:r>
      <w:r w:rsidR="00245A7F">
        <w:rPr>
          <w:rFonts w:asciiTheme="majorHAnsi" w:hAnsiTheme="majorHAnsi" w:cstheme="majorHAnsi"/>
          <w:color w:val="00264D" w:themeColor="background2"/>
        </w:rPr>
        <w:t>broad eligibility criteria</w:t>
      </w:r>
      <w:r w:rsidR="00DC244E">
        <w:rPr>
          <w:rFonts w:asciiTheme="majorHAnsi" w:hAnsiTheme="majorHAnsi" w:cstheme="majorHAnsi"/>
          <w:color w:val="00264D" w:themeColor="background2"/>
        </w:rPr>
        <w:t xml:space="preserve"> </w:t>
      </w:r>
      <w:r w:rsidR="0057738A">
        <w:rPr>
          <w:rFonts w:asciiTheme="majorHAnsi" w:hAnsiTheme="majorHAnsi" w:cstheme="majorHAnsi"/>
          <w:color w:val="00264D" w:themeColor="background2"/>
        </w:rPr>
        <w:t xml:space="preserve">created a laborious </w:t>
      </w:r>
      <w:r w:rsidR="00A21CB7">
        <w:rPr>
          <w:rFonts w:asciiTheme="majorHAnsi" w:hAnsiTheme="majorHAnsi" w:cstheme="majorHAnsi"/>
          <w:color w:val="00264D" w:themeColor="background2"/>
        </w:rPr>
        <w:t>application and assessment process, and recipients struggled with FAM turnover and DEX reporting</w:t>
      </w:r>
      <w:r w:rsidR="00E26820" w:rsidRPr="00132D4D">
        <w:rPr>
          <w:rFonts w:asciiTheme="majorHAnsi" w:hAnsiTheme="majorHAnsi" w:cstheme="majorHAnsi"/>
          <w:color w:val="00264D" w:themeColor="background2"/>
        </w:rPr>
        <w:t>.</w:t>
      </w:r>
    </w:p>
    <w:p w14:paraId="33517DE6" w14:textId="1FE2FEFE" w:rsidR="00012523" w:rsidRDefault="00E26820" w:rsidP="00012523">
      <w:pPr>
        <w:rPr>
          <w:rFonts w:asciiTheme="minorHAnsi" w:hAnsiTheme="minorHAnsi"/>
        </w:rPr>
      </w:pPr>
      <w:r>
        <w:t>The grant was largely delivered as planned against the program design</w:t>
      </w:r>
      <w:r w:rsidR="001E6A61">
        <w:t xml:space="preserve">. It delivered </w:t>
      </w:r>
      <w:r w:rsidR="00EF1F54">
        <w:t>more than</w:t>
      </w:r>
      <w:r w:rsidR="00B436BB">
        <w:t xml:space="preserve"> </w:t>
      </w:r>
      <w:r w:rsidR="005A3A7B">
        <w:t>95</w:t>
      </w:r>
      <w:r w:rsidR="00B436BB">
        <w:t>,000 sessions</w:t>
      </w:r>
      <w:r w:rsidR="001E6A61">
        <w:t xml:space="preserve"> to</w:t>
      </w:r>
      <w:r w:rsidR="005A3A7B">
        <w:t xml:space="preserve"> </w:t>
      </w:r>
      <w:r w:rsidR="001D23E6">
        <w:t>around</w:t>
      </w:r>
      <w:r w:rsidR="005A3A7B">
        <w:t xml:space="preserve"> 32,000</w:t>
      </w:r>
      <w:r w:rsidR="001E6A61">
        <w:t xml:space="preserve"> people across </w:t>
      </w:r>
      <w:r w:rsidR="003C7026">
        <w:t>three</w:t>
      </w:r>
      <w:r w:rsidR="001E6A61">
        <w:t xml:space="preserve"> years</w:t>
      </w:r>
      <w:r w:rsidR="00A0048A" w:rsidRPr="35608556">
        <w:rPr>
          <w:rFonts w:asciiTheme="minorHAnsi" w:hAnsiTheme="minorHAnsi"/>
        </w:rPr>
        <w:t xml:space="preserve">. </w:t>
      </w:r>
      <w:r w:rsidR="00A65485">
        <w:rPr>
          <w:rFonts w:asciiTheme="minorHAnsi" w:hAnsiTheme="minorHAnsi"/>
        </w:rPr>
        <w:t xml:space="preserve">Projects across the four cohorts emphasised creating safe spaces, peer mentoring and connecting into other services. </w:t>
      </w:r>
      <w:r w:rsidR="003F2A3E">
        <w:rPr>
          <w:rFonts w:asciiTheme="minorHAnsi" w:hAnsiTheme="minorHAnsi"/>
        </w:rPr>
        <w:t>The</w:t>
      </w:r>
      <w:r w:rsidR="003F2A3E" w:rsidRPr="5E20C28B">
        <w:rPr>
          <w:rFonts w:asciiTheme="minorHAnsi" w:hAnsiTheme="minorHAnsi"/>
        </w:rPr>
        <w:t xml:space="preserve"> grant </w:t>
      </w:r>
      <w:r w:rsidR="003F2A3E">
        <w:rPr>
          <w:rFonts w:asciiTheme="minorHAnsi" w:hAnsiTheme="minorHAnsi"/>
        </w:rPr>
        <w:t>process</w:t>
      </w:r>
      <w:r w:rsidR="003F2A3E" w:rsidRPr="5E20C28B">
        <w:rPr>
          <w:rFonts w:asciiTheme="minorHAnsi" w:hAnsiTheme="minorHAnsi"/>
        </w:rPr>
        <w:t xml:space="preserve"> complied with </w:t>
      </w:r>
      <w:r w:rsidR="003F2A3E">
        <w:rPr>
          <w:rFonts w:asciiTheme="minorHAnsi" w:hAnsiTheme="minorHAnsi"/>
        </w:rPr>
        <w:t>all nine of</w:t>
      </w:r>
      <w:r w:rsidR="003F2A3E" w:rsidRPr="5E20C28B">
        <w:rPr>
          <w:rFonts w:asciiTheme="minorHAnsi" w:hAnsiTheme="minorHAnsi"/>
        </w:rPr>
        <w:t xml:space="preserve"> the Australian Government’s </w:t>
      </w:r>
      <w:r w:rsidR="003F2A3E">
        <w:rPr>
          <w:rFonts w:asciiTheme="minorHAnsi" w:hAnsiTheme="minorHAnsi"/>
        </w:rPr>
        <w:t>Grant Rules and P</w:t>
      </w:r>
      <w:r w:rsidR="003F2A3E" w:rsidRPr="5E20C28B">
        <w:rPr>
          <w:rFonts w:asciiTheme="minorHAnsi" w:hAnsiTheme="minorHAnsi"/>
        </w:rPr>
        <w:t>rinciples</w:t>
      </w:r>
      <w:r w:rsidR="00012523">
        <w:rPr>
          <w:rFonts w:asciiTheme="minorHAnsi" w:hAnsiTheme="minorHAnsi"/>
        </w:rPr>
        <w:t xml:space="preserve">, and successful grant recipients found the guidance easy to </w:t>
      </w:r>
      <w:r w:rsidR="001A5F66">
        <w:rPr>
          <w:rFonts w:asciiTheme="minorHAnsi" w:hAnsiTheme="minorHAnsi"/>
        </w:rPr>
        <w:t xml:space="preserve">follow. </w:t>
      </w:r>
      <w:r w:rsidR="003F2A3E" w:rsidRPr="5E20C28B">
        <w:rPr>
          <w:rStyle w:val="FootnoteReference"/>
          <w:rFonts w:asciiTheme="minorHAnsi" w:hAnsiTheme="minorHAnsi"/>
        </w:rPr>
        <w:footnoteReference w:id="10"/>
      </w:r>
    </w:p>
    <w:p w14:paraId="2ED18B50" w14:textId="625D2BEA" w:rsidR="00544043" w:rsidRDefault="00683CA1" w:rsidP="00012523">
      <w:r>
        <w:rPr>
          <w:rFonts w:asciiTheme="minorHAnsi" w:hAnsiTheme="minorHAnsi"/>
        </w:rPr>
        <w:t>The brea</w:t>
      </w:r>
      <w:r w:rsidR="005F6860">
        <w:rPr>
          <w:rFonts w:asciiTheme="minorHAnsi" w:hAnsiTheme="minorHAnsi"/>
        </w:rPr>
        <w:t xml:space="preserve">dth of the eligibility and </w:t>
      </w:r>
      <w:r w:rsidR="009501E3">
        <w:rPr>
          <w:rFonts w:asciiTheme="minorHAnsi" w:hAnsiTheme="minorHAnsi"/>
        </w:rPr>
        <w:t>assessment</w:t>
      </w:r>
      <w:r w:rsidR="005F6860">
        <w:rPr>
          <w:rFonts w:asciiTheme="minorHAnsi" w:hAnsiTheme="minorHAnsi"/>
        </w:rPr>
        <w:t xml:space="preserve"> criteria was appreciated by many successful grant recipients who felt it allowed them the flexibility to deliver a pro</w:t>
      </w:r>
      <w:r w:rsidR="006F39DA">
        <w:rPr>
          <w:rFonts w:asciiTheme="minorHAnsi" w:hAnsiTheme="minorHAnsi"/>
        </w:rPr>
        <w:t>ject</w:t>
      </w:r>
      <w:r w:rsidR="005F6860">
        <w:rPr>
          <w:rFonts w:asciiTheme="minorHAnsi" w:hAnsiTheme="minorHAnsi"/>
        </w:rPr>
        <w:t xml:space="preserve"> tailored to their community. </w:t>
      </w:r>
      <w:r w:rsidR="00DF252D" w:rsidRPr="5E20C28B">
        <w:rPr>
          <w:rFonts w:asciiTheme="minorHAnsi" w:hAnsiTheme="minorHAnsi"/>
        </w:rPr>
        <w:t>However</w:t>
      </w:r>
      <w:r w:rsidR="00D54E94" w:rsidRPr="5E20C28B">
        <w:rPr>
          <w:rFonts w:asciiTheme="minorHAnsi" w:hAnsiTheme="minorHAnsi"/>
        </w:rPr>
        <w:t>,</w:t>
      </w:r>
      <w:r w:rsidR="00544043" w:rsidRPr="5E20C28B">
        <w:rPr>
          <w:rFonts w:asciiTheme="minorHAnsi" w:hAnsiTheme="minorHAnsi"/>
        </w:rPr>
        <w:t xml:space="preserve"> </w:t>
      </w:r>
      <w:r w:rsidR="004858D0">
        <w:t>while</w:t>
      </w:r>
      <w:r w:rsidR="00544043">
        <w:t xml:space="preserve"> th</w:t>
      </w:r>
      <w:r w:rsidR="005F6860">
        <w:t xml:space="preserve">is breadth </w:t>
      </w:r>
      <w:r w:rsidR="004858D0">
        <w:t>supported a community</w:t>
      </w:r>
      <w:r w:rsidR="00A75610">
        <w:t>-</w:t>
      </w:r>
      <w:r w:rsidR="004858D0">
        <w:t xml:space="preserve">driven </w:t>
      </w:r>
      <w:r w:rsidR="00FD71A7">
        <w:t>grant process</w:t>
      </w:r>
      <w:r w:rsidR="004858D0">
        <w:t>, it</w:t>
      </w:r>
      <w:r w:rsidR="005F6860">
        <w:t xml:space="preserve"> </w:t>
      </w:r>
      <w:r w:rsidR="00FD71A7">
        <w:t xml:space="preserve">also unintentionally </w:t>
      </w:r>
      <w:r w:rsidR="007E3E81">
        <w:t xml:space="preserve">fostered a high volume of applications that were never likely </w:t>
      </w:r>
      <w:r w:rsidR="00E70A78">
        <w:t>to be successful.</w:t>
      </w:r>
      <w:r w:rsidR="005F6860">
        <w:t xml:space="preserve"> </w:t>
      </w:r>
      <w:r w:rsidR="00633B42">
        <w:t>Across the SARC</w:t>
      </w:r>
      <w:r w:rsidR="006F39DA">
        <w:t xml:space="preserve"> – IC</w:t>
      </w:r>
      <w:r w:rsidR="00633B42">
        <w:t xml:space="preserve"> rounds, there were between 1100-</w:t>
      </w:r>
      <w:r w:rsidR="00633B42">
        <w:lastRenderedPageBreak/>
        <w:t>1</w:t>
      </w:r>
      <w:r w:rsidR="001D23E6">
        <w:t>,</w:t>
      </w:r>
      <w:r w:rsidR="00633B42">
        <w:t>400 applications</w:t>
      </w:r>
      <w:r w:rsidR="00F265BE">
        <w:t xml:space="preserve"> per round</w:t>
      </w:r>
      <w:r w:rsidR="00633B42">
        <w:t>, of which 33-40 were successful</w:t>
      </w:r>
      <w:r w:rsidR="00A451F0">
        <w:t>, and all of which were</w:t>
      </w:r>
      <w:r w:rsidR="00B8329F">
        <w:t xml:space="preserve"> manually</w:t>
      </w:r>
      <w:r w:rsidR="00A451F0">
        <w:t xml:space="preserve"> reviewed by the </w:t>
      </w:r>
      <w:r w:rsidR="00B8329F">
        <w:t>assessment centre</w:t>
      </w:r>
      <w:r w:rsidR="00633B42">
        <w:t xml:space="preserve">. </w:t>
      </w:r>
      <w:r w:rsidR="00EF362E" w:rsidRPr="00EF362E">
        <w:t xml:space="preserve">This meant a significant number of community organisations invested time and resources in a detailed application process in which they were very unlikely to be </w:t>
      </w:r>
      <w:r w:rsidR="00633B42">
        <w:t>successful</w:t>
      </w:r>
      <w:r w:rsidR="009B2197">
        <w:t xml:space="preserve"> in</w:t>
      </w:r>
      <w:r w:rsidR="00843921">
        <w:t>.</w:t>
      </w:r>
      <w:r w:rsidR="00633B42">
        <w:t xml:space="preserve"> </w:t>
      </w:r>
      <w:r w:rsidR="00E2624F" w:rsidRPr="00E2624F">
        <w:t xml:space="preserve">The </w:t>
      </w:r>
      <w:r w:rsidR="00E2624F">
        <w:t>Department’s</w:t>
      </w:r>
      <w:r w:rsidR="00E2624F" w:rsidRPr="00E2624F">
        <w:t xml:space="preserve"> process was also time-consuming, requiring the </w:t>
      </w:r>
      <w:r w:rsidR="00CB48FC">
        <w:t>Selection Advisory Panel</w:t>
      </w:r>
      <w:r w:rsidR="00E2624F" w:rsidRPr="00E2624F">
        <w:t xml:space="preserve"> to manually assess </w:t>
      </w:r>
      <w:r w:rsidR="006F5CBF">
        <w:t>more than</w:t>
      </w:r>
      <w:r w:rsidR="00E2624F" w:rsidRPr="00E2624F">
        <w:t xml:space="preserve"> 700 applications each round</w:t>
      </w:r>
      <w:r w:rsidR="001A5F66">
        <w:t xml:space="preserve">. </w:t>
      </w:r>
      <w:r w:rsidR="00E80A88">
        <w:rPr>
          <w:rStyle w:val="FootnoteReference"/>
        </w:rPr>
        <w:footnoteReference w:id="11"/>
      </w:r>
      <w:r w:rsidR="00557E38" w:rsidRPr="00557E38">
        <w:t xml:space="preserve"> </w:t>
      </w:r>
      <w:r w:rsidR="00557E38">
        <w:t>S</w:t>
      </w:r>
      <w:r w:rsidR="00557E38" w:rsidRPr="00557E38">
        <w:t xml:space="preserve">ome grant recipients noted </w:t>
      </w:r>
      <w:r w:rsidR="00111E74">
        <w:t>there would be</w:t>
      </w:r>
      <w:r w:rsidR="00557E38" w:rsidRPr="00557E38">
        <w:t xml:space="preserve"> value </w:t>
      </w:r>
      <w:r w:rsidR="00111E74">
        <w:t>in</w:t>
      </w:r>
      <w:r w:rsidR="00557E38" w:rsidRPr="00557E38">
        <w:t xml:space="preserve"> adapting the application process to include an initial Short Expression of Interest submission (EOI), with only applicants successful in the EOI round required to develop a full application</w:t>
      </w:r>
      <w:r w:rsidR="00557E38">
        <w:t xml:space="preserve">. </w:t>
      </w:r>
      <w:r w:rsidR="004D4A68">
        <w:t xml:space="preserve">Further investigation </w:t>
      </w:r>
      <w:r w:rsidR="00595D85">
        <w:t>into how to streamline the grant process may help g</w:t>
      </w:r>
      <w:r w:rsidR="00C767AC">
        <w:t xml:space="preserve">uide the </w:t>
      </w:r>
      <w:r w:rsidR="00111E74">
        <w:t>sector and</w:t>
      </w:r>
      <w:r w:rsidR="00C767AC">
        <w:t xml:space="preserve"> make the process more efficient in the future.</w:t>
      </w:r>
      <w:r w:rsidR="004D4A68">
        <w:t xml:space="preserve"> </w:t>
      </w:r>
    </w:p>
    <w:p w14:paraId="6ADB8392" w14:textId="39EA41E8" w:rsidR="003D5199" w:rsidRPr="003D5199" w:rsidRDefault="003D5199" w:rsidP="00544043">
      <w:pPr>
        <w:rPr>
          <w:rFonts w:asciiTheme="minorHAnsi" w:hAnsiTheme="minorHAnsi" w:cstheme="minorHAnsi"/>
        </w:rPr>
      </w:pPr>
      <w:r>
        <w:rPr>
          <w:rFonts w:asciiTheme="minorHAnsi" w:hAnsiTheme="minorHAnsi" w:cstheme="minorHAnsi"/>
        </w:rPr>
        <w:t xml:space="preserve">Grant recipients also spoke of the role of their Funding Arrangement Managers (FAMs) inconsistently. Where there was a good ongoing relationship, this was spoken of highly. However, many grant recipients were frustrated by the high turnover of FAMs and felt this was a missed opportunity for the Department to play a more active role and receive consistent advice. Whilst turnover of FAMs is not </w:t>
      </w:r>
      <w:r w:rsidRPr="00B60DA0">
        <w:rPr>
          <w:rFonts w:asciiTheme="minorHAnsi" w:hAnsiTheme="minorHAnsi" w:cstheme="minorHAnsi"/>
        </w:rPr>
        <w:t>SARC</w:t>
      </w:r>
      <w:r>
        <w:rPr>
          <w:rFonts w:asciiTheme="minorHAnsi" w:hAnsiTheme="minorHAnsi" w:cstheme="minorHAnsi"/>
        </w:rPr>
        <w:t xml:space="preserve"> – </w:t>
      </w:r>
      <w:r w:rsidRPr="00B60DA0">
        <w:rPr>
          <w:rFonts w:asciiTheme="minorHAnsi" w:hAnsiTheme="minorHAnsi" w:cstheme="minorHAnsi"/>
        </w:rPr>
        <w:t>I</w:t>
      </w:r>
      <w:r>
        <w:rPr>
          <w:rFonts w:asciiTheme="minorHAnsi" w:hAnsiTheme="minorHAnsi" w:cstheme="minorHAnsi"/>
        </w:rPr>
        <w:t xml:space="preserve">C’s responsibility, it is a common finding across Department grants which can negatively affect the longer continuity in grant administration, as has been noted by </w:t>
      </w:r>
      <w:r w:rsidRPr="00B60DA0">
        <w:rPr>
          <w:rFonts w:asciiTheme="minorHAnsi" w:hAnsiTheme="minorHAnsi" w:cstheme="minorHAnsi"/>
        </w:rPr>
        <w:t>SARC</w:t>
      </w:r>
      <w:r>
        <w:rPr>
          <w:rFonts w:asciiTheme="minorHAnsi" w:hAnsiTheme="minorHAnsi" w:cstheme="minorHAnsi"/>
        </w:rPr>
        <w:t xml:space="preserve"> – </w:t>
      </w:r>
      <w:r w:rsidRPr="00B60DA0">
        <w:rPr>
          <w:rFonts w:asciiTheme="minorHAnsi" w:hAnsiTheme="minorHAnsi" w:cstheme="minorHAnsi"/>
        </w:rPr>
        <w:t xml:space="preserve">IC </w:t>
      </w:r>
      <w:r>
        <w:rPr>
          <w:rFonts w:asciiTheme="minorHAnsi" w:hAnsiTheme="minorHAnsi" w:cstheme="minorHAnsi"/>
        </w:rPr>
        <w:t>recipients.</w:t>
      </w:r>
    </w:p>
    <w:p w14:paraId="67B11690" w14:textId="2E9B0C23" w:rsidR="006423D9" w:rsidRDefault="00F47465" w:rsidP="00DF252D">
      <w:pPr>
        <w:rPr>
          <w:rFonts w:asciiTheme="minorHAnsi" w:hAnsiTheme="minorHAnsi" w:cstheme="minorHAnsi"/>
        </w:rPr>
      </w:pPr>
      <w:r>
        <w:rPr>
          <w:rFonts w:asciiTheme="minorHAnsi" w:hAnsiTheme="minorHAnsi" w:cstheme="minorHAnsi"/>
        </w:rPr>
        <w:t>It</w:t>
      </w:r>
      <w:r w:rsidR="006423D9">
        <w:rPr>
          <w:rFonts w:asciiTheme="minorHAnsi" w:hAnsiTheme="minorHAnsi" w:cstheme="minorHAnsi"/>
        </w:rPr>
        <w:t xml:space="preserve"> </w:t>
      </w:r>
      <w:r>
        <w:rPr>
          <w:rFonts w:asciiTheme="minorHAnsi" w:hAnsiTheme="minorHAnsi" w:cstheme="minorHAnsi"/>
        </w:rPr>
        <w:t>is</w:t>
      </w:r>
      <w:r w:rsidR="006423D9">
        <w:rPr>
          <w:rFonts w:asciiTheme="minorHAnsi" w:hAnsiTheme="minorHAnsi" w:cstheme="minorHAnsi"/>
        </w:rPr>
        <w:t xml:space="preserve"> also clear that while </w:t>
      </w:r>
      <w:r w:rsidR="006F39DA">
        <w:rPr>
          <w:rFonts w:asciiTheme="minorHAnsi" w:hAnsiTheme="minorHAnsi" w:cstheme="minorHAnsi"/>
        </w:rPr>
        <w:t xml:space="preserve">SARC – IC’s </w:t>
      </w:r>
      <w:r>
        <w:rPr>
          <w:rFonts w:asciiTheme="minorHAnsi" w:hAnsiTheme="minorHAnsi" w:cstheme="minorHAnsi"/>
        </w:rPr>
        <w:t>funding</w:t>
      </w:r>
      <w:r w:rsidR="006423D9" w:rsidRPr="006C0436">
        <w:rPr>
          <w:rFonts w:asciiTheme="minorHAnsi" w:hAnsiTheme="minorHAnsi" w:cstheme="minorHAnsi"/>
        </w:rPr>
        <w:t xml:space="preserve"> supported evaluation,</w:t>
      </w:r>
      <w:r>
        <w:rPr>
          <w:rFonts w:asciiTheme="minorHAnsi" w:hAnsiTheme="minorHAnsi" w:cstheme="minorHAnsi"/>
        </w:rPr>
        <w:t xml:space="preserve"> </w:t>
      </w:r>
      <w:r w:rsidR="006F5CBF">
        <w:rPr>
          <w:rFonts w:asciiTheme="minorHAnsi" w:hAnsiTheme="minorHAnsi" w:cstheme="minorHAnsi"/>
        </w:rPr>
        <w:t>that</w:t>
      </w:r>
      <w:r>
        <w:rPr>
          <w:rFonts w:asciiTheme="minorHAnsi" w:hAnsiTheme="minorHAnsi" w:cstheme="minorHAnsi"/>
        </w:rPr>
        <w:t xml:space="preserve"> </w:t>
      </w:r>
      <w:r w:rsidR="00B675BE">
        <w:rPr>
          <w:rFonts w:asciiTheme="minorHAnsi" w:hAnsiTheme="minorHAnsi" w:cstheme="minorHAnsi"/>
        </w:rPr>
        <w:t xml:space="preserve">participants </w:t>
      </w:r>
      <w:r>
        <w:rPr>
          <w:rFonts w:asciiTheme="minorHAnsi" w:hAnsiTheme="minorHAnsi" w:cstheme="minorHAnsi"/>
        </w:rPr>
        <w:t>valued,</w:t>
      </w:r>
      <w:r w:rsidR="006423D9" w:rsidRPr="006C0436">
        <w:rPr>
          <w:rFonts w:asciiTheme="minorHAnsi" w:hAnsiTheme="minorHAnsi" w:cstheme="minorHAnsi"/>
        </w:rPr>
        <w:t xml:space="preserve"> there was no </w:t>
      </w:r>
      <w:r w:rsidR="006423D9">
        <w:rPr>
          <w:rFonts w:asciiTheme="minorHAnsi" w:hAnsiTheme="minorHAnsi" w:cstheme="minorHAnsi"/>
        </w:rPr>
        <w:t>formal</w:t>
      </w:r>
      <w:r w:rsidR="006423D9" w:rsidRPr="006C0436">
        <w:rPr>
          <w:rFonts w:asciiTheme="minorHAnsi" w:hAnsiTheme="minorHAnsi" w:cstheme="minorHAnsi"/>
        </w:rPr>
        <w:t xml:space="preserve"> mechanism to share findings</w:t>
      </w:r>
      <w:r w:rsidR="006423D9">
        <w:rPr>
          <w:rFonts w:asciiTheme="minorHAnsi" w:hAnsiTheme="minorHAnsi" w:cstheme="minorHAnsi"/>
        </w:rPr>
        <w:t xml:space="preserve"> within a round or to inform the design of future rounds. </w:t>
      </w:r>
      <w:r>
        <w:rPr>
          <w:rFonts w:asciiTheme="minorHAnsi" w:hAnsiTheme="minorHAnsi" w:cstheme="minorHAnsi"/>
        </w:rPr>
        <w:t xml:space="preserve">Grant recipients also consistently </w:t>
      </w:r>
      <w:r w:rsidR="004A1E4F">
        <w:rPr>
          <w:rFonts w:asciiTheme="minorHAnsi" w:hAnsiTheme="minorHAnsi" w:cstheme="minorHAnsi"/>
        </w:rPr>
        <w:t xml:space="preserve">talked about </w:t>
      </w:r>
      <w:r w:rsidR="00144509">
        <w:rPr>
          <w:rFonts w:asciiTheme="minorHAnsi" w:hAnsiTheme="minorHAnsi" w:cstheme="minorHAnsi"/>
        </w:rPr>
        <w:t>DEX data reporting not being fit for purpose</w:t>
      </w:r>
      <w:r w:rsidR="00CA1980">
        <w:rPr>
          <w:rFonts w:asciiTheme="minorHAnsi" w:hAnsiTheme="minorHAnsi" w:cstheme="minorHAnsi"/>
        </w:rPr>
        <w:t>, time consuming and often duplicating their existing data collection within a service.</w:t>
      </w:r>
    </w:p>
    <w:p w14:paraId="18F2CC5F" w14:textId="6C88372C" w:rsidR="00364A6D" w:rsidRPr="009270B4" w:rsidRDefault="00B675BE" w:rsidP="009270B4">
      <w:pPr>
        <w:spacing w:after="0"/>
        <w:rPr>
          <w:rFonts w:asciiTheme="minorHAnsi" w:hAnsiTheme="minorHAnsi"/>
          <w:b/>
          <w:bCs/>
          <w:color w:val="00264D" w:themeColor="background2"/>
        </w:rPr>
      </w:pPr>
      <w:r w:rsidRPr="35608556">
        <w:rPr>
          <w:rFonts w:asciiTheme="majorHAnsi" w:hAnsiTheme="majorHAnsi" w:cstheme="majorBidi"/>
          <w:color w:val="00264D" w:themeColor="background2"/>
        </w:rPr>
        <w:t>SARC</w:t>
      </w:r>
      <w:r w:rsidR="0043486B">
        <w:rPr>
          <w:rFonts w:asciiTheme="majorHAnsi" w:hAnsiTheme="majorHAnsi" w:cstheme="majorBidi"/>
          <w:color w:val="00264D" w:themeColor="background2"/>
        </w:rPr>
        <w:t xml:space="preserve"> – IC </w:t>
      </w:r>
      <w:r w:rsidR="0043486B" w:rsidRPr="35608556">
        <w:rPr>
          <w:rFonts w:asciiTheme="majorHAnsi" w:hAnsiTheme="majorHAnsi" w:cstheme="majorBidi"/>
          <w:color w:val="00264D" w:themeColor="background2"/>
        </w:rPr>
        <w:t>participants</w:t>
      </w:r>
      <w:r w:rsidRPr="35608556">
        <w:rPr>
          <w:rFonts w:asciiTheme="majorHAnsi" w:hAnsiTheme="majorHAnsi" w:cstheme="majorBidi"/>
          <w:color w:val="00264D" w:themeColor="background2"/>
        </w:rPr>
        <w:t xml:space="preserve"> </w:t>
      </w:r>
      <w:r w:rsidR="006951BD" w:rsidRPr="35608556">
        <w:rPr>
          <w:rFonts w:asciiTheme="majorHAnsi" w:hAnsiTheme="majorHAnsi" w:cstheme="majorBidi"/>
          <w:color w:val="00264D" w:themeColor="background2"/>
        </w:rPr>
        <w:t xml:space="preserve">experienced </w:t>
      </w:r>
      <w:r w:rsidR="00EC345A">
        <w:rPr>
          <w:rFonts w:asciiTheme="majorHAnsi" w:hAnsiTheme="majorHAnsi" w:cstheme="majorBidi"/>
          <w:color w:val="00264D" w:themeColor="background2"/>
        </w:rPr>
        <w:t xml:space="preserve">the strongest </w:t>
      </w:r>
      <w:r w:rsidR="006951BD" w:rsidRPr="35608556">
        <w:rPr>
          <w:rFonts w:asciiTheme="majorHAnsi" w:hAnsiTheme="majorHAnsi" w:cstheme="majorBidi"/>
          <w:color w:val="00264D" w:themeColor="background2"/>
        </w:rPr>
        <w:t xml:space="preserve">improvements </w:t>
      </w:r>
      <w:r w:rsidR="00D213EC" w:rsidRPr="35608556">
        <w:rPr>
          <w:rFonts w:asciiTheme="majorHAnsi" w:hAnsiTheme="majorHAnsi" w:cstheme="majorBidi"/>
          <w:color w:val="00264D" w:themeColor="background2"/>
        </w:rPr>
        <w:t>in</w:t>
      </w:r>
      <w:r w:rsidR="00EC345A">
        <w:rPr>
          <w:rFonts w:asciiTheme="majorHAnsi" w:hAnsiTheme="majorHAnsi" w:cstheme="majorBidi"/>
          <w:color w:val="00264D" w:themeColor="background2"/>
        </w:rPr>
        <w:t xml:space="preserve"> pre/post </w:t>
      </w:r>
      <w:r w:rsidR="00D213EC" w:rsidRPr="35608556">
        <w:rPr>
          <w:rFonts w:asciiTheme="majorHAnsi" w:hAnsiTheme="majorHAnsi" w:cstheme="majorBidi"/>
          <w:color w:val="00264D" w:themeColor="background2"/>
        </w:rPr>
        <w:t>outcomes across</w:t>
      </w:r>
      <w:r w:rsidR="006951BD" w:rsidRPr="35608556">
        <w:rPr>
          <w:rFonts w:asciiTheme="majorHAnsi" w:hAnsiTheme="majorHAnsi" w:cstheme="majorBidi"/>
          <w:color w:val="00264D" w:themeColor="background2"/>
        </w:rPr>
        <w:t xml:space="preserve"> community participation,</w:t>
      </w:r>
      <w:r w:rsidR="005B534B">
        <w:rPr>
          <w:rFonts w:asciiTheme="majorHAnsi" w:hAnsiTheme="majorHAnsi" w:cstheme="majorBidi"/>
          <w:color w:val="00264D" w:themeColor="background2"/>
        </w:rPr>
        <w:t xml:space="preserve"> mental health,</w:t>
      </w:r>
      <w:r w:rsidR="006951BD" w:rsidRPr="35608556">
        <w:rPr>
          <w:rFonts w:asciiTheme="majorHAnsi" w:hAnsiTheme="majorHAnsi" w:cstheme="majorBidi"/>
          <w:color w:val="00264D" w:themeColor="background2"/>
        </w:rPr>
        <w:t xml:space="preserve"> work status and education</w:t>
      </w:r>
      <w:r w:rsidR="007C6068" w:rsidRPr="35608556">
        <w:rPr>
          <w:rFonts w:asciiTheme="majorHAnsi" w:hAnsiTheme="majorHAnsi" w:cstheme="majorBidi"/>
          <w:color w:val="00264D" w:themeColor="background2"/>
        </w:rPr>
        <w:t>.</w:t>
      </w:r>
      <w:r w:rsidR="00734B83" w:rsidRPr="35608556">
        <w:rPr>
          <w:rFonts w:asciiTheme="minorHAnsi" w:hAnsiTheme="minorHAnsi"/>
          <w:b/>
          <w:bCs/>
          <w:color w:val="00264D" w:themeColor="background2"/>
        </w:rPr>
        <w:t xml:space="preserve"> </w:t>
      </w:r>
    </w:p>
    <w:p w14:paraId="4E751147" w14:textId="2CD6A3A6" w:rsidR="0012707A" w:rsidRDefault="00450B78" w:rsidP="00CE4A7E">
      <w:r w:rsidRPr="00CE4A7E">
        <w:t>Pr</w:t>
      </w:r>
      <w:r>
        <w:t>ojects</w:t>
      </w:r>
      <w:r w:rsidRPr="00CE4A7E">
        <w:t xml:space="preserve"> </w:t>
      </w:r>
      <w:r w:rsidR="00CE4A7E" w:rsidRPr="00CE4A7E">
        <w:t>funded through SARC</w:t>
      </w:r>
      <w:r w:rsidR="000C0972">
        <w:t xml:space="preserve"> – </w:t>
      </w:r>
      <w:r w:rsidR="00CE4A7E" w:rsidRPr="00CE4A7E">
        <w:t xml:space="preserve">IC </w:t>
      </w:r>
      <w:r w:rsidR="005B534B">
        <w:t>saw</w:t>
      </w:r>
      <w:r w:rsidR="00CE4A7E" w:rsidRPr="00CE4A7E">
        <w:t xml:space="preserve"> outcomes </w:t>
      </w:r>
      <w:r w:rsidR="005B534B">
        <w:t xml:space="preserve">improve </w:t>
      </w:r>
      <w:r w:rsidR="00CE4A7E" w:rsidRPr="00CE4A7E">
        <w:t xml:space="preserve">for most participants, with </w:t>
      </w:r>
      <w:r w:rsidR="005B534B">
        <w:t xml:space="preserve">the most significant changes </w:t>
      </w:r>
      <w:r w:rsidR="007B7397">
        <w:t>occurring</w:t>
      </w:r>
      <w:r w:rsidR="00CE4A7E" w:rsidRPr="00CE4A7E">
        <w:t xml:space="preserve"> in mental health</w:t>
      </w:r>
      <w:r w:rsidR="00B70AB1">
        <w:t xml:space="preserve"> (</w:t>
      </w:r>
      <w:r w:rsidR="004224A1">
        <w:t>49 per cent improving</w:t>
      </w:r>
      <w:r w:rsidR="00250E09">
        <w:t>, n</w:t>
      </w:r>
      <w:r w:rsidR="000A4A6F">
        <w:t xml:space="preserve"> </w:t>
      </w:r>
      <w:r w:rsidR="00250E09">
        <w:t>=</w:t>
      </w:r>
      <w:r w:rsidR="000A4A6F">
        <w:t xml:space="preserve"> </w:t>
      </w:r>
      <w:r w:rsidR="00250E09">
        <w:t>2,671</w:t>
      </w:r>
      <w:r w:rsidR="004224A1">
        <w:t>)</w:t>
      </w:r>
      <w:r w:rsidR="00CE4A7E" w:rsidRPr="00CE4A7E">
        <w:t>, employment</w:t>
      </w:r>
      <w:r w:rsidR="004224A1">
        <w:t xml:space="preserve"> (</w:t>
      </w:r>
      <w:r w:rsidR="00760B8A">
        <w:t>4</w:t>
      </w:r>
      <w:r w:rsidR="00103EAA">
        <w:t>8</w:t>
      </w:r>
      <w:r w:rsidR="00760B8A">
        <w:t xml:space="preserve"> per cent improving</w:t>
      </w:r>
      <w:r w:rsidR="00250E09">
        <w:t>, n</w:t>
      </w:r>
      <w:r w:rsidR="000A4A6F">
        <w:t xml:space="preserve"> </w:t>
      </w:r>
      <w:r w:rsidR="00250E09">
        <w:t>=</w:t>
      </w:r>
      <w:r w:rsidR="000A4A6F">
        <w:t xml:space="preserve"> </w:t>
      </w:r>
      <w:r w:rsidR="004E047B">
        <w:t>~2,100</w:t>
      </w:r>
      <w:r w:rsidR="00FC7453">
        <w:t>)</w:t>
      </w:r>
      <w:r w:rsidR="004D3D45">
        <w:rPr>
          <w:rStyle w:val="FootnoteReference"/>
        </w:rPr>
        <w:footnoteReference w:id="12"/>
      </w:r>
      <w:r w:rsidR="00CE4A7E" w:rsidRPr="00CE4A7E">
        <w:t>, community participation</w:t>
      </w:r>
      <w:r w:rsidR="00FC7453">
        <w:t xml:space="preserve"> (</w:t>
      </w:r>
      <w:r w:rsidR="00376C36">
        <w:t>55 per cent improving</w:t>
      </w:r>
      <w:r w:rsidR="004E047B">
        <w:t>, n</w:t>
      </w:r>
      <w:r w:rsidR="000A4A6F">
        <w:t xml:space="preserve"> </w:t>
      </w:r>
      <w:r w:rsidR="004E047B">
        <w:t>=</w:t>
      </w:r>
      <w:r w:rsidR="000A4A6F">
        <w:t xml:space="preserve"> </w:t>
      </w:r>
      <w:r w:rsidR="004E047B">
        <w:t>2,304</w:t>
      </w:r>
      <w:r w:rsidR="00FC7453">
        <w:t>)</w:t>
      </w:r>
      <w:r w:rsidR="00CE4A7E" w:rsidRPr="00CE4A7E">
        <w:t>, and education</w:t>
      </w:r>
      <w:r w:rsidR="00376C36">
        <w:t xml:space="preserve"> (45 per cent improving</w:t>
      </w:r>
      <w:r w:rsidR="004E047B">
        <w:t>, n</w:t>
      </w:r>
      <w:r w:rsidR="000A4A6F">
        <w:t xml:space="preserve"> </w:t>
      </w:r>
      <w:r w:rsidR="004E047B">
        <w:t>=</w:t>
      </w:r>
      <w:r w:rsidR="000A4A6F">
        <w:t xml:space="preserve"> </w:t>
      </w:r>
      <w:r w:rsidR="004E047B">
        <w:t>2,578</w:t>
      </w:r>
      <w:r w:rsidR="00376C36">
        <w:t>)</w:t>
      </w:r>
      <w:r w:rsidR="005B534B">
        <w:t>.</w:t>
      </w:r>
      <w:r w:rsidR="00C83631">
        <w:rPr>
          <w:rStyle w:val="FootnoteReference"/>
        </w:rPr>
        <w:footnoteReference w:id="13"/>
      </w:r>
      <w:r w:rsidR="005B534B">
        <w:t xml:space="preserve"> These changes were experienced strongly by participants that were </w:t>
      </w:r>
      <w:r w:rsidR="00CE4A7E" w:rsidRPr="00CE4A7E">
        <w:t xml:space="preserve">young people, unemployed individuals, and women at risk of disadvantage. </w:t>
      </w:r>
      <w:r w:rsidR="005B534B">
        <w:t>Interviewees suggested the program helped them reduce</w:t>
      </w:r>
      <w:r w:rsidR="00CE4A7E" w:rsidRPr="00CE4A7E">
        <w:t xml:space="preserve"> social isolation and </w:t>
      </w:r>
      <w:r w:rsidR="005B534B">
        <w:t>build their confidence</w:t>
      </w:r>
      <w:r w:rsidR="00CE4A7E" w:rsidRPr="00CE4A7E">
        <w:t xml:space="preserve">, which helped </w:t>
      </w:r>
      <w:r w:rsidR="005B534B">
        <w:t>them</w:t>
      </w:r>
      <w:r w:rsidR="00CE4A7E" w:rsidRPr="00CE4A7E">
        <w:t xml:space="preserve"> engage with their communities and access further services. </w:t>
      </w:r>
      <w:r w:rsidR="00F30551">
        <w:t>Furthermore, pro</w:t>
      </w:r>
      <w:r w:rsidR="00B955BA">
        <w:t>jects</w:t>
      </w:r>
      <w:r w:rsidR="00F30551">
        <w:t xml:space="preserve"> were effective at reaching and supporting the most vulnerable members of the community with a significant reduction </w:t>
      </w:r>
      <w:r w:rsidR="005B534B">
        <w:t xml:space="preserve">in </w:t>
      </w:r>
      <w:r w:rsidR="00F30551">
        <w:t xml:space="preserve">the number of </w:t>
      </w:r>
      <w:r w:rsidR="008E31D2">
        <w:t xml:space="preserve">participants recording </w:t>
      </w:r>
      <w:r w:rsidR="000B0BCB">
        <w:t xml:space="preserve">very low (1 or 2 out of 5) SCORE outcomes against key </w:t>
      </w:r>
      <w:r w:rsidR="006E589F">
        <w:t xml:space="preserve">outcomes </w:t>
      </w:r>
      <w:r w:rsidR="005B534B">
        <w:t>at the end of the program (average of 29</w:t>
      </w:r>
      <w:r w:rsidR="004E047B">
        <w:t xml:space="preserve"> per cent</w:t>
      </w:r>
      <w:r w:rsidR="005B534B">
        <w:t xml:space="preserve"> across target groups)</w:t>
      </w:r>
      <w:r w:rsidR="006E589F">
        <w:t>.</w:t>
      </w:r>
    </w:p>
    <w:p w14:paraId="771DFD17" w14:textId="77777777" w:rsidR="0012707A" w:rsidRPr="009270B4" w:rsidRDefault="0012707A" w:rsidP="00CE4A7E">
      <w:pPr>
        <w:rPr>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175"/>
      </w:tblGrid>
      <w:tr w:rsidR="0012707A" w14:paraId="0948782A" w14:textId="77777777" w:rsidTr="0012707A">
        <w:tc>
          <w:tcPr>
            <w:tcW w:w="9175" w:type="dxa"/>
            <w:shd w:val="clear" w:color="auto" w:fill="D9D9D9" w:themeFill="background1" w:themeFillShade="D9"/>
          </w:tcPr>
          <w:p w14:paraId="123E81C1" w14:textId="77777777" w:rsidR="0012707A" w:rsidRDefault="0012707A" w:rsidP="0012707A">
            <w:pPr>
              <w:spacing w:after="0"/>
              <w:rPr>
                <w:rFonts w:asciiTheme="majorHAnsi" w:hAnsiTheme="majorHAnsi" w:cstheme="majorBidi"/>
                <w:color w:val="00264D" w:themeColor="background2"/>
              </w:rPr>
            </w:pPr>
          </w:p>
          <w:p w14:paraId="0304806A" w14:textId="77777777" w:rsidR="0012707A" w:rsidRDefault="0012707A" w:rsidP="0012707A">
            <w:pPr>
              <w:spacing w:after="0"/>
              <w:jc w:val="center"/>
              <w:rPr>
                <w:rFonts w:asciiTheme="majorHAnsi" w:hAnsiTheme="majorHAnsi" w:cstheme="majorBidi"/>
                <w:i/>
                <w:iCs/>
                <w:color w:val="00264D" w:themeColor="background2"/>
              </w:rPr>
            </w:pPr>
            <w:r w:rsidRPr="008C340D">
              <w:rPr>
                <w:rFonts w:asciiTheme="majorHAnsi" w:hAnsiTheme="majorHAnsi" w:cstheme="majorBidi"/>
                <w:i/>
                <w:iCs/>
                <w:color w:val="00264D" w:themeColor="background2"/>
              </w:rPr>
              <w:t xml:space="preserve">“The difference in me is incredible. I started applying for work and building confidence. </w:t>
            </w:r>
          </w:p>
          <w:p w14:paraId="5EBF17EE" w14:textId="77777777" w:rsidR="0012707A" w:rsidRPr="008C340D" w:rsidRDefault="0012707A" w:rsidP="0012707A">
            <w:pPr>
              <w:spacing w:after="0"/>
              <w:jc w:val="center"/>
              <w:rPr>
                <w:rFonts w:asciiTheme="majorHAnsi" w:hAnsiTheme="majorHAnsi" w:cstheme="majorBidi"/>
                <w:i/>
                <w:iCs/>
                <w:color w:val="00264D" w:themeColor="background2"/>
              </w:rPr>
            </w:pPr>
            <w:r w:rsidRPr="008C340D">
              <w:rPr>
                <w:rFonts w:asciiTheme="majorHAnsi" w:hAnsiTheme="majorHAnsi" w:cstheme="majorBidi"/>
                <w:i/>
                <w:iCs/>
                <w:color w:val="00264D" w:themeColor="background2"/>
              </w:rPr>
              <w:t>I just feel myself again</w:t>
            </w:r>
            <w:r>
              <w:rPr>
                <w:rFonts w:asciiTheme="majorHAnsi" w:hAnsiTheme="majorHAnsi" w:cstheme="majorBidi"/>
                <w:i/>
                <w:iCs/>
                <w:color w:val="00264D" w:themeColor="background2"/>
              </w:rPr>
              <w:t>.</w:t>
            </w:r>
            <w:r w:rsidRPr="008C340D">
              <w:rPr>
                <w:rFonts w:asciiTheme="majorHAnsi" w:hAnsiTheme="majorHAnsi" w:cstheme="majorBidi"/>
                <w:i/>
                <w:iCs/>
                <w:color w:val="00264D" w:themeColor="background2"/>
              </w:rPr>
              <w:t>”</w:t>
            </w:r>
          </w:p>
          <w:p w14:paraId="58C499AD" w14:textId="77777777" w:rsidR="0012707A" w:rsidRDefault="0012707A" w:rsidP="00CE4A7E"/>
        </w:tc>
      </w:tr>
    </w:tbl>
    <w:p w14:paraId="6B4D6B0E" w14:textId="77777777" w:rsidR="0012707A" w:rsidRPr="009270B4" w:rsidRDefault="0012707A" w:rsidP="00CE4A7E">
      <w:pPr>
        <w:rPr>
          <w:sz w:val="14"/>
          <w:szCs w:val="14"/>
        </w:rPr>
      </w:pPr>
    </w:p>
    <w:p w14:paraId="0EAD7EB3" w14:textId="584507E9" w:rsidR="00677CA3" w:rsidRDefault="007B17CB" w:rsidP="00CE4A7E">
      <w:r>
        <w:t xml:space="preserve">For many </w:t>
      </w:r>
      <w:r w:rsidR="003C3F64">
        <w:t>participants</w:t>
      </w:r>
      <w:r>
        <w:t xml:space="preserve">, especially vulnerable women and people with a disability, it was the first time they had found a community of people who had been through similar experiences and had similar perspectives. This created a sense of psychological safety that allowed </w:t>
      </w:r>
      <w:r w:rsidR="003C3F64">
        <w:t>participants</w:t>
      </w:r>
      <w:r>
        <w:t xml:space="preserve"> to come out of their shell and connect with others both inside and outside of the pro</w:t>
      </w:r>
      <w:r w:rsidR="006E7F6F">
        <w:t xml:space="preserve">ject </w:t>
      </w:r>
      <w:r>
        <w:t xml:space="preserve">they had </w:t>
      </w:r>
      <w:r w:rsidR="000E1494">
        <w:t>accessed</w:t>
      </w:r>
      <w:r w:rsidR="00BB5C1B">
        <w:t xml:space="preserve">. </w:t>
      </w:r>
    </w:p>
    <w:p w14:paraId="268A95A4" w14:textId="77777777" w:rsidR="009270B4" w:rsidRDefault="009270B4" w:rsidP="00CE4A7E"/>
    <w:p w14:paraId="1F7144A9" w14:textId="7BC8CE06" w:rsidR="00B83F57" w:rsidRPr="00132D4D" w:rsidRDefault="005A6EEF" w:rsidP="00A825C9">
      <w:pPr>
        <w:rPr>
          <w:rFonts w:asciiTheme="majorHAnsi" w:hAnsiTheme="majorHAnsi" w:cstheme="majorHAnsi"/>
          <w:color w:val="00264D" w:themeColor="background2"/>
        </w:rPr>
      </w:pPr>
      <w:r w:rsidRPr="00132D4D">
        <w:rPr>
          <w:rFonts w:asciiTheme="majorHAnsi" w:hAnsiTheme="majorHAnsi" w:cstheme="majorHAnsi"/>
          <w:color w:val="00264D" w:themeColor="background2"/>
        </w:rPr>
        <w:lastRenderedPageBreak/>
        <w:t>SARC</w:t>
      </w:r>
      <w:r w:rsidR="0014382F" w:rsidRPr="00132D4D">
        <w:rPr>
          <w:rFonts w:asciiTheme="majorHAnsi" w:hAnsiTheme="majorHAnsi" w:cstheme="majorHAnsi"/>
          <w:color w:val="00264D" w:themeColor="background2"/>
        </w:rPr>
        <w:t xml:space="preserve"> –</w:t>
      </w:r>
      <w:r w:rsidR="001A653C" w:rsidRPr="00132D4D">
        <w:rPr>
          <w:rFonts w:asciiTheme="majorHAnsi" w:hAnsiTheme="majorHAnsi" w:cstheme="majorHAnsi"/>
          <w:color w:val="00264D" w:themeColor="background2"/>
        </w:rPr>
        <w:t xml:space="preserve"> </w:t>
      </w:r>
      <w:r w:rsidRPr="00132D4D">
        <w:rPr>
          <w:rFonts w:asciiTheme="majorHAnsi" w:hAnsiTheme="majorHAnsi" w:cstheme="majorHAnsi"/>
          <w:color w:val="00264D" w:themeColor="background2"/>
        </w:rPr>
        <w:t>IC</w:t>
      </w:r>
      <w:r w:rsidR="00082070" w:rsidRPr="00132D4D">
        <w:rPr>
          <w:rFonts w:asciiTheme="majorHAnsi" w:hAnsiTheme="majorHAnsi" w:cstheme="majorHAnsi"/>
          <w:color w:val="00264D" w:themeColor="background2"/>
        </w:rPr>
        <w:t xml:space="preserve">’s cost efficiency is similar to other </w:t>
      </w:r>
      <w:r w:rsidR="00B278A1" w:rsidRPr="00132D4D">
        <w:rPr>
          <w:rFonts w:asciiTheme="majorHAnsi" w:hAnsiTheme="majorHAnsi" w:cstheme="majorHAnsi"/>
          <w:color w:val="00264D" w:themeColor="background2"/>
        </w:rPr>
        <w:t>programs</w:t>
      </w:r>
      <w:r w:rsidR="00AA44A5">
        <w:rPr>
          <w:rFonts w:asciiTheme="majorHAnsi" w:hAnsiTheme="majorHAnsi" w:cstheme="majorHAnsi"/>
          <w:color w:val="00264D" w:themeColor="background2"/>
        </w:rPr>
        <w:t xml:space="preserve">, </w:t>
      </w:r>
      <w:r w:rsidR="00BA0360">
        <w:rPr>
          <w:rFonts w:asciiTheme="majorHAnsi" w:hAnsiTheme="majorHAnsi" w:cstheme="majorHAnsi"/>
          <w:color w:val="00264D" w:themeColor="background2"/>
        </w:rPr>
        <w:t>with larger recipients generally delivering greater cost effectiveness</w:t>
      </w:r>
    </w:p>
    <w:p w14:paraId="5EC22C0D" w14:textId="3EA151EE" w:rsidR="00050FE4" w:rsidRDefault="008B06CA" w:rsidP="006D1F7F">
      <w:pPr>
        <w:rPr>
          <w:rFonts w:eastAsia="Times New Roman" w:cs="Times New Roman"/>
          <w:b/>
          <w:color w:val="000000" w:themeColor="text1"/>
          <w:sz w:val="20"/>
          <w:szCs w:val="24"/>
          <w:lang w:eastAsia="en-AU"/>
        </w:rPr>
      </w:pPr>
      <w:r>
        <w:t>SARC</w:t>
      </w:r>
      <w:r w:rsidR="00703E46">
        <w:t xml:space="preserve"> – </w:t>
      </w:r>
      <w:r>
        <w:t>IC is similar in its cost efficiency to other programs targeted at social and economic inclusion (see Section 5.3</w:t>
      </w:r>
      <w:r w:rsidR="00EA48DC">
        <w:t xml:space="preserve"> for further detail</w:t>
      </w:r>
      <w:r>
        <w:t xml:space="preserve">). </w:t>
      </w:r>
      <w:r w:rsidR="00E320F5">
        <w:t xml:space="preserve">SARC </w:t>
      </w:r>
      <w:r w:rsidR="00DF7ACB">
        <w:t>–</w:t>
      </w:r>
      <w:r w:rsidR="00E320F5">
        <w:t xml:space="preserve"> </w:t>
      </w:r>
      <w:r w:rsidR="00591A1E">
        <w:t xml:space="preserve">IC </w:t>
      </w:r>
      <w:r w:rsidR="00591A1E" w:rsidRPr="002D47D9">
        <w:t>has</w:t>
      </w:r>
      <w:r w:rsidR="002D47D9" w:rsidRPr="002D47D9">
        <w:t xml:space="preserve"> </w:t>
      </w:r>
      <w:r w:rsidR="00F66F63">
        <w:t>a weighted</w:t>
      </w:r>
      <w:r w:rsidR="000B66C7" w:rsidRPr="000B66C7">
        <w:t>-</w:t>
      </w:r>
      <w:r w:rsidR="00F66F63">
        <w:t>average cost</w:t>
      </w:r>
      <w:r w:rsidR="002D47D9" w:rsidRPr="002D47D9">
        <w:t xml:space="preserve"> per participant </w:t>
      </w:r>
      <w:r w:rsidR="00F66F63">
        <w:t>of $5</w:t>
      </w:r>
      <w:r w:rsidR="00572166">
        <w:t>,019</w:t>
      </w:r>
      <w:r w:rsidR="000B66C7" w:rsidRPr="000B66C7">
        <w:t xml:space="preserve">. This compares favourably </w:t>
      </w:r>
      <w:r w:rsidR="002D47D9" w:rsidRPr="002D47D9">
        <w:t xml:space="preserve">with </w:t>
      </w:r>
      <w:r w:rsidR="000B66C7" w:rsidRPr="000B66C7">
        <w:t>similar programs (</w:t>
      </w:r>
      <w:r w:rsidR="00A37F93">
        <w:t>s</w:t>
      </w:r>
      <w:r w:rsidR="000B66C7">
        <w:t>ee</w:t>
      </w:r>
      <w:r w:rsidR="004E2AC7">
        <w:t xml:space="preserve"> </w:t>
      </w:r>
      <w:r w:rsidR="004E2AC7">
        <w:fldChar w:fldCharType="begin" w:fldLock="1"/>
      </w:r>
      <w:r w:rsidR="004E2AC7">
        <w:instrText xml:space="preserve"> REF _Ref216959457 \h </w:instrText>
      </w:r>
      <w:r w:rsidR="004E2AC7">
        <w:fldChar w:fldCharType="separate"/>
      </w:r>
      <w:r w:rsidR="004E2AC7">
        <w:t xml:space="preserve">Table </w:t>
      </w:r>
      <w:r w:rsidR="004E2AC7">
        <w:rPr>
          <w:noProof/>
        </w:rPr>
        <w:t>6</w:t>
      </w:r>
      <w:r w:rsidR="004E2AC7">
        <w:fldChar w:fldCharType="end"/>
      </w:r>
      <w:r w:rsidR="000B66C7" w:rsidRPr="000B66C7">
        <w:t>), noting that there is a substantial</w:t>
      </w:r>
      <w:r w:rsidR="002D47D9" w:rsidRPr="002D47D9">
        <w:t xml:space="preserve"> range</w:t>
      </w:r>
      <w:r w:rsidR="000B66C7" w:rsidRPr="000B66C7">
        <w:t xml:space="preserve"> of cost efficiency for some of these programs</w:t>
      </w:r>
      <w:r w:rsidR="000B66C7">
        <w:t xml:space="preserve">. </w:t>
      </w:r>
      <w:r w:rsidR="007D148F">
        <w:t>H</w:t>
      </w:r>
      <w:r w:rsidR="002D47D9" w:rsidRPr="002D47D9">
        <w:t xml:space="preserve">igher costs often reflect more intensive services, lower-than-planned participation, or incomplete DEX data. </w:t>
      </w:r>
      <w:r w:rsidR="00E950D2" w:rsidRPr="008D4FC5">
        <w:t>In general, most providers under SARC – IC are similarly cost-effective</w:t>
      </w:r>
      <w:r w:rsidR="00E950D2">
        <w:t>. However, c</w:t>
      </w:r>
      <w:r w:rsidR="002D47D9" w:rsidRPr="002D47D9">
        <w:t xml:space="preserve">ost‑effectiveness </w:t>
      </w:r>
      <w:r w:rsidR="00E950D2">
        <w:t>does vary</w:t>
      </w:r>
      <w:r w:rsidR="002D47D9" w:rsidRPr="002D47D9">
        <w:t xml:space="preserve"> with </w:t>
      </w:r>
      <w:r w:rsidR="00E950D2">
        <w:t>change in outcome scores</w:t>
      </w:r>
      <w:r w:rsidR="002D47D9" w:rsidRPr="002D47D9">
        <w:t xml:space="preserve"> and sample size; medium and large providers tend to be more cost‑effective due to economies of scale and stronger average gains, with most achieving 0–0.5 points improvement per $10,000 (some higher, a minority negative). </w:t>
      </w:r>
    </w:p>
    <w:p w14:paraId="60273197" w14:textId="7E0C61F5" w:rsidR="00024C72" w:rsidRPr="00050FE4" w:rsidRDefault="00024C72" w:rsidP="002927A8">
      <w:pPr>
        <w:pStyle w:val="Heading2"/>
        <w:numPr>
          <w:ilvl w:val="0"/>
          <w:numId w:val="0"/>
        </w:numPr>
      </w:pPr>
      <w:bookmarkStart w:id="11" w:name="_Toc240883543"/>
      <w:r w:rsidRPr="00050FE4">
        <w:t>Recommendations</w:t>
      </w:r>
      <w:bookmarkEnd w:id="11"/>
    </w:p>
    <w:p w14:paraId="5ADA8A10" w14:textId="79DE5F45" w:rsidR="00B30438" w:rsidRPr="002927A8" w:rsidRDefault="00ED7FE3" w:rsidP="00684D75">
      <w:pPr>
        <w:rPr>
          <w:color w:val="000000" w:themeColor="text1"/>
        </w:rPr>
      </w:pPr>
      <w:r w:rsidRPr="002927A8">
        <w:rPr>
          <w:color w:val="000000" w:themeColor="text1"/>
        </w:rPr>
        <w:t xml:space="preserve">This evaluation has </w:t>
      </w:r>
      <w:r w:rsidR="007A3AC8" w:rsidRPr="002927A8">
        <w:rPr>
          <w:color w:val="000000" w:themeColor="text1"/>
        </w:rPr>
        <w:t xml:space="preserve">grouped the recommendations </w:t>
      </w:r>
      <w:r w:rsidR="00D845AF" w:rsidRPr="002927A8">
        <w:rPr>
          <w:color w:val="000000" w:themeColor="text1"/>
        </w:rPr>
        <w:t xml:space="preserve">into three </w:t>
      </w:r>
      <w:r w:rsidR="00715E7C" w:rsidRPr="002927A8">
        <w:rPr>
          <w:color w:val="000000" w:themeColor="text1"/>
        </w:rPr>
        <w:t>options</w:t>
      </w:r>
      <w:r w:rsidR="00D845AF" w:rsidRPr="002927A8">
        <w:rPr>
          <w:color w:val="000000" w:themeColor="text1"/>
        </w:rPr>
        <w:t>, with</w:t>
      </w:r>
      <w:r w:rsidR="007A3AC8" w:rsidRPr="002927A8">
        <w:rPr>
          <w:color w:val="000000" w:themeColor="text1"/>
        </w:rPr>
        <w:t xml:space="preserve"> </w:t>
      </w:r>
      <w:r w:rsidR="00856F0F" w:rsidRPr="002927A8">
        <w:rPr>
          <w:color w:val="000000" w:themeColor="text1"/>
        </w:rPr>
        <w:t>decreasing</w:t>
      </w:r>
      <w:r w:rsidR="007A3AC8" w:rsidRPr="002927A8">
        <w:rPr>
          <w:color w:val="000000" w:themeColor="text1"/>
        </w:rPr>
        <w:t xml:space="preserve"> levels of benefit and implementation risk/effort. As outlined below, it begins with wholesale change for how government invests in </w:t>
      </w:r>
      <w:r w:rsidR="002C5728" w:rsidRPr="002927A8">
        <w:rPr>
          <w:color w:val="000000" w:themeColor="text1"/>
        </w:rPr>
        <w:t>pr</w:t>
      </w:r>
      <w:r w:rsidR="002C5728">
        <w:rPr>
          <w:color w:val="000000" w:themeColor="text1"/>
        </w:rPr>
        <w:t>oject</w:t>
      </w:r>
      <w:r w:rsidR="002C5728" w:rsidRPr="002927A8">
        <w:rPr>
          <w:color w:val="000000" w:themeColor="text1"/>
        </w:rPr>
        <w:t xml:space="preserve">s </w:t>
      </w:r>
      <w:r w:rsidR="007A3AC8" w:rsidRPr="002927A8">
        <w:rPr>
          <w:color w:val="000000" w:themeColor="text1"/>
        </w:rPr>
        <w:t>to achieve social and economic participation</w:t>
      </w:r>
      <w:r w:rsidR="00856F0F" w:rsidRPr="002927A8">
        <w:rPr>
          <w:color w:val="000000" w:themeColor="text1"/>
        </w:rPr>
        <w:t xml:space="preserve">, </w:t>
      </w:r>
      <w:r w:rsidR="007A3AC8" w:rsidRPr="002927A8">
        <w:rPr>
          <w:color w:val="000000" w:themeColor="text1"/>
        </w:rPr>
        <w:t xml:space="preserve">moves to things that structurally change what </w:t>
      </w:r>
      <w:r w:rsidR="00F874B4" w:rsidRPr="002927A8">
        <w:rPr>
          <w:color w:val="000000" w:themeColor="text1"/>
        </w:rPr>
        <w:t xml:space="preserve">SARC – IC </w:t>
      </w:r>
      <w:r w:rsidR="007A3AC8" w:rsidRPr="002927A8">
        <w:rPr>
          <w:color w:val="000000" w:themeColor="text1"/>
        </w:rPr>
        <w:t xml:space="preserve">is, </w:t>
      </w:r>
      <w:r w:rsidR="00856F0F" w:rsidRPr="002927A8">
        <w:rPr>
          <w:color w:val="000000" w:themeColor="text1"/>
        </w:rPr>
        <w:t xml:space="preserve">and ends with incremental change within the current </w:t>
      </w:r>
      <w:r w:rsidR="00C855B8">
        <w:rPr>
          <w:color w:val="000000" w:themeColor="text1"/>
        </w:rPr>
        <w:t>design</w:t>
      </w:r>
      <w:r w:rsidR="00856F0F" w:rsidRPr="002927A8">
        <w:rPr>
          <w:color w:val="000000" w:themeColor="text1"/>
        </w:rPr>
        <w:t>.</w:t>
      </w:r>
      <w:r w:rsidR="00B95578">
        <w:rPr>
          <w:color w:val="000000" w:themeColor="text1"/>
        </w:rPr>
        <w:t xml:space="preserve"> For full details see Section </w:t>
      </w:r>
      <w:r w:rsidR="00B95578">
        <w:rPr>
          <w:color w:val="000000" w:themeColor="text1"/>
        </w:rPr>
        <w:fldChar w:fldCharType="begin" w:fldLock="1"/>
      </w:r>
      <w:r w:rsidR="00B95578">
        <w:rPr>
          <w:color w:val="000000" w:themeColor="text1"/>
        </w:rPr>
        <w:instrText xml:space="preserve"> REF _Ref220514684 \r \h </w:instrText>
      </w:r>
      <w:r w:rsidR="00B95578">
        <w:rPr>
          <w:color w:val="000000" w:themeColor="text1"/>
        </w:rPr>
      </w:r>
      <w:r w:rsidR="00B95578">
        <w:rPr>
          <w:color w:val="000000" w:themeColor="text1"/>
        </w:rPr>
        <w:fldChar w:fldCharType="separate"/>
      </w:r>
      <w:r w:rsidR="00B95578">
        <w:rPr>
          <w:color w:val="000000" w:themeColor="text1"/>
        </w:rPr>
        <w:t>7</w:t>
      </w:r>
      <w:r w:rsidR="00B95578">
        <w:rPr>
          <w:color w:val="000000" w:themeColor="text1"/>
        </w:rPr>
        <w:fldChar w:fldCharType="end"/>
      </w:r>
      <w:r w:rsidR="00B95578">
        <w:rPr>
          <w:color w:val="000000" w:themeColor="text1"/>
        </w:rPr>
        <w:t>.</w:t>
      </w:r>
    </w:p>
    <w:p w14:paraId="1E0C5C10" w14:textId="448EBE4F" w:rsidR="00684D75" w:rsidRPr="002927A8" w:rsidRDefault="0014362B" w:rsidP="00684D75">
      <w:pPr>
        <w:rPr>
          <w:rFonts w:asciiTheme="majorHAnsi" w:hAnsiTheme="majorHAnsi" w:cstheme="majorHAnsi"/>
          <w:color w:val="000000" w:themeColor="text1"/>
        </w:rPr>
      </w:pPr>
      <w:r w:rsidRPr="002927A8">
        <w:rPr>
          <w:rFonts w:asciiTheme="majorHAnsi" w:hAnsiTheme="majorHAnsi" w:cstheme="majorHAnsi"/>
          <w:color w:val="000000" w:themeColor="text1"/>
          <w:bdr w:val="single" w:sz="18" w:space="0" w:color="F25E21" w:themeColor="accent2"/>
          <w:shd w:val="clear" w:color="auto" w:fill="F25E21" w:themeFill="accent2"/>
        </w:rPr>
        <w:t xml:space="preserve"> </w:t>
      </w:r>
      <w:r w:rsidR="00050FE4" w:rsidRPr="002927A8">
        <w:rPr>
          <w:rFonts w:asciiTheme="majorHAnsi" w:hAnsiTheme="majorHAnsi" w:cstheme="majorHAnsi"/>
          <w:color w:val="000000" w:themeColor="text1"/>
          <w:bdr w:val="single" w:sz="18" w:space="0" w:color="F25E21" w:themeColor="accent2"/>
          <w:shd w:val="clear" w:color="auto" w:fill="F25E21" w:themeFill="accent2"/>
        </w:rPr>
        <w:t>OPTION 1</w:t>
      </w:r>
      <w:r w:rsidRPr="002927A8">
        <w:rPr>
          <w:rFonts w:asciiTheme="majorHAnsi" w:hAnsiTheme="majorHAnsi" w:cstheme="majorHAnsi"/>
          <w:color w:val="000000" w:themeColor="text1"/>
          <w:bdr w:val="single" w:sz="18" w:space="0" w:color="F25E21" w:themeColor="accent2"/>
          <w:shd w:val="clear" w:color="auto" w:fill="F25E21" w:themeFill="accent2"/>
        </w:rPr>
        <w:t xml:space="preserve"> </w:t>
      </w:r>
      <w:r w:rsidR="00050FE4" w:rsidRPr="002927A8">
        <w:rPr>
          <w:rFonts w:asciiTheme="majorHAnsi" w:hAnsiTheme="majorHAnsi" w:cstheme="majorHAnsi"/>
          <w:color w:val="000000" w:themeColor="text1"/>
        </w:rPr>
        <w:t xml:space="preserve"> </w:t>
      </w:r>
      <w:r w:rsidR="007A3AC8" w:rsidRPr="002927A8">
        <w:rPr>
          <w:rFonts w:asciiTheme="majorHAnsi" w:hAnsiTheme="majorHAnsi" w:cstheme="majorHAnsi"/>
          <w:color w:val="000000" w:themeColor="text1"/>
        </w:rPr>
        <w:t xml:space="preserve"> </w:t>
      </w:r>
      <w:r w:rsidR="00E524EC" w:rsidRPr="002927A8">
        <w:rPr>
          <w:rFonts w:asciiTheme="minorHAnsi" w:hAnsiTheme="minorHAnsi" w:cstheme="minorHAnsi"/>
          <w:b/>
          <w:color w:val="000000" w:themeColor="text1"/>
        </w:rPr>
        <w:t>Re-design how government commissions services to improve social and economic participation for vulnerable Australians.</w:t>
      </w:r>
    </w:p>
    <w:p w14:paraId="75331805" w14:textId="4D0612F0" w:rsidR="00E524EC" w:rsidRPr="002927A8" w:rsidRDefault="001E3E42" w:rsidP="00684D75">
      <w:pPr>
        <w:rPr>
          <w:color w:val="000000" w:themeColor="text1"/>
        </w:rPr>
      </w:pPr>
      <w:r w:rsidRPr="002927A8">
        <w:rPr>
          <w:color w:val="000000" w:themeColor="text1"/>
        </w:rPr>
        <w:t xml:space="preserve">Redesign the </w:t>
      </w:r>
      <w:r w:rsidR="00E9573F" w:rsidRPr="002927A8">
        <w:rPr>
          <w:color w:val="000000" w:themeColor="text1"/>
        </w:rPr>
        <w:t>Department’s</w:t>
      </w:r>
      <w:r w:rsidR="0043303B" w:rsidRPr="002927A8">
        <w:rPr>
          <w:color w:val="000000" w:themeColor="text1"/>
        </w:rPr>
        <w:t xml:space="preserve"> </w:t>
      </w:r>
      <w:r w:rsidRPr="002927A8">
        <w:rPr>
          <w:color w:val="000000" w:themeColor="text1"/>
        </w:rPr>
        <w:t>commissioning approach to focus on long-term, outcome-driven partnerships that improve social and economic participation for vulnerable Australians. This involves halting current</w:t>
      </w:r>
      <w:r w:rsidR="00E9573F" w:rsidRPr="002927A8">
        <w:rPr>
          <w:color w:val="000000" w:themeColor="text1"/>
        </w:rPr>
        <w:t xml:space="preserve"> SARC</w:t>
      </w:r>
      <w:r w:rsidR="00C767F1" w:rsidRPr="002927A8">
        <w:rPr>
          <w:color w:val="000000" w:themeColor="text1"/>
        </w:rPr>
        <w:t xml:space="preserve"> – </w:t>
      </w:r>
      <w:r w:rsidR="00E9573F" w:rsidRPr="002927A8">
        <w:rPr>
          <w:color w:val="000000" w:themeColor="text1"/>
        </w:rPr>
        <w:t>IC</w:t>
      </w:r>
      <w:r w:rsidRPr="002927A8">
        <w:rPr>
          <w:color w:val="000000" w:themeColor="text1"/>
        </w:rPr>
        <w:t xml:space="preserve"> funding rounds, refining target cohorts, clarifying </w:t>
      </w:r>
      <w:r w:rsidR="00246FD6" w:rsidRPr="002927A8">
        <w:rPr>
          <w:color w:val="000000" w:themeColor="text1"/>
        </w:rPr>
        <w:t>guidance on the grant guidelines and how it is building a</w:t>
      </w:r>
      <w:r w:rsidR="00BF3C28" w:rsidRPr="002927A8">
        <w:rPr>
          <w:color w:val="000000" w:themeColor="text1"/>
        </w:rPr>
        <w:t>n end</w:t>
      </w:r>
      <w:r w:rsidR="00206112" w:rsidRPr="002927A8">
        <w:rPr>
          <w:color w:val="000000" w:themeColor="text1"/>
        </w:rPr>
        <w:t>-</w:t>
      </w:r>
      <w:r w:rsidR="00BF3C28" w:rsidRPr="002927A8">
        <w:rPr>
          <w:color w:val="000000" w:themeColor="text1"/>
        </w:rPr>
        <w:t>to</w:t>
      </w:r>
      <w:r w:rsidR="00206112" w:rsidRPr="002927A8">
        <w:rPr>
          <w:color w:val="000000" w:themeColor="text1"/>
        </w:rPr>
        <w:t>-</w:t>
      </w:r>
      <w:r w:rsidR="00BF3C28" w:rsidRPr="002927A8">
        <w:rPr>
          <w:color w:val="000000" w:themeColor="text1"/>
        </w:rPr>
        <w:t>end service system</w:t>
      </w:r>
      <w:r w:rsidRPr="002927A8">
        <w:rPr>
          <w:color w:val="000000" w:themeColor="text1"/>
        </w:rPr>
        <w:t>, and adopting commissioning models that enable strategic</w:t>
      </w:r>
      <w:r w:rsidR="008B3246">
        <w:rPr>
          <w:color w:val="000000" w:themeColor="text1"/>
        </w:rPr>
        <w:t xml:space="preserve"> and</w:t>
      </w:r>
      <w:r w:rsidRPr="002927A8">
        <w:rPr>
          <w:color w:val="000000" w:themeColor="text1"/>
        </w:rPr>
        <w:t xml:space="preserve"> scalable investment. These changes will reduce duplication and administrative burden, leverage economies of scale, and deliver sustainable, community-focused outcomes. See Section 6 for more details.</w:t>
      </w:r>
    </w:p>
    <w:p w14:paraId="0448562E" w14:textId="752286C5" w:rsidR="00D41BF1" w:rsidRPr="002927A8" w:rsidRDefault="0014362B" w:rsidP="00D41BF1">
      <w:pPr>
        <w:rPr>
          <w:rFonts w:asciiTheme="majorHAnsi" w:hAnsiTheme="majorHAnsi" w:cstheme="majorHAnsi"/>
          <w:color w:val="000000" w:themeColor="text1"/>
        </w:rPr>
      </w:pPr>
      <w:r w:rsidRPr="002927A8">
        <w:rPr>
          <w:rFonts w:asciiTheme="majorHAnsi" w:hAnsiTheme="majorHAnsi" w:cstheme="majorHAnsi"/>
          <w:color w:val="000000" w:themeColor="text1"/>
          <w:bdr w:val="single" w:sz="18" w:space="0" w:color="F25E21" w:themeColor="accent2"/>
          <w:shd w:val="clear" w:color="auto" w:fill="F25E21" w:themeFill="accent2"/>
        </w:rPr>
        <w:t xml:space="preserve"> </w:t>
      </w:r>
      <w:r w:rsidR="00050FE4" w:rsidRPr="002927A8">
        <w:rPr>
          <w:rFonts w:asciiTheme="majorHAnsi" w:hAnsiTheme="majorHAnsi" w:cstheme="majorHAnsi"/>
          <w:color w:val="000000" w:themeColor="text1"/>
          <w:bdr w:val="single" w:sz="18" w:space="0" w:color="F25E21" w:themeColor="accent2"/>
          <w:shd w:val="clear" w:color="auto" w:fill="F25E21" w:themeFill="accent2"/>
        </w:rPr>
        <w:t>OPTION 2</w:t>
      </w:r>
      <w:r w:rsidRPr="002927A8">
        <w:rPr>
          <w:rFonts w:asciiTheme="majorHAnsi" w:hAnsiTheme="majorHAnsi" w:cstheme="majorHAnsi"/>
          <w:color w:val="000000" w:themeColor="text1"/>
          <w:bdr w:val="single" w:sz="18" w:space="0" w:color="F25E21" w:themeColor="accent2"/>
          <w:shd w:val="clear" w:color="auto" w:fill="F25E21" w:themeFill="accent2"/>
        </w:rPr>
        <w:t xml:space="preserve"> </w:t>
      </w:r>
      <w:r w:rsidR="00050FE4" w:rsidRPr="002927A8">
        <w:rPr>
          <w:rFonts w:asciiTheme="majorHAnsi" w:hAnsiTheme="majorHAnsi" w:cstheme="majorHAnsi"/>
          <w:color w:val="000000" w:themeColor="text1"/>
        </w:rPr>
        <w:t xml:space="preserve"> </w:t>
      </w:r>
      <w:r w:rsidR="00D41BF1" w:rsidRPr="002927A8">
        <w:rPr>
          <w:rFonts w:asciiTheme="majorHAnsi" w:hAnsiTheme="majorHAnsi" w:cstheme="majorHAnsi"/>
          <w:color w:val="000000" w:themeColor="text1"/>
        </w:rPr>
        <w:t xml:space="preserve"> </w:t>
      </w:r>
      <w:r w:rsidR="00D41BF1" w:rsidRPr="002927A8">
        <w:rPr>
          <w:rFonts w:asciiTheme="minorHAnsi" w:hAnsiTheme="minorHAnsi" w:cstheme="minorHAnsi"/>
          <w:b/>
          <w:color w:val="000000" w:themeColor="text1"/>
        </w:rPr>
        <w:t>Enhance SARC</w:t>
      </w:r>
      <w:r w:rsidR="00775238" w:rsidRPr="002927A8">
        <w:rPr>
          <w:rFonts w:asciiTheme="minorHAnsi" w:hAnsiTheme="minorHAnsi" w:cstheme="minorHAnsi"/>
          <w:b/>
          <w:color w:val="000000" w:themeColor="text1"/>
        </w:rPr>
        <w:t xml:space="preserve"> – </w:t>
      </w:r>
      <w:r w:rsidR="00D41BF1" w:rsidRPr="002927A8">
        <w:rPr>
          <w:rFonts w:asciiTheme="minorHAnsi" w:hAnsiTheme="minorHAnsi" w:cstheme="minorHAnsi"/>
          <w:b/>
          <w:color w:val="000000" w:themeColor="text1"/>
        </w:rPr>
        <w:t xml:space="preserve">IC </w:t>
      </w:r>
      <w:r w:rsidR="00FF6A23">
        <w:rPr>
          <w:rFonts w:asciiTheme="minorHAnsi" w:hAnsiTheme="minorHAnsi" w:cstheme="minorHAnsi"/>
          <w:b/>
          <w:color w:val="000000" w:themeColor="text1"/>
        </w:rPr>
        <w:t xml:space="preserve">Activity </w:t>
      </w:r>
      <w:r w:rsidR="00D41BF1" w:rsidRPr="002927A8">
        <w:rPr>
          <w:rFonts w:asciiTheme="minorHAnsi" w:hAnsiTheme="minorHAnsi" w:cstheme="minorHAnsi"/>
          <w:b/>
          <w:color w:val="000000" w:themeColor="text1"/>
        </w:rPr>
        <w:t xml:space="preserve">with </w:t>
      </w:r>
      <w:r w:rsidR="00DA53F8">
        <w:rPr>
          <w:rFonts w:asciiTheme="minorHAnsi" w:hAnsiTheme="minorHAnsi" w:cstheme="minorHAnsi"/>
          <w:b/>
          <w:color w:val="000000" w:themeColor="text1"/>
        </w:rPr>
        <w:t>s</w:t>
      </w:r>
      <w:r w:rsidR="00D41BF1" w:rsidRPr="002927A8">
        <w:rPr>
          <w:rFonts w:asciiTheme="minorHAnsi" w:hAnsiTheme="minorHAnsi" w:cstheme="minorHAnsi"/>
          <w:b/>
          <w:color w:val="000000" w:themeColor="text1"/>
        </w:rPr>
        <w:t xml:space="preserve">tructural </w:t>
      </w:r>
      <w:r w:rsidR="00DA53F8">
        <w:rPr>
          <w:rFonts w:asciiTheme="minorHAnsi" w:hAnsiTheme="minorHAnsi" w:cstheme="minorHAnsi"/>
          <w:b/>
          <w:color w:val="000000" w:themeColor="text1"/>
        </w:rPr>
        <w:t>i</w:t>
      </w:r>
      <w:r w:rsidR="00D41BF1" w:rsidRPr="002927A8">
        <w:rPr>
          <w:rFonts w:asciiTheme="minorHAnsi" w:hAnsiTheme="minorHAnsi" w:cstheme="minorHAnsi"/>
          <w:b/>
          <w:color w:val="000000" w:themeColor="text1"/>
        </w:rPr>
        <w:t>mprovements</w:t>
      </w:r>
      <w:r w:rsidR="00291F0E" w:rsidRPr="002927A8">
        <w:rPr>
          <w:rFonts w:asciiTheme="minorHAnsi" w:hAnsiTheme="minorHAnsi" w:cstheme="minorHAnsi"/>
          <w:b/>
          <w:color w:val="000000" w:themeColor="text1"/>
        </w:rPr>
        <w:t>.</w:t>
      </w:r>
    </w:p>
    <w:p w14:paraId="661EC2C7" w14:textId="535808EB" w:rsidR="00D41BF1" w:rsidRPr="002927A8" w:rsidRDefault="00D41BF1" w:rsidP="00D41BF1">
      <w:pPr>
        <w:rPr>
          <w:color w:val="000000" w:themeColor="text1"/>
        </w:rPr>
      </w:pPr>
      <w:r w:rsidRPr="002927A8">
        <w:rPr>
          <w:color w:val="000000" w:themeColor="text1"/>
        </w:rPr>
        <w:t>This option seeks to build on SARC</w:t>
      </w:r>
      <w:r w:rsidR="00775238" w:rsidRPr="002927A8">
        <w:rPr>
          <w:color w:val="000000" w:themeColor="text1"/>
        </w:rPr>
        <w:t xml:space="preserve"> – </w:t>
      </w:r>
      <w:r w:rsidRPr="002927A8">
        <w:rPr>
          <w:color w:val="000000" w:themeColor="text1"/>
        </w:rPr>
        <w:t>IC's success in achieving positive educational, employment, and social inclusion outcomes through moderate structural changes to improve its effectiveness. While these changes require further investment and carry manageable implementation risks, they could deliver improved program outcomes. The recommendations include:</w:t>
      </w:r>
    </w:p>
    <w:p w14:paraId="4523429B" w14:textId="038E377A" w:rsidR="00D41BF1" w:rsidRPr="002927A8" w:rsidRDefault="00D41BF1" w:rsidP="00756A4F">
      <w:pPr>
        <w:pStyle w:val="Listnumbered"/>
        <w:numPr>
          <w:ilvl w:val="0"/>
          <w:numId w:val="25"/>
        </w:numPr>
        <w:rPr>
          <w:color w:val="000000" w:themeColor="text1"/>
        </w:rPr>
      </w:pPr>
      <w:r w:rsidRPr="002927A8">
        <w:rPr>
          <w:rFonts w:asciiTheme="majorHAnsi" w:hAnsiTheme="majorHAnsi" w:cstheme="majorHAnsi"/>
          <w:color w:val="000000" w:themeColor="text1"/>
        </w:rPr>
        <w:t>Refine scope and define outcomes</w:t>
      </w:r>
      <w:r w:rsidRPr="002927A8">
        <w:rPr>
          <w:color w:val="000000" w:themeColor="text1"/>
        </w:rPr>
        <w:t xml:space="preserve">: Narrow the focus to specific target cohorts or place-based community interventions to better align applications with clear program priorities and ensure </w:t>
      </w:r>
      <w:r w:rsidR="008013E6" w:rsidRPr="002927A8">
        <w:rPr>
          <w:color w:val="000000" w:themeColor="text1"/>
        </w:rPr>
        <w:t>investment</w:t>
      </w:r>
      <w:r w:rsidRPr="002927A8">
        <w:rPr>
          <w:color w:val="000000" w:themeColor="text1"/>
        </w:rPr>
        <w:t xml:space="preserve"> is </w:t>
      </w:r>
      <w:r w:rsidR="008013E6" w:rsidRPr="002927A8">
        <w:rPr>
          <w:color w:val="000000" w:themeColor="text1"/>
        </w:rPr>
        <w:t>achieving value</w:t>
      </w:r>
      <w:r w:rsidRPr="002927A8">
        <w:rPr>
          <w:color w:val="000000" w:themeColor="text1"/>
        </w:rPr>
        <w:t>. Current broad outcomes and wide-ranging target groups dilute effectiveness.</w:t>
      </w:r>
    </w:p>
    <w:p w14:paraId="74BF06E0" w14:textId="7A092C77" w:rsidR="00D41BF1" w:rsidRPr="002927A8" w:rsidRDefault="00D41BF1" w:rsidP="00756A4F">
      <w:pPr>
        <w:pStyle w:val="Listnumbered"/>
        <w:numPr>
          <w:ilvl w:val="0"/>
          <w:numId w:val="25"/>
        </w:numPr>
        <w:rPr>
          <w:color w:val="000000" w:themeColor="text1"/>
        </w:rPr>
      </w:pPr>
      <w:r w:rsidRPr="002927A8">
        <w:rPr>
          <w:rFonts w:asciiTheme="majorHAnsi" w:hAnsiTheme="majorHAnsi" w:cstheme="majorHAnsi"/>
          <w:color w:val="000000" w:themeColor="text1"/>
        </w:rPr>
        <w:t>Streamline performance data collection:</w:t>
      </w:r>
      <w:r w:rsidRPr="002927A8">
        <w:rPr>
          <w:color w:val="000000" w:themeColor="text1"/>
        </w:rPr>
        <w:t xml:space="preserve"> Reduce the administrative burden by focusing data collection on key outcomes (e.g., employment, education, and community participation). Simplify DEX requirements and provide training to enhance data quality and reporting.</w:t>
      </w:r>
    </w:p>
    <w:p w14:paraId="2F416993" w14:textId="77777777" w:rsidR="00D41BF1" w:rsidRPr="002927A8" w:rsidRDefault="00D41BF1" w:rsidP="00756A4F">
      <w:pPr>
        <w:pStyle w:val="Listnumbered"/>
        <w:numPr>
          <w:ilvl w:val="0"/>
          <w:numId w:val="25"/>
        </w:numPr>
        <w:rPr>
          <w:color w:val="000000" w:themeColor="text1"/>
        </w:rPr>
      </w:pPr>
      <w:r w:rsidRPr="002927A8">
        <w:rPr>
          <w:rFonts w:asciiTheme="majorHAnsi" w:hAnsiTheme="majorHAnsi" w:cstheme="majorHAnsi"/>
          <w:color w:val="000000" w:themeColor="text1"/>
        </w:rPr>
        <w:t>Adopt a system stewardship role</w:t>
      </w:r>
      <w:r w:rsidRPr="002927A8">
        <w:rPr>
          <w:color w:val="000000" w:themeColor="text1"/>
        </w:rPr>
        <w:t xml:space="preserve">: </w:t>
      </w:r>
      <w:r w:rsidR="00724F3A" w:rsidRPr="002927A8">
        <w:rPr>
          <w:color w:val="000000" w:themeColor="text1"/>
        </w:rPr>
        <w:t>The Department can play a more active role in how it is stewarding the social services sector through its grants. As first steps, it could e</w:t>
      </w:r>
      <w:r w:rsidRPr="002927A8">
        <w:rPr>
          <w:color w:val="000000" w:themeColor="text1"/>
        </w:rPr>
        <w:t>stablish communities of practice to share insights and promote learning between participants. This enables the Department to refine future rounds by leveraging successful models and targeting funding more effectively.</w:t>
      </w:r>
    </w:p>
    <w:p w14:paraId="493772D3" w14:textId="121D6D1F" w:rsidR="00BE58B8" w:rsidRDefault="00D41BF1" w:rsidP="00BE58B8">
      <w:pPr>
        <w:pStyle w:val="Listnumbered"/>
        <w:numPr>
          <w:ilvl w:val="0"/>
          <w:numId w:val="25"/>
        </w:numPr>
        <w:rPr>
          <w:color w:val="000000" w:themeColor="text1"/>
        </w:rPr>
      </w:pPr>
      <w:r w:rsidRPr="002927A8">
        <w:rPr>
          <w:rFonts w:asciiTheme="majorHAnsi" w:hAnsiTheme="majorHAnsi" w:cstheme="majorHAnsi"/>
          <w:color w:val="000000" w:themeColor="text1"/>
        </w:rPr>
        <w:t>Promote sustainable funding pathways:</w:t>
      </w:r>
      <w:r w:rsidRPr="002927A8">
        <w:rPr>
          <w:color w:val="000000" w:themeColor="text1"/>
        </w:rPr>
        <w:t xml:space="preserve"> Transition to longer-term grants and foster co-funding partnerships with state and territory governments to support recipients in achieving sustainable funding. Alignment with broader initiatives, such as the proposed five-year community funding agreements, should be considered.</w:t>
      </w:r>
    </w:p>
    <w:p w14:paraId="084CCE52" w14:textId="77777777" w:rsidR="008D1384" w:rsidRPr="00BE58B8" w:rsidRDefault="008D1384" w:rsidP="008D1384">
      <w:pPr>
        <w:pStyle w:val="Listnumbered"/>
        <w:numPr>
          <w:ilvl w:val="0"/>
          <w:numId w:val="0"/>
        </w:numPr>
        <w:ind w:left="340" w:hanging="340"/>
        <w:rPr>
          <w:color w:val="000000" w:themeColor="text1"/>
        </w:rPr>
      </w:pPr>
    </w:p>
    <w:p w14:paraId="2214F4D2" w14:textId="3131F5BC" w:rsidR="00D41BF1" w:rsidRPr="002927A8" w:rsidRDefault="0014362B" w:rsidP="00585438">
      <w:pPr>
        <w:spacing w:after="160"/>
        <w:rPr>
          <w:color w:val="000000" w:themeColor="text1"/>
        </w:rPr>
      </w:pPr>
      <w:r w:rsidRPr="002927A8">
        <w:rPr>
          <w:rFonts w:asciiTheme="majorHAnsi" w:hAnsiTheme="majorHAnsi" w:cstheme="majorHAnsi"/>
          <w:color w:val="000000" w:themeColor="text1"/>
          <w:bdr w:val="single" w:sz="18" w:space="0" w:color="F25E21" w:themeColor="accent2"/>
          <w:shd w:val="clear" w:color="auto" w:fill="F25E21" w:themeFill="accent2"/>
        </w:rPr>
        <w:lastRenderedPageBreak/>
        <w:t xml:space="preserve"> </w:t>
      </w:r>
      <w:r w:rsidR="00050FE4" w:rsidRPr="002927A8">
        <w:rPr>
          <w:rFonts w:asciiTheme="majorHAnsi" w:hAnsiTheme="majorHAnsi" w:cstheme="majorHAnsi"/>
          <w:color w:val="000000" w:themeColor="text1"/>
          <w:bdr w:val="single" w:sz="18" w:space="0" w:color="F25E21" w:themeColor="accent2"/>
          <w:shd w:val="clear" w:color="auto" w:fill="F25E21" w:themeFill="accent2"/>
        </w:rPr>
        <w:t>OPTION 3</w:t>
      </w:r>
      <w:r w:rsidRPr="002927A8">
        <w:rPr>
          <w:rFonts w:asciiTheme="majorHAnsi" w:hAnsiTheme="majorHAnsi" w:cstheme="majorHAnsi"/>
          <w:color w:val="000000" w:themeColor="text1"/>
          <w:bdr w:val="single" w:sz="18" w:space="0" w:color="F25E21" w:themeColor="accent2"/>
          <w:shd w:val="clear" w:color="auto" w:fill="F25E21" w:themeFill="accent2"/>
        </w:rPr>
        <w:t xml:space="preserve"> </w:t>
      </w:r>
      <w:r w:rsidRPr="002927A8">
        <w:rPr>
          <w:b/>
          <w:bCs/>
          <w:color w:val="000000" w:themeColor="text1"/>
        </w:rPr>
        <w:t xml:space="preserve"> </w:t>
      </w:r>
      <w:r w:rsidR="00D41BF1" w:rsidRPr="002927A8">
        <w:rPr>
          <w:b/>
          <w:bCs/>
          <w:color w:val="000000" w:themeColor="text1"/>
        </w:rPr>
        <w:t xml:space="preserve"> Minor </w:t>
      </w:r>
      <w:r w:rsidR="00DA53F8">
        <w:rPr>
          <w:b/>
          <w:bCs/>
          <w:color w:val="000000" w:themeColor="text1"/>
        </w:rPr>
        <w:t>a</w:t>
      </w:r>
      <w:r w:rsidR="00D41BF1" w:rsidRPr="002927A8">
        <w:rPr>
          <w:b/>
          <w:bCs/>
          <w:color w:val="000000" w:themeColor="text1"/>
        </w:rPr>
        <w:t>djustments to</w:t>
      </w:r>
      <w:r w:rsidR="00E5272E">
        <w:rPr>
          <w:b/>
          <w:bCs/>
          <w:color w:val="000000" w:themeColor="text1"/>
        </w:rPr>
        <w:t xml:space="preserve"> SARC-IC Activity to</w:t>
      </w:r>
      <w:r w:rsidR="00D41BF1" w:rsidRPr="002927A8">
        <w:rPr>
          <w:b/>
          <w:bCs/>
          <w:color w:val="000000" w:themeColor="text1"/>
        </w:rPr>
        <w:t xml:space="preserve"> </w:t>
      </w:r>
      <w:r w:rsidR="00DA53F8">
        <w:rPr>
          <w:b/>
          <w:bCs/>
          <w:color w:val="000000" w:themeColor="text1"/>
        </w:rPr>
        <w:t>i</w:t>
      </w:r>
      <w:r w:rsidR="00D41BF1" w:rsidRPr="002927A8">
        <w:rPr>
          <w:b/>
          <w:bCs/>
          <w:color w:val="000000" w:themeColor="text1"/>
        </w:rPr>
        <w:t xml:space="preserve">mprove </w:t>
      </w:r>
      <w:r w:rsidR="00DA53F8">
        <w:rPr>
          <w:b/>
          <w:bCs/>
          <w:color w:val="000000" w:themeColor="text1"/>
        </w:rPr>
        <w:t>e</w:t>
      </w:r>
      <w:r w:rsidR="00D41BF1" w:rsidRPr="002927A8">
        <w:rPr>
          <w:b/>
          <w:bCs/>
          <w:color w:val="000000" w:themeColor="text1"/>
        </w:rPr>
        <w:t>fficiency</w:t>
      </w:r>
      <w:r w:rsidR="008D1384">
        <w:rPr>
          <w:b/>
          <w:bCs/>
          <w:color w:val="000000" w:themeColor="text1"/>
        </w:rPr>
        <w:t> </w:t>
      </w:r>
    </w:p>
    <w:p w14:paraId="16D7740D" w14:textId="4C7CD862" w:rsidR="00D41BF1" w:rsidRPr="002927A8" w:rsidRDefault="00D41BF1" w:rsidP="00D41BF1">
      <w:pPr>
        <w:rPr>
          <w:color w:val="000000" w:themeColor="text1"/>
        </w:rPr>
      </w:pPr>
      <w:r w:rsidRPr="002927A8">
        <w:rPr>
          <w:color w:val="000000" w:themeColor="text1"/>
        </w:rPr>
        <w:t xml:space="preserve">This low-risk option proposes minimal changes to the existing program, which would sustain current outcomes without substantial improvement. Recipients indicated the need for better </w:t>
      </w:r>
      <w:r w:rsidR="00C42E6F" w:rsidRPr="002927A8">
        <w:rPr>
          <w:color w:val="000000" w:themeColor="text1"/>
        </w:rPr>
        <w:t>D</w:t>
      </w:r>
      <w:r w:rsidRPr="002927A8">
        <w:rPr>
          <w:color w:val="000000" w:themeColor="text1"/>
        </w:rPr>
        <w:t>epartmental support, particularly around administrative processes and clearer communication, to reduce the burden on applicants</w:t>
      </w:r>
      <w:r w:rsidR="0017749B">
        <w:rPr>
          <w:color w:val="000000" w:themeColor="text1"/>
        </w:rPr>
        <w:t>.</w:t>
      </w:r>
    </w:p>
    <w:p w14:paraId="1900EC77" w14:textId="628BD01E" w:rsidR="00D41BF1" w:rsidRPr="002927A8" w:rsidRDefault="00D41BF1" w:rsidP="00D41BF1">
      <w:pPr>
        <w:rPr>
          <w:color w:val="000000" w:themeColor="text1"/>
        </w:rPr>
      </w:pPr>
      <w:r w:rsidRPr="002927A8">
        <w:rPr>
          <w:color w:val="000000" w:themeColor="text1"/>
        </w:rPr>
        <w:t>These adjustments could complement Option 2 if desired. Recommendations include:</w:t>
      </w:r>
    </w:p>
    <w:p w14:paraId="537C5258" w14:textId="77777777" w:rsidR="00D41BF1" w:rsidRPr="002927A8" w:rsidRDefault="00D41BF1" w:rsidP="00756A4F">
      <w:pPr>
        <w:pStyle w:val="Listnumbered"/>
        <w:numPr>
          <w:ilvl w:val="0"/>
          <w:numId w:val="21"/>
        </w:numPr>
        <w:rPr>
          <w:color w:val="000000" w:themeColor="text1"/>
        </w:rPr>
      </w:pPr>
      <w:r w:rsidRPr="002927A8">
        <w:rPr>
          <w:rFonts w:asciiTheme="majorHAnsi" w:hAnsiTheme="majorHAnsi" w:cstheme="majorHAnsi"/>
          <w:color w:val="000000" w:themeColor="text1"/>
        </w:rPr>
        <w:t>Reduce administrative burden:</w:t>
      </w:r>
      <w:r w:rsidRPr="002927A8">
        <w:rPr>
          <w:color w:val="000000" w:themeColor="text1"/>
        </w:rPr>
        <w:t xml:space="preserve"> Implement a two-stage application process, beginning with an Expression of Interest (EOI). This would streamline application and assessment, saving time and resources for both applicants and the Department.</w:t>
      </w:r>
    </w:p>
    <w:p w14:paraId="20716469" w14:textId="228434AE" w:rsidR="00D41BF1" w:rsidRPr="002927A8" w:rsidRDefault="00D41BF1" w:rsidP="00756A4F">
      <w:pPr>
        <w:pStyle w:val="Listnumbered"/>
        <w:numPr>
          <w:ilvl w:val="0"/>
          <w:numId w:val="21"/>
        </w:numPr>
        <w:rPr>
          <w:color w:val="000000" w:themeColor="text1"/>
        </w:rPr>
      </w:pPr>
      <w:r w:rsidRPr="002927A8">
        <w:rPr>
          <w:rFonts w:asciiTheme="majorHAnsi" w:hAnsiTheme="majorHAnsi" w:cstheme="majorHAnsi"/>
          <w:color w:val="000000" w:themeColor="text1"/>
        </w:rPr>
        <w:t>Provide clearer guidance:</w:t>
      </w:r>
      <w:r w:rsidRPr="002927A8">
        <w:rPr>
          <w:color w:val="000000" w:themeColor="text1"/>
        </w:rPr>
        <w:t xml:space="preserve"> Introduce engagement mechanisms such as briefing or Q&amp;A sessions to clarify grant guidelines and assessment criteria. This would enhance the quality and alignment of applications, as well as foster trust and transparency in the process.</w:t>
      </w:r>
    </w:p>
    <w:p w14:paraId="4E199A8E" w14:textId="01772B22" w:rsidR="00C05D26" w:rsidRPr="00784D9D" w:rsidRDefault="00C05D26" w:rsidP="004A2034">
      <w:pPr>
        <w:pStyle w:val="Heading1"/>
      </w:pPr>
      <w:bookmarkStart w:id="12" w:name="_Toc240883544"/>
      <w:r w:rsidRPr="00784D9D">
        <w:lastRenderedPageBreak/>
        <w:t>Project background</w:t>
      </w:r>
      <w:bookmarkEnd w:id="12"/>
      <w:r w:rsidRPr="00784D9D">
        <w:t xml:space="preserve"> </w:t>
      </w:r>
    </w:p>
    <w:p w14:paraId="2890B31D" w14:textId="19976D2A" w:rsidR="00C05D26" w:rsidRDefault="00C05D26" w:rsidP="004C24A6">
      <w:pPr>
        <w:pStyle w:val="Heading2"/>
      </w:pPr>
      <w:bookmarkStart w:id="13" w:name="_Toc240883545"/>
      <w:r>
        <w:t xml:space="preserve">Summary of the </w:t>
      </w:r>
      <w:r w:rsidR="0086034C">
        <w:t>SARC – IC Activity</w:t>
      </w:r>
      <w:bookmarkEnd w:id="13"/>
      <w:r w:rsidR="0086034C">
        <w:t xml:space="preserve"> </w:t>
      </w:r>
    </w:p>
    <w:p w14:paraId="5C9D514F" w14:textId="07E1739B" w:rsidR="00237F9C" w:rsidRDefault="008938B5" w:rsidP="008938B5">
      <w:pPr>
        <w:rPr>
          <w:lang w:eastAsia="en-AU"/>
        </w:rPr>
      </w:pPr>
      <w:r w:rsidRPr="0051441F">
        <w:rPr>
          <w:lang w:eastAsia="en-AU"/>
        </w:rPr>
        <w:t>The Strong and Resilient Communities – Inclusive Communities (SARC – IC) Grant</w:t>
      </w:r>
      <w:r>
        <w:rPr>
          <w:lang w:eastAsia="en-AU"/>
        </w:rPr>
        <w:t xml:space="preserve"> </w:t>
      </w:r>
      <w:r w:rsidR="0028004C">
        <w:rPr>
          <w:lang w:eastAsia="en-AU"/>
        </w:rPr>
        <w:t>Activity</w:t>
      </w:r>
      <w:r w:rsidR="0028004C" w:rsidRPr="0051441F">
        <w:rPr>
          <w:lang w:eastAsia="en-AU"/>
        </w:rPr>
        <w:t xml:space="preserve"> </w:t>
      </w:r>
      <w:r w:rsidRPr="0051441F">
        <w:rPr>
          <w:lang w:eastAsia="en-AU"/>
        </w:rPr>
        <w:t xml:space="preserve">is part of a suite of initiatives under the Australian Government’s commitment to improving </w:t>
      </w:r>
      <w:r w:rsidR="0016178E">
        <w:rPr>
          <w:lang w:eastAsia="en-AU"/>
        </w:rPr>
        <w:t xml:space="preserve">social </w:t>
      </w:r>
      <w:r w:rsidRPr="0051441F">
        <w:rPr>
          <w:lang w:eastAsia="en-AU"/>
        </w:rPr>
        <w:t>and economic outcomes for people experiencing vulnerabilities</w:t>
      </w:r>
      <w:r w:rsidRPr="007F037D">
        <w:rPr>
          <w:lang w:eastAsia="en-AU"/>
        </w:rPr>
        <w:t>.</w:t>
      </w:r>
    </w:p>
    <w:p w14:paraId="63E70CBF" w14:textId="39EEC499" w:rsidR="00237F9C" w:rsidRDefault="0028004C" w:rsidP="008938B5">
      <w:pPr>
        <w:rPr>
          <w:lang w:eastAsia="en-AU"/>
        </w:rPr>
      </w:pPr>
      <w:r>
        <w:rPr>
          <w:lang w:eastAsia="en-AU"/>
        </w:rPr>
        <w:t>SARC – IC</w:t>
      </w:r>
      <w:r w:rsidR="008938B5">
        <w:rPr>
          <w:lang w:eastAsia="en-AU"/>
        </w:rPr>
        <w:t xml:space="preserve"> targets four priority cohorts</w:t>
      </w:r>
      <w:r w:rsidR="00971E1A">
        <w:rPr>
          <w:lang w:eastAsia="en-AU"/>
        </w:rPr>
        <w:t xml:space="preserve"> that experience</w:t>
      </w:r>
      <w:r w:rsidR="00BD352F">
        <w:rPr>
          <w:lang w:eastAsia="en-AU"/>
        </w:rPr>
        <w:t xml:space="preserve"> vulnerability and disadvantage</w:t>
      </w:r>
      <w:r w:rsidR="00237F9C">
        <w:rPr>
          <w:lang w:eastAsia="en-AU"/>
        </w:rPr>
        <w:t>:</w:t>
      </w:r>
    </w:p>
    <w:p w14:paraId="79F1FF98" w14:textId="77777777" w:rsidR="00237F9C" w:rsidRDefault="008938B5" w:rsidP="00D7595F">
      <w:pPr>
        <w:pStyle w:val="Bullet"/>
      </w:pPr>
      <w:r w:rsidRPr="000E3BA1">
        <w:t>young people aged 12 to 18 years who are disengaged or at risk of disengaging from education</w:t>
      </w:r>
    </w:p>
    <w:p w14:paraId="36611DFA" w14:textId="77777777" w:rsidR="00237F9C" w:rsidRDefault="008938B5" w:rsidP="00D7595F">
      <w:pPr>
        <w:pStyle w:val="Bullet"/>
      </w:pPr>
      <w:r w:rsidRPr="000E3BA1">
        <w:t>people with disabilit</w:t>
      </w:r>
      <w:r>
        <w:t>y</w:t>
      </w:r>
    </w:p>
    <w:p w14:paraId="099F5C7C" w14:textId="0A96C505" w:rsidR="00237F9C" w:rsidRDefault="008938B5" w:rsidP="00D7595F">
      <w:pPr>
        <w:pStyle w:val="Bullet"/>
      </w:pPr>
      <w:r w:rsidRPr="000E3BA1">
        <w:t xml:space="preserve">women </w:t>
      </w:r>
      <w:r w:rsidR="00085A4C">
        <w:t>who experience</w:t>
      </w:r>
      <w:r w:rsidR="00D138A7">
        <w:t>,</w:t>
      </w:r>
      <w:r w:rsidR="00085A4C">
        <w:t xml:space="preserve"> or are at risk of </w:t>
      </w:r>
      <w:r w:rsidRPr="000E3BA1">
        <w:t>experiencing</w:t>
      </w:r>
      <w:r w:rsidR="00D138A7">
        <w:t>,</w:t>
      </w:r>
      <w:r w:rsidRPr="000E3BA1">
        <w:t xml:space="preserve"> isolation or discrimination</w:t>
      </w:r>
    </w:p>
    <w:p w14:paraId="5A8A0B56" w14:textId="5ED76DE2" w:rsidR="008938B5" w:rsidRDefault="008938B5" w:rsidP="00D7595F">
      <w:pPr>
        <w:pStyle w:val="Bullet"/>
      </w:pPr>
      <w:r w:rsidRPr="000E3BA1">
        <w:t>unemployed people facing barriers to employment</w:t>
      </w:r>
      <w:r>
        <w:t xml:space="preserve"> or training.</w:t>
      </w:r>
    </w:p>
    <w:p w14:paraId="374AF915" w14:textId="1D62A2C3" w:rsidR="00B344B1" w:rsidRDefault="00A854AA" w:rsidP="00BD352F">
      <w:pPr>
        <w:rPr>
          <w:lang w:eastAsia="en-AU"/>
        </w:rPr>
      </w:pPr>
      <w:r>
        <w:rPr>
          <w:lang w:eastAsia="en-AU"/>
        </w:rPr>
        <w:t xml:space="preserve">In 2022, </w:t>
      </w:r>
      <w:r w:rsidR="000D741A">
        <w:rPr>
          <w:lang w:eastAsia="en-AU"/>
        </w:rPr>
        <w:t>SARC</w:t>
      </w:r>
      <w:r w:rsidR="004428E2">
        <w:rPr>
          <w:lang w:eastAsia="en-AU"/>
        </w:rPr>
        <w:t xml:space="preserve"> – </w:t>
      </w:r>
      <w:r w:rsidR="000D741A">
        <w:rPr>
          <w:lang w:eastAsia="en-AU"/>
        </w:rPr>
        <w:t>IC replaced</w:t>
      </w:r>
      <w:r w:rsidR="00490098">
        <w:rPr>
          <w:lang w:eastAsia="en-AU"/>
        </w:rPr>
        <w:t xml:space="preserve"> the SARC Activity </w:t>
      </w:r>
      <w:r w:rsidR="003D6575">
        <w:rPr>
          <w:lang w:eastAsia="en-AU"/>
        </w:rPr>
        <w:t>grant</w:t>
      </w:r>
      <w:r w:rsidR="00DD4AA6">
        <w:rPr>
          <w:lang w:eastAsia="en-AU"/>
        </w:rPr>
        <w:t xml:space="preserve">, which </w:t>
      </w:r>
      <w:r>
        <w:rPr>
          <w:lang w:eastAsia="en-AU"/>
        </w:rPr>
        <w:t xml:space="preserve">ran from 2018 and </w:t>
      </w:r>
      <w:r w:rsidR="00DD4AA6">
        <w:rPr>
          <w:lang w:eastAsia="en-AU"/>
        </w:rPr>
        <w:t>was comprised of three stream</w:t>
      </w:r>
      <w:r w:rsidR="0006235E">
        <w:rPr>
          <w:lang w:eastAsia="en-AU"/>
        </w:rPr>
        <w:t>s</w:t>
      </w:r>
      <w:r w:rsidR="005A1A9A">
        <w:rPr>
          <w:lang w:eastAsia="en-AU"/>
        </w:rPr>
        <w:t xml:space="preserve"> of programs: Inclusive Communities, Community Resilience and National Research.</w:t>
      </w:r>
      <w:r w:rsidR="008F78F7">
        <w:rPr>
          <w:lang w:eastAsia="en-AU"/>
        </w:rPr>
        <w:t xml:space="preserve"> </w:t>
      </w:r>
      <w:r w:rsidR="00B344B1" w:rsidRPr="00B344B1">
        <w:rPr>
          <w:lang w:eastAsia="en-AU"/>
        </w:rPr>
        <w:t>SARC Activity sought to strengthen community cohesion, promote racial, religious and cultural tolerance, enhance resilience, and improve government insight into social cohesion challenges.</w:t>
      </w:r>
    </w:p>
    <w:p w14:paraId="33AC70BD" w14:textId="2CADD071" w:rsidR="00276AB1" w:rsidRDefault="0035747E" w:rsidP="00BD352F">
      <w:pPr>
        <w:rPr>
          <w:lang w:eastAsia="en-AU"/>
        </w:rPr>
      </w:pPr>
      <w:r>
        <w:rPr>
          <w:lang w:eastAsia="en-AU"/>
        </w:rPr>
        <w:t>SARC</w:t>
      </w:r>
      <w:r w:rsidR="00D136AC">
        <w:rPr>
          <w:lang w:eastAsia="en-AU"/>
        </w:rPr>
        <w:t xml:space="preserve"> – </w:t>
      </w:r>
      <w:r w:rsidR="00C54C91">
        <w:rPr>
          <w:lang w:eastAsia="en-AU"/>
        </w:rPr>
        <w:t>IC</w:t>
      </w:r>
      <w:r w:rsidR="00455D69">
        <w:rPr>
          <w:lang w:eastAsia="en-AU"/>
        </w:rPr>
        <w:t>’s design</w:t>
      </w:r>
      <w:r w:rsidR="00C54C91">
        <w:rPr>
          <w:lang w:eastAsia="en-AU"/>
        </w:rPr>
        <w:t xml:space="preserve"> has since</w:t>
      </w:r>
      <w:r w:rsidR="00000795">
        <w:rPr>
          <w:lang w:eastAsia="en-AU"/>
        </w:rPr>
        <w:t xml:space="preserve"> evolved</w:t>
      </w:r>
      <w:r w:rsidR="00983210">
        <w:rPr>
          <w:lang w:eastAsia="en-AU"/>
        </w:rPr>
        <w:t xml:space="preserve"> and now has two core design elements: trialling new approaches and </w:t>
      </w:r>
      <w:r w:rsidR="004F0C68">
        <w:rPr>
          <w:lang w:eastAsia="en-AU"/>
        </w:rPr>
        <w:t>a</w:t>
      </w:r>
      <w:r w:rsidR="00983210">
        <w:rPr>
          <w:lang w:eastAsia="en-AU"/>
        </w:rPr>
        <w:t xml:space="preserve"> community-driven </w:t>
      </w:r>
      <w:r w:rsidR="004F0C68">
        <w:rPr>
          <w:lang w:eastAsia="en-AU"/>
        </w:rPr>
        <w:t>focus</w:t>
      </w:r>
      <w:r w:rsidR="00983210">
        <w:rPr>
          <w:lang w:eastAsia="en-AU"/>
        </w:rPr>
        <w:t>.</w:t>
      </w:r>
      <w:r w:rsidR="0000734E">
        <w:rPr>
          <w:lang w:eastAsia="en-AU"/>
        </w:rPr>
        <w:t xml:space="preserve"> From July 2022 to June 2028, </w:t>
      </w:r>
      <w:r w:rsidR="0000734E" w:rsidRPr="0000734E">
        <w:rPr>
          <w:lang w:eastAsia="en-AU"/>
        </w:rPr>
        <w:t xml:space="preserve">$63 million </w:t>
      </w:r>
      <w:r w:rsidR="00207AD3">
        <w:rPr>
          <w:lang w:eastAsia="en-AU"/>
        </w:rPr>
        <w:t>will be</w:t>
      </w:r>
      <w:r w:rsidR="00441A63">
        <w:rPr>
          <w:lang w:eastAsia="en-AU"/>
        </w:rPr>
        <w:t xml:space="preserve"> </w:t>
      </w:r>
      <w:r w:rsidR="008D6CEC">
        <w:rPr>
          <w:lang w:eastAsia="en-AU"/>
        </w:rPr>
        <w:t>available to</w:t>
      </w:r>
      <w:r w:rsidR="0049306B">
        <w:rPr>
          <w:lang w:eastAsia="en-AU"/>
        </w:rPr>
        <w:t xml:space="preserve"> organisations</w:t>
      </w:r>
      <w:r w:rsidR="00441A63">
        <w:rPr>
          <w:lang w:eastAsia="en-AU"/>
        </w:rPr>
        <w:t xml:space="preserve"> through </w:t>
      </w:r>
      <w:r w:rsidR="0000734E" w:rsidRPr="0000734E">
        <w:rPr>
          <w:lang w:eastAsia="en-AU"/>
        </w:rPr>
        <w:t xml:space="preserve">SARC </w:t>
      </w:r>
      <w:r w:rsidR="00932B6F">
        <w:rPr>
          <w:lang w:eastAsia="en-AU"/>
        </w:rPr>
        <w:t>–</w:t>
      </w:r>
      <w:r w:rsidR="0000734E" w:rsidRPr="0000734E">
        <w:rPr>
          <w:lang w:eastAsia="en-AU"/>
        </w:rPr>
        <w:t xml:space="preserve"> IC </w:t>
      </w:r>
      <w:r w:rsidR="00C82355">
        <w:rPr>
          <w:lang w:eastAsia="en-AU"/>
        </w:rPr>
        <w:t>g</w:t>
      </w:r>
      <w:r w:rsidR="0000734E" w:rsidRPr="0000734E">
        <w:rPr>
          <w:lang w:eastAsia="en-AU"/>
        </w:rPr>
        <w:t>rants.</w:t>
      </w:r>
      <w:r w:rsidR="00BB1219">
        <w:rPr>
          <w:lang w:eastAsia="en-AU"/>
        </w:rPr>
        <w:t xml:space="preserve"> </w:t>
      </w:r>
    </w:p>
    <w:p w14:paraId="7CE1D195" w14:textId="46FD2275" w:rsidR="008938B5" w:rsidRDefault="005F75AD" w:rsidP="008938B5">
      <w:pPr>
        <w:rPr>
          <w:lang w:eastAsia="en-AU"/>
        </w:rPr>
      </w:pPr>
      <w:r>
        <w:rPr>
          <w:lang w:eastAsia="en-AU"/>
        </w:rPr>
        <w:fldChar w:fldCharType="begin" w:fldLock="1"/>
      </w:r>
      <w:r>
        <w:rPr>
          <w:lang w:eastAsia="en-AU"/>
        </w:rPr>
        <w:instrText xml:space="preserve"> REF _Ref216348559 \h </w:instrText>
      </w:r>
      <w:r>
        <w:rPr>
          <w:lang w:eastAsia="en-AU"/>
        </w:rPr>
      </w:r>
      <w:r>
        <w:rPr>
          <w:lang w:eastAsia="en-AU"/>
        </w:rPr>
        <w:fldChar w:fldCharType="separate"/>
      </w:r>
      <w:r w:rsidR="001D39B1">
        <w:t xml:space="preserve">Figure </w:t>
      </w:r>
      <w:r w:rsidR="001D39B1">
        <w:rPr>
          <w:noProof/>
        </w:rPr>
        <w:t>1</w:t>
      </w:r>
      <w:r>
        <w:rPr>
          <w:lang w:eastAsia="en-AU"/>
        </w:rPr>
        <w:fldChar w:fldCharType="end"/>
      </w:r>
      <w:r w:rsidR="000C14F9">
        <w:rPr>
          <w:lang w:eastAsia="en-AU"/>
        </w:rPr>
        <w:t xml:space="preserve"> overleaf</w:t>
      </w:r>
      <w:r w:rsidR="00E732BB" w:rsidRPr="00747191">
        <w:rPr>
          <w:lang w:eastAsia="en-AU"/>
        </w:rPr>
        <w:t xml:space="preserve"> </w:t>
      </w:r>
      <w:r w:rsidR="008D3358" w:rsidRPr="00747191">
        <w:rPr>
          <w:lang w:eastAsia="en-AU"/>
        </w:rPr>
        <w:t xml:space="preserve">gives an overview of </w:t>
      </w:r>
      <w:r w:rsidR="00CE1D9E">
        <w:rPr>
          <w:lang w:eastAsia="en-AU"/>
        </w:rPr>
        <w:t>SARC – IC</w:t>
      </w:r>
      <w:r w:rsidR="008D3358" w:rsidRPr="00747191">
        <w:rPr>
          <w:lang w:eastAsia="en-AU"/>
        </w:rPr>
        <w:t xml:space="preserve"> at a high-level</w:t>
      </w:r>
      <w:r w:rsidR="00270D1C">
        <w:rPr>
          <w:lang w:eastAsia="en-AU"/>
        </w:rPr>
        <w:t>.</w:t>
      </w:r>
      <w:r w:rsidR="00A2327B" w:rsidRPr="00747191">
        <w:rPr>
          <w:lang w:eastAsia="en-AU"/>
        </w:rPr>
        <w:t xml:space="preserve"> </w:t>
      </w:r>
      <w:r w:rsidR="004A2337" w:rsidRPr="00747191">
        <w:rPr>
          <w:lang w:eastAsia="en-AU"/>
        </w:rPr>
        <w:fldChar w:fldCharType="begin" w:fldLock="1"/>
      </w:r>
      <w:r w:rsidR="004A2337" w:rsidRPr="00747191">
        <w:rPr>
          <w:lang w:eastAsia="en-AU"/>
        </w:rPr>
        <w:instrText xml:space="preserve"> REF _Ref216192610 \n \h </w:instrText>
      </w:r>
      <w:r w:rsidR="00747191">
        <w:rPr>
          <w:lang w:eastAsia="en-AU"/>
        </w:rPr>
        <w:instrText xml:space="preserve"> \* MERGEFORMAT </w:instrText>
      </w:r>
      <w:r w:rsidR="004A2337" w:rsidRPr="00747191">
        <w:rPr>
          <w:lang w:eastAsia="en-AU"/>
        </w:rPr>
      </w:r>
      <w:r w:rsidR="004A2337" w:rsidRPr="00747191">
        <w:rPr>
          <w:lang w:eastAsia="en-AU"/>
        </w:rPr>
        <w:fldChar w:fldCharType="separate"/>
      </w:r>
      <w:r w:rsidR="004A2337" w:rsidRPr="00747191">
        <w:rPr>
          <w:lang w:eastAsia="en-AU"/>
        </w:rPr>
        <w:t>Appendix A</w:t>
      </w:r>
      <w:r w:rsidR="004A2337" w:rsidRPr="00747191">
        <w:rPr>
          <w:lang w:eastAsia="en-AU"/>
        </w:rPr>
        <w:fldChar w:fldCharType="end"/>
      </w:r>
      <w:r w:rsidR="008D3358" w:rsidRPr="00747191">
        <w:rPr>
          <w:lang w:eastAsia="en-AU"/>
        </w:rPr>
        <w:t xml:space="preserve"> outlin</w:t>
      </w:r>
      <w:r w:rsidR="00A2327B" w:rsidRPr="00747191">
        <w:rPr>
          <w:lang w:eastAsia="en-AU"/>
        </w:rPr>
        <w:t>es</w:t>
      </w:r>
      <w:r w:rsidR="008D3358" w:rsidRPr="00747191">
        <w:rPr>
          <w:lang w:eastAsia="en-AU"/>
        </w:rPr>
        <w:t xml:space="preserve"> </w:t>
      </w:r>
      <w:r w:rsidR="00577912" w:rsidRPr="00747191">
        <w:rPr>
          <w:lang w:eastAsia="en-AU"/>
        </w:rPr>
        <w:t xml:space="preserve">the theory of change and program logic underpinning the </w:t>
      </w:r>
      <w:r w:rsidR="003F7314">
        <w:rPr>
          <w:lang w:eastAsia="en-AU"/>
        </w:rPr>
        <w:t>SARC – IC</w:t>
      </w:r>
      <w:r w:rsidR="00577912" w:rsidRPr="00747191">
        <w:rPr>
          <w:lang w:eastAsia="en-AU"/>
        </w:rPr>
        <w:t>.</w:t>
      </w:r>
    </w:p>
    <w:p w14:paraId="75B1B6A3" w14:textId="7503AB57" w:rsidR="00742454" w:rsidRDefault="00577912" w:rsidP="00BD6E77">
      <w:pPr>
        <w:pStyle w:val="Caption"/>
      </w:pPr>
      <w:bookmarkStart w:id="14" w:name="_Ref216348559"/>
      <w:r>
        <w:lastRenderedPageBreak/>
        <w:t xml:space="preserve">Figure </w:t>
      </w:r>
      <w:r>
        <w:fldChar w:fldCharType="begin"/>
      </w:r>
      <w:r>
        <w:instrText xml:space="preserve"> SEQ Figure \* ARABIC </w:instrText>
      </w:r>
      <w:r>
        <w:fldChar w:fldCharType="separate"/>
      </w:r>
      <w:r w:rsidR="00B666D1">
        <w:rPr>
          <w:noProof/>
        </w:rPr>
        <w:t>1</w:t>
      </w:r>
      <w:r>
        <w:fldChar w:fldCharType="end"/>
      </w:r>
      <w:bookmarkEnd w:id="14"/>
      <w:r w:rsidR="00C26300">
        <w:t xml:space="preserve"> </w:t>
      </w:r>
      <w:r>
        <w:t xml:space="preserve">| </w:t>
      </w:r>
      <w:r w:rsidR="00831553">
        <w:t xml:space="preserve">SARC – IC </w:t>
      </w:r>
      <w:r w:rsidR="00BD6E77">
        <w:t>overview</w:t>
      </w:r>
    </w:p>
    <w:p w14:paraId="3435BE53" w14:textId="737B19CB" w:rsidR="00577912" w:rsidRPr="00577912" w:rsidRDefault="00EE711B" w:rsidP="00BD6E77">
      <w:pPr>
        <w:pStyle w:val="Caption"/>
      </w:pPr>
      <w:r>
        <w:rPr>
          <w:noProof/>
        </w:rPr>
        <w:drawing>
          <wp:inline distT="0" distB="0" distL="0" distR="0" wp14:anchorId="4349AFEB" wp14:editId="6DC9B432">
            <wp:extent cx="5832820" cy="4932266"/>
            <wp:effectExtent l="0" t="0" r="0" b="1905"/>
            <wp:docPr id="100567399" name="Picture 19" descr="Figure 1 shows an infographic summarising the SARC–IC program. SARC–IC funds community-driven projects that trial new approaches to support young people, people with disability, vulnerable women and unemployed people. The program aims to increase social, civic and economic participation, reduce social isolation, improve wellbeing and self-reliance, strengthen education and work-readiness outcomes, improve employment opportunities, increase engagement with community services and activities, and enhance connections to suppor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399" name="Picture 19" descr="Figure 1 shows an infographic summarising the SARC–IC program. SARC–IC funds community-driven projects that trial new approaches to support young people, people with disability, vulnerable women and unemployed people. The program aims to increase social, civic and economic participation, reduce social isolation, improve wellbeing and self-reliance, strengthen education and work-readiness outcomes, improve employment opportunities, increase engagement with community services and activities, and enhance connections to support service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32820" cy="4932266"/>
                    </a:xfrm>
                    <a:prstGeom prst="rect">
                      <a:avLst/>
                    </a:prstGeom>
                  </pic:spPr>
                </pic:pic>
              </a:graphicData>
            </a:graphic>
          </wp:inline>
        </w:drawing>
      </w:r>
    </w:p>
    <w:p w14:paraId="2F111B47" w14:textId="416B6A8E" w:rsidR="00D16397" w:rsidRPr="00BC6129" w:rsidRDefault="00D16397" w:rsidP="00D16397">
      <w:pPr>
        <w:pStyle w:val="Heading3"/>
      </w:pPr>
      <w:bookmarkStart w:id="15" w:name="_Toc240883546"/>
      <w:r w:rsidRPr="00BC6129">
        <w:t xml:space="preserve">The </w:t>
      </w:r>
      <w:r w:rsidR="004A3BDD" w:rsidRPr="00BC6129">
        <w:t xml:space="preserve">SARC – IC </w:t>
      </w:r>
      <w:r w:rsidR="001D149E" w:rsidRPr="00BC6129">
        <w:t>Activity</w:t>
      </w:r>
      <w:r w:rsidRPr="00BC6129">
        <w:t xml:space="preserve"> has </w:t>
      </w:r>
      <w:r w:rsidR="00BD6E77" w:rsidRPr="00BC6129">
        <w:t xml:space="preserve">supported </w:t>
      </w:r>
      <w:r w:rsidR="00BF0D35" w:rsidRPr="00BC6129">
        <w:t>144</w:t>
      </w:r>
      <w:r w:rsidR="00BD6E77" w:rsidRPr="00BC6129">
        <w:t xml:space="preserve"> </w:t>
      </w:r>
      <w:r w:rsidR="00831553" w:rsidRPr="00BC6129">
        <w:t>pro</w:t>
      </w:r>
      <w:r w:rsidR="00831553">
        <w:t>ject</w:t>
      </w:r>
      <w:r w:rsidR="00831553" w:rsidRPr="00BC6129">
        <w:t xml:space="preserve">s </w:t>
      </w:r>
      <w:r w:rsidR="00BD6E77" w:rsidRPr="00BC6129">
        <w:t xml:space="preserve">and </w:t>
      </w:r>
      <w:r w:rsidR="008D67BD" w:rsidRPr="00BC6129">
        <w:t xml:space="preserve">almost </w:t>
      </w:r>
      <w:r w:rsidR="00CE7048">
        <w:t>32</w:t>
      </w:r>
      <w:r w:rsidR="008D67BD" w:rsidRPr="00BC6129">
        <w:t>,000</w:t>
      </w:r>
      <w:r w:rsidR="00BD6E77" w:rsidRPr="00BC6129">
        <w:t xml:space="preserve"> people since 2022</w:t>
      </w:r>
      <w:bookmarkEnd w:id="15"/>
    </w:p>
    <w:p w14:paraId="64605109" w14:textId="2B7386C8" w:rsidR="00D16397" w:rsidRDefault="00A31307" w:rsidP="00D16397">
      <w:pPr>
        <w:rPr>
          <w:lang w:eastAsia="en-AU"/>
        </w:rPr>
      </w:pPr>
      <w:r>
        <w:rPr>
          <w:lang w:eastAsia="en-AU"/>
        </w:rPr>
        <w:t>SARC</w:t>
      </w:r>
      <w:r w:rsidR="00EB7B7D">
        <w:rPr>
          <w:lang w:eastAsia="en-AU"/>
        </w:rPr>
        <w:t xml:space="preserve"> </w:t>
      </w:r>
      <w:r w:rsidR="000C14F9">
        <w:rPr>
          <w:lang w:eastAsia="en-AU"/>
        </w:rPr>
        <w:t xml:space="preserve">– </w:t>
      </w:r>
      <w:r>
        <w:rPr>
          <w:lang w:eastAsia="en-AU"/>
        </w:rPr>
        <w:t xml:space="preserve">IC has funded </w:t>
      </w:r>
      <w:r w:rsidR="00831553">
        <w:rPr>
          <w:lang w:eastAsia="en-AU"/>
        </w:rPr>
        <w:t xml:space="preserve">projects </w:t>
      </w:r>
      <w:r>
        <w:rPr>
          <w:lang w:eastAsia="en-AU"/>
        </w:rPr>
        <w:t xml:space="preserve">across Australia since 2022 to increase social and economic participation. </w:t>
      </w:r>
      <w:r w:rsidR="002E6E08">
        <w:rPr>
          <w:lang w:eastAsia="en-AU"/>
        </w:rPr>
        <w:fldChar w:fldCharType="begin" w:fldLock="1"/>
      </w:r>
      <w:r w:rsidR="002E6E08">
        <w:rPr>
          <w:lang w:eastAsia="en-AU"/>
        </w:rPr>
        <w:instrText xml:space="preserve"> REF _Ref216793346 \h </w:instrText>
      </w:r>
      <w:r w:rsidR="002E6E08">
        <w:rPr>
          <w:lang w:eastAsia="en-AU"/>
        </w:rPr>
      </w:r>
      <w:r w:rsidR="002E6E08">
        <w:rPr>
          <w:lang w:eastAsia="en-AU"/>
        </w:rPr>
        <w:fldChar w:fldCharType="separate"/>
      </w:r>
      <w:r w:rsidR="000C14F9">
        <w:t xml:space="preserve">Figure </w:t>
      </w:r>
      <w:r w:rsidR="000C14F9">
        <w:rPr>
          <w:noProof/>
        </w:rPr>
        <w:t>2</w:t>
      </w:r>
      <w:r w:rsidR="002E6E08">
        <w:rPr>
          <w:lang w:eastAsia="en-AU"/>
        </w:rPr>
        <w:fldChar w:fldCharType="end"/>
      </w:r>
      <w:r w:rsidR="00D16397">
        <w:rPr>
          <w:lang w:eastAsia="en-AU"/>
        </w:rPr>
        <w:t xml:space="preserve"> </w:t>
      </w:r>
      <w:r>
        <w:rPr>
          <w:lang w:eastAsia="en-AU"/>
        </w:rPr>
        <w:t>overleaf</w:t>
      </w:r>
      <w:r w:rsidR="00D16397">
        <w:rPr>
          <w:lang w:eastAsia="en-AU"/>
        </w:rPr>
        <w:t xml:space="preserve"> provides an outline of the </w:t>
      </w:r>
      <w:r w:rsidR="00281611">
        <w:rPr>
          <w:lang w:eastAsia="en-AU"/>
        </w:rPr>
        <w:t>service</w:t>
      </w:r>
      <w:r w:rsidR="006757D0">
        <w:rPr>
          <w:lang w:eastAsia="en-AU"/>
        </w:rPr>
        <w:t xml:space="preserve"> location and cohorts funded by the grant. </w:t>
      </w:r>
    </w:p>
    <w:p w14:paraId="369F42C9" w14:textId="71E83BE9" w:rsidR="00BD6E77" w:rsidRDefault="00BD6E77" w:rsidP="00BD6E77">
      <w:pPr>
        <w:pStyle w:val="Caption"/>
      </w:pPr>
      <w:bookmarkStart w:id="16" w:name="_Ref216793346"/>
      <w:r>
        <w:lastRenderedPageBreak/>
        <w:t xml:space="preserve">Figure </w:t>
      </w:r>
      <w:r>
        <w:fldChar w:fldCharType="begin"/>
      </w:r>
      <w:r>
        <w:instrText xml:space="preserve"> SEQ Figure \* ARABIC </w:instrText>
      </w:r>
      <w:r>
        <w:fldChar w:fldCharType="separate"/>
      </w:r>
      <w:r w:rsidR="00B666D1">
        <w:rPr>
          <w:noProof/>
        </w:rPr>
        <w:t>2</w:t>
      </w:r>
      <w:r>
        <w:fldChar w:fldCharType="end"/>
      </w:r>
      <w:bookmarkEnd w:id="16"/>
      <w:r w:rsidR="00E84FB1">
        <w:t xml:space="preserve"> </w:t>
      </w:r>
      <w:r>
        <w:t>|</w:t>
      </w:r>
      <w:r w:rsidR="00E84FB1">
        <w:t xml:space="preserve"> </w:t>
      </w:r>
      <w:r>
        <w:t xml:space="preserve">Summary of </w:t>
      </w:r>
      <w:r w:rsidR="00BC6D74">
        <w:t xml:space="preserve">program </w:t>
      </w:r>
      <w:r>
        <w:t>delivery to date</w:t>
      </w:r>
    </w:p>
    <w:p w14:paraId="292D1172" w14:textId="19399F50" w:rsidR="004C5DBB" w:rsidRDefault="0062489E" w:rsidP="00DF0C0F">
      <w:pPr>
        <w:jc w:val="center"/>
      </w:pPr>
      <w:r>
        <w:rPr>
          <w:noProof/>
        </w:rPr>
        <w:drawing>
          <wp:inline distT="0" distB="0" distL="0" distR="0" wp14:anchorId="02701FD8" wp14:editId="7F5BFCF3">
            <wp:extent cx="5711026" cy="6046968"/>
            <wp:effectExtent l="0" t="0" r="4445" b="0"/>
            <wp:docPr id="1500655260" name="Picture 1" descr="Figure 2 shows a SARC - IC Program Summary.&#10;SARC-IC funding supported four priority cohorts: 3,994 young people ($13.0 million), 5,044 people with disability ($17.7 million), 2,559 vulnerable women ($9.1 million), and 2,599 unemployed people ($12.4 million). Across Australia, the largest number of participants were in New South Wales (13,235), followed by Queensland (6,305) and Victoria (5,259), Western Australia (3,789), Tasmania (1,925), South Australia (1,850), Northern Territory (426), ACT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55260" name="Picture 1" descr="Figure 2 shows a SARC - IC Program Summary.&#10;SARC-IC funding supported four priority cohorts: 3,994 young people ($13.0 million), 5,044 people with disability ($17.7 million), 2,559 vulnerable women ($9.1 million), and 2,599 unemployed people ($12.4 million). Across Australia, the largest number of participants were in New South Wales (13,235), followed by Queensland (6,305) and Victoria (5,259), Western Australia (3,789), Tasmania (1,925), South Australia (1,850), Northern Territory (426), ACT (127)."/>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5711026" cy="6046968"/>
                    </a:xfrm>
                    <a:prstGeom prst="rect">
                      <a:avLst/>
                    </a:prstGeom>
                  </pic:spPr>
                </pic:pic>
              </a:graphicData>
            </a:graphic>
          </wp:inline>
        </w:drawing>
      </w:r>
    </w:p>
    <w:p w14:paraId="5234237F" w14:textId="77777777" w:rsidR="00C05D26" w:rsidRDefault="00C05D26" w:rsidP="004C24A6">
      <w:pPr>
        <w:pStyle w:val="Heading2"/>
      </w:pPr>
      <w:bookmarkStart w:id="17" w:name="_Toc240883547"/>
      <w:r>
        <w:t>Purpose of the evaluation</w:t>
      </w:r>
      <w:bookmarkEnd w:id="17"/>
      <w:r>
        <w:t xml:space="preserve"> </w:t>
      </w:r>
    </w:p>
    <w:p w14:paraId="1E88EDF4" w14:textId="162448A5" w:rsidR="00931486" w:rsidRDefault="000D22BE" w:rsidP="00A445AD">
      <w:r w:rsidRPr="0089414A">
        <w:rPr>
          <w:lang w:eastAsia="en-AU"/>
        </w:rPr>
        <w:t>Th</w:t>
      </w:r>
      <w:r>
        <w:rPr>
          <w:lang w:eastAsia="en-AU"/>
        </w:rPr>
        <w:t>is</w:t>
      </w:r>
      <w:r w:rsidRPr="0089414A">
        <w:rPr>
          <w:lang w:eastAsia="en-AU"/>
        </w:rPr>
        <w:t xml:space="preserve"> evaluation of the SARC</w:t>
      </w:r>
      <w:r w:rsidR="00B45EF0">
        <w:rPr>
          <w:lang w:eastAsia="en-AU"/>
        </w:rPr>
        <w:t xml:space="preserve"> </w:t>
      </w:r>
      <w:r w:rsidR="00FF21BC">
        <w:rPr>
          <w:lang w:eastAsia="en-AU"/>
        </w:rPr>
        <w:t xml:space="preserve">– </w:t>
      </w:r>
      <w:r w:rsidRPr="0089414A">
        <w:rPr>
          <w:lang w:eastAsia="en-AU"/>
        </w:rPr>
        <w:t xml:space="preserve">IC Activity </w:t>
      </w:r>
      <w:r>
        <w:rPr>
          <w:lang w:eastAsia="en-AU"/>
        </w:rPr>
        <w:t xml:space="preserve">assesses </w:t>
      </w:r>
      <w:r w:rsidR="002834FD">
        <w:rPr>
          <w:lang w:eastAsia="en-AU"/>
        </w:rPr>
        <w:t>the extent to which</w:t>
      </w:r>
      <w:r w:rsidRPr="0089414A">
        <w:rPr>
          <w:lang w:eastAsia="en-AU"/>
        </w:rPr>
        <w:t xml:space="preserve"> </w:t>
      </w:r>
      <w:r>
        <w:rPr>
          <w:lang w:eastAsia="en-AU"/>
        </w:rPr>
        <w:t>the</w:t>
      </w:r>
      <w:r w:rsidRPr="0089414A">
        <w:rPr>
          <w:lang w:eastAsia="en-AU"/>
        </w:rPr>
        <w:t xml:space="preserve"> </w:t>
      </w:r>
      <w:r w:rsidR="00C865A6">
        <w:rPr>
          <w:lang w:eastAsia="en-AU"/>
        </w:rPr>
        <w:t xml:space="preserve">Commonwealth’s </w:t>
      </w:r>
      <w:r w:rsidRPr="0089414A">
        <w:rPr>
          <w:lang w:eastAsia="en-AU"/>
        </w:rPr>
        <w:t xml:space="preserve">investment </w:t>
      </w:r>
      <w:r w:rsidR="00257207">
        <w:rPr>
          <w:lang w:eastAsia="en-AU"/>
        </w:rPr>
        <w:t>in SARC</w:t>
      </w:r>
      <w:r w:rsidR="0002370E">
        <w:rPr>
          <w:lang w:eastAsia="en-AU"/>
        </w:rPr>
        <w:t xml:space="preserve"> – </w:t>
      </w:r>
      <w:r w:rsidR="00257207">
        <w:rPr>
          <w:lang w:eastAsia="en-AU"/>
        </w:rPr>
        <w:t xml:space="preserve">IC </w:t>
      </w:r>
      <w:r w:rsidRPr="0089414A">
        <w:rPr>
          <w:lang w:eastAsia="en-AU"/>
        </w:rPr>
        <w:t>supports its intended objectives</w:t>
      </w:r>
      <w:r w:rsidR="002B29BE">
        <w:rPr>
          <w:rFonts w:ascii="ZWAdobeF" w:hAnsi="ZWAdobeF" w:cs="ZWAdobeF"/>
          <w:sz w:val="2"/>
          <w:szCs w:val="2"/>
          <w:lang w:eastAsia="en-AU"/>
        </w:rPr>
        <w:t>11F</w:t>
      </w:r>
      <w:r w:rsidR="000766DD">
        <w:rPr>
          <w:rStyle w:val="FootnoteReference"/>
          <w:lang w:eastAsia="en-AU"/>
        </w:rPr>
        <w:footnoteReference w:id="14"/>
      </w:r>
      <w:r w:rsidR="002834FD">
        <w:rPr>
          <w:lang w:eastAsia="en-AU"/>
        </w:rPr>
        <w:t xml:space="preserve"> and</w:t>
      </w:r>
      <w:r w:rsidRPr="0089414A">
        <w:rPr>
          <w:lang w:eastAsia="en-AU"/>
        </w:rPr>
        <w:t xml:space="preserve"> complements related Commonwealth, State, and Territory programs, and </w:t>
      </w:r>
      <w:r w:rsidRPr="00C14049">
        <w:rPr>
          <w:lang w:eastAsia="en-AU"/>
        </w:rPr>
        <w:t>identif</w:t>
      </w:r>
      <w:r>
        <w:rPr>
          <w:lang w:eastAsia="en-AU"/>
        </w:rPr>
        <w:t>ies</w:t>
      </w:r>
      <w:r w:rsidRPr="0089414A">
        <w:rPr>
          <w:lang w:eastAsia="en-AU"/>
        </w:rPr>
        <w:t xml:space="preserve"> opportunities for continuous improvement.</w:t>
      </w:r>
      <w:r>
        <w:rPr>
          <w:lang w:eastAsia="en-AU"/>
        </w:rPr>
        <w:t xml:space="preserve"> </w:t>
      </w:r>
      <w:r w:rsidRPr="0089414A">
        <w:rPr>
          <w:lang w:eastAsia="en-AU"/>
        </w:rPr>
        <w:t xml:space="preserve">The evaluation </w:t>
      </w:r>
      <w:r>
        <w:rPr>
          <w:lang w:eastAsia="en-AU"/>
        </w:rPr>
        <w:t xml:space="preserve">considers both the implementation and outcomes of rounds </w:t>
      </w:r>
      <w:r w:rsidR="00B25A41">
        <w:rPr>
          <w:lang w:eastAsia="en-AU"/>
        </w:rPr>
        <w:t>one to three</w:t>
      </w:r>
      <w:r>
        <w:rPr>
          <w:lang w:eastAsia="en-AU"/>
        </w:rPr>
        <w:t xml:space="preserve"> of the grant, and the process and implementation of the fourth round. </w:t>
      </w:r>
    </w:p>
    <w:p w14:paraId="35428F50" w14:textId="20990F7B" w:rsidR="00C05D26" w:rsidRPr="00784D9D" w:rsidRDefault="00C05D26" w:rsidP="004A2034">
      <w:pPr>
        <w:pStyle w:val="Heading1"/>
      </w:pPr>
      <w:bookmarkStart w:id="18" w:name="_Toc240883548"/>
      <w:r w:rsidRPr="00784D9D">
        <w:lastRenderedPageBreak/>
        <w:t>Evaluation methodology</w:t>
      </w:r>
      <w:bookmarkEnd w:id="18"/>
      <w:r w:rsidRPr="00784D9D">
        <w:t xml:space="preserve"> </w:t>
      </w:r>
    </w:p>
    <w:p w14:paraId="5580B12D" w14:textId="29E2B236" w:rsidR="00C05D26" w:rsidRDefault="00AC5D1B" w:rsidP="004C24A6">
      <w:pPr>
        <w:pStyle w:val="Heading2"/>
      </w:pPr>
      <w:bookmarkStart w:id="19" w:name="_Toc240883549"/>
      <w:r>
        <w:t>The evaluation takes a mixed-methods</w:t>
      </w:r>
      <w:r w:rsidR="00804FED">
        <w:t xml:space="preserve"> </w:t>
      </w:r>
      <w:r>
        <w:t>approach</w:t>
      </w:r>
      <w:r w:rsidR="00A1414D">
        <w:t xml:space="preserve">, </w:t>
      </w:r>
      <w:r w:rsidR="00481A65">
        <w:t>with a scope defined</w:t>
      </w:r>
      <w:r w:rsidR="00A1414D">
        <w:t xml:space="preserve"> by </w:t>
      </w:r>
      <w:r w:rsidR="00481A65">
        <w:t xml:space="preserve">four </w:t>
      </w:r>
      <w:r w:rsidR="00A1414D">
        <w:t>Key Evaluation Questions (KEQs)</w:t>
      </w:r>
      <w:bookmarkEnd w:id="19"/>
    </w:p>
    <w:p w14:paraId="79A29AA0" w14:textId="5C61CA91" w:rsidR="004468FC" w:rsidRDefault="004468FC" w:rsidP="004468FC">
      <w:pPr>
        <w:rPr>
          <w:lang w:eastAsia="en-AU"/>
        </w:rPr>
      </w:pPr>
      <w:r>
        <w:rPr>
          <w:lang w:eastAsia="en-AU"/>
        </w:rPr>
        <w:t>Th</w:t>
      </w:r>
      <w:r w:rsidR="00C93DD2">
        <w:rPr>
          <w:lang w:eastAsia="en-AU"/>
        </w:rPr>
        <w:t>e</w:t>
      </w:r>
      <w:r>
        <w:rPr>
          <w:lang w:eastAsia="en-AU"/>
        </w:rPr>
        <w:t xml:space="preserve"> evaluation </w:t>
      </w:r>
      <w:r w:rsidR="00C93DD2">
        <w:rPr>
          <w:lang w:eastAsia="en-AU"/>
        </w:rPr>
        <w:t>methodology for the SARC</w:t>
      </w:r>
      <w:r w:rsidR="00E0281C">
        <w:rPr>
          <w:lang w:eastAsia="en-AU"/>
        </w:rPr>
        <w:t xml:space="preserve"> – </w:t>
      </w:r>
      <w:r w:rsidR="00C93DD2">
        <w:rPr>
          <w:lang w:eastAsia="en-AU"/>
        </w:rPr>
        <w:t xml:space="preserve">IC </w:t>
      </w:r>
      <w:r w:rsidR="00804476">
        <w:rPr>
          <w:lang w:eastAsia="en-AU"/>
        </w:rPr>
        <w:t>Activity</w:t>
      </w:r>
      <w:r w:rsidR="00C93DD2">
        <w:rPr>
          <w:lang w:eastAsia="en-AU"/>
        </w:rPr>
        <w:t xml:space="preserve"> considers four KEQs and applies</w:t>
      </w:r>
      <w:r>
        <w:rPr>
          <w:lang w:eastAsia="en-AU"/>
        </w:rPr>
        <w:t xml:space="preserve"> a </w:t>
      </w:r>
      <w:r w:rsidR="004766DB">
        <w:rPr>
          <w:lang w:eastAsia="en-AU"/>
        </w:rPr>
        <w:t xml:space="preserve">non-experimental, </w:t>
      </w:r>
      <w:r w:rsidR="00C93DD2">
        <w:rPr>
          <w:lang w:eastAsia="en-AU"/>
        </w:rPr>
        <w:t>mixed-methods</w:t>
      </w:r>
      <w:r>
        <w:rPr>
          <w:lang w:eastAsia="en-AU"/>
        </w:rPr>
        <w:t xml:space="preserve"> approach </w:t>
      </w:r>
      <w:r w:rsidR="00C93DD2">
        <w:rPr>
          <w:lang w:eastAsia="en-AU"/>
        </w:rPr>
        <w:t>that draw</w:t>
      </w:r>
      <w:r w:rsidR="00AC5D1B">
        <w:rPr>
          <w:lang w:eastAsia="en-AU"/>
        </w:rPr>
        <w:t>s</w:t>
      </w:r>
      <w:r>
        <w:rPr>
          <w:lang w:eastAsia="en-AU"/>
        </w:rPr>
        <w:t xml:space="preserve"> on </w:t>
      </w:r>
      <w:r w:rsidR="00C93DD2">
        <w:rPr>
          <w:lang w:eastAsia="en-AU"/>
        </w:rPr>
        <w:t>quantitative and qualitative data.</w:t>
      </w:r>
      <w:r>
        <w:rPr>
          <w:lang w:eastAsia="en-AU"/>
        </w:rPr>
        <w:t xml:space="preserve"> </w:t>
      </w:r>
      <w:r w:rsidR="005D5345">
        <w:rPr>
          <w:lang w:eastAsia="en-AU"/>
        </w:rPr>
        <w:t>Given the limitations in the data available, the</w:t>
      </w:r>
      <w:r w:rsidR="0085029E">
        <w:rPr>
          <w:lang w:eastAsia="en-AU"/>
        </w:rPr>
        <w:t xml:space="preserve"> evaluation has chosen not to use an experimental design</w:t>
      </w:r>
      <w:r w:rsidR="005D5345">
        <w:rPr>
          <w:lang w:eastAsia="en-AU"/>
        </w:rPr>
        <w:t xml:space="preserve"> and has focused on understanding what has changed and the design of </w:t>
      </w:r>
      <w:r w:rsidR="0085573D">
        <w:rPr>
          <w:lang w:eastAsia="en-AU"/>
        </w:rPr>
        <w:t>SARC – IC</w:t>
      </w:r>
      <w:r w:rsidR="005D5345">
        <w:rPr>
          <w:lang w:eastAsia="en-AU"/>
        </w:rPr>
        <w:t>.</w:t>
      </w:r>
      <w:r w:rsidR="00DB040C">
        <w:rPr>
          <w:lang w:eastAsia="en-AU"/>
        </w:rPr>
        <w:t xml:space="preserve"> This </w:t>
      </w:r>
      <w:r w:rsidR="00C34FD1">
        <w:rPr>
          <w:lang w:eastAsia="en-AU"/>
        </w:rPr>
        <w:t>evaluation</w:t>
      </w:r>
      <w:r w:rsidR="00DB040C">
        <w:rPr>
          <w:lang w:eastAsia="en-AU"/>
        </w:rPr>
        <w:t xml:space="preserve"> received </w:t>
      </w:r>
      <w:r w:rsidR="00573D2C">
        <w:rPr>
          <w:lang w:eastAsia="en-AU"/>
        </w:rPr>
        <w:t xml:space="preserve">HREC approval from Bellberry </w:t>
      </w:r>
      <w:r w:rsidR="00A13E1C">
        <w:rPr>
          <w:lang w:eastAsia="en-AU"/>
        </w:rPr>
        <w:t xml:space="preserve">(application no. </w:t>
      </w:r>
      <w:r w:rsidR="00A13E1C" w:rsidRPr="00A13E1C">
        <w:rPr>
          <w:lang w:eastAsia="en-AU"/>
        </w:rPr>
        <w:t>2025-09-1427</w:t>
      </w:r>
      <w:r w:rsidR="00A13E1C">
        <w:rPr>
          <w:lang w:eastAsia="en-AU"/>
        </w:rPr>
        <w:t>).</w:t>
      </w:r>
      <w:r w:rsidR="005D5345">
        <w:rPr>
          <w:lang w:eastAsia="en-AU"/>
        </w:rPr>
        <w:t xml:space="preserve"> </w:t>
      </w:r>
      <w:r>
        <w:rPr>
          <w:lang w:eastAsia="en-AU"/>
        </w:rPr>
        <w:fldChar w:fldCharType="begin" w:fldLock="1"/>
      </w:r>
      <w:r>
        <w:rPr>
          <w:lang w:eastAsia="en-AU"/>
        </w:rPr>
        <w:instrText xml:space="preserve"> REF _Ref202967129 \h </w:instrText>
      </w:r>
      <w:r>
        <w:rPr>
          <w:lang w:eastAsia="en-AU"/>
        </w:rPr>
      </w:r>
      <w:r>
        <w:rPr>
          <w:lang w:eastAsia="en-AU"/>
        </w:rPr>
        <w:fldChar w:fldCharType="separate"/>
      </w:r>
      <w:r w:rsidR="00D01231">
        <w:t xml:space="preserve">Figure </w:t>
      </w:r>
      <w:r w:rsidR="00D01231">
        <w:rPr>
          <w:noProof/>
        </w:rPr>
        <w:t>3</w:t>
      </w:r>
      <w:r>
        <w:rPr>
          <w:lang w:eastAsia="en-AU"/>
        </w:rPr>
        <w:fldChar w:fldCharType="end"/>
      </w:r>
      <w:r>
        <w:rPr>
          <w:lang w:eastAsia="en-AU"/>
        </w:rPr>
        <w:t xml:space="preserve"> below sets out the overarching evaluation framework used to guide this evaluation. </w:t>
      </w:r>
      <w:r w:rsidR="00D778AE">
        <w:fldChar w:fldCharType="begin" w:fldLock="1"/>
      </w:r>
      <w:r w:rsidR="00D778AE">
        <w:instrText xml:space="preserve"> REF _Ref216439351 \n \h </w:instrText>
      </w:r>
      <w:r w:rsidR="00D778AE">
        <w:fldChar w:fldCharType="separate"/>
      </w:r>
      <w:r w:rsidR="00D778AE">
        <w:t>Appendix B</w:t>
      </w:r>
      <w:r w:rsidR="00D778AE">
        <w:fldChar w:fldCharType="end"/>
      </w:r>
      <w:r w:rsidR="00D778AE">
        <w:t xml:space="preserve"> outlines the sub-KEQs.</w:t>
      </w:r>
    </w:p>
    <w:p w14:paraId="22D36051" w14:textId="2BB3AB6E" w:rsidR="004468FC" w:rsidRDefault="004468FC" w:rsidP="004468FC">
      <w:pPr>
        <w:pStyle w:val="Caption"/>
      </w:pPr>
      <w:bookmarkStart w:id="20" w:name="figure_3"/>
      <w:bookmarkStart w:id="21" w:name="_Ref202967129"/>
      <w:bookmarkEnd w:id="20"/>
      <w:r>
        <w:t xml:space="preserve">Figure </w:t>
      </w:r>
      <w:r>
        <w:fldChar w:fldCharType="begin"/>
      </w:r>
      <w:r>
        <w:instrText xml:space="preserve"> SEQ Figure \* ARABIC </w:instrText>
      </w:r>
      <w:r>
        <w:fldChar w:fldCharType="separate"/>
      </w:r>
      <w:r w:rsidR="00B666D1">
        <w:rPr>
          <w:noProof/>
        </w:rPr>
        <w:t>3</w:t>
      </w:r>
      <w:r>
        <w:fldChar w:fldCharType="end"/>
      </w:r>
      <w:bookmarkEnd w:id="21"/>
      <w:r>
        <w:t xml:space="preserve"> | SARC</w:t>
      </w:r>
      <w:r w:rsidR="00775238">
        <w:t xml:space="preserve"> – </w:t>
      </w:r>
      <w:r>
        <w:t xml:space="preserve">IC Grant evaluation </w:t>
      </w:r>
      <w:r w:rsidR="00496DE8">
        <w:t>overview</w:t>
      </w:r>
    </w:p>
    <w:p w14:paraId="1F01C31C" w14:textId="3D7ECD51" w:rsidR="008C0613" w:rsidRDefault="001A3272" w:rsidP="008C0613">
      <w:r w:rsidRPr="001A3272">
        <w:rPr>
          <w:noProof/>
        </w:rPr>
        <w:drawing>
          <wp:inline distT="0" distB="0" distL="0" distR="0" wp14:anchorId="0C4BE13F" wp14:editId="109C737D">
            <wp:extent cx="5657850" cy="5962929"/>
            <wp:effectExtent l="0" t="0" r="0" b="0"/>
            <wp:docPr id="1941722159" name="Picture 2" descr="Figure 3: SARC – IC Grant evaluation overview, Figure Description at Appendix G.&#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22159" name="Picture 2" descr="Figure 3: SARC – IC Grant evaluation overview, Figure Description at Appendix G.&#10;&#10;"/>
                    <pic:cNvPicPr>
                      <a:picLocks noChangeAspect="1" noChangeArrowheads="1"/>
                    </pic:cNvPicPr>
                  </pic:nvPicPr>
                  <pic:blipFill>
                    <a:blip r:embed="rId21">
                      <a:extLst>
                        <a:ext uri="{96DAC541-7B7A-43D3-8B79-37D633B846F1}">
                          <asvg:svgBlip xmlns:asvg="http://schemas.microsoft.com/office/drawing/2016/SVG/main" r:embed="rId22"/>
                        </a:ext>
                      </a:extLst>
                    </a:blip>
                    <a:stretch>
                      <a:fillRect/>
                    </a:stretch>
                  </pic:blipFill>
                  <pic:spPr bwMode="auto">
                    <a:xfrm>
                      <a:off x="0" y="0"/>
                      <a:ext cx="5661654" cy="5966938"/>
                    </a:xfrm>
                    <a:prstGeom prst="rect">
                      <a:avLst/>
                    </a:prstGeom>
                  </pic:spPr>
                </pic:pic>
              </a:graphicData>
            </a:graphic>
          </wp:inline>
        </w:drawing>
      </w:r>
    </w:p>
    <w:p w14:paraId="79772DF4" w14:textId="295FA6EE" w:rsidR="00A75B1A" w:rsidRPr="008C0613" w:rsidRDefault="00A75B1A" w:rsidP="008C0613">
      <w:hyperlink w:anchor="_Figure_3_description" w:history="1">
        <w:r w:rsidRPr="00A75B1A">
          <w:rPr>
            <w:rStyle w:val="Hyperlink"/>
          </w:rPr>
          <w:t>Figure 3 full description</w:t>
        </w:r>
      </w:hyperlink>
    </w:p>
    <w:p w14:paraId="1C734234" w14:textId="04E9D900" w:rsidR="00C05D26" w:rsidRDefault="00C05D26" w:rsidP="004C24A6">
      <w:pPr>
        <w:pStyle w:val="Heading2"/>
      </w:pPr>
      <w:bookmarkStart w:id="22" w:name="_Ref216698253"/>
      <w:bookmarkStart w:id="23" w:name="_Ref216795913"/>
      <w:bookmarkStart w:id="24" w:name="_Toc240883550"/>
      <w:r>
        <w:lastRenderedPageBreak/>
        <w:t xml:space="preserve">Data limitations </w:t>
      </w:r>
      <w:r w:rsidR="005A62E9">
        <w:t>affected the depth and robustness</w:t>
      </w:r>
      <w:r>
        <w:t xml:space="preserve"> of findings</w:t>
      </w:r>
      <w:bookmarkEnd w:id="22"/>
      <w:bookmarkEnd w:id="23"/>
      <w:bookmarkEnd w:id="24"/>
      <w:r>
        <w:t xml:space="preserve"> </w:t>
      </w:r>
    </w:p>
    <w:p w14:paraId="12235C94" w14:textId="36A81C63" w:rsidR="00CC0A24" w:rsidRDefault="00CC0A24" w:rsidP="00291D5B">
      <w:r>
        <w:t>T</w:t>
      </w:r>
      <w:r w:rsidRPr="00CC0A24">
        <w:t xml:space="preserve">he </w:t>
      </w:r>
      <w:r>
        <w:t>results</w:t>
      </w:r>
      <w:r w:rsidRPr="00CC0A24">
        <w:t xml:space="preserve"> presented in this report provide a robust evidence base for the Department on the </w:t>
      </w:r>
      <w:r>
        <w:t>a</w:t>
      </w:r>
      <w:r w:rsidRPr="00CC0A24">
        <w:t xml:space="preserve">ppropriateness </w:t>
      </w:r>
      <w:r>
        <w:t xml:space="preserve">and effectiveness </w:t>
      </w:r>
      <w:r w:rsidRPr="00CC0A24">
        <w:t>of SARC</w:t>
      </w:r>
      <w:r w:rsidR="00E11E75">
        <w:t xml:space="preserve"> </w:t>
      </w:r>
      <w:r w:rsidR="00212BEF">
        <w:t xml:space="preserve">– </w:t>
      </w:r>
      <w:r w:rsidRPr="00CC0A24">
        <w:t>IC. However, the study design was limited in a number of ways</w:t>
      </w:r>
      <w:r>
        <w:t>. Particularly the</w:t>
      </w:r>
      <w:r w:rsidRPr="00CC0A24">
        <w:t xml:space="preserve"> decision to evaluate </w:t>
      </w:r>
      <w:r w:rsidR="001E4D65">
        <w:t>SARC – IC</w:t>
      </w:r>
      <w:r w:rsidRPr="00CC0A24">
        <w:t xml:space="preserve"> without a control group due to data limitations. The details of the data limitations are provided below</w:t>
      </w:r>
      <w:r>
        <w:t xml:space="preserve"> </w:t>
      </w:r>
      <w:r w:rsidR="00E81DD8">
        <w:t xml:space="preserve">in </w:t>
      </w:r>
      <w:r w:rsidR="00E81DD8">
        <w:fldChar w:fldCharType="begin" w:fldLock="1"/>
      </w:r>
      <w:r w:rsidR="00E81DD8">
        <w:instrText xml:space="preserve"> REF _Ref216687656 \h </w:instrText>
      </w:r>
      <w:r w:rsidR="00E81DD8">
        <w:fldChar w:fldCharType="separate"/>
      </w:r>
      <w:r w:rsidR="00E81DD8">
        <w:t xml:space="preserve">Table </w:t>
      </w:r>
      <w:r w:rsidR="00E81DD8">
        <w:rPr>
          <w:noProof/>
        </w:rPr>
        <w:t>1</w:t>
      </w:r>
      <w:r w:rsidR="00E81DD8">
        <w:fldChar w:fldCharType="end"/>
      </w:r>
      <w:r w:rsidR="004D35B9">
        <w:t xml:space="preserve"> below</w:t>
      </w:r>
      <w:r w:rsidR="00A620AC">
        <w:t>.</w:t>
      </w:r>
    </w:p>
    <w:p w14:paraId="6E7A08E7" w14:textId="7DFF8CE8" w:rsidR="008C7A5F" w:rsidRPr="00633B42" w:rsidRDefault="008C7A5F" w:rsidP="0083348A">
      <w:pPr>
        <w:pStyle w:val="Caption"/>
      </w:pPr>
      <w:bookmarkStart w:id="25" w:name="_Ref216687656"/>
      <w:r>
        <w:t xml:space="preserve">Table </w:t>
      </w:r>
      <w:r>
        <w:fldChar w:fldCharType="begin"/>
      </w:r>
      <w:r>
        <w:instrText xml:space="preserve"> SEQ Table \* ARABIC </w:instrText>
      </w:r>
      <w:r>
        <w:fldChar w:fldCharType="separate"/>
      </w:r>
      <w:r w:rsidR="00B666D1">
        <w:rPr>
          <w:noProof/>
        </w:rPr>
        <w:t>1</w:t>
      </w:r>
      <w:r>
        <w:fldChar w:fldCharType="end"/>
      </w:r>
      <w:bookmarkEnd w:id="25"/>
      <w:r>
        <w:t xml:space="preserve"> | Data limitations</w:t>
      </w:r>
    </w:p>
    <w:tbl>
      <w:tblPr>
        <w:tblStyle w:val="NOUS1"/>
        <w:tblW w:w="0" w:type="auto"/>
        <w:tblLook w:val="04A0" w:firstRow="1" w:lastRow="0" w:firstColumn="1" w:lastColumn="0" w:noHBand="0" w:noVBand="1"/>
      </w:tblPr>
      <w:tblGrid>
        <w:gridCol w:w="1693"/>
        <w:gridCol w:w="2497"/>
        <w:gridCol w:w="2497"/>
        <w:gridCol w:w="2498"/>
      </w:tblGrid>
      <w:tr w:rsidR="00F614D5" w:rsidRPr="00BF30E7" w14:paraId="11FFF475" w14:textId="77777777" w:rsidTr="003D7B58">
        <w:trPr>
          <w:cnfStyle w:val="100000000000" w:firstRow="1" w:lastRow="0" w:firstColumn="0" w:lastColumn="0" w:oddVBand="0" w:evenVBand="0" w:oddHBand="0" w:evenHBand="0" w:firstRowFirstColumn="0" w:firstRowLastColumn="0" w:lastRowFirstColumn="0" w:lastRowLastColumn="0"/>
          <w:trHeight w:val="193"/>
        </w:trPr>
        <w:tc>
          <w:tcPr>
            <w:tcW w:w="1693" w:type="dxa"/>
            <w:vAlign w:val="center"/>
          </w:tcPr>
          <w:p w14:paraId="2514CE16" w14:textId="77777777" w:rsidR="00D33D75" w:rsidRPr="0062489E" w:rsidRDefault="00D33D75" w:rsidP="003D7B58">
            <w:pPr>
              <w:rPr>
                <w:rFonts w:asciiTheme="majorHAnsi" w:hAnsiTheme="majorHAnsi" w:cstheme="majorHAnsi"/>
                <w:lang w:eastAsia="en-AU"/>
              </w:rPr>
            </w:pPr>
            <w:r w:rsidRPr="0062489E">
              <w:rPr>
                <w:rFonts w:asciiTheme="majorHAnsi" w:hAnsiTheme="majorHAnsi" w:cstheme="majorHAnsi"/>
                <w:lang w:eastAsia="en-AU"/>
              </w:rPr>
              <w:t>Limitation</w:t>
            </w:r>
          </w:p>
        </w:tc>
        <w:tc>
          <w:tcPr>
            <w:tcW w:w="2497" w:type="dxa"/>
            <w:vAlign w:val="center"/>
          </w:tcPr>
          <w:p w14:paraId="09754FD8" w14:textId="79FCA520" w:rsidR="00D33D75" w:rsidRPr="0062489E" w:rsidRDefault="00D33D75" w:rsidP="003D7B58">
            <w:pPr>
              <w:rPr>
                <w:rFonts w:asciiTheme="majorHAnsi" w:hAnsiTheme="majorHAnsi" w:cstheme="majorHAnsi"/>
                <w:lang w:eastAsia="en-AU"/>
              </w:rPr>
            </w:pPr>
            <w:r w:rsidRPr="0062489E">
              <w:rPr>
                <w:rFonts w:asciiTheme="majorHAnsi" w:hAnsiTheme="majorHAnsi" w:cstheme="majorHAnsi"/>
                <w:lang w:eastAsia="en-AU"/>
              </w:rPr>
              <w:t>Description</w:t>
            </w:r>
          </w:p>
        </w:tc>
        <w:tc>
          <w:tcPr>
            <w:tcW w:w="2497" w:type="dxa"/>
            <w:vAlign w:val="center"/>
          </w:tcPr>
          <w:p w14:paraId="2A32D698" w14:textId="2E3384AB" w:rsidR="00D33D75" w:rsidRPr="0062489E" w:rsidRDefault="00D33D75" w:rsidP="003D7B58">
            <w:pPr>
              <w:rPr>
                <w:rFonts w:asciiTheme="majorHAnsi" w:hAnsiTheme="majorHAnsi" w:cstheme="majorHAnsi"/>
                <w:lang w:eastAsia="en-AU"/>
              </w:rPr>
            </w:pPr>
            <w:r w:rsidRPr="0062489E">
              <w:rPr>
                <w:rFonts w:asciiTheme="majorHAnsi" w:hAnsiTheme="majorHAnsi" w:cstheme="majorHAnsi"/>
                <w:lang w:eastAsia="en-AU"/>
              </w:rPr>
              <w:t>Impact</w:t>
            </w:r>
          </w:p>
        </w:tc>
        <w:tc>
          <w:tcPr>
            <w:tcW w:w="2498" w:type="dxa"/>
            <w:vAlign w:val="center"/>
          </w:tcPr>
          <w:p w14:paraId="7B5F4C53" w14:textId="77777777" w:rsidR="00D33D75" w:rsidRPr="0062489E" w:rsidRDefault="00D33D75" w:rsidP="003D7B58">
            <w:pPr>
              <w:rPr>
                <w:rFonts w:asciiTheme="majorHAnsi" w:hAnsiTheme="majorHAnsi" w:cstheme="majorHAnsi"/>
                <w:lang w:eastAsia="en-AU"/>
              </w:rPr>
            </w:pPr>
            <w:r w:rsidRPr="0062489E">
              <w:rPr>
                <w:rFonts w:asciiTheme="majorHAnsi" w:hAnsiTheme="majorHAnsi" w:cstheme="majorHAnsi"/>
                <w:lang w:eastAsia="en-AU"/>
              </w:rPr>
              <w:t>Mitigation</w:t>
            </w:r>
          </w:p>
        </w:tc>
      </w:tr>
      <w:tr w:rsidR="00F614D5" w:rsidRPr="00BF30E7" w14:paraId="55CAA348" w14:textId="77777777" w:rsidTr="008D44F9">
        <w:tc>
          <w:tcPr>
            <w:tcW w:w="1693" w:type="dxa"/>
          </w:tcPr>
          <w:p w14:paraId="2351D9FD" w14:textId="78F55434" w:rsidR="00D33D75" w:rsidRPr="00BF30E7" w:rsidRDefault="00D33D75" w:rsidP="004D6ACD">
            <w:pPr>
              <w:pStyle w:val="TableNText"/>
              <w:rPr>
                <w:lang w:eastAsia="en-AU"/>
              </w:rPr>
            </w:pPr>
            <w:r w:rsidRPr="000D191A">
              <w:t>Incomplete participant outcome records</w:t>
            </w:r>
          </w:p>
        </w:tc>
        <w:tc>
          <w:tcPr>
            <w:tcW w:w="2497" w:type="dxa"/>
          </w:tcPr>
          <w:p w14:paraId="79A1BC11" w14:textId="18CCE8C8" w:rsidR="00462232" w:rsidRPr="009D62A0" w:rsidRDefault="008E1F3A" w:rsidP="004D6ACD">
            <w:pPr>
              <w:pStyle w:val="TableNText"/>
            </w:pPr>
            <w:r w:rsidRPr="008E1F3A">
              <w:t xml:space="preserve">The evaluation intended to use complete outcome data for all participants. In practice, only </w:t>
            </w:r>
            <w:r>
              <w:t xml:space="preserve">around </w:t>
            </w:r>
            <w:r w:rsidR="00D217D6">
              <w:t>15</w:t>
            </w:r>
            <w:r>
              <w:t xml:space="preserve"> per cent</w:t>
            </w:r>
            <w:r w:rsidRPr="008E1F3A">
              <w:t xml:space="preserve"> </w:t>
            </w:r>
            <w:r w:rsidR="00816125">
              <w:t xml:space="preserve">(n = </w:t>
            </w:r>
            <w:r w:rsidR="008D3EC9">
              <w:t>9,902</w:t>
            </w:r>
            <w:r w:rsidR="00816125">
              <w:t xml:space="preserve">) </w:t>
            </w:r>
            <w:r w:rsidRPr="008E1F3A">
              <w:t>of participants had pre and post</w:t>
            </w:r>
            <w:r w:rsidR="005645FE">
              <w:t xml:space="preserve"> </w:t>
            </w:r>
            <w:r w:rsidR="00DA53F8">
              <w:t>project</w:t>
            </w:r>
            <w:r w:rsidRPr="008E1F3A">
              <w:t xml:space="preserve"> outcome scores available in the dataset. </w:t>
            </w:r>
          </w:p>
        </w:tc>
        <w:tc>
          <w:tcPr>
            <w:tcW w:w="2497" w:type="dxa"/>
          </w:tcPr>
          <w:p w14:paraId="16247C34" w14:textId="06DE225A" w:rsidR="00D33D75" w:rsidRPr="00BF30E7" w:rsidRDefault="007E4A15" w:rsidP="004D6ACD">
            <w:pPr>
              <w:pStyle w:val="TableNText"/>
              <w:rPr>
                <w:lang w:eastAsia="en-AU"/>
              </w:rPr>
            </w:pPr>
            <w:r w:rsidRPr="007E4A15">
              <w:t xml:space="preserve">This </w:t>
            </w:r>
            <w:r w:rsidR="00F576A9" w:rsidRPr="00F576A9">
              <w:t xml:space="preserve">reduced </w:t>
            </w:r>
            <w:r w:rsidRPr="007E4A15">
              <w:t>analytic sample</w:t>
            </w:r>
            <w:r w:rsidR="00F576A9" w:rsidRPr="00F576A9">
              <w:t xml:space="preserve"> increases uncertainty around estimated outcome changes</w:t>
            </w:r>
            <w:r>
              <w:t xml:space="preserve"> (</w:t>
            </w:r>
            <w:r w:rsidRPr="007E4A15">
              <w:t>standard errors are approximately 2.6 times larger than under full coverage</w:t>
            </w:r>
            <w:r w:rsidR="004D1963">
              <w:t>)</w:t>
            </w:r>
            <w:r w:rsidRPr="007E4A15">
              <w:t>, limiting the ability to detect very small effects and reducing</w:t>
            </w:r>
            <w:r w:rsidR="00F576A9" w:rsidRPr="00F576A9">
              <w:t xml:space="preserve"> the strength of inferences that can be drawn from </w:t>
            </w:r>
            <w:r w:rsidR="00F576A9">
              <w:t xml:space="preserve">measured </w:t>
            </w:r>
            <w:r w:rsidR="00F576A9" w:rsidRPr="00F576A9">
              <w:t>changes</w:t>
            </w:r>
            <w:r w:rsidR="00F576A9">
              <w:t xml:space="preserve"> alone</w:t>
            </w:r>
            <w:r w:rsidR="00F576A9" w:rsidRPr="00F576A9">
              <w:t>.</w:t>
            </w:r>
          </w:p>
        </w:tc>
        <w:tc>
          <w:tcPr>
            <w:tcW w:w="2498" w:type="dxa"/>
          </w:tcPr>
          <w:p w14:paraId="10BDA0B3" w14:textId="19E9C86E" w:rsidR="00D33D75" w:rsidRPr="00BF30E7" w:rsidRDefault="007A5CA8" w:rsidP="004D6ACD">
            <w:pPr>
              <w:pStyle w:val="TableNText"/>
            </w:pPr>
            <w:r w:rsidRPr="007A5CA8">
              <w:t>Analyses were explicitly framed as associative. Sample sizes are reported for all outcome estimates to make uncertainty transparent. Findings were interpreted cautiously and not generalised beyond participants with observed pre–post data</w:t>
            </w:r>
            <w:r w:rsidR="00837DD8">
              <w:t xml:space="preserve"> without </w:t>
            </w:r>
            <w:r w:rsidR="004779A1">
              <w:t xml:space="preserve">further qualitative </w:t>
            </w:r>
            <w:r w:rsidR="00D74CA4">
              <w:t>evidence</w:t>
            </w:r>
            <w:r w:rsidRPr="007A5CA8">
              <w:t>.</w:t>
            </w:r>
          </w:p>
        </w:tc>
      </w:tr>
      <w:tr w:rsidR="00F614D5" w:rsidRPr="00BF30E7" w14:paraId="3F5FF826" w14:textId="77777777" w:rsidTr="008D44F9">
        <w:tc>
          <w:tcPr>
            <w:tcW w:w="1693" w:type="dxa"/>
          </w:tcPr>
          <w:p w14:paraId="59E6DA18" w14:textId="77777777" w:rsidR="00D33D75" w:rsidRPr="00BF30E7" w:rsidRDefault="00D33D75" w:rsidP="004D6ACD">
            <w:pPr>
              <w:pStyle w:val="TableNText"/>
              <w:rPr>
                <w:lang w:eastAsia="en-AU"/>
              </w:rPr>
            </w:pPr>
            <w:r w:rsidRPr="00BF30E7">
              <w:t>Data duplication and missing values</w:t>
            </w:r>
          </w:p>
        </w:tc>
        <w:tc>
          <w:tcPr>
            <w:tcW w:w="2497" w:type="dxa"/>
          </w:tcPr>
          <w:p w14:paraId="6EC87E2E" w14:textId="39049083" w:rsidR="00D40111" w:rsidRDefault="00DA53F8" w:rsidP="004D6ACD">
            <w:pPr>
              <w:pStyle w:val="TableNText"/>
            </w:pPr>
            <w:r>
              <w:t>SARC – IC</w:t>
            </w:r>
            <w:r w:rsidR="001235A3" w:rsidRPr="001235A3">
              <w:t xml:space="preserve"> data contained duplicate client and session records and missing or partially completed fields, particularly for </w:t>
            </w:r>
            <w:r w:rsidR="00D40111">
              <w:t>education and employment indicators</w:t>
            </w:r>
            <w:r w:rsidR="001235A3" w:rsidRPr="001235A3">
              <w:t xml:space="preserve">. </w:t>
            </w:r>
          </w:p>
          <w:p w14:paraId="6EFE4E34" w14:textId="42FDF68A" w:rsidR="00D33D75" w:rsidRPr="00BF30E7" w:rsidRDefault="001235A3" w:rsidP="004D6ACD">
            <w:pPr>
              <w:pStyle w:val="TableNText"/>
            </w:pPr>
            <w:r w:rsidRPr="001235A3">
              <w:t xml:space="preserve">Duplicates </w:t>
            </w:r>
            <w:r w:rsidR="004A4DF0">
              <w:t xml:space="preserve">were </w:t>
            </w:r>
            <w:r w:rsidR="00D40111">
              <w:t xml:space="preserve">most often </w:t>
            </w:r>
            <w:r w:rsidR="00CC4838">
              <w:t>additional post-</w:t>
            </w:r>
            <w:r w:rsidR="00DA53F8">
              <w:t>project</w:t>
            </w:r>
            <w:r w:rsidR="00CC4838">
              <w:t xml:space="preserve"> observations</w:t>
            </w:r>
            <w:r w:rsidR="001D78B1">
              <w:t xml:space="preserve"> and accounted for </w:t>
            </w:r>
            <w:r w:rsidR="00254240">
              <w:t xml:space="preserve">less than </w:t>
            </w:r>
            <w:r w:rsidR="008631F2">
              <w:t>4</w:t>
            </w:r>
            <w:r w:rsidR="00254240">
              <w:t xml:space="preserve"> per </w:t>
            </w:r>
            <w:r w:rsidR="00134B67">
              <w:t>cent</w:t>
            </w:r>
            <w:r w:rsidR="00B93317">
              <w:t xml:space="preserve"> </w:t>
            </w:r>
            <w:r w:rsidR="00254240">
              <w:t>of all records.</w:t>
            </w:r>
            <w:r w:rsidR="001D78B1">
              <w:t xml:space="preserve"> </w:t>
            </w:r>
          </w:p>
        </w:tc>
        <w:tc>
          <w:tcPr>
            <w:tcW w:w="2497" w:type="dxa"/>
          </w:tcPr>
          <w:p w14:paraId="0849BBDD" w14:textId="2B156FC6" w:rsidR="00324CE5" w:rsidRPr="00BF30E7" w:rsidRDefault="00507F8A" w:rsidP="004D6ACD">
            <w:pPr>
              <w:pStyle w:val="TableNText"/>
              <w:rPr>
                <w:lang w:eastAsia="en-AU"/>
              </w:rPr>
            </w:pPr>
            <w:r>
              <w:rPr>
                <w:lang w:eastAsia="en-AU"/>
              </w:rPr>
              <w:t>D</w:t>
            </w:r>
            <w:r w:rsidR="00324CE5" w:rsidRPr="00324CE5">
              <w:rPr>
                <w:lang w:eastAsia="en-AU"/>
              </w:rPr>
              <w:t xml:space="preserve">ata quality </w:t>
            </w:r>
            <w:r>
              <w:rPr>
                <w:lang w:eastAsia="en-AU"/>
              </w:rPr>
              <w:t>challenges</w:t>
            </w:r>
            <w:r w:rsidR="00324CE5" w:rsidRPr="00324CE5">
              <w:rPr>
                <w:lang w:eastAsia="en-AU"/>
              </w:rPr>
              <w:t xml:space="preserve"> introduce uncertainty into measures of </w:t>
            </w:r>
            <w:r w:rsidR="00DA53F8">
              <w:rPr>
                <w:lang w:eastAsia="en-AU"/>
              </w:rPr>
              <w:t>project</w:t>
            </w:r>
            <w:r w:rsidR="00324CE5" w:rsidRPr="00324CE5">
              <w:rPr>
                <w:lang w:eastAsia="en-AU"/>
              </w:rPr>
              <w:t xml:space="preserve"> exposure</w:t>
            </w:r>
            <w:r>
              <w:rPr>
                <w:lang w:eastAsia="en-AU"/>
              </w:rPr>
              <w:t xml:space="preserve"> and </w:t>
            </w:r>
            <w:r w:rsidR="002F4299">
              <w:rPr>
                <w:lang w:eastAsia="en-AU"/>
              </w:rPr>
              <w:t>effectiveness</w:t>
            </w:r>
            <w:r w:rsidR="00324CE5" w:rsidRPr="00324CE5">
              <w:rPr>
                <w:lang w:eastAsia="en-AU"/>
              </w:rPr>
              <w:t xml:space="preserve">. </w:t>
            </w:r>
            <w:r w:rsidR="002F4299">
              <w:rPr>
                <w:lang w:eastAsia="en-AU"/>
              </w:rPr>
              <w:t>It can distort relationships between engagement, outcomes, and cost-effectiveness.</w:t>
            </w:r>
          </w:p>
        </w:tc>
        <w:tc>
          <w:tcPr>
            <w:tcW w:w="2498" w:type="dxa"/>
          </w:tcPr>
          <w:p w14:paraId="089456FE" w14:textId="3E8FA1F7" w:rsidR="00A80D8A" w:rsidRDefault="00C2401B" w:rsidP="004D6ACD">
            <w:pPr>
              <w:pStyle w:val="TableNText"/>
            </w:pPr>
            <w:r w:rsidRPr="00C2401B">
              <w:t>A transparent, rule-based data cleaning protocol was applied to remove duplicate records.</w:t>
            </w:r>
            <w:r w:rsidR="002F4299">
              <w:t xml:space="preserve"> The rules looked for </w:t>
            </w:r>
            <w:r w:rsidR="00A80D8A">
              <w:t xml:space="preserve">duplicates of </w:t>
            </w:r>
            <w:r w:rsidR="002F4299">
              <w:t xml:space="preserve">distinct </w:t>
            </w:r>
            <w:r w:rsidR="009513FF">
              <w:t xml:space="preserve">combinations of </w:t>
            </w:r>
            <w:r w:rsidR="002F4299">
              <w:t>client, session</w:t>
            </w:r>
            <w:r w:rsidR="003B7F8B">
              <w:t>, assessment type,</w:t>
            </w:r>
            <w:r w:rsidRPr="00C2401B">
              <w:t xml:space="preserve"> </w:t>
            </w:r>
            <w:r w:rsidR="00C523A2">
              <w:t xml:space="preserve">and outcome </w:t>
            </w:r>
            <w:r w:rsidR="007A2152">
              <w:t>ID</w:t>
            </w:r>
            <w:r w:rsidR="00C523A2">
              <w:t>s</w:t>
            </w:r>
            <w:r w:rsidR="00A80D8A">
              <w:t xml:space="preserve">. </w:t>
            </w:r>
          </w:p>
          <w:p w14:paraId="0FB8CB67" w14:textId="4D7780EE" w:rsidR="00D33D75" w:rsidRPr="00980330" w:rsidRDefault="00D31A52" w:rsidP="004D6ACD">
            <w:pPr>
              <w:pStyle w:val="TableNText"/>
            </w:pPr>
            <w:r>
              <w:t xml:space="preserve">This broad </w:t>
            </w:r>
            <w:r w:rsidR="00585085">
              <w:t>net minimised the risk of removing legitimate entries, for example where a pre and post</w:t>
            </w:r>
            <w:r w:rsidR="005645FE">
              <w:t xml:space="preserve"> </w:t>
            </w:r>
            <w:r w:rsidR="00585085">
              <w:t>score were recorded in the same session.</w:t>
            </w:r>
          </w:p>
        </w:tc>
      </w:tr>
      <w:tr w:rsidR="00F614D5" w:rsidRPr="00BF30E7" w14:paraId="4938BA3F" w14:textId="77777777" w:rsidTr="008D44F9">
        <w:tc>
          <w:tcPr>
            <w:tcW w:w="1693" w:type="dxa"/>
          </w:tcPr>
          <w:p w14:paraId="5FBF9974" w14:textId="77777777" w:rsidR="00D33D75" w:rsidRPr="00BF30E7" w:rsidRDefault="00D33D75" w:rsidP="004D6ACD">
            <w:pPr>
              <w:pStyle w:val="TableNText"/>
              <w:rPr>
                <w:lang w:eastAsia="en-AU"/>
              </w:rPr>
            </w:pPr>
            <w:r w:rsidRPr="00BF30E7">
              <w:t>Small sample sizes and confidentiality requirements</w:t>
            </w:r>
          </w:p>
        </w:tc>
        <w:tc>
          <w:tcPr>
            <w:tcW w:w="2497" w:type="dxa"/>
          </w:tcPr>
          <w:p w14:paraId="05CAD726" w14:textId="63750661" w:rsidR="007807C8" w:rsidRDefault="007807C8" w:rsidP="004D6ACD">
            <w:pPr>
              <w:pStyle w:val="TableNText"/>
            </w:pPr>
            <w:r w:rsidRPr="007807C8">
              <w:t xml:space="preserve">For some </w:t>
            </w:r>
            <w:r>
              <w:t>providers</w:t>
            </w:r>
            <w:r w:rsidRPr="007807C8">
              <w:t xml:space="preserve">, the number of </w:t>
            </w:r>
            <w:r w:rsidR="00E90B24">
              <w:t>individuals</w:t>
            </w:r>
            <w:r w:rsidRPr="007807C8">
              <w:t xml:space="preserve"> with </w:t>
            </w:r>
            <w:r>
              <w:t>complete</w:t>
            </w:r>
            <w:r w:rsidRPr="007807C8">
              <w:t xml:space="preserve"> </w:t>
            </w:r>
            <w:r w:rsidR="00E90B24">
              <w:t>pre and post</w:t>
            </w:r>
            <w:r w:rsidR="005645FE">
              <w:t xml:space="preserve"> </w:t>
            </w:r>
            <w:r w:rsidR="00E90B24">
              <w:t>scores</w:t>
            </w:r>
            <w:r w:rsidRPr="007807C8">
              <w:t xml:space="preserve"> was very small</w:t>
            </w:r>
            <w:r>
              <w:t>, often below the confidentiality thresholds set by the Department</w:t>
            </w:r>
            <w:r w:rsidR="00D74CA4">
              <w:t xml:space="preserve">, see </w:t>
            </w:r>
            <w:r w:rsidR="00D74CA4">
              <w:fldChar w:fldCharType="begin" w:fldLock="1"/>
            </w:r>
            <w:r w:rsidR="00D74CA4">
              <w:instrText xml:space="preserve"> REF _Ref216800724 \h </w:instrText>
            </w:r>
            <w:r w:rsidR="004D6ACD">
              <w:instrText xml:space="preserve"> \* MERGEFORMAT </w:instrText>
            </w:r>
            <w:r w:rsidR="00D74CA4">
              <w:fldChar w:fldCharType="separate"/>
            </w:r>
            <w:r w:rsidR="00D74CA4">
              <w:t xml:space="preserve">Table </w:t>
            </w:r>
            <w:r w:rsidR="00D74CA4">
              <w:rPr>
                <w:noProof/>
              </w:rPr>
              <w:t>2</w:t>
            </w:r>
            <w:r w:rsidR="00D74CA4">
              <w:fldChar w:fldCharType="end"/>
            </w:r>
            <w:r w:rsidR="00D74CA4">
              <w:t xml:space="preserve"> below</w:t>
            </w:r>
            <w:r w:rsidR="00C82927">
              <w:t xml:space="preserve"> for further details</w:t>
            </w:r>
            <w:r>
              <w:t xml:space="preserve">. </w:t>
            </w:r>
          </w:p>
          <w:p w14:paraId="11BCF3FD" w14:textId="1D376434" w:rsidR="00D33D75" w:rsidRPr="00BF30E7" w:rsidRDefault="007807C8" w:rsidP="004D6ACD">
            <w:pPr>
              <w:pStyle w:val="TableNText"/>
            </w:pPr>
            <w:r w:rsidRPr="007807C8">
              <w:t xml:space="preserve">Confidentiality requirements prohibit reporting results where cell sizes fall below </w:t>
            </w:r>
            <w:r>
              <w:t>5 contributors which limits t</w:t>
            </w:r>
            <w:r w:rsidRPr="007807C8">
              <w:t xml:space="preserve">he </w:t>
            </w:r>
            <w:r>
              <w:t>data available to report.</w:t>
            </w:r>
          </w:p>
        </w:tc>
        <w:tc>
          <w:tcPr>
            <w:tcW w:w="2497" w:type="dxa"/>
          </w:tcPr>
          <w:p w14:paraId="11C52395" w14:textId="5B518CE3" w:rsidR="0079274C" w:rsidRDefault="0079274C" w:rsidP="004D6ACD">
            <w:pPr>
              <w:pStyle w:val="TableNText"/>
              <w:rPr>
                <w:lang w:eastAsia="en-AU"/>
              </w:rPr>
            </w:pPr>
            <w:r w:rsidRPr="0079274C">
              <w:rPr>
                <w:lang w:eastAsia="en-AU"/>
              </w:rPr>
              <w:t xml:space="preserve">Small </w:t>
            </w:r>
            <w:r w:rsidR="00AD01E1">
              <w:rPr>
                <w:lang w:eastAsia="en-AU"/>
              </w:rPr>
              <w:t>sample</w:t>
            </w:r>
            <w:r w:rsidRPr="0079274C">
              <w:rPr>
                <w:lang w:eastAsia="en-AU"/>
              </w:rPr>
              <w:t xml:space="preserve"> sizes reduce the reliability and stability of </w:t>
            </w:r>
            <w:r w:rsidR="000B79F4">
              <w:rPr>
                <w:lang w:eastAsia="en-AU"/>
              </w:rPr>
              <w:t>outcome</w:t>
            </w:r>
            <w:r w:rsidRPr="0079274C">
              <w:rPr>
                <w:lang w:eastAsia="en-AU"/>
              </w:rPr>
              <w:t xml:space="preserve"> estimates and increase volatility in cost-effectiveness metrics</w:t>
            </w:r>
            <w:r w:rsidR="000B79F4">
              <w:rPr>
                <w:lang w:eastAsia="en-AU"/>
              </w:rPr>
              <w:t xml:space="preserve"> (t</w:t>
            </w:r>
            <w:r>
              <w:rPr>
                <w:lang w:eastAsia="en-AU"/>
              </w:rPr>
              <w:t xml:space="preserve">his is discussed in further detail in section </w:t>
            </w:r>
            <w:r>
              <w:fldChar w:fldCharType="begin" w:fldLock="1"/>
            </w:r>
            <w:r>
              <w:instrText xml:space="preserve"> REF _Ref216800438 \r \h </w:instrText>
            </w:r>
            <w:r w:rsidR="004D6ACD">
              <w:instrText xml:space="preserve"> \* MERGEFORMAT </w:instrText>
            </w:r>
            <w:r>
              <w:fldChar w:fldCharType="separate"/>
            </w:r>
            <w:r w:rsidR="00DE4B5A">
              <w:t>5.3</w:t>
            </w:r>
            <w:r>
              <w:fldChar w:fldCharType="end"/>
            </w:r>
            <w:r w:rsidR="000B79F4">
              <w:rPr>
                <w:lang w:eastAsia="en-AU"/>
              </w:rPr>
              <w:t>).</w:t>
            </w:r>
          </w:p>
          <w:p w14:paraId="546ED433" w14:textId="57CD0096" w:rsidR="00C342DD" w:rsidRPr="00BF30E7" w:rsidRDefault="00C342DD" w:rsidP="004D6ACD">
            <w:pPr>
              <w:pStyle w:val="TableNText"/>
              <w:rPr>
                <w:lang w:eastAsia="en-AU"/>
              </w:rPr>
            </w:pPr>
            <w:r>
              <w:rPr>
                <w:lang w:eastAsia="en-AU"/>
              </w:rPr>
              <w:t>For most target groups sample sizes were large enough to be confident in the results</w:t>
            </w:r>
            <w:r w:rsidR="009D23F1">
              <w:rPr>
                <w:lang w:eastAsia="en-AU"/>
              </w:rPr>
              <w:t xml:space="preserve">. </w:t>
            </w:r>
            <w:r w:rsidR="009D0350">
              <w:rPr>
                <w:lang w:eastAsia="en-AU"/>
              </w:rPr>
              <w:t>However,</w:t>
            </w:r>
            <w:r>
              <w:rPr>
                <w:lang w:eastAsia="en-AU"/>
              </w:rPr>
              <w:t xml:space="preserve"> for </w:t>
            </w:r>
            <w:r w:rsidR="005D2A6E">
              <w:rPr>
                <w:lang w:eastAsia="en-AU"/>
              </w:rPr>
              <w:t xml:space="preserve">many organisations fewer than 5 participants had completed </w:t>
            </w:r>
            <w:r w:rsidR="00140D15">
              <w:rPr>
                <w:lang w:eastAsia="en-AU"/>
              </w:rPr>
              <w:t xml:space="preserve">outcomes data limiting the accuracy of </w:t>
            </w:r>
            <w:r w:rsidR="009D23F1">
              <w:rPr>
                <w:lang w:eastAsia="en-AU"/>
              </w:rPr>
              <w:t>outcomes analyses.</w:t>
            </w:r>
          </w:p>
        </w:tc>
        <w:tc>
          <w:tcPr>
            <w:tcW w:w="2498" w:type="dxa"/>
          </w:tcPr>
          <w:p w14:paraId="1D9B0D1E" w14:textId="77777777" w:rsidR="00D74CA4" w:rsidRDefault="00C16D5E" w:rsidP="004D6ACD">
            <w:pPr>
              <w:pStyle w:val="TableNText"/>
            </w:pPr>
            <w:r w:rsidRPr="00C16D5E">
              <w:t>Results were reported using aggregated summaries where counts were too small to support reliable inference. Low-cell categories were suppressed or combined in line with confidentiality rules.</w:t>
            </w:r>
          </w:p>
          <w:p w14:paraId="3ACF994C" w14:textId="6296C34B" w:rsidR="00D33D75" w:rsidRPr="00980330" w:rsidRDefault="00B241E1" w:rsidP="004D6ACD">
            <w:pPr>
              <w:pStyle w:val="TableNText"/>
            </w:pPr>
            <w:r w:rsidRPr="00B241E1">
              <w:t>The report clearly notes where small numbers limit precision and where results should be interpreted as indicative rather than definitive</w:t>
            </w:r>
            <w:r>
              <w:t xml:space="preserve">, particularly in section </w:t>
            </w:r>
            <w:r>
              <w:fldChar w:fldCharType="begin" w:fldLock="1"/>
            </w:r>
            <w:r>
              <w:instrText xml:space="preserve"> REF _Ref216800438 \r \h </w:instrText>
            </w:r>
            <w:r w:rsidR="004D6ACD">
              <w:instrText xml:space="preserve"> \* MERGEFORMAT </w:instrText>
            </w:r>
            <w:r>
              <w:fldChar w:fldCharType="separate"/>
            </w:r>
            <w:r>
              <w:t>5.3</w:t>
            </w:r>
            <w:r>
              <w:fldChar w:fldCharType="end"/>
            </w:r>
            <w:r>
              <w:t xml:space="preserve"> on cost-effectiveness.</w:t>
            </w:r>
          </w:p>
        </w:tc>
      </w:tr>
      <w:tr w:rsidR="00F614D5" w:rsidRPr="00BF30E7" w14:paraId="3754A766" w14:textId="77777777" w:rsidTr="008D44F9">
        <w:tc>
          <w:tcPr>
            <w:tcW w:w="1693" w:type="dxa"/>
          </w:tcPr>
          <w:p w14:paraId="204DE139" w14:textId="77777777" w:rsidR="00D33D75" w:rsidRPr="00BF30E7" w:rsidRDefault="00D33D75" w:rsidP="004D6ACD">
            <w:pPr>
              <w:pStyle w:val="TableNText"/>
              <w:rPr>
                <w:lang w:eastAsia="en-AU"/>
              </w:rPr>
            </w:pPr>
            <w:r w:rsidRPr="00BF30E7">
              <w:t>Associative analysis</w:t>
            </w:r>
          </w:p>
        </w:tc>
        <w:tc>
          <w:tcPr>
            <w:tcW w:w="2497" w:type="dxa"/>
          </w:tcPr>
          <w:p w14:paraId="2B780238" w14:textId="4760A0A8" w:rsidR="00D33D75" w:rsidRPr="00BF30E7" w:rsidRDefault="00EB4160" w:rsidP="004D6ACD">
            <w:pPr>
              <w:pStyle w:val="TableNText"/>
            </w:pPr>
            <w:r w:rsidRPr="00EB4160">
              <w:t xml:space="preserve">The evaluation relies on observational administrative data and does not include a randomised control group or a clearly defined counterfactual. </w:t>
            </w:r>
            <w:r w:rsidR="00517DD8">
              <w:t>o</w:t>
            </w:r>
            <w:r w:rsidRPr="00EB4160">
              <w:t>utcome</w:t>
            </w:r>
            <w:r w:rsidR="00A4399E">
              <w:t>s analysis</w:t>
            </w:r>
            <w:r w:rsidRPr="00EB4160">
              <w:t xml:space="preserve"> therefore </w:t>
            </w:r>
            <w:r w:rsidRPr="00EB4160">
              <w:lastRenderedPageBreak/>
              <w:t>compare</w:t>
            </w:r>
            <w:r w:rsidR="00A4399E">
              <w:t>s</w:t>
            </w:r>
            <w:r w:rsidRPr="00EB4160">
              <w:t xml:space="preserve"> participants to themselves over time or examine</w:t>
            </w:r>
            <w:r w:rsidR="00A4399E">
              <w:t xml:space="preserve">s </w:t>
            </w:r>
            <w:r w:rsidRPr="00EB4160">
              <w:t xml:space="preserve">associations between </w:t>
            </w:r>
            <w:r w:rsidR="00701796">
              <w:t xml:space="preserve">target groups, or organisations, </w:t>
            </w:r>
            <w:r w:rsidRPr="00EB4160">
              <w:t>and outcomes</w:t>
            </w:r>
            <w:r w:rsidR="00701796">
              <w:t>.</w:t>
            </w:r>
          </w:p>
        </w:tc>
        <w:tc>
          <w:tcPr>
            <w:tcW w:w="2497" w:type="dxa"/>
          </w:tcPr>
          <w:p w14:paraId="66C6157B" w14:textId="29D3A4F5" w:rsidR="00D33D75" w:rsidRPr="00BF30E7" w:rsidRDefault="00D33D75" w:rsidP="004D6ACD">
            <w:pPr>
              <w:pStyle w:val="TableNText"/>
              <w:rPr>
                <w:lang w:eastAsia="en-AU"/>
              </w:rPr>
            </w:pPr>
            <w:r w:rsidRPr="00BF30E7">
              <w:lastRenderedPageBreak/>
              <w:t xml:space="preserve">Without an appropriate counterfactual or comparison group, the evaluation identifies patterns and correlations rather than causal impacts. Observed changes </w:t>
            </w:r>
            <w:r w:rsidRPr="00BF30E7">
              <w:lastRenderedPageBreak/>
              <w:t xml:space="preserve">may reflect concurrent services, participant characteristics, or other unmeasured influences. This reduces certainty about </w:t>
            </w:r>
            <w:r w:rsidR="001E4D65">
              <w:t>SARC – IC</w:t>
            </w:r>
            <w:r w:rsidRPr="00BF30E7">
              <w:t xml:space="preserve"> impact.</w:t>
            </w:r>
          </w:p>
        </w:tc>
        <w:tc>
          <w:tcPr>
            <w:tcW w:w="2498" w:type="dxa"/>
          </w:tcPr>
          <w:p w14:paraId="5832FE5A" w14:textId="01BA8C14" w:rsidR="00D33D75" w:rsidRPr="00BF30E7" w:rsidRDefault="00966C24" w:rsidP="004D6ACD">
            <w:pPr>
              <w:pStyle w:val="TableNText"/>
            </w:pPr>
            <w:r w:rsidRPr="00966C24">
              <w:lastRenderedPageBreak/>
              <w:t xml:space="preserve">All quantitative findings are framed as associational and descriptive rather than causal. Statistical results are interpreted alongside qualitative evidence and </w:t>
            </w:r>
            <w:r w:rsidR="00DA53F8">
              <w:t xml:space="preserve">SARC </w:t>
            </w:r>
            <w:r w:rsidR="00DA53F8">
              <w:lastRenderedPageBreak/>
              <w:t>- IC</w:t>
            </w:r>
            <w:r w:rsidRPr="00966C24">
              <w:t xml:space="preserve"> context to support explanations of observed patterns. The report explicitly states that causal impact and counterfactual effects are outside the scope of the analysis.</w:t>
            </w:r>
          </w:p>
        </w:tc>
      </w:tr>
    </w:tbl>
    <w:p w14:paraId="1E80D58A" w14:textId="1ABDF4E3" w:rsidR="00777E2E" w:rsidRPr="00C65053" w:rsidRDefault="00777E2E" w:rsidP="00777E2E">
      <w:pPr>
        <w:pStyle w:val="Heading4"/>
      </w:pPr>
      <w:r>
        <w:t xml:space="preserve">Only a small proportion of unit records have </w:t>
      </w:r>
      <w:r w:rsidR="00F062AB">
        <w:t>both pre and post scores</w:t>
      </w:r>
    </w:p>
    <w:p w14:paraId="4E8882A1" w14:textId="1A5F4C21" w:rsidR="00772D36" w:rsidRDefault="00D74CA4" w:rsidP="00772D36">
      <w:r>
        <w:fldChar w:fldCharType="begin" w:fldLock="1"/>
      </w:r>
      <w:r>
        <w:instrText xml:space="preserve"> REF _Ref216800724 \h </w:instrText>
      </w:r>
      <w:r>
        <w:fldChar w:fldCharType="separate"/>
      </w:r>
      <w:r w:rsidR="00B241E1">
        <w:t xml:space="preserve">Table </w:t>
      </w:r>
      <w:r w:rsidR="00B241E1" w:rsidRPr="5E20C28B">
        <w:rPr>
          <w:noProof/>
        </w:rPr>
        <w:t>2</w:t>
      </w:r>
      <w:r>
        <w:fldChar w:fldCharType="end"/>
      </w:r>
      <w:r w:rsidR="00E034A0">
        <w:t xml:space="preserve"> below</w:t>
      </w:r>
      <w:r>
        <w:t xml:space="preserve"> </w:t>
      </w:r>
      <w:r w:rsidR="00772D36">
        <w:t xml:space="preserve">reports the number of unique participants each organisation serviced </w:t>
      </w:r>
      <w:r w:rsidR="008E19F3">
        <w:t xml:space="preserve">and </w:t>
      </w:r>
      <w:r w:rsidR="003B767A">
        <w:fldChar w:fldCharType="begin"/>
      </w:r>
      <w:r w:rsidR="003B767A">
        <w:instrText xml:space="preserve"> REF _Ref223345609 \h </w:instrText>
      </w:r>
      <w:r w:rsidR="003B767A">
        <w:fldChar w:fldCharType="separate"/>
      </w:r>
      <w:r w:rsidR="00B666D1">
        <w:t xml:space="preserve">Table </w:t>
      </w:r>
      <w:r w:rsidR="00B666D1">
        <w:rPr>
          <w:noProof/>
        </w:rPr>
        <w:t>3</w:t>
      </w:r>
      <w:r w:rsidR="003B767A">
        <w:fldChar w:fldCharType="end"/>
      </w:r>
      <w:r w:rsidR="003B767A">
        <w:t xml:space="preserve"> shows the </w:t>
      </w:r>
      <w:r w:rsidR="00772D36">
        <w:t xml:space="preserve">number </w:t>
      </w:r>
      <w:r w:rsidR="003B767A">
        <w:t xml:space="preserve">of participants </w:t>
      </w:r>
      <w:r w:rsidR="00772D36">
        <w:t>that have reported pre and post</w:t>
      </w:r>
      <w:r w:rsidR="00FB3CF8">
        <w:t xml:space="preserve"> </w:t>
      </w:r>
      <w:r w:rsidR="00772D36">
        <w:t xml:space="preserve">scores. </w:t>
      </w:r>
      <w:r w:rsidR="000C3448">
        <w:t>T</w:t>
      </w:r>
      <w:r w:rsidR="00772D36">
        <w:t>here was substantial attrition in the data collection after the initial session with the participant. It is not possible to determine whether the missing post-program outcome entry is because the participant did not complete the pro</w:t>
      </w:r>
      <w:r w:rsidR="001E4D65">
        <w:t>ject</w:t>
      </w:r>
      <w:r w:rsidR="008A455A">
        <w:t>’s activities</w:t>
      </w:r>
      <w:r w:rsidR="00772D36">
        <w:t xml:space="preserve"> or the outcome was not entered into</w:t>
      </w:r>
      <w:r w:rsidR="001464AA">
        <w:t xml:space="preserve"> DEX.</w:t>
      </w:r>
      <w:r w:rsidR="001464AA" w:rsidDel="001464AA">
        <w:t xml:space="preserve"> </w:t>
      </w:r>
    </w:p>
    <w:p w14:paraId="66083586" w14:textId="09B22B8E" w:rsidR="00772D36" w:rsidRDefault="00772D36" w:rsidP="00772D36">
      <w:pPr>
        <w:pStyle w:val="Caption"/>
      </w:pPr>
      <w:bookmarkStart w:id="26" w:name="_Ref216800724"/>
      <w:r>
        <w:t xml:space="preserve">Table </w:t>
      </w:r>
      <w:r>
        <w:fldChar w:fldCharType="begin"/>
      </w:r>
      <w:r>
        <w:instrText xml:space="preserve"> SEQ Table \* ARABIC </w:instrText>
      </w:r>
      <w:r>
        <w:fldChar w:fldCharType="separate"/>
      </w:r>
      <w:r w:rsidR="00B666D1">
        <w:rPr>
          <w:noProof/>
        </w:rPr>
        <w:t>2</w:t>
      </w:r>
      <w:r>
        <w:fldChar w:fldCharType="end"/>
      </w:r>
      <w:bookmarkEnd w:id="26"/>
      <w:r>
        <w:t xml:space="preserve"> | </w:t>
      </w:r>
      <w:r w:rsidR="00D74CA4">
        <w:t>O</w:t>
      </w:r>
      <w:r>
        <w:t>rganisation</w:t>
      </w:r>
      <w:r w:rsidR="00D74CA4">
        <w:t xml:space="preserve"> count</w:t>
      </w:r>
      <w:r>
        <w:t xml:space="preserve"> by </w:t>
      </w:r>
      <w:r w:rsidR="00D74CA4">
        <w:t>participant</w:t>
      </w:r>
      <w:r>
        <w:t xml:space="preserve"> volume</w:t>
      </w:r>
    </w:p>
    <w:tbl>
      <w:tblPr>
        <w:tblStyle w:val="NOUS"/>
        <w:tblW w:w="5000" w:type="pct"/>
        <w:tblLook w:val="04A0" w:firstRow="1" w:lastRow="0" w:firstColumn="1" w:lastColumn="0" w:noHBand="0" w:noVBand="1"/>
      </w:tblPr>
      <w:tblGrid>
        <w:gridCol w:w="4592"/>
        <w:gridCol w:w="4593"/>
      </w:tblGrid>
      <w:tr w:rsidR="00F937A3" w14:paraId="44DE4547" w14:textId="77777777" w:rsidTr="008E19F3">
        <w:trPr>
          <w:cnfStyle w:val="100000000000" w:firstRow="1" w:lastRow="0" w:firstColumn="0" w:lastColumn="0" w:oddVBand="0" w:evenVBand="0" w:oddHBand="0" w:evenHBand="0" w:firstRowFirstColumn="0" w:firstRowLastColumn="0" w:lastRowFirstColumn="0" w:lastRowLastColumn="0"/>
        </w:trPr>
        <w:tc>
          <w:tcPr>
            <w:tcW w:w="2296" w:type="dxa"/>
            <w:vAlign w:val="center"/>
          </w:tcPr>
          <w:p w14:paraId="63FA4A1E" w14:textId="77777777" w:rsidR="008E19F3" w:rsidRDefault="008E19F3" w:rsidP="004C4BD2">
            <w:pPr>
              <w:pStyle w:val="TableNheader"/>
              <w:jc w:val="center"/>
            </w:pPr>
            <w:r>
              <w:t>All participants</w:t>
            </w:r>
          </w:p>
        </w:tc>
        <w:tc>
          <w:tcPr>
            <w:tcW w:w="2296" w:type="dxa"/>
            <w:vAlign w:val="center"/>
          </w:tcPr>
          <w:p w14:paraId="13FA4515" w14:textId="77777777" w:rsidR="008E19F3" w:rsidRDefault="008E19F3" w:rsidP="004C4BD2">
            <w:pPr>
              <w:pStyle w:val="TableNheader"/>
              <w:jc w:val="center"/>
            </w:pPr>
            <w:r>
              <w:t>Organisation count</w:t>
            </w:r>
          </w:p>
        </w:tc>
      </w:tr>
      <w:tr w:rsidR="00F937A3" w14:paraId="03A453AC" w14:textId="77777777" w:rsidTr="008E19F3">
        <w:tc>
          <w:tcPr>
            <w:tcW w:w="2296" w:type="dxa"/>
            <w:vAlign w:val="bottom"/>
          </w:tcPr>
          <w:p w14:paraId="1E147DED" w14:textId="77777777" w:rsidR="008E19F3" w:rsidRDefault="008E19F3" w:rsidP="004C4BD2">
            <w:pPr>
              <w:pStyle w:val="TableNText"/>
              <w:jc w:val="center"/>
            </w:pPr>
            <w:r>
              <w:t>0-25</w:t>
            </w:r>
          </w:p>
        </w:tc>
        <w:tc>
          <w:tcPr>
            <w:tcW w:w="2296" w:type="dxa"/>
            <w:vAlign w:val="bottom"/>
          </w:tcPr>
          <w:p w14:paraId="132FAB5E" w14:textId="77777777" w:rsidR="008E19F3" w:rsidRDefault="008E19F3" w:rsidP="004C4BD2">
            <w:pPr>
              <w:pStyle w:val="TableNText"/>
              <w:jc w:val="center"/>
            </w:pPr>
            <w:r>
              <w:t>14</w:t>
            </w:r>
          </w:p>
        </w:tc>
      </w:tr>
      <w:tr w:rsidR="00F937A3" w14:paraId="02D70BC4" w14:textId="77777777" w:rsidTr="008E19F3">
        <w:tc>
          <w:tcPr>
            <w:tcW w:w="2296" w:type="dxa"/>
            <w:vAlign w:val="bottom"/>
          </w:tcPr>
          <w:p w14:paraId="522AB0D8" w14:textId="77777777" w:rsidR="008E19F3" w:rsidRDefault="008E19F3" w:rsidP="004C4BD2">
            <w:pPr>
              <w:pStyle w:val="TableNText"/>
              <w:jc w:val="center"/>
            </w:pPr>
            <w:r>
              <w:t>26-50</w:t>
            </w:r>
          </w:p>
        </w:tc>
        <w:tc>
          <w:tcPr>
            <w:tcW w:w="2296" w:type="dxa"/>
            <w:vAlign w:val="bottom"/>
          </w:tcPr>
          <w:p w14:paraId="4ACF339F" w14:textId="77777777" w:rsidR="008E19F3" w:rsidRDefault="008E19F3" w:rsidP="004C4BD2">
            <w:pPr>
              <w:pStyle w:val="TableNText"/>
              <w:jc w:val="center"/>
            </w:pPr>
            <w:r>
              <w:t>24</w:t>
            </w:r>
          </w:p>
        </w:tc>
      </w:tr>
      <w:tr w:rsidR="00F937A3" w14:paraId="76094E03" w14:textId="77777777" w:rsidTr="008E19F3">
        <w:tc>
          <w:tcPr>
            <w:tcW w:w="2296" w:type="dxa"/>
            <w:vAlign w:val="bottom"/>
          </w:tcPr>
          <w:p w14:paraId="0EEB08EA" w14:textId="77777777" w:rsidR="008E19F3" w:rsidRDefault="008E19F3" w:rsidP="004C4BD2">
            <w:pPr>
              <w:pStyle w:val="TableNText"/>
              <w:jc w:val="center"/>
            </w:pPr>
            <w:r>
              <w:t>51-100</w:t>
            </w:r>
          </w:p>
        </w:tc>
        <w:tc>
          <w:tcPr>
            <w:tcW w:w="2296" w:type="dxa"/>
            <w:vAlign w:val="bottom"/>
          </w:tcPr>
          <w:p w14:paraId="69C1C104" w14:textId="77777777" w:rsidR="008E19F3" w:rsidRDefault="008E19F3" w:rsidP="004C4BD2">
            <w:pPr>
              <w:pStyle w:val="TableNText"/>
              <w:jc w:val="center"/>
            </w:pPr>
            <w:r>
              <w:t>15</w:t>
            </w:r>
          </w:p>
        </w:tc>
      </w:tr>
      <w:tr w:rsidR="00F937A3" w14:paraId="6487B0DB" w14:textId="77777777" w:rsidTr="008E19F3">
        <w:tc>
          <w:tcPr>
            <w:tcW w:w="2296" w:type="dxa"/>
            <w:vAlign w:val="bottom"/>
          </w:tcPr>
          <w:p w14:paraId="5E02B54A" w14:textId="77777777" w:rsidR="008E19F3" w:rsidRDefault="008E19F3" w:rsidP="004C4BD2">
            <w:pPr>
              <w:pStyle w:val="TableNText"/>
              <w:jc w:val="center"/>
            </w:pPr>
            <w:r>
              <w:t>101-150</w:t>
            </w:r>
          </w:p>
        </w:tc>
        <w:tc>
          <w:tcPr>
            <w:tcW w:w="2296" w:type="dxa"/>
            <w:vAlign w:val="bottom"/>
          </w:tcPr>
          <w:p w14:paraId="28F1AD87" w14:textId="77777777" w:rsidR="008E19F3" w:rsidRDefault="008E19F3" w:rsidP="004C4BD2">
            <w:pPr>
              <w:pStyle w:val="TableNText"/>
              <w:jc w:val="center"/>
            </w:pPr>
            <w:r>
              <w:t>11</w:t>
            </w:r>
          </w:p>
        </w:tc>
      </w:tr>
      <w:tr w:rsidR="00F937A3" w14:paraId="6C828B57" w14:textId="77777777" w:rsidTr="008E19F3">
        <w:tc>
          <w:tcPr>
            <w:tcW w:w="2296" w:type="dxa"/>
            <w:vAlign w:val="bottom"/>
          </w:tcPr>
          <w:p w14:paraId="4498B912" w14:textId="77777777" w:rsidR="008E19F3" w:rsidRDefault="008E19F3" w:rsidP="004C4BD2">
            <w:pPr>
              <w:pStyle w:val="TableNText"/>
              <w:jc w:val="center"/>
            </w:pPr>
            <w:r>
              <w:t>151-200</w:t>
            </w:r>
          </w:p>
        </w:tc>
        <w:tc>
          <w:tcPr>
            <w:tcW w:w="2296" w:type="dxa"/>
            <w:vAlign w:val="bottom"/>
          </w:tcPr>
          <w:p w14:paraId="3200CD85" w14:textId="77777777" w:rsidR="008E19F3" w:rsidRDefault="008E19F3" w:rsidP="004C4BD2">
            <w:pPr>
              <w:pStyle w:val="TableNText"/>
              <w:jc w:val="center"/>
            </w:pPr>
            <w:r>
              <w:t>5</w:t>
            </w:r>
          </w:p>
        </w:tc>
      </w:tr>
      <w:tr w:rsidR="00F937A3" w14:paraId="6B7CF5E0" w14:textId="77777777" w:rsidTr="008E19F3">
        <w:tc>
          <w:tcPr>
            <w:tcW w:w="2296" w:type="dxa"/>
            <w:vAlign w:val="bottom"/>
          </w:tcPr>
          <w:p w14:paraId="67287FAA" w14:textId="77777777" w:rsidR="008E19F3" w:rsidRDefault="008E19F3" w:rsidP="004C4BD2">
            <w:pPr>
              <w:pStyle w:val="TableNText"/>
              <w:jc w:val="center"/>
            </w:pPr>
            <w:r>
              <w:t>151-200</w:t>
            </w:r>
          </w:p>
        </w:tc>
        <w:tc>
          <w:tcPr>
            <w:tcW w:w="2296" w:type="dxa"/>
            <w:vAlign w:val="bottom"/>
          </w:tcPr>
          <w:p w14:paraId="17B68EBA" w14:textId="77777777" w:rsidR="008E19F3" w:rsidRDefault="008E19F3" w:rsidP="004C4BD2">
            <w:pPr>
              <w:pStyle w:val="TableNText"/>
              <w:jc w:val="center"/>
            </w:pPr>
            <w:r>
              <w:t>5</w:t>
            </w:r>
          </w:p>
        </w:tc>
      </w:tr>
      <w:tr w:rsidR="00F937A3" w14:paraId="3632CDC0" w14:textId="77777777" w:rsidTr="008E19F3">
        <w:tc>
          <w:tcPr>
            <w:tcW w:w="2296" w:type="dxa"/>
            <w:vAlign w:val="bottom"/>
          </w:tcPr>
          <w:p w14:paraId="33F1956D" w14:textId="77777777" w:rsidR="008E19F3" w:rsidRDefault="008E19F3" w:rsidP="004C4BD2">
            <w:pPr>
              <w:pStyle w:val="TableNText"/>
              <w:jc w:val="center"/>
            </w:pPr>
            <w:r>
              <w:t>201+</w:t>
            </w:r>
          </w:p>
        </w:tc>
        <w:tc>
          <w:tcPr>
            <w:tcW w:w="2296" w:type="dxa"/>
            <w:vAlign w:val="bottom"/>
          </w:tcPr>
          <w:p w14:paraId="55FE4499" w14:textId="77777777" w:rsidR="008E19F3" w:rsidRDefault="008E19F3" w:rsidP="004C4BD2">
            <w:pPr>
              <w:pStyle w:val="TableNText"/>
              <w:jc w:val="center"/>
            </w:pPr>
            <w:r>
              <w:t>6</w:t>
            </w:r>
          </w:p>
        </w:tc>
      </w:tr>
      <w:tr w:rsidR="003416A6" w14:paraId="19C6217F" w14:textId="77777777" w:rsidTr="008E19F3">
        <w:tc>
          <w:tcPr>
            <w:tcW w:w="4592" w:type="dxa"/>
            <w:gridSpan w:val="2"/>
            <w:tcBorders>
              <w:bottom w:val="single" w:sz="8" w:space="0" w:color="E6E6E1" w:themeColor="accent5"/>
            </w:tcBorders>
            <w:vAlign w:val="bottom"/>
          </w:tcPr>
          <w:p w14:paraId="0B4CBB9D" w14:textId="55DCFF10" w:rsidR="008E19F3" w:rsidRDefault="008E19F3" w:rsidP="008E19F3">
            <w:pPr>
              <w:pStyle w:val="TableNText"/>
            </w:pPr>
            <w:r w:rsidRPr="008E19F3">
              <w:t>Source: extract from DSS data release published 31/10/2025</w:t>
            </w:r>
          </w:p>
        </w:tc>
      </w:tr>
    </w:tbl>
    <w:p w14:paraId="2D9BCA80" w14:textId="77777777" w:rsidR="008E19F3" w:rsidRDefault="008E19F3" w:rsidP="00980047">
      <w:pPr>
        <w:rPr>
          <w:lang w:eastAsia="en-AU"/>
        </w:rPr>
      </w:pPr>
    </w:p>
    <w:p w14:paraId="7B3E8767" w14:textId="48DFCFD3" w:rsidR="003B767A" w:rsidRDefault="003B767A" w:rsidP="003B767A">
      <w:pPr>
        <w:pStyle w:val="Caption"/>
      </w:pPr>
      <w:bookmarkStart w:id="27" w:name="_Ref223345609"/>
      <w:r>
        <w:t xml:space="preserve">Table </w:t>
      </w:r>
      <w:r>
        <w:fldChar w:fldCharType="begin"/>
      </w:r>
      <w:r>
        <w:instrText xml:space="preserve"> SEQ Table \* ARABIC </w:instrText>
      </w:r>
      <w:r>
        <w:fldChar w:fldCharType="separate"/>
      </w:r>
      <w:r w:rsidR="00B666D1">
        <w:rPr>
          <w:noProof/>
        </w:rPr>
        <w:t>3</w:t>
      </w:r>
      <w:r>
        <w:fldChar w:fldCharType="end"/>
      </w:r>
      <w:bookmarkEnd w:id="27"/>
      <w:r>
        <w:t xml:space="preserve"> </w:t>
      </w:r>
      <w:r w:rsidRPr="00571B57">
        <w:t>| Organisation count by participant</w:t>
      </w:r>
      <w:r>
        <w:t>s with pre- and post-scores</w:t>
      </w:r>
    </w:p>
    <w:tbl>
      <w:tblPr>
        <w:tblStyle w:val="NOUS"/>
        <w:tblW w:w="5000" w:type="pct"/>
        <w:tblLook w:val="04A0" w:firstRow="1" w:lastRow="0" w:firstColumn="1" w:lastColumn="0" w:noHBand="0" w:noVBand="1"/>
      </w:tblPr>
      <w:tblGrid>
        <w:gridCol w:w="4592"/>
        <w:gridCol w:w="4593"/>
      </w:tblGrid>
      <w:tr w:rsidR="00F937A3" w14:paraId="42B8E08C" w14:textId="77777777" w:rsidTr="003B767A">
        <w:trPr>
          <w:cnfStyle w:val="100000000000" w:firstRow="1" w:lastRow="0" w:firstColumn="0" w:lastColumn="0" w:oddVBand="0" w:evenVBand="0" w:oddHBand="0" w:evenHBand="0" w:firstRowFirstColumn="0" w:firstRowLastColumn="0" w:lastRowFirstColumn="0" w:lastRowLastColumn="0"/>
        </w:trPr>
        <w:tc>
          <w:tcPr>
            <w:tcW w:w="4592" w:type="dxa"/>
            <w:vAlign w:val="center"/>
          </w:tcPr>
          <w:p w14:paraId="0F78240B" w14:textId="77777777" w:rsidR="008E19F3" w:rsidRDefault="008E19F3">
            <w:pPr>
              <w:pStyle w:val="TableNheader"/>
              <w:jc w:val="center"/>
            </w:pPr>
            <w:r>
              <w:t>Participants with pre and post outcomes</w:t>
            </w:r>
          </w:p>
        </w:tc>
        <w:tc>
          <w:tcPr>
            <w:tcW w:w="4593" w:type="dxa"/>
            <w:vAlign w:val="center"/>
          </w:tcPr>
          <w:p w14:paraId="0F0B61F0" w14:textId="77777777" w:rsidR="008E19F3" w:rsidRDefault="008E19F3">
            <w:pPr>
              <w:pStyle w:val="TableNheader"/>
              <w:jc w:val="center"/>
            </w:pPr>
            <w:r>
              <w:t>Organisation count</w:t>
            </w:r>
          </w:p>
        </w:tc>
      </w:tr>
      <w:tr w:rsidR="00F937A3" w14:paraId="4892CEA8" w14:textId="77777777" w:rsidTr="003B767A">
        <w:tc>
          <w:tcPr>
            <w:tcW w:w="4592" w:type="dxa"/>
            <w:vAlign w:val="bottom"/>
          </w:tcPr>
          <w:p w14:paraId="498B22B7" w14:textId="77777777" w:rsidR="008E19F3" w:rsidRDefault="008E19F3">
            <w:pPr>
              <w:pStyle w:val="TableNText"/>
              <w:jc w:val="center"/>
            </w:pPr>
            <w:r>
              <w:t>&lt;5</w:t>
            </w:r>
          </w:p>
        </w:tc>
        <w:tc>
          <w:tcPr>
            <w:tcW w:w="4593" w:type="dxa"/>
            <w:vAlign w:val="bottom"/>
          </w:tcPr>
          <w:p w14:paraId="79BFA7BC" w14:textId="77777777" w:rsidR="008E19F3" w:rsidRDefault="008E19F3">
            <w:pPr>
              <w:pStyle w:val="TableNText"/>
              <w:jc w:val="center"/>
            </w:pPr>
            <w:r>
              <w:t>37</w:t>
            </w:r>
          </w:p>
        </w:tc>
      </w:tr>
      <w:tr w:rsidR="00F937A3" w14:paraId="0100E312" w14:textId="77777777" w:rsidTr="003B767A">
        <w:tc>
          <w:tcPr>
            <w:tcW w:w="4592" w:type="dxa"/>
            <w:vAlign w:val="bottom"/>
          </w:tcPr>
          <w:p w14:paraId="430EEA82" w14:textId="77777777" w:rsidR="008E19F3" w:rsidRDefault="008E19F3">
            <w:pPr>
              <w:pStyle w:val="TableNText"/>
              <w:jc w:val="center"/>
            </w:pPr>
            <w:r>
              <w:t>5-10</w:t>
            </w:r>
          </w:p>
        </w:tc>
        <w:tc>
          <w:tcPr>
            <w:tcW w:w="4593" w:type="dxa"/>
            <w:vAlign w:val="bottom"/>
          </w:tcPr>
          <w:p w14:paraId="2E475126" w14:textId="77777777" w:rsidR="008E19F3" w:rsidRDefault="008E19F3">
            <w:pPr>
              <w:pStyle w:val="TableNText"/>
              <w:jc w:val="center"/>
            </w:pPr>
            <w:r>
              <w:t>10</w:t>
            </w:r>
          </w:p>
        </w:tc>
      </w:tr>
      <w:tr w:rsidR="00F937A3" w14:paraId="1397CFEE" w14:textId="77777777" w:rsidTr="003B767A">
        <w:tc>
          <w:tcPr>
            <w:tcW w:w="4592" w:type="dxa"/>
            <w:vAlign w:val="bottom"/>
          </w:tcPr>
          <w:p w14:paraId="1A13C8DD" w14:textId="77777777" w:rsidR="008E19F3" w:rsidRDefault="008E19F3">
            <w:pPr>
              <w:pStyle w:val="TableNText"/>
              <w:jc w:val="center"/>
            </w:pPr>
            <w:r>
              <w:t>11-25</w:t>
            </w:r>
          </w:p>
        </w:tc>
        <w:tc>
          <w:tcPr>
            <w:tcW w:w="4593" w:type="dxa"/>
            <w:vAlign w:val="bottom"/>
          </w:tcPr>
          <w:p w14:paraId="040D76EB" w14:textId="77777777" w:rsidR="008E19F3" w:rsidRDefault="008E19F3">
            <w:pPr>
              <w:pStyle w:val="TableNText"/>
              <w:jc w:val="center"/>
            </w:pPr>
            <w:r>
              <w:t>12</w:t>
            </w:r>
          </w:p>
        </w:tc>
      </w:tr>
      <w:tr w:rsidR="00F937A3" w14:paraId="7B944AF6" w14:textId="77777777" w:rsidTr="003B767A">
        <w:tc>
          <w:tcPr>
            <w:tcW w:w="4592" w:type="dxa"/>
            <w:vAlign w:val="bottom"/>
          </w:tcPr>
          <w:p w14:paraId="4210A248" w14:textId="77777777" w:rsidR="008E19F3" w:rsidRDefault="008E19F3">
            <w:pPr>
              <w:pStyle w:val="TableNText"/>
              <w:jc w:val="center"/>
            </w:pPr>
            <w:r>
              <w:t>26-50</w:t>
            </w:r>
          </w:p>
        </w:tc>
        <w:tc>
          <w:tcPr>
            <w:tcW w:w="4593" w:type="dxa"/>
            <w:vAlign w:val="bottom"/>
          </w:tcPr>
          <w:p w14:paraId="132E8AEC" w14:textId="77777777" w:rsidR="008E19F3" w:rsidRDefault="008E19F3">
            <w:pPr>
              <w:pStyle w:val="TableNText"/>
              <w:jc w:val="center"/>
            </w:pPr>
            <w:r>
              <w:t>9</w:t>
            </w:r>
          </w:p>
        </w:tc>
      </w:tr>
      <w:tr w:rsidR="00F937A3" w14:paraId="5B189BCE" w14:textId="77777777" w:rsidTr="003B767A">
        <w:tc>
          <w:tcPr>
            <w:tcW w:w="4592" w:type="dxa"/>
            <w:vAlign w:val="bottom"/>
          </w:tcPr>
          <w:p w14:paraId="030CA74C" w14:textId="77777777" w:rsidR="008E19F3" w:rsidRDefault="008E19F3">
            <w:pPr>
              <w:pStyle w:val="TableNText"/>
              <w:jc w:val="center"/>
            </w:pPr>
            <w:r>
              <w:t>51+</w:t>
            </w:r>
          </w:p>
        </w:tc>
        <w:tc>
          <w:tcPr>
            <w:tcW w:w="4593" w:type="dxa"/>
            <w:vAlign w:val="bottom"/>
          </w:tcPr>
          <w:p w14:paraId="177ABFB1" w14:textId="77777777" w:rsidR="008E19F3" w:rsidRDefault="008E19F3">
            <w:pPr>
              <w:pStyle w:val="TableNText"/>
              <w:jc w:val="center"/>
            </w:pPr>
            <w:r>
              <w:t>7</w:t>
            </w:r>
          </w:p>
        </w:tc>
      </w:tr>
      <w:tr w:rsidR="003416A6" w14:paraId="77B9AD48" w14:textId="77777777">
        <w:tc>
          <w:tcPr>
            <w:tcW w:w="9185" w:type="dxa"/>
            <w:gridSpan w:val="2"/>
            <w:vAlign w:val="bottom"/>
          </w:tcPr>
          <w:p w14:paraId="4D3EA7D6" w14:textId="133F3EA1" w:rsidR="003B767A" w:rsidRDefault="003B767A" w:rsidP="003B767A">
            <w:pPr>
              <w:pStyle w:val="TableNText"/>
            </w:pPr>
            <w:r w:rsidRPr="003B767A">
              <w:t>Source: extract from DSS data release published 31/10/2025</w:t>
            </w:r>
          </w:p>
        </w:tc>
      </w:tr>
    </w:tbl>
    <w:p w14:paraId="3DFC18D3" w14:textId="77777777" w:rsidR="008E19F3" w:rsidRPr="00C65053" w:rsidRDefault="008E19F3" w:rsidP="00980047">
      <w:pPr>
        <w:rPr>
          <w:lang w:eastAsia="en-AU"/>
        </w:rPr>
      </w:pPr>
    </w:p>
    <w:p w14:paraId="0CBF7586" w14:textId="72D1B7C2" w:rsidR="00C05D26" w:rsidRPr="00062ECA" w:rsidRDefault="00C05D26" w:rsidP="004A2034">
      <w:pPr>
        <w:pStyle w:val="Heading1"/>
      </w:pPr>
      <w:bookmarkStart w:id="28" w:name="_Toc240883551"/>
      <w:r w:rsidRPr="00062ECA">
        <w:lastRenderedPageBreak/>
        <w:t>Findings</w:t>
      </w:r>
      <w:bookmarkEnd w:id="28"/>
      <w:r>
        <w:t xml:space="preserve"> </w:t>
      </w:r>
    </w:p>
    <w:p w14:paraId="1F2F8FCC" w14:textId="786B5D29" w:rsidR="00BD0788" w:rsidRDefault="00C05D26" w:rsidP="00675E47">
      <w:pPr>
        <w:pStyle w:val="Heading2"/>
        <w:spacing w:before="0"/>
      </w:pPr>
      <w:bookmarkStart w:id="29" w:name="_Toc240883552"/>
      <w:r w:rsidRPr="00784D9D">
        <w:t>Appropriateness and design</w:t>
      </w:r>
      <w:bookmarkEnd w:id="29"/>
      <w:r w:rsidRPr="00784D9D">
        <w:t xml:space="preserve"> </w:t>
      </w:r>
    </w:p>
    <w:tbl>
      <w:tblPr>
        <w:tblStyle w:val="NOUSSideHeader1"/>
        <w:tblW w:w="9050" w:type="dxa"/>
        <w:tblLook w:val="0400" w:firstRow="0" w:lastRow="0" w:firstColumn="0" w:lastColumn="0" w:noHBand="0" w:noVBand="1"/>
      </w:tblPr>
      <w:tblGrid>
        <w:gridCol w:w="9050"/>
      </w:tblGrid>
      <w:tr w:rsidR="003416A6" w:rsidRPr="00823F52" w14:paraId="71526C63" w14:textId="77777777">
        <w:trPr>
          <w:cnfStyle w:val="000000100000" w:firstRow="0" w:lastRow="0" w:firstColumn="0" w:lastColumn="0" w:oddVBand="0" w:evenVBand="0" w:oddHBand="1" w:evenHBand="0" w:firstRowFirstColumn="0" w:firstRowLastColumn="0" w:lastRowFirstColumn="0" w:lastRowLastColumn="0"/>
          <w:trHeight w:val="666"/>
        </w:trPr>
        <w:tc>
          <w:tcPr>
            <w:tcW w:w="9050" w:type="dxa"/>
            <w:tcBorders>
              <w:top w:val="single" w:sz="8" w:space="0" w:color="00264D" w:themeColor="background2"/>
              <w:bottom w:val="single" w:sz="8" w:space="0" w:color="00264D" w:themeColor="background2"/>
            </w:tcBorders>
          </w:tcPr>
          <w:p w14:paraId="1EB966C3" w14:textId="44B4AC74" w:rsidR="00F60A15" w:rsidRPr="008D1384" w:rsidRDefault="003B42CE" w:rsidP="00F60A15">
            <w:pPr>
              <w:rPr>
                <w:rFonts w:ascii="Segoe UI Semilight" w:hAnsi="Segoe UI Semilight" w:cs="Segoe UI Semilight"/>
                <w:color w:val="00264D" w:themeColor="background2"/>
                <w:szCs w:val="19"/>
              </w:rPr>
            </w:pPr>
            <w:r w:rsidRPr="008D1384">
              <w:rPr>
                <w:rFonts w:ascii="Segoe UI Semilight" w:hAnsi="Segoe UI Semilight" w:cs="Segoe UI Semilight"/>
                <w:color w:val="00264D" w:themeColor="background2"/>
                <w:szCs w:val="19"/>
              </w:rPr>
              <w:t xml:space="preserve">This section </w:t>
            </w:r>
            <w:r w:rsidR="00866AF7" w:rsidRPr="008D1384">
              <w:rPr>
                <w:rFonts w:ascii="Segoe UI Semilight" w:hAnsi="Segoe UI Semilight" w:cs="Segoe UI Semilight"/>
                <w:color w:val="00264D" w:themeColor="background2"/>
                <w:szCs w:val="19"/>
              </w:rPr>
              <w:t>outlines findings relating</w:t>
            </w:r>
            <w:r w:rsidRPr="008D1384">
              <w:rPr>
                <w:rFonts w:ascii="Segoe UI Semilight" w:hAnsi="Segoe UI Semilight" w:cs="Segoe UI Semilight"/>
                <w:color w:val="00264D" w:themeColor="background2"/>
                <w:szCs w:val="19"/>
              </w:rPr>
              <w:t xml:space="preserve"> to the </w:t>
            </w:r>
            <w:r w:rsidR="00866AF7" w:rsidRPr="008D1384">
              <w:rPr>
                <w:rFonts w:ascii="Segoe UI Semilight" w:hAnsi="Segoe UI Semilight" w:cs="Segoe UI Semilight"/>
                <w:color w:val="00264D" w:themeColor="background2"/>
                <w:szCs w:val="19"/>
              </w:rPr>
              <w:t>appropriateness</w:t>
            </w:r>
            <w:r w:rsidRPr="008D1384">
              <w:rPr>
                <w:rFonts w:ascii="Segoe UI Semilight" w:hAnsi="Segoe UI Semilight" w:cs="Segoe UI Semilight"/>
                <w:color w:val="00264D" w:themeColor="background2"/>
                <w:szCs w:val="19"/>
              </w:rPr>
              <w:t xml:space="preserve"> of the</w:t>
            </w:r>
            <w:r w:rsidR="00F87FEB" w:rsidRPr="008D1384">
              <w:rPr>
                <w:rFonts w:ascii="Segoe UI Semilight" w:hAnsi="Segoe UI Semilight" w:cs="Segoe UI Semilight"/>
                <w:color w:val="00264D" w:themeColor="background2"/>
                <w:szCs w:val="19"/>
              </w:rPr>
              <w:t xml:space="preserve"> SARC</w:t>
            </w:r>
            <w:r w:rsidR="00775238" w:rsidRPr="008D1384">
              <w:rPr>
                <w:rFonts w:ascii="Segoe UI Semilight" w:hAnsi="Segoe UI Semilight" w:cs="Segoe UI Semilight"/>
                <w:color w:val="00264D" w:themeColor="background2"/>
                <w:szCs w:val="19"/>
              </w:rPr>
              <w:t xml:space="preserve"> – </w:t>
            </w:r>
            <w:r w:rsidR="00F87FEB" w:rsidRPr="008D1384">
              <w:rPr>
                <w:rFonts w:ascii="Segoe UI Semilight" w:hAnsi="Segoe UI Semilight" w:cs="Segoe UI Semilight"/>
                <w:color w:val="00264D" w:themeColor="background2"/>
                <w:szCs w:val="19"/>
              </w:rPr>
              <w:t xml:space="preserve">IC </w:t>
            </w:r>
            <w:r w:rsidR="009E3181" w:rsidRPr="008D1384">
              <w:rPr>
                <w:rFonts w:ascii="Segoe UI Semilight" w:hAnsi="Segoe UI Semilight" w:cs="Segoe UI Semilight"/>
                <w:color w:val="00264D" w:themeColor="background2"/>
                <w:szCs w:val="19"/>
              </w:rPr>
              <w:t>Activity</w:t>
            </w:r>
            <w:r w:rsidR="00F87FEB" w:rsidRPr="008D1384">
              <w:rPr>
                <w:rFonts w:ascii="Segoe UI Semilight" w:hAnsi="Segoe UI Semilight" w:cs="Segoe UI Semilight"/>
                <w:color w:val="00264D" w:themeColor="background2"/>
                <w:szCs w:val="19"/>
              </w:rPr>
              <w:t xml:space="preserve"> to achieve its intended outcomes</w:t>
            </w:r>
            <w:r w:rsidR="00F60A15" w:rsidRPr="008D1384">
              <w:rPr>
                <w:rFonts w:ascii="Segoe UI Semilight" w:hAnsi="Segoe UI Semilight" w:cs="Segoe UI Semilight"/>
                <w:color w:val="00264D" w:themeColor="background2"/>
                <w:szCs w:val="19"/>
              </w:rPr>
              <w:t xml:space="preserve"> (KEQ 1).</w:t>
            </w:r>
          </w:p>
          <w:p w14:paraId="520A5457" w14:textId="0775ECEE" w:rsidR="003B42CE" w:rsidRPr="009449FA" w:rsidRDefault="00346D23" w:rsidP="009449FA">
            <w:pPr>
              <w:pStyle w:val="Bullet"/>
              <w:rPr>
                <w:sz w:val="17"/>
                <w:szCs w:val="17"/>
              </w:rPr>
            </w:pPr>
            <w:r w:rsidRPr="008D1384">
              <w:t xml:space="preserve">KEQ1: </w:t>
            </w:r>
            <w:r w:rsidR="00E559AD" w:rsidRPr="008D1384">
              <w:t xml:space="preserve">To what extent was </w:t>
            </w:r>
            <w:r w:rsidR="008A455A" w:rsidRPr="008D1384">
              <w:t>SARC – IC</w:t>
            </w:r>
            <w:r w:rsidR="00E559AD" w:rsidRPr="008D1384">
              <w:t xml:space="preserve">’s design </w:t>
            </w:r>
            <w:r w:rsidR="00E559AD" w:rsidRPr="008D1384">
              <w:rPr>
                <w:b/>
                <w:bCs/>
              </w:rPr>
              <w:t>appropriate</w:t>
            </w:r>
            <w:r w:rsidR="00E559AD" w:rsidRPr="008D1384">
              <w:t xml:space="preserve"> for achieving its intended aim?</w:t>
            </w:r>
          </w:p>
        </w:tc>
      </w:tr>
    </w:tbl>
    <w:p w14:paraId="13A8DD42" w14:textId="44671577" w:rsidR="00ED7DF2" w:rsidRDefault="00DC15A9" w:rsidP="00D46070">
      <w:pPr>
        <w:pStyle w:val="Heading3"/>
        <w:ind w:left="0" w:firstLine="0"/>
      </w:pPr>
      <w:bookmarkStart w:id="30" w:name="_Toc240883553"/>
      <w:r>
        <w:t>Key findings on appropriateness and design</w:t>
      </w:r>
      <w:bookmarkEnd w:id="30"/>
    </w:p>
    <w:tbl>
      <w:tblPr>
        <w:tblStyle w:val="Style1"/>
        <w:tblW w:w="4950" w:type="pct"/>
        <w:tblLook w:val="04A0" w:firstRow="1" w:lastRow="0" w:firstColumn="1" w:lastColumn="0" w:noHBand="0" w:noVBand="1"/>
      </w:tblPr>
      <w:tblGrid>
        <w:gridCol w:w="9093"/>
      </w:tblGrid>
      <w:tr w:rsidR="006371A6" w14:paraId="0B103BA2" w14:textId="77777777" w:rsidTr="00A5799D">
        <w:tc>
          <w:tcPr>
            <w:tcW w:w="9093" w:type="dxa"/>
            <w:shd w:val="clear" w:color="auto" w:fill="00264D" w:themeFill="background2"/>
          </w:tcPr>
          <w:p w14:paraId="1D1D609D" w14:textId="77777777" w:rsidR="00FD4AAD" w:rsidRPr="001F4F37" w:rsidRDefault="00FD4AAD" w:rsidP="00A5799D">
            <w:pPr>
              <w:spacing w:before="120"/>
              <w:ind w:left="312" w:right="204"/>
              <w:rPr>
                <w:rFonts w:asciiTheme="majorHAnsi" w:hAnsiTheme="majorHAnsi" w:cstheme="majorHAnsi"/>
                <w:sz w:val="22"/>
                <w:szCs w:val="28"/>
                <w:lang w:eastAsia="en-AU"/>
              </w:rPr>
            </w:pPr>
            <w:r>
              <w:rPr>
                <w:rFonts w:asciiTheme="majorHAnsi" w:hAnsiTheme="majorHAnsi" w:cstheme="majorHAnsi"/>
                <w:noProof/>
                <w:color w:val="FFFFFF" w:themeColor="background1"/>
                <w:sz w:val="22"/>
                <w:szCs w:val="28"/>
                <w:lang w:eastAsia="en-AU"/>
              </w:rPr>
              <w:drawing>
                <wp:anchor distT="0" distB="0" distL="114300" distR="114300" simplePos="0" relativeHeight="251658275" behindDoc="0" locked="0" layoutInCell="1" allowOverlap="1" wp14:anchorId="3F192FC7" wp14:editId="444AA894">
                  <wp:simplePos x="0" y="0"/>
                  <wp:positionH relativeFrom="column">
                    <wp:posOffset>5277098</wp:posOffset>
                  </wp:positionH>
                  <wp:positionV relativeFrom="paragraph">
                    <wp:posOffset>21811</wp:posOffset>
                  </wp:positionV>
                  <wp:extent cx="335280" cy="335280"/>
                  <wp:effectExtent l="0" t="0" r="0" b="7620"/>
                  <wp:wrapNone/>
                  <wp:docPr id="462205466" name="Picture 27" descr="P266C1T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05466" name="Picture 27" descr="P266C1T5#y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pic:spPr>
                      </pic:pic>
                    </a:graphicData>
                  </a:graphic>
                  <wp14:sizeRelH relativeFrom="margin">
                    <wp14:pctWidth>0</wp14:pctWidth>
                  </wp14:sizeRelH>
                  <wp14:sizeRelV relativeFrom="margin">
                    <wp14:pctHeight>0</wp14:pctHeight>
                  </wp14:sizeRelV>
                </wp:anchor>
              </w:drawing>
            </w:r>
            <w:r w:rsidRPr="001F4F37">
              <w:rPr>
                <w:rFonts w:asciiTheme="majorHAnsi" w:hAnsiTheme="majorHAnsi" w:cstheme="majorHAnsi"/>
                <w:color w:val="FFFFFF" w:themeColor="background1"/>
                <w:sz w:val="22"/>
                <w:szCs w:val="28"/>
                <w:lang w:eastAsia="en-AU"/>
              </w:rPr>
              <w:t>KEY FINDINGS</w:t>
            </w:r>
          </w:p>
        </w:tc>
      </w:tr>
      <w:tr w:rsidR="006371A6" w14:paraId="255BE868" w14:textId="77777777" w:rsidTr="00A5799D">
        <w:tc>
          <w:tcPr>
            <w:tcW w:w="9093" w:type="dxa"/>
            <w:shd w:val="clear" w:color="auto" w:fill="FF3A40" w:themeFill="accent1"/>
          </w:tcPr>
          <w:p w14:paraId="08CC6C1A" w14:textId="05BC7D15" w:rsidR="00FD4AAD" w:rsidRPr="00CE29B9" w:rsidRDefault="00FD4AAD" w:rsidP="00A5799D">
            <w:pPr>
              <w:spacing w:before="40" w:after="40"/>
              <w:ind w:left="313" w:right="202"/>
              <w:rPr>
                <w:rFonts w:asciiTheme="minorHAnsi" w:hAnsiTheme="minorHAnsi" w:cstheme="minorHAnsi"/>
                <w:color w:val="FFFFFF" w:themeColor="background1"/>
                <w:sz w:val="17"/>
                <w:szCs w:val="17"/>
              </w:rPr>
            </w:pPr>
            <w:r w:rsidRPr="00A9231E">
              <w:rPr>
                <w:rFonts w:asciiTheme="majorHAnsi" w:hAnsiTheme="majorHAnsi" w:cstheme="majorHAnsi"/>
                <w:color w:val="FFFFFF" w:themeColor="background1"/>
                <w:lang w:eastAsia="en-AU"/>
              </w:rPr>
              <w:t xml:space="preserve">KEQ </w:t>
            </w:r>
            <w:r>
              <w:rPr>
                <w:rFonts w:asciiTheme="majorHAnsi" w:hAnsiTheme="majorHAnsi" w:cstheme="majorHAnsi"/>
                <w:color w:val="FFFFFF" w:themeColor="background1"/>
                <w:lang w:eastAsia="en-AU"/>
              </w:rPr>
              <w:t>1</w:t>
            </w:r>
            <w:r w:rsidRPr="00A9231E">
              <w:rPr>
                <w:rFonts w:asciiTheme="majorHAnsi" w:hAnsiTheme="majorHAnsi" w:cstheme="majorHAnsi"/>
                <w:color w:val="FFFFFF" w:themeColor="background1"/>
                <w:lang w:eastAsia="en-AU"/>
              </w:rPr>
              <w:t xml:space="preserve"> | </w:t>
            </w:r>
            <w:r w:rsidRPr="00A9231E">
              <w:rPr>
                <w:rFonts w:asciiTheme="majorHAnsi" w:hAnsiTheme="majorHAnsi" w:cstheme="majorHAnsi"/>
                <w:color w:val="FFFFFF" w:themeColor="background1"/>
                <w:szCs w:val="19"/>
              </w:rPr>
              <w:t xml:space="preserve">To what extent was </w:t>
            </w:r>
            <w:r>
              <w:rPr>
                <w:rFonts w:asciiTheme="majorHAnsi" w:hAnsiTheme="majorHAnsi" w:cstheme="majorHAnsi"/>
                <w:color w:val="FFFFFF" w:themeColor="background1"/>
                <w:szCs w:val="19"/>
              </w:rPr>
              <w:t xml:space="preserve">SARC – IC’s design appropriate for achieving its intended aim? </w:t>
            </w:r>
          </w:p>
        </w:tc>
      </w:tr>
      <w:tr w:rsidR="006371A6" w14:paraId="1E79BB75" w14:textId="77777777" w:rsidTr="00A5799D">
        <w:tc>
          <w:tcPr>
            <w:tcW w:w="9093" w:type="dxa"/>
          </w:tcPr>
          <w:p w14:paraId="51EF91C8" w14:textId="2FF0B096" w:rsidR="00FD4AAD" w:rsidRPr="008A364B" w:rsidRDefault="00FD4AAD" w:rsidP="00A5799D">
            <w:pPr>
              <w:spacing w:before="240"/>
              <w:ind w:left="596" w:right="202"/>
              <w:rPr>
                <w:rFonts w:asciiTheme="minorHAnsi" w:hAnsiTheme="minorHAnsi"/>
                <w:color w:val="00264D" w:themeColor="background2"/>
                <w:lang w:eastAsia="en-AU"/>
              </w:rPr>
            </w:pPr>
            <w:r>
              <w:rPr>
                <w:rFonts w:asciiTheme="majorHAnsi" w:hAnsiTheme="majorHAnsi" w:cstheme="majorHAnsi"/>
                <w:noProof/>
                <w:color w:val="FFFFFF" w:themeColor="background1"/>
                <w:lang w:eastAsia="en-AU"/>
              </w:rPr>
              <mc:AlternateContent>
                <mc:Choice Requires="wps">
                  <w:drawing>
                    <wp:anchor distT="0" distB="0" distL="114300" distR="114300" simplePos="0" relativeHeight="251658276" behindDoc="0" locked="0" layoutInCell="1" allowOverlap="1" wp14:anchorId="7F3213F2" wp14:editId="1BBC334A">
                      <wp:simplePos x="0" y="0"/>
                      <wp:positionH relativeFrom="column">
                        <wp:posOffset>147839</wp:posOffset>
                      </wp:positionH>
                      <wp:positionV relativeFrom="paragraph">
                        <wp:posOffset>171772</wp:posOffset>
                      </wp:positionV>
                      <wp:extent cx="11875" cy="2790701"/>
                      <wp:effectExtent l="0" t="0" r="26670" b="29210"/>
                      <wp:wrapNone/>
                      <wp:docPr id="152287293"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1875" cy="2790701"/>
                              </a:xfrm>
                              <a:prstGeom prst="line">
                                <a:avLst/>
                              </a:prstGeom>
                              <a:ln w="12700" cap="rnd">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154B45" id="Straight Connector 8" o:spid="_x0000_s1026" alt="&quot;&quot;"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3.55pt" to="12.6pt,2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" strokecolor="#00264d [3214]" strokeweight="1pt">
                      <v:stroke endcap="round"/>
                    </v:line>
                  </w:pict>
                </mc:Fallback>
              </mc:AlternateContent>
            </w:r>
            <w:r>
              <w:rPr>
                <w:rFonts w:asciiTheme="majorHAnsi" w:hAnsiTheme="majorHAnsi" w:cstheme="majorBidi"/>
                <w:noProof/>
                <w:color w:val="00264D" w:themeColor="background2"/>
                <w:lang w:eastAsia="en-AU"/>
              </w:rPr>
              <mc:AlternateContent>
                <mc:Choice Requires="wps">
                  <w:drawing>
                    <wp:anchor distT="0" distB="0" distL="114300" distR="114300" simplePos="0" relativeHeight="251658277" behindDoc="0" locked="0" layoutInCell="1" allowOverlap="1" wp14:anchorId="51413A3B" wp14:editId="62D91C5D">
                      <wp:simplePos x="0" y="0"/>
                      <wp:positionH relativeFrom="column">
                        <wp:posOffset>85090</wp:posOffset>
                      </wp:positionH>
                      <wp:positionV relativeFrom="paragraph">
                        <wp:posOffset>178435</wp:posOffset>
                      </wp:positionV>
                      <wp:extent cx="118745" cy="118745"/>
                      <wp:effectExtent l="0" t="0" r="0" b="0"/>
                      <wp:wrapNone/>
                      <wp:docPr id="1413334387"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745" cy="118745"/>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DA0530" id="Oval 9" o:spid="_x0000_s1026" alt="&quot;&quot;" style="position:absolute;margin-left:6.7pt;margin-top:14.05pt;width:9.35pt;height:9.35pt;z-index:2516582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" fillcolor="#ff3a40 [3204]" stroked="f" strokeweight="2pt"/>
                  </w:pict>
                </mc:Fallback>
              </mc:AlternateContent>
            </w:r>
            <w:r w:rsidRPr="00FD4AAD">
              <w:rPr>
                <w:rFonts w:asciiTheme="majorHAnsi" w:hAnsiTheme="majorHAnsi" w:cstheme="majorBidi"/>
                <w:color w:val="00264D" w:themeColor="background2"/>
                <w:lang w:eastAsia="en-AU"/>
              </w:rPr>
              <w:t>6.1.2</w:t>
            </w:r>
            <w:r>
              <w:rPr>
                <w:rFonts w:asciiTheme="majorHAnsi" w:hAnsiTheme="majorHAnsi" w:cstheme="majorBidi"/>
                <w:color w:val="00264D" w:themeColor="background2"/>
                <w:lang w:eastAsia="en-AU"/>
              </w:rPr>
              <w:t xml:space="preserve"> </w:t>
            </w:r>
            <w:r w:rsidRPr="00FD4AAD">
              <w:rPr>
                <w:rFonts w:asciiTheme="majorHAnsi" w:hAnsiTheme="majorHAnsi" w:cstheme="majorBidi"/>
                <w:color w:val="00264D" w:themeColor="background2"/>
                <w:lang w:eastAsia="en-AU"/>
              </w:rPr>
              <w:t>SARC – IC is designed to address social and economic exclusion driving negative outcomes for many Australians</w:t>
            </w:r>
            <w:r w:rsidRPr="5E20C28B">
              <w:rPr>
                <w:rFonts w:asciiTheme="majorHAnsi" w:hAnsiTheme="majorHAnsi" w:cstheme="majorBidi"/>
                <w:color w:val="00264D" w:themeColor="background2"/>
                <w:lang w:eastAsia="en-AU"/>
              </w:rPr>
              <w:t xml:space="preserve">| </w:t>
            </w:r>
            <w:r w:rsidRPr="00FD4AAD">
              <w:rPr>
                <w:rFonts w:asciiTheme="minorHAnsi" w:hAnsiTheme="minorHAnsi"/>
                <w:color w:val="00264D" w:themeColor="background2"/>
                <w:lang w:eastAsia="en-AU"/>
              </w:rPr>
              <w:t>SARC – IC is strongly aligned to government priorities for addressing social and economic exclusion and supporting place-based, community-driven approaches.</w:t>
            </w:r>
          </w:p>
          <w:p w14:paraId="6EB881BE" w14:textId="4E3A6865" w:rsidR="00FD4AAD" w:rsidRDefault="00FD4AAD" w:rsidP="00A5799D">
            <w:pPr>
              <w:ind w:left="596" w:right="202"/>
              <w:rPr>
                <w:rFonts w:asciiTheme="majorHAnsi" w:hAnsiTheme="majorHAnsi" w:cstheme="majorHAnsi"/>
                <w:color w:val="00264D" w:themeColor="background2"/>
                <w:lang w:eastAsia="en-AU"/>
              </w:rPr>
            </w:pPr>
            <w:r>
              <w:rPr>
                <w:rFonts w:asciiTheme="majorHAnsi" w:hAnsiTheme="majorHAnsi" w:cstheme="majorHAnsi"/>
                <w:noProof/>
                <w:color w:val="00264D" w:themeColor="background2"/>
                <w:lang w:eastAsia="en-AU"/>
              </w:rPr>
              <mc:AlternateContent>
                <mc:Choice Requires="wps">
                  <w:drawing>
                    <wp:anchor distT="0" distB="0" distL="114300" distR="114300" simplePos="0" relativeHeight="251658278" behindDoc="0" locked="0" layoutInCell="1" allowOverlap="1" wp14:anchorId="65CB34A4" wp14:editId="3A11E8B8">
                      <wp:simplePos x="0" y="0"/>
                      <wp:positionH relativeFrom="column">
                        <wp:posOffset>86360</wp:posOffset>
                      </wp:positionH>
                      <wp:positionV relativeFrom="paragraph">
                        <wp:posOffset>43815</wp:posOffset>
                      </wp:positionV>
                      <wp:extent cx="118745" cy="119246"/>
                      <wp:effectExtent l="0" t="0" r="0" b="0"/>
                      <wp:wrapNone/>
                      <wp:docPr id="630467120"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745" cy="119246"/>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8F8FAE" id="Oval 9" o:spid="_x0000_s1026" alt="&quot;&quot;" style="position:absolute;margin-left:6.8pt;margin-top:3.45pt;width:9.35pt;height:9.4pt;z-index:2516582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" fillcolor="#ff3a40 [3204]" stroked="f" strokeweight="2pt"/>
                  </w:pict>
                </mc:Fallback>
              </mc:AlternateContent>
            </w:r>
            <w:r w:rsidRPr="00FD4AAD">
              <w:rPr>
                <w:rFonts w:asciiTheme="majorHAnsi" w:hAnsiTheme="majorHAnsi" w:cstheme="majorHAnsi"/>
                <w:color w:val="00264D" w:themeColor="background2"/>
                <w:lang w:eastAsia="en-AU"/>
              </w:rPr>
              <w:t>6.1.3</w:t>
            </w:r>
            <w:r>
              <w:rPr>
                <w:rFonts w:asciiTheme="majorHAnsi" w:hAnsiTheme="majorHAnsi" w:cstheme="majorHAnsi"/>
                <w:color w:val="00264D" w:themeColor="background2"/>
                <w:lang w:eastAsia="en-AU"/>
              </w:rPr>
              <w:t xml:space="preserve"> </w:t>
            </w:r>
            <w:r w:rsidRPr="00FD4AAD">
              <w:rPr>
                <w:rFonts w:asciiTheme="majorHAnsi" w:hAnsiTheme="majorHAnsi" w:cstheme="majorHAnsi"/>
                <w:color w:val="00264D" w:themeColor="background2"/>
                <w:lang w:eastAsia="en-AU"/>
              </w:rPr>
              <w:t>SARC – IC’s design aligns with literature on good practice, but broad scope and key design tensions limit its effectiveness</w:t>
            </w:r>
          </w:p>
          <w:p w14:paraId="0F6DE5A6" w14:textId="6633D0A7" w:rsidR="00FD4AAD" w:rsidRPr="00FD4AAD" w:rsidRDefault="00FD4AAD" w:rsidP="00756A4F">
            <w:pPr>
              <w:pStyle w:val="Bullet"/>
              <w:numPr>
                <w:ilvl w:val="1"/>
                <w:numId w:val="8"/>
              </w:numPr>
              <w:rPr>
                <w:color w:val="00264D" w:themeColor="background2"/>
              </w:rPr>
            </w:pPr>
            <w:r w:rsidRPr="00FD4AAD">
              <w:rPr>
                <w:color w:val="00264D" w:themeColor="background2"/>
              </w:rPr>
              <w:t>The grants approach is built on two key design elements: community-driven projects and trailing new approaches.</w:t>
            </w:r>
          </w:p>
          <w:p w14:paraId="060FD4F8" w14:textId="77777777" w:rsidR="00FD4AAD" w:rsidRPr="00FD4AAD" w:rsidRDefault="00FD4AAD" w:rsidP="00756A4F">
            <w:pPr>
              <w:pStyle w:val="Bullet"/>
              <w:numPr>
                <w:ilvl w:val="1"/>
                <w:numId w:val="8"/>
              </w:numPr>
              <w:rPr>
                <w:color w:val="00264D" w:themeColor="background2"/>
              </w:rPr>
            </w:pPr>
            <w:r w:rsidRPr="00FD4AAD">
              <w:rPr>
                <w:color w:val="00264D" w:themeColor="background2"/>
              </w:rPr>
              <w:t>The literature shows that the key design elements each require different conditions to be effective, creating tensions in the grant’s approach and limiting overall effectiveness.</w:t>
            </w:r>
          </w:p>
          <w:p w14:paraId="3F687ACB" w14:textId="2869E265" w:rsidR="00FD4AAD" w:rsidRPr="00FD4AAD" w:rsidRDefault="00FD4AAD" w:rsidP="00756A4F">
            <w:pPr>
              <w:pStyle w:val="Bullet"/>
              <w:numPr>
                <w:ilvl w:val="1"/>
                <w:numId w:val="8"/>
              </w:numPr>
              <w:rPr>
                <w:color w:val="00264D" w:themeColor="background2"/>
              </w:rPr>
            </w:pPr>
            <w:r w:rsidRPr="00FD4AAD">
              <w:rPr>
                <w:color w:val="00264D" w:themeColor="background2"/>
              </w:rPr>
              <w:t>Noting this critical tension, SARC – IC does demonstrate strong alignment with the literature in many areas.</w:t>
            </w:r>
          </w:p>
          <w:p w14:paraId="1001572B" w14:textId="381A9952" w:rsidR="00FD4AAD" w:rsidRPr="00FD4AAD" w:rsidRDefault="00FD4AAD" w:rsidP="00FD4AAD">
            <w:pPr>
              <w:ind w:left="596" w:right="202"/>
              <w:rPr>
                <w:rFonts w:asciiTheme="majorHAnsi" w:hAnsiTheme="majorHAnsi" w:cstheme="majorHAnsi"/>
                <w:color w:val="00264D" w:themeColor="background2"/>
                <w:lang w:eastAsia="en-AU"/>
              </w:rPr>
            </w:pPr>
            <w:r>
              <w:rPr>
                <w:rFonts w:asciiTheme="majorHAnsi" w:hAnsiTheme="majorHAnsi" w:cstheme="majorHAnsi"/>
                <w:noProof/>
                <w:color w:val="00264D" w:themeColor="background2"/>
                <w:lang w:eastAsia="en-AU"/>
              </w:rPr>
              <mc:AlternateContent>
                <mc:Choice Requires="wps">
                  <w:drawing>
                    <wp:anchor distT="0" distB="0" distL="114300" distR="114300" simplePos="0" relativeHeight="251658279" behindDoc="0" locked="0" layoutInCell="1" allowOverlap="1" wp14:anchorId="469F0757" wp14:editId="42454FA7">
                      <wp:simplePos x="0" y="0"/>
                      <wp:positionH relativeFrom="column">
                        <wp:posOffset>86360</wp:posOffset>
                      </wp:positionH>
                      <wp:positionV relativeFrom="paragraph">
                        <wp:posOffset>20955</wp:posOffset>
                      </wp:positionV>
                      <wp:extent cx="118223" cy="118722"/>
                      <wp:effectExtent l="0" t="0" r="0" b="0"/>
                      <wp:wrapNone/>
                      <wp:docPr id="987297684"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223" cy="118722"/>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3B5155E" id="Oval 9" o:spid="_x0000_s1026" alt="&quot;&quot;" style="position:absolute;margin-left:6.8pt;margin-top:1.65pt;width:9.3pt;height:9.35pt;z-index:2516582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" fillcolor="#ff3a40 [3204]" stroked="f" strokeweight="2pt"/>
                  </w:pict>
                </mc:Fallback>
              </mc:AlternateContent>
            </w:r>
            <w:r w:rsidRPr="00FD4AAD">
              <w:rPr>
                <w:rFonts w:asciiTheme="majorHAnsi" w:hAnsiTheme="majorHAnsi" w:cstheme="majorHAnsi"/>
                <w:color w:val="00264D" w:themeColor="background2"/>
                <w:lang w:eastAsia="en-AU"/>
              </w:rPr>
              <w:t>6.1.4</w:t>
            </w:r>
            <w:r>
              <w:rPr>
                <w:rFonts w:asciiTheme="majorHAnsi" w:hAnsiTheme="majorHAnsi" w:cstheme="majorHAnsi"/>
                <w:color w:val="00264D" w:themeColor="background2"/>
                <w:lang w:eastAsia="en-AU"/>
              </w:rPr>
              <w:t xml:space="preserve"> </w:t>
            </w:r>
            <w:r w:rsidRPr="00FD4AAD">
              <w:rPr>
                <w:rFonts w:asciiTheme="majorHAnsi" w:hAnsiTheme="majorHAnsi" w:cstheme="majorHAnsi"/>
                <w:color w:val="00264D" w:themeColor="background2"/>
                <w:lang w:eastAsia="en-AU"/>
              </w:rPr>
              <w:t>SARC – IC’s objectives align to the broader policy landscape</w:t>
            </w:r>
            <w:r>
              <w:rPr>
                <w:rFonts w:asciiTheme="majorHAnsi" w:hAnsiTheme="majorHAnsi" w:cstheme="majorHAnsi"/>
                <w:color w:val="00264D" w:themeColor="background2"/>
                <w:lang w:eastAsia="en-AU"/>
              </w:rPr>
              <w:t xml:space="preserve">| </w:t>
            </w:r>
            <w:r>
              <w:rPr>
                <w:rFonts w:asciiTheme="minorHAnsi" w:hAnsiTheme="minorHAnsi"/>
                <w:color w:val="00264D" w:themeColor="background2"/>
                <w:lang w:eastAsia="en-AU"/>
              </w:rPr>
              <w:t>SARC – IC’s</w:t>
            </w:r>
            <w:r w:rsidRPr="00FD4AAD">
              <w:rPr>
                <w:rFonts w:asciiTheme="minorHAnsi" w:hAnsiTheme="minorHAnsi"/>
                <w:color w:val="00264D" w:themeColor="background2"/>
                <w:lang w:eastAsia="en-AU"/>
              </w:rPr>
              <w:t xml:space="preserve"> objectives overlap with but are not linked to existing Commonwealth, state and territory, and philanthropic programs.</w:t>
            </w:r>
          </w:p>
        </w:tc>
      </w:tr>
    </w:tbl>
    <w:bookmarkStart w:id="31" w:name="_Toc240883554"/>
    <w:p w14:paraId="57A062DE" w14:textId="61AC3B74" w:rsidR="00EC29AD" w:rsidRPr="004648A8" w:rsidRDefault="00787772" w:rsidP="00996668">
      <w:pPr>
        <w:pStyle w:val="Heading3"/>
      </w:pPr>
      <w:r w:rsidRPr="00787772">
        <w:rPr>
          <w:noProof/>
        </w:rPr>
        <mc:AlternateContent>
          <mc:Choice Requires="wps">
            <w:drawing>
              <wp:anchor distT="0" distB="0" distL="114300" distR="114300" simplePos="0" relativeHeight="251658274" behindDoc="0" locked="0" layoutInCell="1" allowOverlap="1" wp14:anchorId="72E1D7AE" wp14:editId="6F192A69">
                <wp:simplePos x="0" y="0"/>
                <wp:positionH relativeFrom="column">
                  <wp:posOffset>10042525</wp:posOffset>
                </wp:positionH>
                <wp:positionV relativeFrom="paragraph">
                  <wp:posOffset>-6196330</wp:posOffset>
                </wp:positionV>
                <wp:extent cx="252256" cy="196954"/>
                <wp:effectExtent l="0" t="0" r="0" b="0"/>
                <wp:wrapNone/>
                <wp:docPr id="283361971" name="Freeform: Shape 18" descr="P280#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2256" cy="196954"/>
                        </a:xfrm>
                        <a:custGeom>
                          <a:avLst/>
                          <a:gdLst>
                            <a:gd name="T0" fmla="*/ 188 w 188"/>
                            <a:gd name="T1" fmla="*/ 120 h 147"/>
                            <a:gd name="T2" fmla="*/ 187 w 188"/>
                            <a:gd name="T3" fmla="*/ 118 h 147"/>
                            <a:gd name="T4" fmla="*/ 187 w 188"/>
                            <a:gd name="T5" fmla="*/ 118 h 147"/>
                            <a:gd name="T6" fmla="*/ 151 w 188"/>
                            <a:gd name="T7" fmla="*/ 30 h 147"/>
                            <a:gd name="T8" fmla="*/ 151 w 188"/>
                            <a:gd name="T9" fmla="*/ 30 h 147"/>
                            <a:gd name="T10" fmla="*/ 147 w 188"/>
                            <a:gd name="T11" fmla="*/ 26 h 147"/>
                            <a:gd name="T12" fmla="*/ 97 w 188"/>
                            <a:gd name="T13" fmla="*/ 26 h 147"/>
                            <a:gd name="T14" fmla="*/ 97 w 188"/>
                            <a:gd name="T15" fmla="*/ 4 h 147"/>
                            <a:gd name="T16" fmla="*/ 94 w 188"/>
                            <a:gd name="T17" fmla="*/ 0 h 147"/>
                            <a:gd name="T18" fmla="*/ 90 w 188"/>
                            <a:gd name="T19" fmla="*/ 4 h 147"/>
                            <a:gd name="T20" fmla="*/ 90 w 188"/>
                            <a:gd name="T21" fmla="*/ 26 h 147"/>
                            <a:gd name="T22" fmla="*/ 40 w 188"/>
                            <a:gd name="T23" fmla="*/ 26 h 147"/>
                            <a:gd name="T24" fmla="*/ 37 w 188"/>
                            <a:gd name="T25" fmla="*/ 30 h 147"/>
                            <a:gd name="T26" fmla="*/ 37 w 188"/>
                            <a:gd name="T27" fmla="*/ 30 h 147"/>
                            <a:gd name="T28" fmla="*/ 0 w 188"/>
                            <a:gd name="T29" fmla="*/ 118 h 147"/>
                            <a:gd name="T30" fmla="*/ 0 w 188"/>
                            <a:gd name="T31" fmla="*/ 120 h 147"/>
                            <a:gd name="T32" fmla="*/ 0 w 188"/>
                            <a:gd name="T33" fmla="*/ 122 h 147"/>
                            <a:gd name="T34" fmla="*/ 40 w 188"/>
                            <a:gd name="T35" fmla="*/ 147 h 147"/>
                            <a:gd name="T36" fmla="*/ 80 w 188"/>
                            <a:gd name="T37" fmla="*/ 121 h 147"/>
                            <a:gd name="T38" fmla="*/ 80 w 188"/>
                            <a:gd name="T39" fmla="*/ 120 h 147"/>
                            <a:gd name="T40" fmla="*/ 80 w 188"/>
                            <a:gd name="T41" fmla="*/ 120 h 147"/>
                            <a:gd name="T42" fmla="*/ 80 w 188"/>
                            <a:gd name="T43" fmla="*/ 118 h 147"/>
                            <a:gd name="T44" fmla="*/ 80 w 188"/>
                            <a:gd name="T45" fmla="*/ 118 h 147"/>
                            <a:gd name="T46" fmla="*/ 45 w 188"/>
                            <a:gd name="T47" fmla="*/ 33 h 147"/>
                            <a:gd name="T48" fmla="*/ 143 w 188"/>
                            <a:gd name="T49" fmla="*/ 33 h 147"/>
                            <a:gd name="T50" fmla="*/ 107 w 188"/>
                            <a:gd name="T51" fmla="*/ 118 h 147"/>
                            <a:gd name="T52" fmla="*/ 107 w 188"/>
                            <a:gd name="T53" fmla="*/ 120 h 147"/>
                            <a:gd name="T54" fmla="*/ 108 w 188"/>
                            <a:gd name="T55" fmla="*/ 122 h 147"/>
                            <a:gd name="T56" fmla="*/ 147 w 188"/>
                            <a:gd name="T57" fmla="*/ 147 h 147"/>
                            <a:gd name="T58" fmla="*/ 187 w 188"/>
                            <a:gd name="T59" fmla="*/ 121 h 147"/>
                            <a:gd name="T60" fmla="*/ 187 w 188"/>
                            <a:gd name="T61" fmla="*/ 120 h 147"/>
                            <a:gd name="T62" fmla="*/ 188 w 188"/>
                            <a:gd name="T63" fmla="*/ 120 h 147"/>
                            <a:gd name="T64" fmla="*/ 40 w 188"/>
                            <a:gd name="T65" fmla="*/ 141 h 147"/>
                            <a:gd name="T66" fmla="*/ 8 w 188"/>
                            <a:gd name="T67" fmla="*/ 123 h 147"/>
                            <a:gd name="T68" fmla="*/ 72 w 188"/>
                            <a:gd name="T69" fmla="*/ 123 h 147"/>
                            <a:gd name="T70" fmla="*/ 40 w 188"/>
                            <a:gd name="T71" fmla="*/ 141 h 147"/>
                            <a:gd name="T72" fmla="*/ 8 w 188"/>
                            <a:gd name="T73" fmla="*/ 117 h 147"/>
                            <a:gd name="T74" fmla="*/ 40 w 188"/>
                            <a:gd name="T75" fmla="*/ 38 h 147"/>
                            <a:gd name="T76" fmla="*/ 73 w 188"/>
                            <a:gd name="T77" fmla="*/ 117 h 147"/>
                            <a:gd name="T78" fmla="*/ 8 w 188"/>
                            <a:gd name="T79" fmla="*/ 117 h 147"/>
                            <a:gd name="T80" fmla="*/ 147 w 188"/>
                            <a:gd name="T81" fmla="*/ 38 h 147"/>
                            <a:gd name="T82" fmla="*/ 180 w 188"/>
                            <a:gd name="T83" fmla="*/ 117 h 147"/>
                            <a:gd name="T84" fmla="*/ 115 w 188"/>
                            <a:gd name="T85" fmla="*/ 117 h 147"/>
                            <a:gd name="T86" fmla="*/ 147 w 188"/>
                            <a:gd name="T87" fmla="*/ 38 h 147"/>
                            <a:gd name="T88" fmla="*/ 147 w 188"/>
                            <a:gd name="T89" fmla="*/ 141 h 147"/>
                            <a:gd name="T90" fmla="*/ 115 w 188"/>
                            <a:gd name="T91" fmla="*/ 123 h 147"/>
                            <a:gd name="T92" fmla="*/ 179 w 188"/>
                            <a:gd name="T93" fmla="*/ 123 h 147"/>
                            <a:gd name="T94" fmla="*/ 147 w 188"/>
                            <a:gd name="T95" fmla="*/ 141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8" h="147">
                              <a:moveTo>
                                <a:pt x="188" y="120"/>
                              </a:moveTo>
                              <a:cubicBezTo>
                                <a:pt x="188" y="119"/>
                                <a:pt x="187" y="119"/>
                                <a:pt x="187" y="118"/>
                              </a:cubicBezTo>
                              <a:cubicBezTo>
                                <a:pt x="187" y="118"/>
                                <a:pt x="187" y="118"/>
                                <a:pt x="187" y="118"/>
                              </a:cubicBezTo>
                              <a:cubicBezTo>
                                <a:pt x="151" y="30"/>
                                <a:pt x="151" y="30"/>
                                <a:pt x="151" y="30"/>
                              </a:cubicBezTo>
                              <a:cubicBezTo>
                                <a:pt x="151" y="30"/>
                                <a:pt x="151" y="30"/>
                                <a:pt x="151" y="30"/>
                              </a:cubicBezTo>
                              <a:cubicBezTo>
                                <a:pt x="151" y="28"/>
                                <a:pt x="149" y="26"/>
                                <a:pt x="147" y="26"/>
                              </a:cubicBezTo>
                              <a:cubicBezTo>
                                <a:pt x="97" y="26"/>
                                <a:pt x="97" y="26"/>
                                <a:pt x="97" y="26"/>
                              </a:cubicBezTo>
                              <a:cubicBezTo>
                                <a:pt x="97" y="4"/>
                                <a:pt x="97" y="4"/>
                                <a:pt x="97" y="4"/>
                              </a:cubicBezTo>
                              <a:cubicBezTo>
                                <a:pt x="97" y="2"/>
                                <a:pt x="96" y="0"/>
                                <a:pt x="94" y="0"/>
                              </a:cubicBezTo>
                              <a:cubicBezTo>
                                <a:pt x="92" y="0"/>
                                <a:pt x="90" y="2"/>
                                <a:pt x="90" y="4"/>
                              </a:cubicBezTo>
                              <a:cubicBezTo>
                                <a:pt x="90" y="26"/>
                                <a:pt x="90" y="26"/>
                                <a:pt x="90" y="26"/>
                              </a:cubicBezTo>
                              <a:cubicBezTo>
                                <a:pt x="40" y="26"/>
                                <a:pt x="40" y="26"/>
                                <a:pt x="40" y="26"/>
                              </a:cubicBezTo>
                              <a:cubicBezTo>
                                <a:pt x="38" y="26"/>
                                <a:pt x="37" y="28"/>
                                <a:pt x="37" y="30"/>
                              </a:cubicBezTo>
                              <a:cubicBezTo>
                                <a:pt x="37" y="30"/>
                                <a:pt x="37" y="30"/>
                                <a:pt x="37" y="30"/>
                              </a:cubicBezTo>
                              <a:cubicBezTo>
                                <a:pt x="0" y="118"/>
                                <a:pt x="0" y="118"/>
                                <a:pt x="0" y="118"/>
                              </a:cubicBezTo>
                              <a:cubicBezTo>
                                <a:pt x="0" y="119"/>
                                <a:pt x="0" y="120"/>
                                <a:pt x="0" y="120"/>
                              </a:cubicBezTo>
                              <a:cubicBezTo>
                                <a:pt x="0" y="121"/>
                                <a:pt x="0" y="121"/>
                                <a:pt x="0" y="122"/>
                              </a:cubicBezTo>
                              <a:cubicBezTo>
                                <a:pt x="1" y="123"/>
                                <a:pt x="13" y="147"/>
                                <a:pt x="40" y="147"/>
                              </a:cubicBezTo>
                              <a:cubicBezTo>
                                <a:pt x="68" y="147"/>
                                <a:pt x="80" y="122"/>
                                <a:pt x="80" y="121"/>
                              </a:cubicBezTo>
                              <a:cubicBezTo>
                                <a:pt x="80" y="121"/>
                                <a:pt x="80" y="120"/>
                                <a:pt x="80" y="120"/>
                              </a:cubicBezTo>
                              <a:cubicBezTo>
                                <a:pt x="80" y="120"/>
                                <a:pt x="80" y="120"/>
                                <a:pt x="80" y="120"/>
                              </a:cubicBezTo>
                              <a:cubicBezTo>
                                <a:pt x="80" y="119"/>
                                <a:pt x="80" y="119"/>
                                <a:pt x="80" y="118"/>
                              </a:cubicBezTo>
                              <a:cubicBezTo>
                                <a:pt x="80" y="118"/>
                                <a:pt x="80" y="118"/>
                                <a:pt x="80" y="118"/>
                              </a:cubicBezTo>
                              <a:cubicBezTo>
                                <a:pt x="45" y="33"/>
                                <a:pt x="45" y="33"/>
                                <a:pt x="45" y="33"/>
                              </a:cubicBezTo>
                              <a:cubicBezTo>
                                <a:pt x="143" y="33"/>
                                <a:pt x="143" y="33"/>
                                <a:pt x="143" y="33"/>
                              </a:cubicBezTo>
                              <a:cubicBezTo>
                                <a:pt x="107" y="118"/>
                                <a:pt x="107" y="118"/>
                                <a:pt x="107" y="118"/>
                              </a:cubicBezTo>
                              <a:cubicBezTo>
                                <a:pt x="107" y="119"/>
                                <a:pt x="107" y="120"/>
                                <a:pt x="107" y="120"/>
                              </a:cubicBezTo>
                              <a:cubicBezTo>
                                <a:pt x="107" y="121"/>
                                <a:pt x="108" y="121"/>
                                <a:pt x="108" y="122"/>
                              </a:cubicBezTo>
                              <a:cubicBezTo>
                                <a:pt x="108" y="123"/>
                                <a:pt x="120" y="147"/>
                                <a:pt x="147" y="147"/>
                              </a:cubicBezTo>
                              <a:cubicBezTo>
                                <a:pt x="175" y="147"/>
                                <a:pt x="187" y="122"/>
                                <a:pt x="187" y="121"/>
                              </a:cubicBezTo>
                              <a:cubicBezTo>
                                <a:pt x="187" y="121"/>
                                <a:pt x="187" y="120"/>
                                <a:pt x="187" y="120"/>
                              </a:cubicBezTo>
                              <a:cubicBezTo>
                                <a:pt x="187" y="120"/>
                                <a:pt x="187" y="120"/>
                                <a:pt x="188" y="120"/>
                              </a:cubicBezTo>
                              <a:close/>
                              <a:moveTo>
                                <a:pt x="40" y="141"/>
                              </a:moveTo>
                              <a:cubicBezTo>
                                <a:pt x="22" y="141"/>
                                <a:pt x="12" y="129"/>
                                <a:pt x="8" y="123"/>
                              </a:cubicBezTo>
                              <a:cubicBezTo>
                                <a:pt x="72" y="123"/>
                                <a:pt x="72" y="123"/>
                                <a:pt x="72" y="123"/>
                              </a:cubicBezTo>
                              <a:cubicBezTo>
                                <a:pt x="68" y="129"/>
                                <a:pt x="57" y="141"/>
                                <a:pt x="40" y="141"/>
                              </a:cubicBezTo>
                              <a:close/>
                              <a:moveTo>
                                <a:pt x="8" y="117"/>
                              </a:moveTo>
                              <a:cubicBezTo>
                                <a:pt x="40" y="38"/>
                                <a:pt x="40" y="38"/>
                                <a:pt x="40" y="38"/>
                              </a:cubicBezTo>
                              <a:cubicBezTo>
                                <a:pt x="73" y="117"/>
                                <a:pt x="73" y="117"/>
                                <a:pt x="73" y="117"/>
                              </a:cubicBezTo>
                              <a:lnTo>
                                <a:pt x="8" y="117"/>
                              </a:lnTo>
                              <a:close/>
                              <a:moveTo>
                                <a:pt x="147" y="38"/>
                              </a:moveTo>
                              <a:cubicBezTo>
                                <a:pt x="180" y="117"/>
                                <a:pt x="180" y="117"/>
                                <a:pt x="180" y="117"/>
                              </a:cubicBezTo>
                              <a:cubicBezTo>
                                <a:pt x="115" y="117"/>
                                <a:pt x="115" y="117"/>
                                <a:pt x="115" y="117"/>
                              </a:cubicBezTo>
                              <a:lnTo>
                                <a:pt x="147" y="38"/>
                              </a:lnTo>
                              <a:close/>
                              <a:moveTo>
                                <a:pt x="147" y="141"/>
                              </a:moveTo>
                              <a:cubicBezTo>
                                <a:pt x="129" y="141"/>
                                <a:pt x="119" y="129"/>
                                <a:pt x="115" y="123"/>
                              </a:cubicBezTo>
                              <a:cubicBezTo>
                                <a:pt x="179" y="123"/>
                                <a:pt x="179" y="123"/>
                                <a:pt x="179" y="123"/>
                              </a:cubicBezTo>
                              <a:cubicBezTo>
                                <a:pt x="175" y="129"/>
                                <a:pt x="165" y="141"/>
                                <a:pt x="147" y="141"/>
                              </a:cubicBezTo>
                              <a:close/>
                            </a:path>
                          </a:pathLst>
                        </a:custGeom>
                        <a:solidFill>
                          <a:schemeClr val="accent1"/>
                        </a:solidFill>
                        <a:ln>
                          <a:noFill/>
                        </a:ln>
                      </wps:spPr>
                      <wps:bodyPr vert="horz" wrap="square" lIns="64514" tIns="32257" rIns="64514" bIns="32257" numCol="1" anchor="t" anchorCtr="0" compatLnSpc="1">
                        <a:prstTxWarp prst="textNoShape">
                          <a:avLst/>
                        </a:prstTxWarp>
                      </wps:bodyPr>
                    </wps:wsp>
                  </a:graphicData>
                </a:graphic>
              </wp:anchor>
            </w:drawing>
          </mc:Choice>
          <mc:Fallback>
            <w:pict>
              <v:shape w14:anchorId="156596E3" id="Freeform: Shape 18" o:spid="_x0000_s1026" alt="P280#y1" style="position:absolute;margin-left:790.75pt;margin-top:-487.9pt;width:19.85pt;height:15.5pt;z-index:251658274;visibility:visible;mso-wrap-style:square;mso-wrap-distance-left:9pt;mso-wrap-distance-top:0;mso-wrap-distance-right:9pt;mso-wrap-distance-bottom:0;mso-position-horizontal:absolute;mso-position-horizontal-relative:text;mso-position-vertical:absolute;mso-position-vertical-relative:text;v-text-anchor:top" coordsize="188,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" path="m188,120v,-1,-1,-1,-1,-2c187,118,187,118,187,118,151,30,151,30,151,30v,,,,,c151,28,149,26,147,26v-50,,-50,,-50,c97,4,97,4,97,4,97,2,96,,94,,92,,90,2,90,4v,22,,22,,22c40,26,40,26,40,26v-2,,-3,2,-3,4c37,30,37,30,37,30,,118,,118,,118v,1,,2,,2c,121,,121,,122v1,1,13,25,40,25c68,147,80,122,80,121v,,,-1,,-1c80,120,80,120,80,120v,-1,,-1,,-2c80,118,80,118,80,118,45,33,45,33,45,33v98,,98,,98,c107,118,107,118,107,118v,1,,2,,2c107,121,108,121,108,122v,1,12,25,39,25c175,147,187,122,187,121v,,,-1,,-1c187,120,187,120,188,120xm40,141c22,141,12,129,8,123v64,,64,,64,c68,129,57,141,40,141xm8,117c40,38,40,38,40,38v33,79,33,79,33,79l8,117xm147,38v33,79,33,79,33,79c115,117,115,117,115,117l147,38xm147,141v-18,,-28,-12,-32,-18c179,123,179,123,179,123v-4,6,-14,18,-32,18xe" fillcolor="#ff3a40 [3204]" stroked="f">
                <v:path arrowok="t" o:connecttype="custom" o:connectlocs="252256,160779;250914,158099;250914,158099;202610,40195;202610,40195;197243,34835;130153,34835;130153,5359;126128,0;120761,5359;120761,34835;53671,34835;49646,40195;49646,40195;0,158099;0,160779;0,163458;53671,196954;107343,162119;107343,160779;107343,160779;107343,158099;107343,158099;60380,44214;191876,44214;143571,158099;143571,160779;144913,163458;197243,196954;250914,162119;250914,160779;252256,160779;53671,188915;10734,164798;96609,164798;53671,188915;10734,156759;53671,50913;97950,156759;10734,156759;197243,50913;241522,156759;154306,156759;197243,50913;197243,188915;154306,164798;240180,164798;197243,188915" o:connectangles="0,0,0,0,0,0,0,0,0,0,0,0,0,0,0,0,0,0,0,0,0,0,0,0,0,0,0,0,0,0,0,0,0,0,0,0,0,0,0,0,0,0,0,0,0,0,0,0"/>
                <o:lock v:ext="edit" aspectratio="t" verticies="t"/>
              </v:shape>
            </w:pict>
          </mc:Fallback>
        </mc:AlternateContent>
      </w:r>
      <w:r w:rsidR="008F24BE" w:rsidRPr="008F24BE">
        <w:t>SARC</w:t>
      </w:r>
      <w:r w:rsidR="003C775A">
        <w:t xml:space="preserve"> </w:t>
      </w:r>
      <w:r w:rsidR="00091DDB">
        <w:t xml:space="preserve">– </w:t>
      </w:r>
      <w:r w:rsidR="00381E67">
        <w:t>IC</w:t>
      </w:r>
      <w:r w:rsidR="008F24BE" w:rsidRPr="008F24BE">
        <w:t xml:space="preserve"> is designed to improve social and economic participation for young people, vulnerable women, unemployed people and people with disability</w:t>
      </w:r>
      <w:bookmarkEnd w:id="31"/>
    </w:p>
    <w:p w14:paraId="3EFDC48D" w14:textId="24626FC1" w:rsidR="00682AFF" w:rsidRPr="00682AFF" w:rsidRDefault="00C436CA" w:rsidP="00996668">
      <w:pPr>
        <w:pStyle w:val="Heading4"/>
      </w:pPr>
      <w:r>
        <w:t>SARC</w:t>
      </w:r>
      <w:r w:rsidR="00F84EEF">
        <w:t xml:space="preserve"> </w:t>
      </w:r>
      <w:r w:rsidR="00911AB8">
        <w:t>– IC is</w:t>
      </w:r>
      <w:r w:rsidR="00841271">
        <w:t xml:space="preserve"> designed to address s</w:t>
      </w:r>
      <w:r w:rsidR="00682AFF">
        <w:t>ocial and economic exclusion</w:t>
      </w:r>
      <w:r w:rsidR="001E44F6">
        <w:t xml:space="preserve"> </w:t>
      </w:r>
      <w:r w:rsidR="00FF132C">
        <w:t>driv</w:t>
      </w:r>
      <w:r w:rsidR="00841271">
        <w:t xml:space="preserve">ing </w:t>
      </w:r>
      <w:r w:rsidR="00FF132C">
        <w:t>negative outcomes</w:t>
      </w:r>
      <w:r w:rsidR="00682AFF">
        <w:t xml:space="preserve"> for many Australians</w:t>
      </w:r>
    </w:p>
    <w:p w14:paraId="286A3043" w14:textId="5FB74DBF" w:rsidR="00EC29AD" w:rsidRDefault="00EC29AD" w:rsidP="00EC29AD">
      <w:pPr>
        <w:rPr>
          <w:lang w:eastAsia="en-AU"/>
        </w:rPr>
      </w:pPr>
      <w:r w:rsidRPr="00BC71A3">
        <w:rPr>
          <w:lang w:eastAsia="en-AU"/>
        </w:rPr>
        <w:t>Social and economic exclusion can lead to a range of negative impacts</w:t>
      </w:r>
      <w:r>
        <w:rPr>
          <w:lang w:eastAsia="en-AU"/>
        </w:rPr>
        <w:t xml:space="preserve"> across a lifetime</w:t>
      </w:r>
      <w:r w:rsidRPr="00BC71A3">
        <w:rPr>
          <w:lang w:eastAsia="en-AU"/>
        </w:rPr>
        <w:t>, such as</w:t>
      </w:r>
      <w:r w:rsidRPr="00BC71A3" w:rsidDel="00732A0F">
        <w:rPr>
          <w:lang w:eastAsia="en-AU"/>
        </w:rPr>
        <w:t xml:space="preserve"> </w:t>
      </w:r>
      <w:r w:rsidR="00732A0F">
        <w:rPr>
          <w:lang w:eastAsia="en-AU"/>
        </w:rPr>
        <w:t>reduced earning potential</w:t>
      </w:r>
      <w:r w:rsidR="00CF129F">
        <w:rPr>
          <w:lang w:eastAsia="en-AU"/>
        </w:rPr>
        <w:t xml:space="preserve">, </w:t>
      </w:r>
      <w:r w:rsidR="00CF129F" w:rsidRPr="00BC71A3">
        <w:rPr>
          <w:lang w:eastAsia="en-AU"/>
        </w:rPr>
        <w:t>stress and anxiety</w:t>
      </w:r>
      <w:r w:rsidR="00CF129F">
        <w:rPr>
          <w:lang w:eastAsia="en-AU"/>
        </w:rPr>
        <w:t xml:space="preserve"> and </w:t>
      </w:r>
      <w:r w:rsidR="00CF129F" w:rsidRPr="00BC71A3">
        <w:rPr>
          <w:lang w:eastAsia="en-AU"/>
        </w:rPr>
        <w:t>poorer health outcomes</w:t>
      </w:r>
      <w:r w:rsidRPr="00BC71A3">
        <w:rPr>
          <w:lang w:eastAsia="en-AU"/>
        </w:rPr>
        <w:t>.</w:t>
      </w:r>
      <w:r w:rsidR="002B29BE">
        <w:rPr>
          <w:rFonts w:ascii="ZWAdobeF" w:hAnsi="ZWAdobeF" w:cs="ZWAdobeF"/>
          <w:sz w:val="2"/>
          <w:szCs w:val="2"/>
          <w:lang w:eastAsia="en-AU"/>
        </w:rPr>
        <w:t>12F</w:t>
      </w:r>
      <w:r>
        <w:rPr>
          <w:rStyle w:val="FootnoteReference"/>
          <w:lang w:eastAsia="en-AU"/>
        </w:rPr>
        <w:footnoteReference w:id="15"/>
      </w:r>
      <w:r w:rsidR="00D106B6">
        <w:rPr>
          <w:lang w:eastAsia="en-AU"/>
        </w:rPr>
        <w:t xml:space="preserve"> </w:t>
      </w:r>
      <w:r w:rsidR="002B29BE">
        <w:rPr>
          <w:rFonts w:ascii="ZWAdobeF" w:hAnsi="ZWAdobeF" w:cs="ZWAdobeF"/>
          <w:sz w:val="2"/>
          <w:szCs w:val="2"/>
          <w:lang w:eastAsia="en-AU"/>
        </w:rPr>
        <w:t>13F</w:t>
      </w:r>
      <w:r>
        <w:rPr>
          <w:rStyle w:val="FootnoteReference"/>
          <w:lang w:eastAsia="en-AU"/>
        </w:rPr>
        <w:footnoteReference w:id="16"/>
      </w:r>
      <w:r w:rsidRPr="00BC71A3">
        <w:rPr>
          <w:lang w:eastAsia="en-AU"/>
        </w:rPr>
        <w:t xml:space="preserve"> </w:t>
      </w:r>
      <w:r w:rsidR="00D95CD2" w:rsidRPr="00BC71A3">
        <w:rPr>
          <w:lang w:eastAsia="en-AU"/>
        </w:rPr>
        <w:t>Research has identified that 1.2 million Australians experience deep social exclusion</w:t>
      </w:r>
      <w:r w:rsidR="00D95CD2">
        <w:rPr>
          <w:lang w:eastAsia="en-AU"/>
        </w:rPr>
        <w:t>, with particular prevalence in vulnerable cohorts including those supported through SARC</w:t>
      </w:r>
      <w:r w:rsidR="006265D5">
        <w:rPr>
          <w:lang w:eastAsia="en-AU"/>
        </w:rPr>
        <w:t xml:space="preserve"> – </w:t>
      </w:r>
      <w:r w:rsidR="00D95CD2">
        <w:rPr>
          <w:lang w:eastAsia="en-AU"/>
        </w:rPr>
        <w:t>IC.</w:t>
      </w:r>
      <w:r w:rsidR="002B29BE">
        <w:rPr>
          <w:rFonts w:ascii="ZWAdobeF" w:hAnsi="ZWAdobeF" w:cs="ZWAdobeF"/>
          <w:sz w:val="2"/>
          <w:szCs w:val="2"/>
          <w:lang w:eastAsia="en-AU"/>
        </w:rPr>
        <w:t>14F</w:t>
      </w:r>
      <w:r w:rsidR="00D95CD2">
        <w:rPr>
          <w:rStyle w:val="FootnoteReference"/>
          <w:lang w:eastAsia="en-AU"/>
        </w:rPr>
        <w:footnoteReference w:id="17"/>
      </w:r>
      <w:r w:rsidR="00D95CD2">
        <w:rPr>
          <w:lang w:eastAsia="en-AU"/>
        </w:rPr>
        <w:t xml:space="preserve"> </w:t>
      </w:r>
      <w:r w:rsidR="009414E0">
        <w:rPr>
          <w:lang w:eastAsia="en-AU"/>
        </w:rPr>
        <w:t xml:space="preserve">Whilst there are many services which provide supports across Australia, the </w:t>
      </w:r>
      <w:r w:rsidR="009414E0">
        <w:rPr>
          <w:lang w:eastAsia="en-AU"/>
        </w:rPr>
        <w:lastRenderedPageBreak/>
        <w:t xml:space="preserve">most vulnerable cohorts risk falling between the gaps of different services and programs on offer which can continue to increase their social and economic isolation. One of the key intentions of </w:t>
      </w:r>
      <w:r w:rsidR="000902D4">
        <w:rPr>
          <w:lang w:eastAsia="en-AU"/>
        </w:rPr>
        <w:t>SARC – IC</w:t>
      </w:r>
      <w:r w:rsidR="009414E0">
        <w:rPr>
          <w:lang w:eastAsia="en-AU"/>
        </w:rPr>
        <w:t xml:space="preserve"> was to encourage community organisations to provide new types of support or reach into new communities to provide support to re-engage with the community.</w:t>
      </w:r>
      <w:r w:rsidRPr="00BC71A3">
        <w:rPr>
          <w:lang w:eastAsia="en-AU"/>
        </w:rPr>
        <w:t xml:space="preserve"> </w:t>
      </w:r>
    </w:p>
    <w:p w14:paraId="0EA6930E" w14:textId="0FC6E266" w:rsidR="003A4AC1" w:rsidRDefault="00227F9A" w:rsidP="009414E0">
      <w:r>
        <w:t>This also plays out at a societal level</w:t>
      </w:r>
      <w:r w:rsidR="00500CB1">
        <w:t xml:space="preserve">, reducing social and economic disengagement helps to increase social cohesion in communities, </w:t>
      </w:r>
      <w:r w:rsidR="000C5C6E">
        <w:t>increase skill</w:t>
      </w:r>
      <w:r w:rsidR="00DC0EE6">
        <w:t xml:space="preserve">s in the workforce and overall levels of workforce participation, and </w:t>
      </w:r>
      <w:r w:rsidR="0082698A">
        <w:t>decreases pressure on the health system from long-term adverse health outcomes.</w:t>
      </w:r>
      <w:r w:rsidR="005924AA">
        <w:rPr>
          <w:vertAlign w:val="superscript"/>
        </w:rPr>
        <w:t xml:space="preserve"> </w:t>
      </w:r>
      <w:r w:rsidR="002B29BE">
        <w:rPr>
          <w:rFonts w:ascii="ZWAdobeF" w:hAnsi="ZWAdobeF" w:cs="ZWAdobeF"/>
          <w:sz w:val="2"/>
          <w:szCs w:val="2"/>
        </w:rPr>
        <w:t>15F</w:t>
      </w:r>
      <w:r w:rsidR="008467B1">
        <w:rPr>
          <w:rStyle w:val="FootnoteReference"/>
        </w:rPr>
        <w:footnoteReference w:id="18"/>
      </w:r>
      <w:r w:rsidR="0082698A">
        <w:t xml:space="preserve"> </w:t>
      </w:r>
      <w:r w:rsidR="003B5753">
        <w:rPr>
          <w:lang w:eastAsia="en-AU"/>
        </w:rPr>
        <w:t xml:space="preserve">The drivers of social and economic inclusion vary across SARC – IC’s four cohorts. For example, </w:t>
      </w:r>
      <w:r w:rsidR="0005124E">
        <w:rPr>
          <w:lang w:eastAsia="en-AU"/>
        </w:rPr>
        <w:t>young people especially benefit from receiving multiple or complementary supports</w:t>
      </w:r>
      <w:r w:rsidR="000C24DF">
        <w:rPr>
          <w:lang w:eastAsia="en-AU"/>
        </w:rPr>
        <w:t xml:space="preserve">, </w:t>
      </w:r>
      <w:r w:rsidR="003658E4">
        <w:rPr>
          <w:lang w:eastAsia="en-AU"/>
        </w:rPr>
        <w:t>and that disability projects need to enable participation outside of specialist disability spaces.</w:t>
      </w:r>
      <w:r w:rsidR="002B29BE">
        <w:rPr>
          <w:rFonts w:ascii="ZWAdobeF" w:hAnsi="ZWAdobeF" w:cs="ZWAdobeF"/>
          <w:sz w:val="2"/>
          <w:szCs w:val="2"/>
          <w:lang w:eastAsia="en-AU"/>
        </w:rPr>
        <w:t>16F</w:t>
      </w:r>
      <w:r w:rsidR="00684B24">
        <w:rPr>
          <w:rStyle w:val="FootnoteReference"/>
          <w:lang w:eastAsia="en-AU"/>
        </w:rPr>
        <w:footnoteReference w:id="19"/>
      </w:r>
      <w:r w:rsidR="00840444">
        <w:rPr>
          <w:lang w:eastAsia="en-AU"/>
        </w:rPr>
        <w:t xml:space="preserve"> More detail on the individual barriers and enablers for each cohort can be found in Appendix F. </w:t>
      </w:r>
    </w:p>
    <w:p w14:paraId="53F9AA28" w14:textId="55C0A172" w:rsidR="009414E0" w:rsidRDefault="009414E0" w:rsidP="009414E0">
      <w:pPr>
        <w:rPr>
          <w:lang w:eastAsia="en-AU"/>
        </w:rPr>
      </w:pPr>
      <w:r w:rsidRPr="00BC71A3">
        <w:rPr>
          <w:lang w:eastAsia="en-AU"/>
        </w:rPr>
        <w:t>First Nations people, older Australians, people experiencing long</w:t>
      </w:r>
      <w:r w:rsidR="005853D7">
        <w:rPr>
          <w:lang w:eastAsia="en-AU"/>
        </w:rPr>
        <w:t>-</w:t>
      </w:r>
      <w:r w:rsidRPr="00BC71A3">
        <w:rPr>
          <w:lang w:eastAsia="en-AU"/>
        </w:rPr>
        <w:t xml:space="preserve">term unemployment, individuals and families living with a disability and mental health issues, and people living in areas of high socio-economic disadvantage are at higher risk of social and economic exclusion. </w:t>
      </w:r>
      <w:r>
        <w:rPr>
          <w:lang w:eastAsia="en-AU"/>
        </w:rPr>
        <w:t>The 2025 Mapping Social Cohesion Report also found young people felt social isolation at higher rates than older people</w:t>
      </w:r>
      <w:r w:rsidRPr="00BC71A3">
        <w:rPr>
          <w:lang w:eastAsia="en-AU"/>
        </w:rPr>
        <w:t>.</w:t>
      </w:r>
      <w:r w:rsidR="002B29BE">
        <w:rPr>
          <w:rFonts w:ascii="ZWAdobeF" w:hAnsi="ZWAdobeF" w:cs="ZWAdobeF"/>
          <w:sz w:val="2"/>
          <w:szCs w:val="2"/>
          <w:lang w:eastAsia="en-AU"/>
        </w:rPr>
        <w:t>17F</w:t>
      </w:r>
      <w:r>
        <w:rPr>
          <w:rStyle w:val="FootnoteReference"/>
          <w:lang w:eastAsia="en-AU"/>
        </w:rPr>
        <w:footnoteReference w:id="20"/>
      </w:r>
      <w:r w:rsidRPr="00BC71A3">
        <w:rPr>
          <w:lang w:eastAsia="en-AU"/>
        </w:rPr>
        <w:t xml:space="preserve"> </w:t>
      </w:r>
      <w:r w:rsidR="00C91318">
        <w:rPr>
          <w:lang w:eastAsia="en-AU"/>
        </w:rPr>
        <w:fldChar w:fldCharType="begin" w:fldLock="1"/>
      </w:r>
      <w:r w:rsidR="00C91318">
        <w:rPr>
          <w:lang w:eastAsia="en-AU"/>
        </w:rPr>
        <w:instrText xml:space="preserve"> REF _Ref216881266 \h </w:instrText>
      </w:r>
      <w:r w:rsidR="00C91318">
        <w:rPr>
          <w:lang w:eastAsia="en-AU"/>
        </w:rPr>
      </w:r>
      <w:r w:rsidR="00C91318">
        <w:rPr>
          <w:lang w:eastAsia="en-AU"/>
        </w:rPr>
        <w:fldChar w:fldCharType="separate"/>
      </w:r>
      <w:r w:rsidR="00C91318">
        <w:t xml:space="preserve">Figure </w:t>
      </w:r>
      <w:r w:rsidR="00C91318">
        <w:rPr>
          <w:noProof/>
        </w:rPr>
        <w:t>4</w:t>
      </w:r>
      <w:r w:rsidR="00C91318">
        <w:rPr>
          <w:lang w:eastAsia="en-AU"/>
        </w:rPr>
        <w:fldChar w:fldCharType="end"/>
      </w:r>
      <w:r w:rsidR="00C91318">
        <w:rPr>
          <w:lang w:eastAsia="en-AU"/>
        </w:rPr>
        <w:t xml:space="preserve"> </w:t>
      </w:r>
      <w:r w:rsidR="0017464F">
        <w:rPr>
          <w:lang w:eastAsia="en-AU"/>
        </w:rPr>
        <w:t xml:space="preserve">overleaf </w:t>
      </w:r>
      <w:r>
        <w:rPr>
          <w:lang w:eastAsia="en-AU"/>
        </w:rPr>
        <w:t>highlights some of the cohorts who still experience social and economic exclusion.</w:t>
      </w:r>
    </w:p>
    <w:p w14:paraId="2C01A0AA" w14:textId="5B9F8382" w:rsidR="009414E0" w:rsidRDefault="00677F6A" w:rsidP="009414E0">
      <w:pPr>
        <w:pStyle w:val="Caption"/>
      </w:pPr>
      <w:bookmarkStart w:id="32" w:name="_Ref216881266"/>
      <w:r>
        <w:t xml:space="preserve">Figure </w:t>
      </w:r>
      <w:r w:rsidR="00BE5A6C">
        <w:fldChar w:fldCharType="begin"/>
      </w:r>
      <w:r w:rsidR="00BE5A6C">
        <w:instrText xml:space="preserve"> SEQ Figure \* ARABIC </w:instrText>
      </w:r>
      <w:r w:rsidR="00BE5A6C">
        <w:fldChar w:fldCharType="separate"/>
      </w:r>
      <w:r w:rsidR="00B666D1">
        <w:rPr>
          <w:noProof/>
        </w:rPr>
        <w:t>4</w:t>
      </w:r>
      <w:r w:rsidR="00BE5A6C">
        <w:fldChar w:fldCharType="end"/>
      </w:r>
      <w:bookmarkEnd w:id="32"/>
      <w:r w:rsidR="00313E61">
        <w:t xml:space="preserve"> </w:t>
      </w:r>
      <w:r w:rsidR="009414E0">
        <w:t>| Economic exclusion in Australia</w:t>
      </w:r>
      <w:r w:rsidR="002B29BE">
        <w:rPr>
          <w:rFonts w:ascii="ZWAdobeF" w:hAnsi="ZWAdobeF" w:cs="ZWAdobeF"/>
          <w:color w:val="auto"/>
          <w:sz w:val="2"/>
          <w:szCs w:val="2"/>
        </w:rPr>
        <w:t>18F</w:t>
      </w:r>
      <w:r w:rsidR="00D77615">
        <w:rPr>
          <w:rStyle w:val="FootnoteReference"/>
        </w:rPr>
        <w:footnoteReference w:id="21"/>
      </w:r>
    </w:p>
    <w:p w14:paraId="557D7552" w14:textId="04EEB9B1" w:rsidR="009414E0" w:rsidRPr="00677F6A" w:rsidRDefault="006153FD" w:rsidP="009414E0">
      <w:r>
        <w:rPr>
          <w:noProof/>
        </w:rPr>
        <w:drawing>
          <wp:inline distT="0" distB="0" distL="0" distR="0" wp14:anchorId="1E97738F" wp14:editId="355F87C2">
            <wp:extent cx="5832000" cy="3438000"/>
            <wp:effectExtent l="0" t="0" r="0" b="0"/>
            <wp:docPr id="333363170" name="Picture 7" descr="Figure 4: Infographic highlighting labour market and participation disparities for priority groups in Australia. Statistics include 55% employment for Aboriginal and Torres Strait Islander people aged 25 to 64 compared with 77% for non-Indigenous people; 53% labour force participation for people with disability compared with 84% for people without disability; a 63% participation rate for women compared with 71% for men; 8.5% of young people aged 15 to 24 not in education, employment or training; 22% of unemployed people experiencing long-term unemployment (looking for work for &gt; 1); and a 63% regional labour force participation rate compared with a 67% national a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63170" name="Picture 7" descr="Figure 4: Infographic highlighting labour market and participation disparities for priority groups in Australia. Statistics include 55% employment for Aboriginal and Torres Strait Islander people aged 25 to 64 compared with 77% for non-Indigenous people; 53% labour force participation for people with disability compared with 84% for people without disability; a 63% participation rate for women compared with 71% for men; 8.5% of young people aged 15 to 24 not in education, employment or training; 22% of unemployed people experiencing long-term unemployment (looking for work for &gt; 1); and a 63% regional labour force participation rate compared with a 67% national aver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2000" cy="3438000"/>
                    </a:xfrm>
                    <a:prstGeom prst="rect">
                      <a:avLst/>
                    </a:prstGeom>
                    <a:noFill/>
                  </pic:spPr>
                </pic:pic>
              </a:graphicData>
            </a:graphic>
          </wp:inline>
        </w:drawing>
      </w:r>
    </w:p>
    <w:p w14:paraId="490AA347" w14:textId="15028736" w:rsidR="009414E0" w:rsidRPr="009478FE" w:rsidRDefault="009414E0" w:rsidP="009414E0">
      <w:pPr>
        <w:pStyle w:val="Heading3"/>
      </w:pPr>
      <w:bookmarkStart w:id="33" w:name="_Toc240883555"/>
      <w:r w:rsidRPr="009478FE">
        <w:lastRenderedPageBreak/>
        <w:t>SARC</w:t>
      </w:r>
      <w:r w:rsidR="00336EEF">
        <w:t xml:space="preserve"> – </w:t>
      </w:r>
      <w:r w:rsidRPr="009478FE">
        <w:t xml:space="preserve">IC’s </w:t>
      </w:r>
      <w:r>
        <w:t xml:space="preserve">design aligns with literature on good practice, but </w:t>
      </w:r>
      <w:r w:rsidR="006238A9">
        <w:t>broad scope and</w:t>
      </w:r>
      <w:r>
        <w:t xml:space="preserve"> key </w:t>
      </w:r>
      <w:r w:rsidRPr="009414E0">
        <w:t>design</w:t>
      </w:r>
      <w:r>
        <w:t xml:space="preserve"> tensions limit its effectiveness</w:t>
      </w:r>
      <w:bookmarkEnd w:id="33"/>
      <w:r>
        <w:t xml:space="preserve"> </w:t>
      </w:r>
    </w:p>
    <w:p w14:paraId="3826C87D" w14:textId="0E5728A6" w:rsidR="007859D2" w:rsidRDefault="007859D2" w:rsidP="00C406F6">
      <w:pPr>
        <w:rPr>
          <w:rFonts w:ascii="Segoe UI Semibold" w:eastAsia="Times New Roman" w:hAnsi="Segoe UI Semibold" w:cs="Times New Roman"/>
          <w:color w:val="00264D" w:themeColor="background2"/>
          <w:sz w:val="22"/>
          <w:szCs w:val="19"/>
          <w:lang w:eastAsia="en-AU"/>
        </w:rPr>
      </w:pPr>
      <w:r w:rsidRPr="009478FE">
        <w:rPr>
          <w:rFonts w:ascii="Segoe UI Semibold" w:eastAsia="Times New Roman" w:hAnsi="Segoe UI Semibold" w:cs="Times New Roman"/>
          <w:color w:val="00264D" w:themeColor="background2"/>
          <w:sz w:val="22"/>
          <w:szCs w:val="19"/>
          <w:lang w:eastAsia="en-AU"/>
        </w:rPr>
        <w:t xml:space="preserve">The grants approach is built on two key design elements: community-driven projects and </w:t>
      </w:r>
      <w:r w:rsidR="00E845E4" w:rsidRPr="009478FE">
        <w:rPr>
          <w:rFonts w:ascii="Segoe UI Semibold" w:eastAsia="Times New Roman" w:hAnsi="Segoe UI Semibold" w:cs="Times New Roman"/>
          <w:color w:val="00264D" w:themeColor="background2"/>
          <w:sz w:val="22"/>
          <w:szCs w:val="19"/>
          <w:lang w:eastAsia="en-AU"/>
        </w:rPr>
        <w:t>trialling new approaches</w:t>
      </w:r>
    </w:p>
    <w:p w14:paraId="42E63A41" w14:textId="4B2BE60D" w:rsidR="00C406F6" w:rsidRPr="00AF0679" w:rsidRDefault="00C406F6" w:rsidP="00C406F6">
      <w:pPr>
        <w:rPr>
          <w:lang w:eastAsia="en-AU"/>
        </w:rPr>
      </w:pPr>
      <w:r>
        <w:rPr>
          <w:lang w:eastAsia="en-AU"/>
        </w:rPr>
        <w:t>A community-driven approach aligns with the evidence-based shift to focus more on centring</w:t>
      </w:r>
      <w:r w:rsidDel="00416425">
        <w:rPr>
          <w:lang w:eastAsia="en-AU"/>
        </w:rPr>
        <w:t xml:space="preserve"> </w:t>
      </w:r>
      <w:r>
        <w:rPr>
          <w:lang w:eastAsia="en-AU"/>
        </w:rPr>
        <w:t>people with lived experience in service design and designing programs that are tailored to local community needs</w:t>
      </w:r>
      <w:r w:rsidR="00186C6F">
        <w:rPr>
          <w:lang w:eastAsia="en-AU"/>
        </w:rPr>
        <w:t>.</w:t>
      </w:r>
      <w:r w:rsidR="002B29BE">
        <w:rPr>
          <w:rFonts w:ascii="ZWAdobeF" w:hAnsi="ZWAdobeF" w:cs="ZWAdobeF"/>
          <w:sz w:val="2"/>
          <w:szCs w:val="2"/>
          <w:lang w:eastAsia="en-AU"/>
        </w:rPr>
        <w:t>19F</w:t>
      </w:r>
      <w:r w:rsidR="0016663C">
        <w:rPr>
          <w:rStyle w:val="FootnoteReference"/>
          <w:lang w:eastAsia="en-AU"/>
        </w:rPr>
        <w:footnoteReference w:id="22"/>
      </w:r>
      <w:r>
        <w:rPr>
          <w:lang w:eastAsia="en-AU"/>
        </w:rPr>
        <w:t xml:space="preserve"> This approach aligns with growing government investment in place-based approaches such as through the </w:t>
      </w:r>
      <w:r w:rsidRPr="008260B5">
        <w:rPr>
          <w:i/>
          <w:iCs/>
          <w:lang w:eastAsia="en-AU"/>
        </w:rPr>
        <w:t>Stronger Places, Stronger People</w:t>
      </w:r>
      <w:r w:rsidR="002B29BE">
        <w:rPr>
          <w:rFonts w:ascii="ZWAdobeF" w:hAnsi="ZWAdobeF" w:cs="ZWAdobeF"/>
          <w:iCs/>
          <w:sz w:val="2"/>
          <w:szCs w:val="2"/>
          <w:lang w:eastAsia="en-AU"/>
        </w:rPr>
        <w:t>20F</w:t>
      </w:r>
      <w:r>
        <w:rPr>
          <w:rStyle w:val="FootnoteReference"/>
          <w:i/>
          <w:iCs/>
          <w:lang w:eastAsia="en-AU"/>
        </w:rPr>
        <w:footnoteReference w:id="23"/>
      </w:r>
      <w:r>
        <w:rPr>
          <w:lang w:eastAsia="en-AU"/>
        </w:rPr>
        <w:t xml:space="preserve"> initiative, </w:t>
      </w:r>
      <w:r w:rsidRPr="00E203AB">
        <w:rPr>
          <w:i/>
          <w:lang w:eastAsia="en-AU"/>
        </w:rPr>
        <w:t>Partnerships for Local Action and Community Empowerment</w:t>
      </w:r>
      <w:r w:rsidRPr="00D73D94">
        <w:rPr>
          <w:lang w:eastAsia="en-AU"/>
        </w:rPr>
        <w:t xml:space="preserve"> (PLACE)</w:t>
      </w:r>
      <w:r w:rsidR="002B29BE">
        <w:rPr>
          <w:rFonts w:ascii="ZWAdobeF" w:hAnsi="ZWAdobeF" w:cs="ZWAdobeF"/>
          <w:sz w:val="2"/>
          <w:szCs w:val="2"/>
          <w:lang w:eastAsia="en-AU"/>
        </w:rPr>
        <w:t>21F</w:t>
      </w:r>
      <w:r>
        <w:rPr>
          <w:rStyle w:val="FootnoteReference"/>
          <w:lang w:eastAsia="en-AU"/>
        </w:rPr>
        <w:footnoteReference w:id="24"/>
      </w:r>
      <w:r w:rsidRPr="00D73D94">
        <w:rPr>
          <w:lang w:eastAsia="en-AU"/>
        </w:rPr>
        <w:t xml:space="preserve"> </w:t>
      </w:r>
      <w:r>
        <w:rPr>
          <w:lang w:eastAsia="en-AU"/>
        </w:rPr>
        <w:t>and recommendations from r</w:t>
      </w:r>
      <w:r w:rsidRPr="00534CE8">
        <w:rPr>
          <w:lang w:eastAsia="en-AU"/>
        </w:rPr>
        <w:t xml:space="preserve">ecent consultations with </w:t>
      </w:r>
      <w:r>
        <w:rPr>
          <w:lang w:eastAsia="en-AU"/>
        </w:rPr>
        <w:t>C</w:t>
      </w:r>
      <w:r w:rsidRPr="00534CE8">
        <w:rPr>
          <w:lang w:eastAsia="en-AU"/>
        </w:rPr>
        <w:t xml:space="preserve">ommunity </w:t>
      </w:r>
      <w:r>
        <w:rPr>
          <w:lang w:eastAsia="en-AU"/>
        </w:rPr>
        <w:t>S</w:t>
      </w:r>
      <w:r w:rsidRPr="00534CE8">
        <w:rPr>
          <w:lang w:eastAsia="en-AU"/>
        </w:rPr>
        <w:t xml:space="preserve">ector </w:t>
      </w:r>
      <w:r>
        <w:rPr>
          <w:lang w:eastAsia="en-AU"/>
        </w:rPr>
        <w:t>O</w:t>
      </w:r>
      <w:r w:rsidRPr="00534CE8">
        <w:rPr>
          <w:lang w:eastAsia="en-AU"/>
        </w:rPr>
        <w:t>rganisations</w:t>
      </w:r>
      <w:r>
        <w:rPr>
          <w:lang w:eastAsia="en-AU"/>
        </w:rPr>
        <w:t xml:space="preserve"> that</w:t>
      </w:r>
      <w:r w:rsidRPr="00534CE8">
        <w:rPr>
          <w:lang w:eastAsia="en-AU"/>
        </w:rPr>
        <w:t xml:space="preserve"> underscore the </w:t>
      </w:r>
      <w:r>
        <w:rPr>
          <w:lang w:eastAsia="en-AU"/>
        </w:rPr>
        <w:t>need</w:t>
      </w:r>
      <w:r w:rsidRPr="00534CE8">
        <w:rPr>
          <w:lang w:eastAsia="en-AU"/>
        </w:rPr>
        <w:t xml:space="preserve"> for increased opportunities to engage community members in co-design processes</w:t>
      </w:r>
      <w:r>
        <w:rPr>
          <w:lang w:eastAsia="en-AU"/>
        </w:rPr>
        <w:t>.</w:t>
      </w:r>
      <w:r w:rsidR="002B29BE">
        <w:rPr>
          <w:rFonts w:ascii="ZWAdobeF" w:hAnsi="ZWAdobeF" w:cs="ZWAdobeF"/>
          <w:sz w:val="2"/>
          <w:szCs w:val="2"/>
          <w:lang w:eastAsia="en-AU"/>
        </w:rPr>
        <w:t>22F</w:t>
      </w:r>
      <w:r>
        <w:rPr>
          <w:rStyle w:val="FootnoteReference"/>
          <w:lang w:eastAsia="en-AU"/>
        </w:rPr>
        <w:footnoteReference w:id="25"/>
      </w:r>
      <w:r>
        <w:rPr>
          <w:lang w:eastAsia="en-AU"/>
        </w:rPr>
        <w:t xml:space="preserve"> </w:t>
      </w:r>
      <w:r w:rsidRPr="000B367D">
        <w:rPr>
          <w:lang w:eastAsia="en-AU"/>
        </w:rPr>
        <w:t>This approach encourages active participation from community members</w:t>
      </w:r>
      <w:r>
        <w:rPr>
          <w:lang w:eastAsia="en-AU"/>
        </w:rPr>
        <w:t xml:space="preserve"> and people with lived experience of social and economic exclusion, and </w:t>
      </w:r>
      <w:r w:rsidRPr="000B367D">
        <w:rPr>
          <w:lang w:eastAsia="en-AU"/>
        </w:rPr>
        <w:t>ensur</w:t>
      </w:r>
      <w:r>
        <w:rPr>
          <w:lang w:eastAsia="en-AU"/>
        </w:rPr>
        <w:t xml:space="preserve">es </w:t>
      </w:r>
      <w:r w:rsidRPr="000B367D">
        <w:rPr>
          <w:lang w:eastAsia="en-AU"/>
        </w:rPr>
        <w:t>initiatives are responsive to local needs.</w:t>
      </w:r>
      <w:r>
        <w:rPr>
          <w:lang w:eastAsia="en-AU"/>
        </w:rPr>
        <w:t xml:space="preserve"> </w:t>
      </w:r>
    </w:p>
    <w:p w14:paraId="6F0FBDD9" w14:textId="66F6A238" w:rsidR="001C2FE7" w:rsidRDefault="00C406F6" w:rsidP="009414E0">
      <w:pPr>
        <w:rPr>
          <w:lang w:eastAsia="en-AU"/>
        </w:rPr>
      </w:pPr>
      <w:r>
        <w:rPr>
          <w:lang w:eastAsia="en-AU"/>
        </w:rPr>
        <w:t>The grant’s focus on trialling new approaches for the cohorts and outcomes in scope of SARC</w:t>
      </w:r>
      <w:r w:rsidR="00336EEF">
        <w:rPr>
          <w:lang w:eastAsia="en-AU"/>
        </w:rPr>
        <w:t xml:space="preserve"> – </w:t>
      </w:r>
      <w:r>
        <w:rPr>
          <w:lang w:eastAsia="en-AU"/>
        </w:rPr>
        <w:t xml:space="preserve">IC remains unique, however </w:t>
      </w:r>
      <w:r w:rsidRPr="00081EF5">
        <w:rPr>
          <w:lang w:eastAsia="en-AU"/>
        </w:rPr>
        <w:t xml:space="preserve">many </w:t>
      </w:r>
      <w:r w:rsidR="004D2D7F">
        <w:rPr>
          <w:lang w:eastAsia="en-AU"/>
        </w:rPr>
        <w:t xml:space="preserve">projects </w:t>
      </w:r>
      <w:r>
        <w:rPr>
          <w:lang w:eastAsia="en-AU"/>
        </w:rPr>
        <w:t xml:space="preserve">overlap with existing </w:t>
      </w:r>
      <w:r w:rsidRPr="00985EBD">
        <w:rPr>
          <w:lang w:eastAsia="en-AU"/>
        </w:rPr>
        <w:t>initiatives targeting similar outcomes</w:t>
      </w:r>
      <w:r>
        <w:rPr>
          <w:lang w:eastAsia="en-AU"/>
        </w:rPr>
        <w:t>, as outlined further in</w:t>
      </w:r>
      <w:r w:rsidR="009070FF">
        <w:rPr>
          <w:lang w:eastAsia="en-AU"/>
        </w:rPr>
        <w:t xml:space="preserve"> section 5.1.4.</w:t>
      </w:r>
      <w:r w:rsidR="009414E0">
        <w:rPr>
          <w:lang w:eastAsia="en-AU"/>
        </w:rPr>
        <w:t xml:space="preserve"> </w:t>
      </w:r>
    </w:p>
    <w:p w14:paraId="15559719" w14:textId="2C7A1C2E" w:rsidR="00C406F6" w:rsidRDefault="00AA7559" w:rsidP="00C406F6">
      <w:pPr>
        <w:rPr>
          <w:lang w:eastAsia="en-AU"/>
        </w:rPr>
      </w:pPr>
      <w:r>
        <w:rPr>
          <w:lang w:eastAsia="en-AU"/>
        </w:rPr>
        <w:t>SARC – IC</w:t>
      </w:r>
      <w:r w:rsidR="001C2FE7">
        <w:rPr>
          <w:lang w:eastAsia="en-AU"/>
        </w:rPr>
        <w:t xml:space="preserve"> has been designed </w:t>
      </w:r>
      <w:r w:rsidR="00FD708A">
        <w:rPr>
          <w:lang w:eastAsia="en-AU"/>
        </w:rPr>
        <w:t>broadly</w:t>
      </w:r>
      <w:r w:rsidR="001C2FE7">
        <w:rPr>
          <w:lang w:eastAsia="en-AU"/>
        </w:rPr>
        <w:t xml:space="preserve"> </w:t>
      </w:r>
      <w:r w:rsidR="001E3E80">
        <w:rPr>
          <w:lang w:eastAsia="en-AU"/>
        </w:rPr>
        <w:t xml:space="preserve">in </w:t>
      </w:r>
      <w:r w:rsidR="001C2FE7">
        <w:rPr>
          <w:lang w:eastAsia="en-AU"/>
        </w:rPr>
        <w:t xml:space="preserve">line with </w:t>
      </w:r>
      <w:r w:rsidR="00AD466A">
        <w:rPr>
          <w:lang w:eastAsia="en-AU"/>
        </w:rPr>
        <w:t xml:space="preserve">Commonwealth Grant and Reporting </w:t>
      </w:r>
      <w:r w:rsidR="00B07963">
        <w:rPr>
          <w:lang w:eastAsia="en-AU"/>
        </w:rPr>
        <w:t>Principles (CGRPs)</w:t>
      </w:r>
      <w:r w:rsidR="00F75168">
        <w:rPr>
          <w:lang w:eastAsia="en-AU"/>
        </w:rPr>
        <w:t>, including clear governance, transparency and an outcomes focus.</w:t>
      </w:r>
      <w:r w:rsidR="002B29BE">
        <w:rPr>
          <w:rFonts w:ascii="ZWAdobeF" w:hAnsi="ZWAdobeF" w:cs="ZWAdobeF"/>
          <w:sz w:val="2"/>
          <w:szCs w:val="2"/>
          <w:lang w:eastAsia="en-AU"/>
        </w:rPr>
        <w:t>23F</w:t>
      </w:r>
      <w:r w:rsidR="00F75168">
        <w:rPr>
          <w:rStyle w:val="FootnoteReference"/>
          <w:lang w:eastAsia="en-AU"/>
        </w:rPr>
        <w:footnoteReference w:id="26"/>
      </w:r>
      <w:r w:rsidR="00B07963">
        <w:rPr>
          <w:lang w:eastAsia="en-AU"/>
        </w:rPr>
        <w:t xml:space="preserve"> </w:t>
      </w:r>
      <w:r w:rsidR="006B5A5D">
        <w:rPr>
          <w:lang w:eastAsia="en-AU"/>
        </w:rPr>
        <w:t>While the process is me</w:t>
      </w:r>
      <w:r w:rsidR="008F6E5D">
        <w:rPr>
          <w:lang w:eastAsia="en-AU"/>
        </w:rPr>
        <w:t xml:space="preserve">rit based as required through an open application process </w:t>
      </w:r>
      <w:r w:rsidR="00A3067C">
        <w:rPr>
          <w:lang w:eastAsia="en-AU"/>
        </w:rPr>
        <w:t>and</w:t>
      </w:r>
      <w:r w:rsidR="008F6E5D">
        <w:rPr>
          <w:lang w:eastAsia="en-AU"/>
        </w:rPr>
        <w:t xml:space="preserve"> assessment criteria, this could be strengthened by providing </w:t>
      </w:r>
      <w:r w:rsidR="00973E6E">
        <w:rPr>
          <w:lang w:eastAsia="en-AU"/>
        </w:rPr>
        <w:t xml:space="preserve">a more focused grant activity, that works with the sector in an open and transparent process. Examples of where the Department is doing this </w:t>
      </w:r>
      <w:r w:rsidR="00CA38B6">
        <w:rPr>
          <w:lang w:eastAsia="en-AU"/>
        </w:rPr>
        <w:t>is outlined in</w:t>
      </w:r>
      <w:r w:rsidR="00973E6E">
        <w:rPr>
          <w:lang w:eastAsia="en-AU"/>
        </w:rPr>
        <w:t xml:space="preserve"> </w:t>
      </w:r>
      <w:r w:rsidR="00E82243">
        <w:rPr>
          <w:lang w:eastAsia="en-AU"/>
        </w:rPr>
        <w:t>DSS’ 2025 Discussion</w:t>
      </w:r>
      <w:r w:rsidR="00973E6E">
        <w:rPr>
          <w:lang w:eastAsia="en-AU"/>
        </w:rPr>
        <w:t xml:space="preserve"> paper </w:t>
      </w:r>
      <w:r w:rsidR="00973E6E" w:rsidRPr="00585438">
        <w:rPr>
          <w:i/>
          <w:lang w:eastAsia="en-AU"/>
        </w:rPr>
        <w:t xml:space="preserve">on </w:t>
      </w:r>
      <w:r w:rsidR="00CA38B6" w:rsidRPr="00585438">
        <w:rPr>
          <w:i/>
          <w:iCs/>
          <w:lang w:eastAsia="en-AU"/>
        </w:rPr>
        <w:t>A new approach to programs for families and children</w:t>
      </w:r>
      <w:r w:rsidR="003248C1">
        <w:rPr>
          <w:lang w:eastAsia="en-AU"/>
        </w:rPr>
        <w:t>.</w:t>
      </w:r>
      <w:r w:rsidR="00F73635">
        <w:rPr>
          <w:lang w:eastAsia="en-AU"/>
        </w:rPr>
        <w:t xml:space="preserve"> </w:t>
      </w:r>
      <w:r w:rsidR="002B29BE">
        <w:rPr>
          <w:rFonts w:ascii="ZWAdobeF" w:hAnsi="ZWAdobeF" w:cs="ZWAdobeF"/>
          <w:sz w:val="2"/>
          <w:szCs w:val="2"/>
          <w:lang w:eastAsia="en-AU"/>
        </w:rPr>
        <w:t>24F</w:t>
      </w:r>
      <w:r w:rsidR="00CA38B6">
        <w:rPr>
          <w:rStyle w:val="FootnoteReference"/>
          <w:lang w:eastAsia="en-AU"/>
        </w:rPr>
        <w:footnoteReference w:id="27"/>
      </w:r>
      <w:r w:rsidR="00F73635">
        <w:rPr>
          <w:lang w:eastAsia="en-AU"/>
        </w:rPr>
        <w:t xml:space="preserve"> Whil</w:t>
      </w:r>
      <w:r w:rsidR="00F02632">
        <w:rPr>
          <w:lang w:eastAsia="en-AU"/>
        </w:rPr>
        <w:t xml:space="preserve">e </w:t>
      </w:r>
      <w:r w:rsidR="00F73635">
        <w:rPr>
          <w:lang w:eastAsia="en-AU"/>
        </w:rPr>
        <w:t xml:space="preserve">this would somewhat reduce the flexibility of the criteria, which was valued by some successful applicants, </w:t>
      </w:r>
      <w:r w:rsidR="00C558CE">
        <w:rPr>
          <w:lang w:eastAsia="en-AU"/>
        </w:rPr>
        <w:t>it would narrow down the applicant pool and reduce the number of applications overall.</w:t>
      </w:r>
    </w:p>
    <w:p w14:paraId="0F925880" w14:textId="77777777" w:rsidR="00D16780" w:rsidRPr="003042DE" w:rsidRDefault="00695FB9" w:rsidP="00D16780">
      <w:pPr>
        <w:pStyle w:val="Heading4"/>
      </w:pPr>
      <w:r w:rsidRPr="003042DE">
        <w:t>The</w:t>
      </w:r>
      <w:r w:rsidR="00D16780" w:rsidRPr="003042DE">
        <w:t xml:space="preserve"> </w:t>
      </w:r>
      <w:r w:rsidR="0026715F" w:rsidRPr="003042DE">
        <w:t xml:space="preserve">literature shows that the </w:t>
      </w:r>
      <w:r w:rsidR="00680287" w:rsidRPr="003042DE">
        <w:t xml:space="preserve">key </w:t>
      </w:r>
      <w:r w:rsidR="00B31F5D" w:rsidRPr="003042DE">
        <w:t>design element</w:t>
      </w:r>
      <w:r w:rsidRPr="003042DE">
        <w:t>s</w:t>
      </w:r>
      <w:r w:rsidR="00B31F5D" w:rsidRPr="003042DE">
        <w:t xml:space="preserve"> </w:t>
      </w:r>
      <w:r w:rsidRPr="003042DE">
        <w:t xml:space="preserve">each </w:t>
      </w:r>
      <w:r w:rsidR="00D16780" w:rsidRPr="003042DE">
        <w:t>require different conditions to be effective</w:t>
      </w:r>
      <w:r w:rsidR="00314086" w:rsidRPr="003042DE">
        <w:t xml:space="preserve">, </w:t>
      </w:r>
      <w:r w:rsidR="00AB2930" w:rsidRPr="003042DE">
        <w:t>creating</w:t>
      </w:r>
      <w:r w:rsidR="00314086" w:rsidRPr="003042DE">
        <w:t xml:space="preserve"> tensions</w:t>
      </w:r>
      <w:r w:rsidR="00F85FFC" w:rsidRPr="003042DE">
        <w:t xml:space="preserve"> in the grant’s approach and limit</w:t>
      </w:r>
      <w:r w:rsidR="00AB2930" w:rsidRPr="003042DE">
        <w:t>ing</w:t>
      </w:r>
      <w:r w:rsidR="00F85FFC" w:rsidRPr="003042DE">
        <w:t xml:space="preserve"> </w:t>
      </w:r>
      <w:r w:rsidR="00C82042" w:rsidRPr="003042DE">
        <w:t xml:space="preserve">overall </w:t>
      </w:r>
      <w:r w:rsidR="00F85FFC" w:rsidRPr="003042DE">
        <w:t>effectiveness</w:t>
      </w:r>
    </w:p>
    <w:p w14:paraId="7C59E5BC" w14:textId="6475D3C3" w:rsidR="00F25413" w:rsidRPr="003042DE" w:rsidRDefault="00FA57B2" w:rsidP="00C406F6">
      <w:pPr>
        <w:rPr>
          <w:lang w:eastAsia="en-AU"/>
        </w:rPr>
      </w:pPr>
      <w:r w:rsidRPr="003042DE">
        <w:rPr>
          <w:lang w:eastAsia="en-AU"/>
        </w:rPr>
        <w:t>The literature</w:t>
      </w:r>
      <w:r w:rsidR="00BA587B" w:rsidRPr="003042DE">
        <w:rPr>
          <w:lang w:eastAsia="en-AU"/>
        </w:rPr>
        <w:t xml:space="preserve"> (see </w:t>
      </w:r>
      <w:r w:rsidR="00024564">
        <w:rPr>
          <w:lang w:eastAsia="en-AU"/>
        </w:rPr>
        <w:fldChar w:fldCharType="begin" w:fldLock="1"/>
      </w:r>
      <w:r w:rsidR="00024564">
        <w:rPr>
          <w:lang w:eastAsia="en-AU"/>
        </w:rPr>
        <w:instrText xml:space="preserve"> REF _Ref216881625 \h </w:instrText>
      </w:r>
      <w:r w:rsidR="00024564">
        <w:rPr>
          <w:lang w:eastAsia="en-AU"/>
        </w:rPr>
      </w:r>
      <w:r w:rsidR="00024564">
        <w:rPr>
          <w:lang w:eastAsia="en-AU"/>
        </w:rPr>
        <w:fldChar w:fldCharType="separate"/>
      </w:r>
      <w:r w:rsidR="00024564">
        <w:t xml:space="preserve">Table </w:t>
      </w:r>
      <w:r w:rsidR="00024564">
        <w:rPr>
          <w:noProof/>
        </w:rPr>
        <w:t>3</w:t>
      </w:r>
      <w:r w:rsidR="00024564">
        <w:rPr>
          <w:lang w:eastAsia="en-AU"/>
        </w:rPr>
        <w:fldChar w:fldCharType="end"/>
      </w:r>
      <w:r w:rsidR="005F7FB9">
        <w:rPr>
          <w:lang w:eastAsia="en-AU"/>
        </w:rPr>
        <w:t xml:space="preserve"> </w:t>
      </w:r>
      <w:r w:rsidR="00647353" w:rsidRPr="003042DE">
        <w:rPr>
          <w:lang w:eastAsia="en-AU"/>
        </w:rPr>
        <w:t>for full details and analysis</w:t>
      </w:r>
      <w:r w:rsidR="00BA587B" w:rsidRPr="003042DE">
        <w:rPr>
          <w:lang w:eastAsia="en-AU"/>
        </w:rPr>
        <w:t>)</w:t>
      </w:r>
      <w:r w:rsidRPr="003042DE">
        <w:rPr>
          <w:lang w:eastAsia="en-AU"/>
        </w:rPr>
        <w:t xml:space="preserve"> shows that </w:t>
      </w:r>
      <w:r w:rsidR="0021037B" w:rsidRPr="003042DE">
        <w:rPr>
          <w:lang w:eastAsia="en-AU"/>
        </w:rPr>
        <w:t>what is needed to be effective in community-driven approaches and in trialling new approaches can diverge</w:t>
      </w:r>
      <w:r w:rsidR="00B6712F" w:rsidRPr="003042DE">
        <w:rPr>
          <w:lang w:eastAsia="en-AU"/>
        </w:rPr>
        <w:t xml:space="preserve">. This is clearest </w:t>
      </w:r>
      <w:r w:rsidR="001617F0" w:rsidRPr="003042DE">
        <w:rPr>
          <w:lang w:eastAsia="en-AU"/>
        </w:rPr>
        <w:t>regarding</w:t>
      </w:r>
      <w:r w:rsidR="00B6712F" w:rsidRPr="003042DE">
        <w:rPr>
          <w:lang w:eastAsia="en-AU"/>
        </w:rPr>
        <w:t xml:space="preserve"> </w:t>
      </w:r>
      <w:r w:rsidR="00DD1B9C" w:rsidRPr="003042DE">
        <w:rPr>
          <w:lang w:eastAsia="en-AU"/>
        </w:rPr>
        <w:t>funding approach</w:t>
      </w:r>
      <w:r w:rsidR="00B6712F" w:rsidRPr="003042DE">
        <w:rPr>
          <w:lang w:eastAsia="en-AU"/>
        </w:rPr>
        <w:t xml:space="preserve">, as community-driven approaches </w:t>
      </w:r>
      <w:r w:rsidR="00600C91" w:rsidRPr="003042DE">
        <w:rPr>
          <w:lang w:eastAsia="en-AU"/>
        </w:rPr>
        <w:t xml:space="preserve">benefit from long-term funding, </w:t>
      </w:r>
      <w:r w:rsidR="004C5912" w:rsidRPr="003042DE">
        <w:rPr>
          <w:lang w:eastAsia="en-AU"/>
        </w:rPr>
        <w:t xml:space="preserve">whereas </w:t>
      </w:r>
      <w:r w:rsidR="00756252" w:rsidRPr="003042DE">
        <w:rPr>
          <w:lang w:eastAsia="en-AU"/>
        </w:rPr>
        <w:t xml:space="preserve">trialling new approaches </w:t>
      </w:r>
      <w:r w:rsidR="004C5912" w:rsidRPr="003042DE">
        <w:rPr>
          <w:lang w:eastAsia="en-AU"/>
        </w:rPr>
        <w:t>benefit from short-term, phased funding.</w:t>
      </w:r>
      <w:r w:rsidR="009414E0">
        <w:rPr>
          <w:lang w:eastAsia="en-AU"/>
        </w:rPr>
        <w:t xml:space="preserve"> </w:t>
      </w:r>
    </w:p>
    <w:p w14:paraId="1FCF6931" w14:textId="0F8ED6AB" w:rsidR="00B22FD0" w:rsidRPr="003042DE" w:rsidRDefault="00DF257F" w:rsidP="00B22FD0">
      <w:pPr>
        <w:rPr>
          <w:lang w:eastAsia="en-AU"/>
        </w:rPr>
      </w:pPr>
      <w:r w:rsidRPr="003042DE">
        <w:rPr>
          <w:lang w:eastAsia="en-AU"/>
        </w:rPr>
        <w:lastRenderedPageBreak/>
        <w:t>Further</w:t>
      </w:r>
      <w:r w:rsidR="00FB4891" w:rsidRPr="003042DE">
        <w:rPr>
          <w:lang w:eastAsia="en-AU"/>
        </w:rPr>
        <w:t xml:space="preserve">, </w:t>
      </w:r>
      <w:r w:rsidR="00015ECA" w:rsidRPr="003042DE">
        <w:rPr>
          <w:lang w:eastAsia="en-AU"/>
        </w:rPr>
        <w:t>SARC</w:t>
      </w:r>
      <w:r w:rsidR="00191A34">
        <w:rPr>
          <w:lang w:eastAsia="en-AU"/>
        </w:rPr>
        <w:t xml:space="preserve"> – </w:t>
      </w:r>
      <w:r w:rsidR="00015ECA" w:rsidRPr="003042DE">
        <w:rPr>
          <w:lang w:eastAsia="en-AU"/>
        </w:rPr>
        <w:t xml:space="preserve">IC’s </w:t>
      </w:r>
      <w:r w:rsidR="00B22FD0" w:rsidRPr="003042DE">
        <w:rPr>
          <w:lang w:eastAsia="en-AU"/>
        </w:rPr>
        <w:t xml:space="preserve">combination of short-term funding, absence of a clear pathway to </w:t>
      </w:r>
      <w:r w:rsidR="00DF7515">
        <w:rPr>
          <w:lang w:eastAsia="en-AU"/>
        </w:rPr>
        <w:t>long</w:t>
      </w:r>
      <w:r w:rsidR="005853D7">
        <w:rPr>
          <w:lang w:eastAsia="en-AU"/>
        </w:rPr>
        <w:t>-</w:t>
      </w:r>
      <w:r w:rsidR="00DF7515">
        <w:rPr>
          <w:lang w:eastAsia="en-AU"/>
        </w:rPr>
        <w:t>term</w:t>
      </w:r>
      <w:r w:rsidR="00B22FD0" w:rsidRPr="003042DE">
        <w:rPr>
          <w:lang w:eastAsia="en-AU"/>
        </w:rPr>
        <w:t xml:space="preserve"> funding or support, and limited mechanisms for sharing lessons learned constrains </w:t>
      </w:r>
      <w:r w:rsidR="008A455A">
        <w:rPr>
          <w:lang w:eastAsia="en-AU"/>
        </w:rPr>
        <w:t>SARC – IC</w:t>
      </w:r>
      <w:r w:rsidR="00B22FD0" w:rsidRPr="003042DE">
        <w:rPr>
          <w:lang w:eastAsia="en-AU"/>
        </w:rPr>
        <w:t>’s effectiveness. These design features reduce its ability to:</w:t>
      </w:r>
    </w:p>
    <w:p w14:paraId="73033512" w14:textId="39501231" w:rsidR="00B22FD0" w:rsidRPr="003042DE" w:rsidRDefault="00B22FD0" w:rsidP="00B22FD0">
      <w:pPr>
        <w:pStyle w:val="Bullet"/>
      </w:pPr>
      <w:r w:rsidRPr="003042DE">
        <w:t>Enable community-driven approaches, which typically require longer-term investment or a pathway to sustainable funding</w:t>
      </w:r>
      <w:r w:rsidR="008E3B93">
        <w:t>.</w:t>
      </w:r>
    </w:p>
    <w:p w14:paraId="5D17DD30" w14:textId="17AA4188" w:rsidR="00B22FD0" w:rsidRPr="003042DE" w:rsidRDefault="00B22FD0" w:rsidP="00B22FD0">
      <w:pPr>
        <w:pStyle w:val="Bullet"/>
      </w:pPr>
      <w:r w:rsidRPr="003042DE">
        <w:t xml:space="preserve">Support innovation, which benefits from phased </w:t>
      </w:r>
      <w:r w:rsidR="00485052" w:rsidRPr="003042DE">
        <w:t>or outcomes based</w:t>
      </w:r>
      <w:r w:rsidRPr="003042DE">
        <w:t xml:space="preserve"> funding and systematic learning about impact</w:t>
      </w:r>
      <w:r w:rsidR="00BA5C42">
        <w:t>.</w:t>
      </w:r>
    </w:p>
    <w:p w14:paraId="778D58C5" w14:textId="774CCAAE" w:rsidR="009414E0" w:rsidRPr="00A16296" w:rsidRDefault="009414E0" w:rsidP="009414E0">
      <w:pPr>
        <w:pStyle w:val="Heading4"/>
      </w:pPr>
      <w:r w:rsidRPr="00A16296">
        <w:t>Noting this critical tension, SARC</w:t>
      </w:r>
      <w:r w:rsidR="00191A34">
        <w:t xml:space="preserve"> – </w:t>
      </w:r>
      <w:r w:rsidRPr="00A16296">
        <w:t xml:space="preserve">IC does demonstrate strong alignment with the literature in many areas </w:t>
      </w:r>
    </w:p>
    <w:p w14:paraId="049371B6" w14:textId="68F90463" w:rsidR="009414E0" w:rsidRDefault="009414E0" w:rsidP="009414E0">
      <w:pPr>
        <w:rPr>
          <w:lang w:eastAsia="en-AU"/>
        </w:rPr>
      </w:pPr>
      <w:r w:rsidRPr="00A16296">
        <w:rPr>
          <w:lang w:eastAsia="en-AU"/>
        </w:rPr>
        <w:t>Overall, the SARC</w:t>
      </w:r>
      <w:r w:rsidR="00191A34">
        <w:rPr>
          <w:lang w:eastAsia="en-AU"/>
        </w:rPr>
        <w:t xml:space="preserve"> – </w:t>
      </w:r>
      <w:r w:rsidRPr="00A16296">
        <w:rPr>
          <w:lang w:eastAsia="en-AU"/>
        </w:rPr>
        <w:t xml:space="preserve">IC </w:t>
      </w:r>
      <w:r w:rsidR="00DE6625">
        <w:rPr>
          <w:lang w:eastAsia="en-AU"/>
        </w:rPr>
        <w:t>Activity</w:t>
      </w:r>
      <w:r w:rsidRPr="00A16296">
        <w:rPr>
          <w:lang w:eastAsia="en-AU"/>
        </w:rPr>
        <w:t xml:space="preserve"> aligns with the literature on community-driven programs and trailing new approaches</w:t>
      </w:r>
      <w:r>
        <w:rPr>
          <w:lang w:eastAsia="en-AU"/>
        </w:rPr>
        <w:t xml:space="preserve">. </w:t>
      </w:r>
    </w:p>
    <w:p w14:paraId="277DF536" w14:textId="48B78E34" w:rsidR="009414E0" w:rsidRDefault="009414E0" w:rsidP="009414E0">
      <w:pPr>
        <w:rPr>
          <w:lang w:eastAsia="en-AU"/>
        </w:rPr>
      </w:pPr>
      <w:r>
        <w:rPr>
          <w:lang w:eastAsia="en-AU"/>
        </w:rPr>
        <w:t xml:space="preserve">Through a rapid literature review, the evaluation identified key features of effective programs that take a community-driven approach and trial new approaches (see </w:t>
      </w:r>
      <w:r>
        <w:rPr>
          <w:lang w:eastAsia="en-AU"/>
        </w:rPr>
        <w:fldChar w:fldCharType="begin" w:fldLock="1"/>
      </w:r>
      <w:r>
        <w:rPr>
          <w:lang w:eastAsia="en-AU"/>
        </w:rPr>
        <w:instrText xml:space="preserve"> REF _Ref216369965 \n \h </w:instrText>
      </w:r>
      <w:r>
        <w:rPr>
          <w:lang w:eastAsia="en-AU"/>
        </w:rPr>
      </w:r>
      <w:r>
        <w:rPr>
          <w:lang w:eastAsia="en-AU"/>
        </w:rPr>
        <w:fldChar w:fldCharType="separate"/>
      </w:r>
      <w:r w:rsidR="00FC7A71">
        <w:rPr>
          <w:lang w:eastAsia="en-AU"/>
        </w:rPr>
        <w:t>Appendix E</w:t>
      </w:r>
      <w:r>
        <w:rPr>
          <w:lang w:eastAsia="en-AU"/>
        </w:rPr>
        <w:fldChar w:fldCharType="end"/>
      </w:r>
      <w:r>
        <w:rPr>
          <w:lang w:eastAsia="en-AU"/>
        </w:rPr>
        <w:t xml:space="preserve"> for full details). T</w:t>
      </w:r>
      <w:r w:rsidRPr="004144FE">
        <w:rPr>
          <w:lang w:eastAsia="en-AU"/>
        </w:rPr>
        <w:t xml:space="preserve">he literature review also identified best practice for the key </w:t>
      </w:r>
      <w:r w:rsidRPr="00FD56D0">
        <w:rPr>
          <w:lang w:eastAsia="en-AU"/>
        </w:rPr>
        <w:t>cohorts specifically, outlined in</w:t>
      </w:r>
      <w:r w:rsidR="00FD56D0" w:rsidRPr="00FD56D0">
        <w:rPr>
          <w:lang w:eastAsia="en-AU"/>
        </w:rPr>
        <w:t xml:space="preserve"> </w:t>
      </w:r>
      <w:r w:rsidR="00FD56D0" w:rsidRPr="00FD56D0">
        <w:rPr>
          <w:lang w:eastAsia="en-AU"/>
        </w:rPr>
        <w:fldChar w:fldCharType="begin" w:fldLock="1"/>
      </w:r>
      <w:r w:rsidR="00FD56D0" w:rsidRPr="00FD56D0">
        <w:rPr>
          <w:lang w:eastAsia="en-AU"/>
        </w:rPr>
        <w:instrText xml:space="preserve"> REF _Ref216882659 \h </w:instrText>
      </w:r>
      <w:r w:rsidR="00FD56D0">
        <w:rPr>
          <w:lang w:eastAsia="en-AU"/>
        </w:rPr>
        <w:instrText xml:space="preserve"> \* MERGEFORMAT </w:instrText>
      </w:r>
      <w:r w:rsidR="00FD56D0" w:rsidRPr="00FD56D0">
        <w:rPr>
          <w:lang w:eastAsia="en-AU"/>
        </w:rPr>
      </w:r>
      <w:r w:rsidR="00FD56D0" w:rsidRPr="00FD56D0">
        <w:rPr>
          <w:lang w:eastAsia="en-AU"/>
        </w:rPr>
        <w:fldChar w:fldCharType="separate"/>
      </w:r>
      <w:r w:rsidR="00FD56D0" w:rsidRPr="00FD56D0">
        <w:t xml:space="preserve">Table </w:t>
      </w:r>
      <w:r w:rsidR="00FD56D0" w:rsidRPr="00FD56D0">
        <w:rPr>
          <w:noProof/>
        </w:rPr>
        <w:t>4</w:t>
      </w:r>
      <w:r w:rsidR="00FD56D0" w:rsidRPr="00FD56D0">
        <w:rPr>
          <w:lang w:eastAsia="en-AU"/>
        </w:rPr>
        <w:fldChar w:fldCharType="end"/>
      </w:r>
      <w:r w:rsidR="00FD56D0" w:rsidRPr="00FD56D0">
        <w:rPr>
          <w:lang w:eastAsia="en-AU"/>
        </w:rPr>
        <w:t xml:space="preserve">. </w:t>
      </w:r>
      <w:r w:rsidR="00C15FDE" w:rsidRPr="00FD56D0">
        <w:rPr>
          <w:lang w:eastAsia="en-AU"/>
        </w:rPr>
        <w:fldChar w:fldCharType="begin" w:fldLock="1"/>
      </w:r>
      <w:r w:rsidR="00C15FDE" w:rsidRPr="00FD56D0">
        <w:rPr>
          <w:lang w:eastAsia="en-AU"/>
        </w:rPr>
        <w:instrText xml:space="preserve"> REF _Ref216881625 \h </w:instrText>
      </w:r>
      <w:r w:rsidR="00FD56D0">
        <w:rPr>
          <w:lang w:eastAsia="en-AU"/>
        </w:rPr>
        <w:instrText xml:space="preserve"> \* MERGEFORMAT </w:instrText>
      </w:r>
      <w:r w:rsidR="00C15FDE" w:rsidRPr="00FD56D0">
        <w:rPr>
          <w:lang w:eastAsia="en-AU"/>
        </w:rPr>
      </w:r>
      <w:r w:rsidR="00C15FDE" w:rsidRPr="00FD56D0">
        <w:rPr>
          <w:lang w:eastAsia="en-AU"/>
        </w:rPr>
        <w:fldChar w:fldCharType="separate"/>
      </w:r>
      <w:r w:rsidR="00C15FDE" w:rsidRPr="00FD56D0">
        <w:t xml:space="preserve">Table </w:t>
      </w:r>
      <w:r w:rsidR="00C15FDE" w:rsidRPr="00FD56D0">
        <w:rPr>
          <w:noProof/>
        </w:rPr>
        <w:t>3</w:t>
      </w:r>
      <w:r w:rsidR="00C15FDE" w:rsidRPr="00FD56D0">
        <w:rPr>
          <w:lang w:eastAsia="en-AU"/>
        </w:rPr>
        <w:fldChar w:fldCharType="end"/>
      </w:r>
      <w:r w:rsidR="00C15FDE" w:rsidRPr="00FD56D0">
        <w:rPr>
          <w:lang w:eastAsia="en-AU"/>
        </w:rPr>
        <w:t xml:space="preserve"> </w:t>
      </w:r>
      <w:r w:rsidR="00377539">
        <w:rPr>
          <w:lang w:eastAsia="en-AU"/>
        </w:rPr>
        <w:t>overleaf</w:t>
      </w:r>
      <w:r>
        <w:rPr>
          <w:lang w:eastAsia="en-AU"/>
        </w:rPr>
        <w:t xml:space="preserve"> sets out the key features of good practice and assesses SARC</w:t>
      </w:r>
      <w:r w:rsidR="00191A34">
        <w:rPr>
          <w:lang w:eastAsia="en-AU"/>
        </w:rPr>
        <w:t xml:space="preserve"> – </w:t>
      </w:r>
      <w:r>
        <w:rPr>
          <w:lang w:eastAsia="en-AU"/>
        </w:rPr>
        <w:t xml:space="preserve">IC’s alignment to the literature on each feature. </w:t>
      </w:r>
    </w:p>
    <w:p w14:paraId="701BAB2F" w14:textId="77777777" w:rsidR="009414E0" w:rsidRDefault="009414E0" w:rsidP="009414E0">
      <w:pPr>
        <w:pStyle w:val="Bullet"/>
        <w:numPr>
          <w:ilvl w:val="0"/>
          <w:numId w:val="0"/>
        </w:numPr>
      </w:pPr>
    </w:p>
    <w:p w14:paraId="70830D6D" w14:textId="77777777" w:rsidR="009414E0" w:rsidRDefault="009414E0" w:rsidP="009414E0">
      <w:pPr>
        <w:rPr>
          <w:lang w:eastAsia="en-AU"/>
        </w:rPr>
        <w:sectPr w:rsidR="009414E0" w:rsidSect="009414E0">
          <w:footerReference w:type="default" r:id="rId25"/>
          <w:pgSz w:w="11907" w:h="16839" w:code="9"/>
          <w:pgMar w:top="1361" w:right="1361" w:bottom="1361" w:left="1361" w:header="720" w:footer="720" w:gutter="0"/>
          <w:pgNumType w:start="1"/>
          <w:cols w:space="720"/>
          <w:docGrid w:linePitch="360"/>
        </w:sectPr>
      </w:pPr>
    </w:p>
    <w:p w14:paraId="6EA70967" w14:textId="432EAAA4" w:rsidR="009414E0" w:rsidRDefault="009414E0" w:rsidP="009414E0">
      <w:pPr>
        <w:pStyle w:val="Caption"/>
      </w:pPr>
      <w:bookmarkStart w:id="34" w:name="_Ref216881625"/>
      <w:r>
        <w:lastRenderedPageBreak/>
        <w:t xml:space="preserve">Table </w:t>
      </w:r>
      <w:r>
        <w:fldChar w:fldCharType="begin"/>
      </w:r>
      <w:r>
        <w:instrText xml:space="preserve"> SEQ Table \* ARABIC </w:instrText>
      </w:r>
      <w:r>
        <w:fldChar w:fldCharType="separate"/>
      </w:r>
      <w:r w:rsidR="00B666D1">
        <w:rPr>
          <w:noProof/>
        </w:rPr>
        <w:t>4</w:t>
      </w:r>
      <w:r>
        <w:fldChar w:fldCharType="end"/>
      </w:r>
      <w:bookmarkEnd w:id="34"/>
      <w:r>
        <w:t xml:space="preserve"> | Assessment of SARC</w:t>
      </w:r>
      <w:r w:rsidR="00191A34">
        <w:t xml:space="preserve"> – </w:t>
      </w:r>
      <w:r>
        <w:t>IC against literature</w:t>
      </w:r>
    </w:p>
    <w:tbl>
      <w:tblPr>
        <w:tblStyle w:val="NousTableStyletopandsideheading"/>
        <w:tblpPr w:leftFromText="180" w:rightFromText="180" w:vertAnchor="text" w:tblpY="1"/>
        <w:tblOverlap w:val="never"/>
        <w:tblW w:w="5000" w:type="pct"/>
        <w:tblLayout w:type="fixed"/>
        <w:tblLook w:val="04A0" w:firstRow="1" w:lastRow="0" w:firstColumn="1" w:lastColumn="0" w:noHBand="0" w:noVBand="1"/>
      </w:tblPr>
      <w:tblGrid>
        <w:gridCol w:w="1076"/>
        <w:gridCol w:w="4879"/>
        <w:gridCol w:w="5875"/>
        <w:gridCol w:w="1211"/>
        <w:gridCol w:w="1076"/>
      </w:tblGrid>
      <w:tr w:rsidR="00612BF9" w:rsidRPr="00155497" w14:paraId="46638B19" w14:textId="77777777" w:rsidTr="00E762E8">
        <w:trPr>
          <w:cnfStyle w:val="100000000000" w:firstRow="1" w:lastRow="0" w:firstColumn="0" w:lastColumn="0" w:oddVBand="0" w:evenVBand="0" w:oddHBand="0" w:evenHBand="0" w:firstRowFirstColumn="0" w:firstRowLastColumn="0" w:lastRowFirstColumn="0" w:lastRowLastColumn="0"/>
          <w:trHeight w:val="27"/>
          <w:tblHeader/>
        </w:trPr>
        <w:tc>
          <w:tcPr>
            <w:cnfStyle w:val="001000000000" w:firstRow="0" w:lastRow="0" w:firstColumn="1" w:lastColumn="0" w:oddVBand="0" w:evenVBand="0" w:oddHBand="0" w:evenHBand="0" w:firstRowFirstColumn="0" w:firstRowLastColumn="0" w:lastRowFirstColumn="0" w:lastRowLastColumn="0"/>
            <w:tcW w:w="381" w:type="pct"/>
            <w:vMerge w:val="restart"/>
            <w:tcBorders>
              <w:top w:val="nil"/>
              <w:bottom w:val="single" w:sz="8" w:space="0" w:color="F9F9F9"/>
            </w:tcBorders>
            <w:shd w:val="clear" w:color="auto" w:fill="00264D" w:themeFill="background2"/>
          </w:tcPr>
          <w:p w14:paraId="1920A989" w14:textId="77777777" w:rsidR="009414E0" w:rsidRPr="00155497" w:rsidRDefault="009414E0">
            <w:pPr>
              <w:pStyle w:val="TableNheader"/>
              <w:rPr>
                <w:sz w:val="17"/>
                <w:szCs w:val="17"/>
              </w:rPr>
            </w:pPr>
            <w:r w:rsidRPr="00155497">
              <w:rPr>
                <w:color w:val="FFFFFF" w:themeColor="background1"/>
                <w:sz w:val="17"/>
                <w:szCs w:val="17"/>
              </w:rPr>
              <w:t>Key feature</w:t>
            </w:r>
          </w:p>
        </w:tc>
        <w:tc>
          <w:tcPr>
            <w:tcW w:w="1728" w:type="pct"/>
            <w:vMerge w:val="restart"/>
            <w:tcBorders>
              <w:top w:val="nil"/>
              <w:bottom w:val="single" w:sz="8" w:space="0" w:color="F9F9F9"/>
            </w:tcBorders>
            <w:shd w:val="clear" w:color="auto" w:fill="00264D" w:themeFill="background2"/>
          </w:tcPr>
          <w:p w14:paraId="15149CA7" w14:textId="77777777" w:rsidR="009414E0" w:rsidRPr="00155497" w:rsidRDefault="009414E0">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sz w:val="17"/>
                <w:szCs w:val="17"/>
              </w:rPr>
            </w:pPr>
            <w:r w:rsidRPr="00155497">
              <w:rPr>
                <w:color w:val="FFFFFF" w:themeColor="background1"/>
                <w:sz w:val="17"/>
                <w:szCs w:val="17"/>
              </w:rPr>
              <w:t xml:space="preserve">What the literature says </w:t>
            </w:r>
          </w:p>
        </w:tc>
        <w:tc>
          <w:tcPr>
            <w:tcW w:w="2081" w:type="pct"/>
            <w:vMerge w:val="restart"/>
            <w:tcBorders>
              <w:top w:val="nil"/>
              <w:bottom w:val="single" w:sz="8" w:space="0" w:color="F9F9F9"/>
            </w:tcBorders>
            <w:shd w:val="clear" w:color="auto" w:fill="00264D" w:themeFill="background2"/>
          </w:tcPr>
          <w:p w14:paraId="52CA68C4" w14:textId="595665A4" w:rsidR="009414E0" w:rsidRPr="00155497" w:rsidRDefault="00155497">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sz w:val="17"/>
                <w:szCs w:val="17"/>
              </w:rPr>
            </w:pPr>
            <w:r>
              <w:rPr>
                <w:color w:val="FFFFFF" w:themeColor="background1"/>
                <w:sz w:val="17"/>
                <w:szCs w:val="17"/>
              </w:rPr>
              <w:t>SARC</w:t>
            </w:r>
            <w:r w:rsidR="00D62FE4">
              <w:rPr>
                <w:color w:val="FFFFFF" w:themeColor="background1"/>
                <w:sz w:val="17"/>
                <w:szCs w:val="17"/>
              </w:rPr>
              <w:t xml:space="preserve"> – </w:t>
            </w:r>
            <w:r>
              <w:rPr>
                <w:color w:val="FFFFFF" w:themeColor="background1"/>
                <w:sz w:val="17"/>
                <w:szCs w:val="17"/>
              </w:rPr>
              <w:t>IC’s a</w:t>
            </w:r>
            <w:r w:rsidRPr="00155497">
              <w:rPr>
                <w:color w:val="FFFFFF" w:themeColor="background1"/>
                <w:sz w:val="17"/>
                <w:szCs w:val="17"/>
              </w:rPr>
              <w:t>lignment</w:t>
            </w:r>
            <w:r w:rsidR="009414E0" w:rsidRPr="00155497">
              <w:rPr>
                <w:color w:val="FFFFFF" w:themeColor="background1"/>
                <w:sz w:val="17"/>
                <w:szCs w:val="17"/>
              </w:rPr>
              <w:t xml:space="preserve"> with literature </w:t>
            </w:r>
          </w:p>
        </w:tc>
        <w:tc>
          <w:tcPr>
            <w:tcW w:w="810" w:type="pct"/>
            <w:gridSpan w:val="2"/>
            <w:tcBorders>
              <w:top w:val="nil"/>
              <w:bottom w:val="single" w:sz="8" w:space="0" w:color="F9F9F9"/>
            </w:tcBorders>
            <w:shd w:val="clear" w:color="auto" w:fill="00264D" w:themeFill="background2"/>
          </w:tcPr>
          <w:p w14:paraId="3A220696" w14:textId="77777777" w:rsidR="009414E0" w:rsidRPr="00155497" w:rsidRDefault="009414E0">
            <w:pPr>
              <w:pStyle w:val="TableNheader"/>
              <w:jc w:val="center"/>
              <w:cnfStyle w:val="100000000000" w:firstRow="1" w:lastRow="0" w:firstColumn="0" w:lastColumn="0" w:oddVBand="0" w:evenVBand="0" w:oddHBand="0" w:evenHBand="0" w:firstRowFirstColumn="0" w:firstRowLastColumn="0" w:lastRowFirstColumn="0" w:lastRowLastColumn="0"/>
              <w:rPr>
                <w:color w:val="FFFFFF" w:themeColor="background1"/>
                <w:sz w:val="17"/>
                <w:szCs w:val="17"/>
              </w:rPr>
            </w:pPr>
            <w:r w:rsidRPr="00155497">
              <w:rPr>
                <w:color w:val="FFFFFF" w:themeColor="background1"/>
                <w:sz w:val="17"/>
                <w:szCs w:val="17"/>
              </w:rPr>
              <w:t xml:space="preserve">Level of alignment </w:t>
            </w:r>
          </w:p>
        </w:tc>
      </w:tr>
      <w:tr w:rsidR="00612BF9" w:rsidRPr="00155497" w14:paraId="1EAD4507" w14:textId="77777777" w:rsidTr="00E762E8">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381" w:type="pct"/>
            <w:vMerge/>
          </w:tcPr>
          <w:p w14:paraId="73DC196B" w14:textId="77777777" w:rsidR="009414E0" w:rsidRPr="00155497" w:rsidRDefault="009414E0">
            <w:pPr>
              <w:pStyle w:val="TableNheader"/>
              <w:rPr>
                <w:color w:val="FFFFFF" w:themeColor="background1"/>
                <w:sz w:val="17"/>
                <w:szCs w:val="17"/>
              </w:rPr>
            </w:pPr>
          </w:p>
        </w:tc>
        <w:tc>
          <w:tcPr>
            <w:tcW w:w="1728" w:type="pct"/>
            <w:vMerge/>
          </w:tcPr>
          <w:p w14:paraId="5DC807D1" w14:textId="77777777" w:rsidR="009414E0" w:rsidRPr="00155497" w:rsidRDefault="009414E0">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sz w:val="17"/>
                <w:szCs w:val="17"/>
              </w:rPr>
            </w:pPr>
          </w:p>
        </w:tc>
        <w:tc>
          <w:tcPr>
            <w:tcW w:w="2081" w:type="pct"/>
            <w:vMerge/>
          </w:tcPr>
          <w:p w14:paraId="5DE0D722" w14:textId="77777777" w:rsidR="009414E0" w:rsidRPr="00155497" w:rsidRDefault="009414E0">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sz w:val="17"/>
                <w:szCs w:val="17"/>
              </w:rPr>
            </w:pPr>
          </w:p>
        </w:tc>
        <w:tc>
          <w:tcPr>
            <w:tcW w:w="429" w:type="pct"/>
            <w:tcBorders>
              <w:top w:val="single" w:sz="8" w:space="0" w:color="F9F9F9"/>
              <w:bottom w:val="single" w:sz="8" w:space="0" w:color="F9F9F9"/>
            </w:tcBorders>
            <w:shd w:val="clear" w:color="auto" w:fill="00264D" w:themeFill="background2"/>
          </w:tcPr>
          <w:p w14:paraId="15AA1702" w14:textId="77777777" w:rsidR="009414E0" w:rsidRPr="00424B1E" w:rsidRDefault="009414E0">
            <w:pPr>
              <w:pStyle w:val="TableNheader"/>
              <w:jc w:val="cente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424B1E">
              <w:rPr>
                <w:color w:val="FFFFFF" w:themeColor="background1"/>
                <w:sz w:val="16"/>
                <w:szCs w:val="16"/>
              </w:rPr>
              <w:t>Community driven</w:t>
            </w:r>
          </w:p>
        </w:tc>
        <w:tc>
          <w:tcPr>
            <w:tcW w:w="381" w:type="pct"/>
            <w:tcBorders>
              <w:top w:val="single" w:sz="8" w:space="0" w:color="F9F9F9"/>
              <w:bottom w:val="single" w:sz="8" w:space="0" w:color="F9F9F9"/>
            </w:tcBorders>
            <w:shd w:val="clear" w:color="auto" w:fill="00264D" w:themeFill="background2"/>
          </w:tcPr>
          <w:p w14:paraId="39417188" w14:textId="77777777" w:rsidR="009414E0" w:rsidRPr="00424B1E" w:rsidRDefault="009414E0">
            <w:pPr>
              <w:pStyle w:val="TableNheader"/>
              <w:jc w:val="cente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424B1E">
              <w:rPr>
                <w:color w:val="FFFFFF" w:themeColor="background1"/>
                <w:sz w:val="16"/>
                <w:szCs w:val="16"/>
              </w:rPr>
              <w:t>Trialling new approaches</w:t>
            </w:r>
          </w:p>
        </w:tc>
      </w:tr>
      <w:tr w:rsidR="00E677D0" w:rsidRPr="00155497" w14:paraId="15396E37" w14:textId="77777777" w:rsidTr="008D1384">
        <w:tc>
          <w:tcPr>
            <w:cnfStyle w:val="001000000000" w:firstRow="0" w:lastRow="0" w:firstColumn="1" w:lastColumn="0" w:oddVBand="0" w:evenVBand="0" w:oddHBand="0" w:evenHBand="0" w:firstRowFirstColumn="0" w:firstRowLastColumn="0" w:lastRowFirstColumn="0" w:lastRowLastColumn="0"/>
            <w:tcW w:w="381" w:type="pct"/>
            <w:tcBorders>
              <w:top w:val="single" w:sz="8" w:space="0" w:color="F9F9F9"/>
            </w:tcBorders>
          </w:tcPr>
          <w:p w14:paraId="783DD01E" w14:textId="6397E681" w:rsidR="009414E0" w:rsidRPr="00DA30BB" w:rsidRDefault="009414E0">
            <w:pPr>
              <w:pStyle w:val="TableNText"/>
              <w:jc w:val="left"/>
              <w:rPr>
                <w:rFonts w:asciiTheme="majorHAnsi" w:hAnsiTheme="majorHAnsi" w:cstheme="majorHAnsi"/>
              </w:rPr>
            </w:pPr>
            <w:r w:rsidRPr="00DA30BB">
              <w:rPr>
                <w:rFonts w:asciiTheme="majorHAnsi" w:hAnsiTheme="majorHAnsi" w:cstheme="majorHAnsi"/>
              </w:rPr>
              <w:t>Communit</w:t>
            </w:r>
            <w:r>
              <w:rPr>
                <w:rFonts w:asciiTheme="majorHAnsi" w:hAnsiTheme="majorHAnsi" w:cstheme="majorHAnsi"/>
              </w:rPr>
              <w:t>y-driven and designed</w:t>
            </w:r>
            <w:r w:rsidR="002B29BE">
              <w:rPr>
                <w:rFonts w:ascii="ZWAdobeF" w:hAnsi="ZWAdobeF" w:cs="ZWAdobeF"/>
                <w:color w:val="auto"/>
                <w:sz w:val="2"/>
                <w:szCs w:val="2"/>
              </w:rPr>
              <w:t>25F</w:t>
            </w:r>
            <w:r w:rsidRPr="00DA30BB">
              <w:rPr>
                <w:rFonts w:asciiTheme="majorHAnsi" w:hAnsiTheme="majorHAnsi" w:cstheme="majorHAnsi"/>
                <w:vertAlign w:val="superscript"/>
              </w:rPr>
              <w:footnoteReference w:id="28"/>
            </w:r>
          </w:p>
        </w:tc>
        <w:tc>
          <w:tcPr>
            <w:tcW w:w="1728" w:type="pct"/>
            <w:tcBorders>
              <w:top w:val="single" w:sz="8" w:space="0" w:color="F9F9F9"/>
              <w:bottom w:val="single" w:sz="8" w:space="0" w:color="E6E6E1" w:themeColor="accent5"/>
            </w:tcBorders>
          </w:tcPr>
          <w:p w14:paraId="47B0F55A" w14:textId="3A111E95" w:rsidR="009414E0" w:rsidRDefault="009414E0" w:rsidP="0054302B">
            <w:pPr>
              <w:pStyle w:val="TableNBullet"/>
              <w:cnfStyle w:val="000000000000" w:firstRow="0" w:lastRow="0" w:firstColumn="0" w:lastColumn="0" w:oddVBand="0" w:evenVBand="0" w:oddHBand="0" w:evenHBand="0" w:firstRowFirstColumn="0" w:firstRowLastColumn="0" w:lastRowFirstColumn="0" w:lastRowLastColumn="0"/>
            </w:pPr>
            <w:r w:rsidRPr="00E614ED">
              <w:rPr>
                <w:rFonts w:asciiTheme="minorHAnsi" w:hAnsiTheme="minorHAnsi" w:cstheme="minorHAnsi"/>
              </w:rPr>
              <w:t>Community driven design and delivery</w:t>
            </w:r>
            <w:r>
              <w:rPr>
                <w:rFonts w:asciiTheme="minorHAnsi" w:hAnsiTheme="minorHAnsi" w:cstheme="minorHAnsi"/>
              </w:rPr>
              <w:t xml:space="preserve"> </w:t>
            </w:r>
            <w:r w:rsidR="00E614ED">
              <w:rPr>
                <w:rFonts w:asciiTheme="minorHAnsi" w:hAnsiTheme="minorHAnsi" w:cstheme="minorHAnsi"/>
              </w:rPr>
              <w:t>helps</w:t>
            </w:r>
            <w:r w:rsidRPr="00E614ED">
              <w:rPr>
                <w:rFonts w:asciiTheme="minorHAnsi" w:hAnsiTheme="minorHAnsi" w:cstheme="minorHAnsi"/>
              </w:rPr>
              <w:t xml:space="preserve"> to identify</w:t>
            </w:r>
            <w:r>
              <w:t xml:space="preserve"> key needs in the </w:t>
            </w:r>
            <w:r w:rsidRPr="003651CE">
              <w:rPr>
                <w:rStyle w:val="TableNBulletChar"/>
              </w:rPr>
              <w:t>community and adapt throughout implementation.</w:t>
            </w:r>
            <w:r>
              <w:t xml:space="preserve"> </w:t>
            </w:r>
          </w:p>
          <w:p w14:paraId="421C6443" w14:textId="408B9170" w:rsidR="009414E0" w:rsidRPr="0054302B" w:rsidRDefault="009A67B4" w:rsidP="0054302B">
            <w:pPr>
              <w:pStyle w:val="TableNBullet"/>
              <w:cnfStyle w:val="000000000000" w:firstRow="0" w:lastRow="0" w:firstColumn="0" w:lastColumn="0" w:oddVBand="0" w:evenVBand="0" w:oddHBand="0" w:evenHBand="0" w:firstRowFirstColumn="0" w:firstRowLastColumn="0" w:lastRowFirstColumn="0" w:lastRowLastColumn="0"/>
            </w:pPr>
            <w:r w:rsidRPr="003F6159">
              <w:t>Top-down, inflexible program structure</w:t>
            </w:r>
            <w:r>
              <w:t>s</w:t>
            </w:r>
            <w:r w:rsidRPr="003F6159">
              <w:t xml:space="preserve"> make it difficult to </w:t>
            </w:r>
            <w:r>
              <w:t>tailor</w:t>
            </w:r>
            <w:r w:rsidRPr="003F6159">
              <w:t xml:space="preserve"> solutions locally.</w:t>
            </w:r>
            <w:r w:rsidR="53E438F3">
              <w:t xml:space="preserve"> </w:t>
            </w:r>
          </w:p>
        </w:tc>
        <w:tc>
          <w:tcPr>
            <w:tcW w:w="2081" w:type="pct"/>
            <w:tcBorders>
              <w:top w:val="single" w:sz="8" w:space="0" w:color="F9F9F9"/>
              <w:bottom w:val="single" w:sz="8" w:space="0" w:color="E6E6E1" w:themeColor="accent5"/>
            </w:tcBorders>
          </w:tcPr>
          <w:p w14:paraId="563F3614" w14:textId="342A4692" w:rsidR="009414E0"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rPr>
            </w:pPr>
            <w:r w:rsidRPr="00D745D3">
              <w:rPr>
                <w:rFonts w:asciiTheme="majorHAnsi" w:hAnsiTheme="majorHAnsi" w:cstheme="majorHAnsi"/>
                <w:color w:val="00264D" w:themeColor="background2"/>
              </w:rPr>
              <w:t xml:space="preserve">The grant enabled recipients to design </w:t>
            </w:r>
            <w:r w:rsidR="00DE6625" w:rsidRPr="00D745D3">
              <w:rPr>
                <w:rFonts w:asciiTheme="majorHAnsi" w:hAnsiTheme="majorHAnsi" w:cstheme="majorHAnsi"/>
                <w:color w:val="00264D" w:themeColor="background2"/>
              </w:rPr>
              <w:t>pro</w:t>
            </w:r>
            <w:r w:rsidR="00DE6625">
              <w:rPr>
                <w:rFonts w:asciiTheme="majorHAnsi" w:hAnsiTheme="majorHAnsi" w:cstheme="majorHAnsi"/>
                <w:color w:val="00264D" w:themeColor="background2"/>
              </w:rPr>
              <w:t>ject</w:t>
            </w:r>
            <w:r w:rsidR="00DE6625" w:rsidRPr="00D745D3">
              <w:rPr>
                <w:rFonts w:asciiTheme="majorHAnsi" w:hAnsiTheme="majorHAnsi" w:cstheme="majorHAnsi"/>
                <w:color w:val="00264D" w:themeColor="background2"/>
              </w:rPr>
              <w:t xml:space="preserve">s </w:t>
            </w:r>
            <w:r w:rsidRPr="00D745D3">
              <w:rPr>
                <w:rFonts w:asciiTheme="majorHAnsi" w:hAnsiTheme="majorHAnsi" w:cstheme="majorHAnsi"/>
                <w:color w:val="00264D" w:themeColor="background2"/>
              </w:rPr>
              <w:t>for, and with their communities.</w:t>
            </w:r>
          </w:p>
          <w:p w14:paraId="520A9201" w14:textId="5572BBE1" w:rsidR="009414E0" w:rsidRDefault="009414E0" w:rsidP="009414E0">
            <w:pPr>
              <w:pStyle w:val="TableNBullet"/>
              <w:cnfStyle w:val="000000000000" w:firstRow="0" w:lastRow="0" w:firstColumn="0" w:lastColumn="0" w:oddVBand="0" w:evenVBand="0" w:oddHBand="0" w:evenHBand="0" w:firstRowFirstColumn="0" w:firstRowLastColumn="0" w:lastRowFirstColumn="0" w:lastRowLastColumn="0"/>
            </w:pPr>
            <w:r w:rsidRPr="007F544B">
              <w:t>The grant aimed to support ‘community-driven solutions’</w:t>
            </w:r>
            <w:r>
              <w:t xml:space="preserve"> and allowed for up to three months</w:t>
            </w:r>
            <w:r w:rsidRPr="007F544B">
              <w:t>‘</w:t>
            </w:r>
            <w:r w:rsidR="004A5B48">
              <w:t xml:space="preserve"> </w:t>
            </w:r>
            <w:r w:rsidRPr="007F544B">
              <w:t>community or participant consultation or co-design</w:t>
            </w:r>
            <w:r>
              <w:t>.’</w:t>
            </w:r>
            <w:r w:rsidR="002B29BE">
              <w:rPr>
                <w:rFonts w:ascii="ZWAdobeF" w:hAnsi="ZWAdobeF" w:cs="ZWAdobeF"/>
                <w:sz w:val="2"/>
                <w:szCs w:val="2"/>
              </w:rPr>
              <w:t>26F</w:t>
            </w:r>
            <w:r>
              <w:rPr>
                <w:rStyle w:val="FootnoteReference"/>
                <w:rFonts w:asciiTheme="minorHAnsi" w:hAnsiTheme="minorHAnsi" w:cstheme="minorHAnsi"/>
                <w:color w:val="000000" w:themeColor="text1"/>
              </w:rPr>
              <w:footnoteReference w:id="29"/>
            </w:r>
            <w:r>
              <w:t xml:space="preserve"> The assessment criteria included a requirement for grant recipients to have consulted with the community to identify areas of need and design the pro</w:t>
            </w:r>
            <w:r w:rsidR="00F71EBD">
              <w:t>ject</w:t>
            </w:r>
            <w:r>
              <w:t xml:space="preserve">. </w:t>
            </w:r>
          </w:p>
          <w:p w14:paraId="7A900A0D" w14:textId="6C143CB4" w:rsidR="009414E0" w:rsidRPr="00A1548B" w:rsidRDefault="00895F80" w:rsidP="009414E0">
            <w:pPr>
              <w:pStyle w:val="TableNBullet"/>
              <w:cnfStyle w:val="000000000000" w:firstRow="0" w:lastRow="0" w:firstColumn="0" w:lastColumn="0" w:oddVBand="0" w:evenVBand="0" w:oddHBand="0" w:evenHBand="0" w:firstRowFirstColumn="0" w:firstRowLastColumn="0" w:lastRowFirstColumn="0" w:lastRowLastColumn="0"/>
            </w:pPr>
            <w:r w:rsidRPr="00895F80">
              <w:t>The short turnaround time from being awarded the grant to beginning delivery encouraged ‘shovel ready’ projects which may have reduced levels of co-design after the grant was awarded as there was not much time to conduct additional consultation or design after funding, and any co-design before receiving the grant was unpaid.</w:t>
            </w:r>
          </w:p>
        </w:tc>
        <w:tc>
          <w:tcPr>
            <w:tcW w:w="429" w:type="pct"/>
            <w:tcBorders>
              <w:top w:val="single" w:sz="8" w:space="0" w:color="F9F9F9"/>
              <w:bottom w:val="single" w:sz="8" w:space="0" w:color="E6E6E1" w:themeColor="accent5"/>
            </w:tcBorders>
          </w:tcPr>
          <w:p w14:paraId="02DE7ED3" w14:textId="77777777" w:rsidR="009414E0" w:rsidRPr="00BD3CB7"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BD3CB7">
              <w:rPr>
                <w:rFonts w:asciiTheme="majorHAnsi" w:hAnsiTheme="majorHAnsi" w:cstheme="majorHAnsi"/>
                <w:color w:val="000000" w:themeColor="text1"/>
                <w:sz w:val="16"/>
                <w:szCs w:val="16"/>
              </w:rPr>
              <w:t>Moderate</w:t>
            </w:r>
          </w:p>
        </w:tc>
        <w:tc>
          <w:tcPr>
            <w:tcW w:w="381" w:type="pct"/>
            <w:tcBorders>
              <w:top w:val="single" w:sz="8" w:space="0" w:color="F9F9F9"/>
              <w:bottom w:val="single" w:sz="8" w:space="0" w:color="E6E6E1" w:themeColor="accent5"/>
            </w:tcBorders>
          </w:tcPr>
          <w:p w14:paraId="2CB41FEC" w14:textId="77777777" w:rsidR="009414E0" w:rsidRPr="00BD3CB7"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BD3CB7">
              <w:rPr>
                <w:rFonts w:asciiTheme="majorHAnsi" w:hAnsiTheme="majorHAnsi" w:cstheme="majorHAnsi"/>
                <w:color w:val="000000" w:themeColor="text1"/>
                <w:sz w:val="16"/>
                <w:szCs w:val="16"/>
              </w:rPr>
              <w:t>Moderate</w:t>
            </w:r>
          </w:p>
        </w:tc>
      </w:tr>
      <w:tr w:rsidR="00E677D0" w:rsidRPr="00155497" w14:paraId="6836250E" w14:textId="77777777" w:rsidTr="008D1384">
        <w:tc>
          <w:tcPr>
            <w:cnfStyle w:val="001000000000" w:firstRow="0" w:lastRow="0" w:firstColumn="1" w:lastColumn="0" w:oddVBand="0" w:evenVBand="0" w:oddHBand="0" w:evenHBand="0" w:firstRowFirstColumn="0" w:firstRowLastColumn="0" w:lastRowFirstColumn="0" w:lastRowLastColumn="0"/>
            <w:tcW w:w="381" w:type="pct"/>
            <w:tcBorders>
              <w:top w:val="single" w:sz="8" w:space="0" w:color="F9F9F9"/>
            </w:tcBorders>
          </w:tcPr>
          <w:p w14:paraId="5745F76A" w14:textId="182BBA62" w:rsidR="009414E0" w:rsidRDefault="009414E0">
            <w:pPr>
              <w:pStyle w:val="TableNText"/>
              <w:jc w:val="left"/>
              <w:rPr>
                <w:rFonts w:asciiTheme="majorHAnsi" w:hAnsiTheme="majorHAnsi" w:cstheme="majorHAnsi"/>
                <w:color w:val="F25E21" w:themeColor="accent2"/>
              </w:rPr>
            </w:pPr>
            <w:r w:rsidRPr="00D35DBF">
              <w:rPr>
                <w:rFonts w:asciiTheme="majorHAnsi" w:hAnsiTheme="majorHAnsi" w:cstheme="majorHAnsi"/>
              </w:rPr>
              <w:t>Funding</w:t>
            </w:r>
            <w:r>
              <w:rPr>
                <w:rFonts w:asciiTheme="majorHAnsi" w:hAnsiTheme="majorHAnsi" w:cstheme="majorHAnsi"/>
              </w:rPr>
              <w:t xml:space="preserve"> approach</w:t>
            </w:r>
          </w:p>
        </w:tc>
        <w:tc>
          <w:tcPr>
            <w:tcW w:w="1728" w:type="pct"/>
            <w:tcBorders>
              <w:top w:val="single" w:sz="8" w:space="0" w:color="E6E6E1" w:themeColor="accent5"/>
              <w:bottom w:val="single" w:sz="8" w:space="0" w:color="E6E6E1" w:themeColor="accent5"/>
            </w:tcBorders>
          </w:tcPr>
          <w:p w14:paraId="323189A1" w14:textId="2104D689" w:rsidR="009414E0" w:rsidRPr="003651CE" w:rsidRDefault="009414E0">
            <w:pPr>
              <w:pStyle w:val="TableNText"/>
              <w:cnfStyle w:val="000000000000" w:firstRow="0" w:lastRow="0" w:firstColumn="0" w:lastColumn="0" w:oddVBand="0" w:evenVBand="0" w:oddHBand="0" w:evenHBand="0" w:firstRowFirstColumn="0" w:firstRowLastColumn="0" w:lastRowFirstColumn="0" w:lastRowLastColumn="0"/>
              <w:rPr>
                <w:b/>
                <w:bCs/>
              </w:rPr>
            </w:pPr>
            <w:r w:rsidRPr="003651CE">
              <w:rPr>
                <w:b/>
                <w:bCs/>
              </w:rPr>
              <w:t xml:space="preserve">For </w:t>
            </w:r>
            <w:r w:rsidRPr="00F246BA">
              <w:rPr>
                <w:b/>
                <w:bCs/>
              </w:rPr>
              <w:t>community-driven approaches</w:t>
            </w:r>
            <w:r w:rsidRPr="003651CE">
              <w:rPr>
                <w:b/>
                <w:bCs/>
              </w:rPr>
              <w:t>:</w:t>
            </w:r>
          </w:p>
          <w:p w14:paraId="3179C373" w14:textId="000F8F08" w:rsidR="009414E0" w:rsidRDefault="009414E0" w:rsidP="009414E0">
            <w:pPr>
              <w:pStyle w:val="TableNBullet"/>
              <w:cnfStyle w:val="000000000000" w:firstRow="0" w:lastRow="0" w:firstColumn="0" w:lastColumn="0" w:oddVBand="0" w:evenVBand="0" w:oddHBand="0" w:evenHBand="0" w:firstRowFirstColumn="0" w:firstRowLastColumn="0" w:lastRowFirstColumn="0" w:lastRowLastColumn="0"/>
            </w:pPr>
            <w:r>
              <w:t>S</w:t>
            </w:r>
            <w:r w:rsidRPr="00671759">
              <w:t>hort</w:t>
            </w:r>
            <w:r w:rsidR="00B125E0">
              <w:t>-</w:t>
            </w:r>
            <w:r w:rsidRPr="00671759">
              <w:t xml:space="preserve">term funding and resource constraints </w:t>
            </w:r>
            <w:r>
              <w:t>are</w:t>
            </w:r>
            <w:r w:rsidRPr="00671759">
              <w:t xml:space="preserve"> barrier</w:t>
            </w:r>
            <w:r>
              <w:t>s</w:t>
            </w:r>
            <w:r w:rsidRPr="00671759">
              <w:t xml:space="preserve"> to </w:t>
            </w:r>
            <w:r>
              <w:t>community engagement and participation.</w:t>
            </w:r>
            <w:r w:rsidR="002B29BE">
              <w:rPr>
                <w:rFonts w:ascii="ZWAdobeF" w:hAnsi="ZWAdobeF" w:cs="ZWAdobeF"/>
                <w:sz w:val="2"/>
                <w:szCs w:val="2"/>
              </w:rPr>
              <w:t>27F</w:t>
            </w:r>
            <w:r>
              <w:rPr>
                <w:rStyle w:val="FootnoteReference"/>
              </w:rPr>
              <w:footnoteReference w:id="30"/>
            </w:r>
            <w:r>
              <w:t xml:space="preserve"> Long</w:t>
            </w:r>
            <w:r w:rsidR="005853D7">
              <w:t>-</w:t>
            </w:r>
            <w:r>
              <w:t>term funding</w:t>
            </w:r>
            <w:r w:rsidRPr="00671759">
              <w:t xml:space="preserve"> allows planning</w:t>
            </w:r>
            <w:r>
              <w:t xml:space="preserve"> and provides stability </w:t>
            </w:r>
            <w:r w:rsidRPr="00671759">
              <w:t xml:space="preserve">and </w:t>
            </w:r>
            <w:r>
              <w:lastRenderedPageBreak/>
              <w:t>time to build an evidence base, partnerships</w:t>
            </w:r>
            <w:r w:rsidRPr="00671759">
              <w:t xml:space="preserve"> and </w:t>
            </w:r>
            <w:r>
              <w:t>local leadership</w:t>
            </w:r>
            <w:r w:rsidR="00175CFB">
              <w:t xml:space="preserve"> and mature the sector more broadly</w:t>
            </w:r>
            <w:r w:rsidRPr="00671759">
              <w:t>.</w:t>
            </w:r>
            <w:r w:rsidR="002B29BE">
              <w:rPr>
                <w:rFonts w:ascii="ZWAdobeF" w:hAnsi="ZWAdobeF" w:cs="ZWAdobeF"/>
                <w:sz w:val="2"/>
                <w:szCs w:val="2"/>
              </w:rPr>
              <w:t>28F</w:t>
            </w:r>
            <w:r>
              <w:rPr>
                <w:rStyle w:val="FootnoteReference"/>
              </w:rPr>
              <w:footnoteReference w:id="31"/>
            </w:r>
            <w:r>
              <w:t xml:space="preserve"> </w:t>
            </w:r>
          </w:p>
          <w:p w14:paraId="274BE414" w14:textId="36228443" w:rsidR="009414E0" w:rsidRDefault="005E42F7" w:rsidP="009414E0">
            <w:pPr>
              <w:pStyle w:val="TableNBullet"/>
              <w:cnfStyle w:val="000000000000" w:firstRow="0" w:lastRow="0" w:firstColumn="0" w:lastColumn="0" w:oddVBand="0" w:evenVBand="0" w:oddHBand="0" w:evenHBand="0" w:firstRowFirstColumn="0" w:firstRowLastColumn="0" w:lastRowFirstColumn="0" w:lastRowLastColumn="0"/>
            </w:pPr>
            <w:r>
              <w:t xml:space="preserve">Projects </w:t>
            </w:r>
            <w:r w:rsidR="009414E0">
              <w:t>that are funded short</w:t>
            </w:r>
            <w:r w:rsidR="00B125E0">
              <w:t>-</w:t>
            </w:r>
            <w:r w:rsidR="009414E0">
              <w:t>term can face barriers to building trust, or experience distrust in staff and target communities as they emphasise short</w:t>
            </w:r>
            <w:r w:rsidR="006C3C3E">
              <w:t>-</w:t>
            </w:r>
            <w:r w:rsidR="009414E0">
              <w:t>term outcomes and brief interventions.</w:t>
            </w:r>
            <w:r w:rsidR="002B29BE">
              <w:rPr>
                <w:rFonts w:ascii="ZWAdobeF" w:hAnsi="ZWAdobeF" w:cs="ZWAdobeF"/>
                <w:sz w:val="2"/>
                <w:szCs w:val="2"/>
              </w:rPr>
              <w:t>29F</w:t>
            </w:r>
            <w:r w:rsidR="009414E0">
              <w:rPr>
                <w:rStyle w:val="FootnoteReference"/>
              </w:rPr>
              <w:footnoteReference w:id="32"/>
            </w:r>
            <w:r w:rsidR="009414E0">
              <w:t xml:space="preserve"> </w:t>
            </w:r>
            <w:r w:rsidR="002B29BE">
              <w:rPr>
                <w:rFonts w:ascii="ZWAdobeF" w:hAnsi="ZWAdobeF" w:cs="ZWAdobeF"/>
                <w:sz w:val="2"/>
                <w:szCs w:val="2"/>
              </w:rPr>
              <w:t>30F</w:t>
            </w:r>
            <w:r w:rsidR="00881A3E" w:rsidRPr="003651CE">
              <w:rPr>
                <w:rStyle w:val="FootnoteReference"/>
                <w:rFonts w:asciiTheme="minorHAnsi" w:hAnsiTheme="minorHAnsi" w:cstheme="minorHAnsi"/>
              </w:rPr>
              <w:footnoteReference w:id="33"/>
            </w:r>
          </w:p>
          <w:p w14:paraId="257989D1" w14:textId="151BF7AD" w:rsidR="009414E0" w:rsidRPr="00F246BA" w:rsidRDefault="009414E0" w:rsidP="009414E0">
            <w:pPr>
              <w:pStyle w:val="TableNBulle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t xml:space="preserve">Evidence is limited on the relationship between intervention length and outcomes, with the exception of addressing LTU. In this context, longer term interventions </w:t>
            </w:r>
            <w:r w:rsidRPr="00155497">
              <w:t>(</w:t>
            </w:r>
            <w:r w:rsidR="0054302B">
              <w:t>&gt;</w:t>
            </w:r>
            <w:r>
              <w:t xml:space="preserve"> one year) produce stronger outcomes.</w:t>
            </w:r>
            <w:r w:rsidR="002B29BE">
              <w:rPr>
                <w:rFonts w:ascii="ZWAdobeF" w:hAnsi="ZWAdobeF" w:cs="ZWAdobeF"/>
                <w:sz w:val="2"/>
                <w:szCs w:val="2"/>
              </w:rPr>
              <w:t>31F</w:t>
            </w:r>
            <w:r>
              <w:rPr>
                <w:rStyle w:val="FootnoteReference"/>
              </w:rPr>
              <w:footnoteReference w:id="34"/>
            </w:r>
            <w:r>
              <w:t xml:space="preserve"> </w:t>
            </w:r>
          </w:p>
          <w:p w14:paraId="42A8D365" w14:textId="3C09C82B" w:rsidR="009414E0" w:rsidRPr="00155497" w:rsidRDefault="009414E0">
            <w:pPr>
              <w:pStyle w:val="TableExpbullet"/>
              <w:numPr>
                <w:ilvl w:val="0"/>
                <w:numId w:val="0"/>
              </w:numPr>
              <w:cnfStyle w:val="000000000000" w:firstRow="0" w:lastRow="0" w:firstColumn="0" w:lastColumn="0" w:oddVBand="0" w:evenVBand="0" w:oddHBand="0" w:evenHBand="0" w:firstRowFirstColumn="0" w:firstRowLastColumn="0" w:lastRowFirstColumn="0" w:lastRowLastColumn="0"/>
              <w:rPr>
                <w:b/>
                <w:sz w:val="17"/>
                <w:szCs w:val="17"/>
              </w:rPr>
            </w:pPr>
            <w:r w:rsidRPr="00155497">
              <w:rPr>
                <w:b/>
                <w:sz w:val="17"/>
                <w:szCs w:val="17"/>
              </w:rPr>
              <w:t xml:space="preserve">For </w:t>
            </w:r>
            <w:r w:rsidR="007E34D2" w:rsidRPr="00155497">
              <w:rPr>
                <w:b/>
                <w:sz w:val="17"/>
                <w:szCs w:val="17"/>
              </w:rPr>
              <w:t xml:space="preserve">trialling new approaches: </w:t>
            </w:r>
          </w:p>
          <w:p w14:paraId="00A425A1" w14:textId="376CE96A" w:rsidR="009414E0" w:rsidRPr="00C65F7A" w:rsidRDefault="007E34D2" w:rsidP="009414E0">
            <w:pPr>
              <w:pStyle w:val="TableNBulle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t>Seed</w:t>
            </w:r>
            <w:r w:rsidR="009414E0">
              <w:t xml:space="preserve"> </w:t>
            </w:r>
            <w:r w:rsidR="009414E0" w:rsidRPr="00C71F3D">
              <w:t xml:space="preserve">funding can encourage creativity, but a pathway to </w:t>
            </w:r>
            <w:r w:rsidR="00DF7515">
              <w:t>long</w:t>
            </w:r>
            <w:r w:rsidR="005853D7">
              <w:t>-</w:t>
            </w:r>
            <w:r w:rsidR="00DF7515">
              <w:t>term</w:t>
            </w:r>
            <w:r w:rsidR="009414E0" w:rsidRPr="00C71F3D">
              <w:t xml:space="preserve"> delivery is required to sustain impact</w:t>
            </w:r>
            <w:r w:rsidR="009414E0">
              <w:t>.</w:t>
            </w:r>
            <w:r w:rsidR="002B29BE">
              <w:rPr>
                <w:rFonts w:ascii="ZWAdobeF" w:hAnsi="ZWAdobeF" w:cs="ZWAdobeF"/>
                <w:sz w:val="2"/>
                <w:szCs w:val="2"/>
              </w:rPr>
              <w:t>32F</w:t>
            </w:r>
            <w:r w:rsidR="009414E0">
              <w:rPr>
                <w:rStyle w:val="FootnoteReference"/>
              </w:rPr>
              <w:footnoteReference w:id="35"/>
            </w:r>
            <w:r w:rsidR="00274F5A">
              <w:t xml:space="preserve"> </w:t>
            </w:r>
            <w:r w:rsidR="009414E0">
              <w:t xml:space="preserve">Social innovators and governments </w:t>
            </w:r>
            <w:r w:rsidR="00AC0D7D">
              <w:t>can</w:t>
            </w:r>
            <w:r w:rsidR="009414E0">
              <w:t xml:space="preserve"> partner to drive innovation through Outcomes Based Funding</w:t>
            </w:r>
            <w:r>
              <w:t>.</w:t>
            </w:r>
          </w:p>
        </w:tc>
        <w:tc>
          <w:tcPr>
            <w:tcW w:w="2081" w:type="pct"/>
            <w:tcBorders>
              <w:top w:val="single" w:sz="8" w:space="0" w:color="E6E6E1" w:themeColor="accent5"/>
              <w:bottom w:val="single" w:sz="8" w:space="0" w:color="E6E6E1" w:themeColor="accent5"/>
            </w:tcBorders>
          </w:tcPr>
          <w:p w14:paraId="34443FF2" w14:textId="77777777" w:rsidR="009414E0" w:rsidRPr="00AC0D7D"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rPr>
            </w:pPr>
            <w:r w:rsidRPr="00AC0D7D">
              <w:rPr>
                <w:rFonts w:asciiTheme="majorHAnsi" w:hAnsiTheme="majorHAnsi" w:cstheme="majorHAnsi"/>
                <w:color w:val="00264D" w:themeColor="background2"/>
              </w:rPr>
              <w:lastRenderedPageBreak/>
              <w:t>The short-term nature of the funding had mixed effects and limitations for designing new approaches and driving innovation.</w:t>
            </w:r>
          </w:p>
          <w:p w14:paraId="3E3C9661" w14:textId="38E8C605" w:rsidR="00841FD4" w:rsidRDefault="00F37A0B">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Pr>
                <w:rFonts w:asciiTheme="minorHAnsi" w:hAnsiTheme="minorHAnsi"/>
                <w:color w:val="000000" w:themeColor="text1"/>
              </w:rPr>
              <w:t>SARC</w:t>
            </w:r>
            <w:r w:rsidR="008E052C">
              <w:rPr>
                <w:rFonts w:asciiTheme="minorHAnsi" w:hAnsiTheme="minorHAnsi"/>
                <w:color w:val="000000" w:themeColor="text1"/>
              </w:rPr>
              <w:t xml:space="preserve"> – </w:t>
            </w:r>
            <w:r>
              <w:rPr>
                <w:rFonts w:asciiTheme="minorHAnsi" w:hAnsiTheme="minorHAnsi"/>
                <w:color w:val="000000" w:themeColor="text1"/>
              </w:rPr>
              <w:t>IC</w:t>
            </w:r>
            <w:r w:rsidR="00A16190">
              <w:rPr>
                <w:rFonts w:asciiTheme="minorHAnsi" w:hAnsiTheme="minorHAnsi"/>
                <w:color w:val="000000" w:themeColor="text1"/>
              </w:rPr>
              <w:t xml:space="preserve"> funding </w:t>
            </w:r>
            <w:r w:rsidR="004B7552">
              <w:rPr>
                <w:rFonts w:asciiTheme="minorHAnsi" w:hAnsiTheme="minorHAnsi"/>
                <w:color w:val="000000" w:themeColor="text1"/>
              </w:rPr>
              <w:t xml:space="preserve">is intended to help </w:t>
            </w:r>
            <w:r w:rsidR="00F01725">
              <w:rPr>
                <w:rFonts w:asciiTheme="minorHAnsi" w:hAnsiTheme="minorHAnsi"/>
                <w:color w:val="000000" w:themeColor="text1"/>
              </w:rPr>
              <w:t>participants in funded activity</w:t>
            </w:r>
            <w:r w:rsidR="00BC11A3">
              <w:rPr>
                <w:rFonts w:asciiTheme="minorHAnsi" w:hAnsiTheme="minorHAnsi"/>
                <w:color w:val="000000" w:themeColor="text1"/>
              </w:rPr>
              <w:t xml:space="preserve"> </w:t>
            </w:r>
            <w:r w:rsidR="00390988">
              <w:rPr>
                <w:rFonts w:asciiTheme="minorHAnsi" w:hAnsiTheme="minorHAnsi"/>
                <w:color w:val="000000" w:themeColor="text1"/>
              </w:rPr>
              <w:t>strengthen community connections, economic and social participation</w:t>
            </w:r>
            <w:r w:rsidR="004C6781">
              <w:rPr>
                <w:rFonts w:asciiTheme="minorHAnsi" w:hAnsiTheme="minorHAnsi"/>
                <w:color w:val="000000" w:themeColor="text1"/>
              </w:rPr>
              <w:t xml:space="preserve">. </w:t>
            </w:r>
            <w:r w:rsidR="002B29BE">
              <w:rPr>
                <w:rFonts w:ascii="ZWAdobeF" w:hAnsi="ZWAdobeF" w:cs="ZWAdobeF"/>
                <w:sz w:val="2"/>
                <w:szCs w:val="2"/>
              </w:rPr>
              <w:t>33F</w:t>
            </w:r>
            <w:r w:rsidR="00390988">
              <w:rPr>
                <w:rStyle w:val="FootnoteReference"/>
                <w:rFonts w:asciiTheme="minorHAnsi" w:hAnsiTheme="minorHAnsi"/>
                <w:color w:val="000000" w:themeColor="text1"/>
              </w:rPr>
              <w:footnoteReference w:id="36"/>
            </w:r>
            <w:r w:rsidR="00F01725">
              <w:rPr>
                <w:rFonts w:asciiTheme="minorHAnsi" w:hAnsiTheme="minorHAnsi"/>
                <w:color w:val="000000" w:themeColor="text1"/>
              </w:rPr>
              <w:t xml:space="preserve"> These are entrenched issues</w:t>
            </w:r>
            <w:r w:rsidR="00BC11A3">
              <w:rPr>
                <w:rFonts w:asciiTheme="minorHAnsi" w:hAnsiTheme="minorHAnsi"/>
                <w:color w:val="000000" w:themeColor="text1"/>
              </w:rPr>
              <w:t xml:space="preserve"> which take time </w:t>
            </w:r>
            <w:r w:rsidR="00F01725">
              <w:rPr>
                <w:rFonts w:asciiTheme="minorHAnsi" w:hAnsiTheme="minorHAnsi"/>
                <w:color w:val="000000" w:themeColor="text1"/>
              </w:rPr>
              <w:t xml:space="preserve">for organisations </w:t>
            </w:r>
            <w:r w:rsidR="00BC11A3">
              <w:rPr>
                <w:rFonts w:asciiTheme="minorHAnsi" w:hAnsiTheme="minorHAnsi"/>
                <w:color w:val="000000" w:themeColor="text1"/>
              </w:rPr>
              <w:t>to build</w:t>
            </w:r>
            <w:r w:rsidR="00D03EBF">
              <w:rPr>
                <w:rFonts w:asciiTheme="minorHAnsi" w:hAnsiTheme="minorHAnsi"/>
                <w:color w:val="000000" w:themeColor="text1"/>
              </w:rPr>
              <w:t xml:space="preserve"> effective networks and achieve outcomes, </w:t>
            </w:r>
            <w:r w:rsidR="009414E0" w:rsidRPr="1DDC0180">
              <w:rPr>
                <w:rFonts w:asciiTheme="minorHAnsi" w:hAnsiTheme="minorHAnsi"/>
                <w:color w:val="000000" w:themeColor="text1"/>
              </w:rPr>
              <w:t xml:space="preserve">but </w:t>
            </w:r>
            <w:r w:rsidR="00F01725">
              <w:rPr>
                <w:rFonts w:asciiTheme="minorHAnsi" w:hAnsiTheme="minorHAnsi"/>
                <w:color w:val="000000" w:themeColor="text1"/>
              </w:rPr>
              <w:t xml:space="preserve">the funding </w:t>
            </w:r>
            <w:r w:rsidR="00D6669A">
              <w:rPr>
                <w:rFonts w:asciiTheme="minorHAnsi" w:hAnsiTheme="minorHAnsi"/>
                <w:color w:val="000000" w:themeColor="text1"/>
              </w:rPr>
              <w:t>activity</w:t>
            </w:r>
            <w:r w:rsidR="00F01725">
              <w:rPr>
                <w:rFonts w:asciiTheme="minorHAnsi" w:hAnsiTheme="minorHAnsi"/>
                <w:color w:val="000000" w:themeColor="text1"/>
              </w:rPr>
              <w:t xml:space="preserve"> is</w:t>
            </w:r>
            <w:r w:rsidR="00F01725" w:rsidRPr="1DDC0180">
              <w:rPr>
                <w:rFonts w:asciiTheme="minorHAnsi" w:hAnsiTheme="minorHAnsi"/>
                <w:color w:val="000000" w:themeColor="text1"/>
              </w:rPr>
              <w:t xml:space="preserve"> </w:t>
            </w:r>
            <w:r w:rsidR="009414E0" w:rsidRPr="1DDC0180">
              <w:rPr>
                <w:rFonts w:asciiTheme="minorHAnsi" w:hAnsiTheme="minorHAnsi"/>
                <w:color w:val="000000" w:themeColor="text1"/>
              </w:rPr>
              <w:t xml:space="preserve">structured as short-term, innovation-focused </w:t>
            </w:r>
            <w:r w:rsidR="00F01725">
              <w:rPr>
                <w:rFonts w:asciiTheme="minorHAnsi" w:hAnsiTheme="minorHAnsi"/>
                <w:color w:val="000000" w:themeColor="text1"/>
              </w:rPr>
              <w:t>grant round</w:t>
            </w:r>
            <w:r w:rsidR="009414E0" w:rsidRPr="1DDC0180">
              <w:rPr>
                <w:rFonts w:asciiTheme="minorHAnsi" w:hAnsiTheme="minorHAnsi"/>
                <w:color w:val="000000" w:themeColor="text1"/>
              </w:rPr>
              <w:t>.</w:t>
            </w:r>
            <w:r w:rsidR="4A5A9D19" w:rsidRPr="1DDC0180">
              <w:rPr>
                <w:rFonts w:asciiTheme="minorHAnsi" w:hAnsiTheme="minorHAnsi"/>
                <w:color w:val="000000" w:themeColor="text1"/>
              </w:rPr>
              <w:t xml:space="preserve"> </w:t>
            </w:r>
          </w:p>
          <w:p w14:paraId="3955F212" w14:textId="2B63F904" w:rsidR="009414E0" w:rsidRPr="00691690" w:rsidRDefault="000E7B01">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Pr>
                <w:rFonts w:asciiTheme="minorHAnsi" w:hAnsiTheme="minorHAnsi"/>
                <w:color w:val="000000" w:themeColor="text1"/>
              </w:rPr>
              <w:lastRenderedPageBreak/>
              <w:t>While participants can (and do) achieve outcomes in the two year period, there is considerable time spent standing up pro</w:t>
            </w:r>
            <w:r w:rsidR="00AA7559">
              <w:rPr>
                <w:rFonts w:asciiTheme="minorHAnsi" w:hAnsiTheme="minorHAnsi"/>
                <w:color w:val="000000" w:themeColor="text1"/>
              </w:rPr>
              <w:t>ject</w:t>
            </w:r>
            <w:r>
              <w:rPr>
                <w:rFonts w:asciiTheme="minorHAnsi" w:hAnsiTheme="minorHAnsi"/>
                <w:color w:val="000000" w:themeColor="text1"/>
              </w:rPr>
              <w:t>s</w:t>
            </w:r>
            <w:r w:rsidR="00EE4873">
              <w:rPr>
                <w:rFonts w:asciiTheme="minorHAnsi" w:hAnsiTheme="minorHAnsi"/>
                <w:color w:val="000000" w:themeColor="text1"/>
              </w:rPr>
              <w:t xml:space="preserve">, recruiting and training staff and </w:t>
            </w:r>
            <w:r w:rsidR="005913D9">
              <w:rPr>
                <w:rFonts w:asciiTheme="minorHAnsi" w:hAnsiTheme="minorHAnsi"/>
                <w:color w:val="000000" w:themeColor="text1"/>
              </w:rPr>
              <w:t xml:space="preserve">building awareness in a community – </w:t>
            </w:r>
            <w:r w:rsidR="00C47A12">
              <w:rPr>
                <w:rFonts w:asciiTheme="minorHAnsi" w:hAnsiTheme="minorHAnsi"/>
                <w:color w:val="000000" w:themeColor="text1"/>
              </w:rPr>
              <w:t>which is then lost when the funding finishes.</w:t>
            </w:r>
            <w:r w:rsidR="00627693">
              <w:rPr>
                <w:rFonts w:asciiTheme="minorHAnsi" w:hAnsiTheme="minorHAnsi"/>
                <w:color w:val="000000" w:themeColor="text1"/>
              </w:rPr>
              <w:t xml:space="preserve"> This can affect trust in staff and communities</w:t>
            </w:r>
            <w:r w:rsidR="00FF303A">
              <w:rPr>
                <w:rFonts w:asciiTheme="minorHAnsi" w:hAnsiTheme="minorHAnsi"/>
                <w:color w:val="000000" w:themeColor="text1"/>
              </w:rPr>
              <w:t xml:space="preserve"> in working with government, and </w:t>
            </w:r>
            <w:r w:rsidR="00F80129">
              <w:rPr>
                <w:rFonts w:asciiTheme="minorHAnsi" w:hAnsiTheme="minorHAnsi"/>
                <w:color w:val="000000" w:themeColor="text1"/>
              </w:rPr>
              <w:t>can limit the length of an intervention.</w:t>
            </w:r>
          </w:p>
          <w:p w14:paraId="313462A3" w14:textId="7D6494B5" w:rsidR="009414E0" w:rsidRDefault="002C5C44" w:rsidP="25A4A4EC">
            <w:pPr>
              <w:pStyle w:val="TableExpBullet0"/>
              <w:numPr>
                <w:ilvl w:val="0"/>
                <w:numId w:val="0"/>
              </w:numPr>
              <w:cnfStyle w:val="000000000000" w:firstRow="0" w:lastRow="0" w:firstColumn="0" w:lastColumn="0" w:oddVBand="0" w:evenVBand="0" w:oddHBand="0" w:evenHBand="0" w:firstRowFirstColumn="0" w:firstRowLastColumn="0" w:lastRowFirstColumn="0" w:lastRowLastColumn="0"/>
            </w:pPr>
            <w:r>
              <w:t>In term</w:t>
            </w:r>
            <w:r w:rsidR="004C6F46">
              <w:t>s</w:t>
            </w:r>
            <w:r>
              <w:t xml:space="preserve"> of trialling new approaches, the</w:t>
            </w:r>
            <w:r w:rsidR="009414E0">
              <w:t xml:space="preserve"> grant provided short-term funding for services to deliver either a new service model or for a new cohort, aligned to a seed funding approach, however there are no clear pathways to </w:t>
            </w:r>
            <w:r w:rsidR="00DF7515">
              <w:t>long</w:t>
            </w:r>
            <w:r w:rsidR="005853D7">
              <w:t>-</w:t>
            </w:r>
            <w:r w:rsidR="00DF7515">
              <w:t>term</w:t>
            </w:r>
            <w:r w:rsidR="009414E0">
              <w:t xml:space="preserve"> funding for successful </w:t>
            </w:r>
            <w:r w:rsidR="00D671D2">
              <w:t>projects</w:t>
            </w:r>
            <w:r w:rsidR="00115055">
              <w:t>.</w:t>
            </w:r>
            <w:r w:rsidR="77518D39">
              <w:t xml:space="preserve"> </w:t>
            </w:r>
            <w:r w:rsidR="00F80129">
              <w:t xml:space="preserve">This means it is more difficult, by design, for </w:t>
            </w:r>
            <w:r w:rsidR="00CA2857">
              <w:t>SARC</w:t>
            </w:r>
            <w:r w:rsidR="00B8751E">
              <w:t xml:space="preserve"> – </w:t>
            </w:r>
            <w:r w:rsidR="00CA2857">
              <w:t>IC to strengthen the community sector over time using the initial two year funding.</w:t>
            </w:r>
          </w:p>
          <w:p w14:paraId="41B8CAF3" w14:textId="5D090BFE" w:rsidR="009414E0" w:rsidRPr="00757BA4" w:rsidRDefault="004014EE" w:rsidP="00585438">
            <w:pPr>
              <w:pStyle w:val="TableExpBullet0"/>
              <w:numPr>
                <w:ilvl w:val="0"/>
                <w:numId w:val="0"/>
              </w:numPr>
              <w:cnfStyle w:val="000000000000" w:firstRow="0" w:lastRow="0" w:firstColumn="0" w:lastColumn="0" w:oddVBand="0" w:evenVBand="0" w:oddHBand="0" w:evenHBand="0" w:firstRowFirstColumn="0" w:firstRowLastColumn="0" w:lastRowFirstColumn="0" w:lastRowLastColumn="0"/>
            </w:pPr>
            <w:r>
              <w:t xml:space="preserve"> </w:t>
            </w:r>
          </w:p>
        </w:tc>
        <w:tc>
          <w:tcPr>
            <w:tcW w:w="429" w:type="pct"/>
            <w:tcBorders>
              <w:top w:val="single" w:sz="8" w:space="0" w:color="E6E6E1" w:themeColor="accent5"/>
              <w:bottom w:val="single" w:sz="8" w:space="0" w:color="E6E6E1" w:themeColor="accent5"/>
            </w:tcBorders>
          </w:tcPr>
          <w:p w14:paraId="694EADE8" w14:textId="77777777" w:rsidR="009414E0" w:rsidRPr="00BD3CB7"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BD3CB7">
              <w:rPr>
                <w:rFonts w:asciiTheme="majorHAnsi" w:hAnsiTheme="majorHAnsi" w:cstheme="majorHAnsi"/>
                <w:color w:val="000000" w:themeColor="text1"/>
                <w:sz w:val="16"/>
                <w:szCs w:val="16"/>
              </w:rPr>
              <w:lastRenderedPageBreak/>
              <w:t>Low</w:t>
            </w:r>
          </w:p>
        </w:tc>
        <w:tc>
          <w:tcPr>
            <w:tcW w:w="381" w:type="pct"/>
            <w:tcBorders>
              <w:top w:val="single" w:sz="8" w:space="0" w:color="E6E6E1" w:themeColor="accent5"/>
              <w:bottom w:val="single" w:sz="8" w:space="0" w:color="E6E6E1" w:themeColor="accent5"/>
            </w:tcBorders>
          </w:tcPr>
          <w:p w14:paraId="0A729120" w14:textId="77777777" w:rsidR="009414E0" w:rsidRPr="00BD3CB7"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BD3CB7">
              <w:rPr>
                <w:rFonts w:asciiTheme="majorHAnsi" w:hAnsiTheme="majorHAnsi" w:cstheme="majorHAnsi"/>
                <w:color w:val="000000" w:themeColor="text1"/>
                <w:sz w:val="16"/>
                <w:szCs w:val="16"/>
              </w:rPr>
              <w:t>Moderate</w:t>
            </w:r>
          </w:p>
        </w:tc>
      </w:tr>
      <w:tr w:rsidR="009414E0" w:rsidRPr="00155497" w14:paraId="38EB62AB" w14:textId="77777777" w:rsidTr="008D1384">
        <w:tc>
          <w:tcPr>
            <w:cnfStyle w:val="001000000000" w:firstRow="0" w:lastRow="0" w:firstColumn="1" w:lastColumn="0" w:oddVBand="0" w:evenVBand="0" w:oddHBand="0" w:evenHBand="0" w:firstRowFirstColumn="0" w:firstRowLastColumn="0" w:lastRowFirstColumn="0" w:lastRowLastColumn="0"/>
            <w:tcW w:w="381" w:type="pct"/>
          </w:tcPr>
          <w:p w14:paraId="00387F47" w14:textId="77777777" w:rsidR="009414E0" w:rsidRDefault="009414E0">
            <w:pPr>
              <w:pStyle w:val="TableNText"/>
              <w:jc w:val="left"/>
              <w:rPr>
                <w:rFonts w:asciiTheme="majorHAnsi" w:hAnsiTheme="majorHAnsi" w:cstheme="majorHAnsi"/>
                <w:color w:val="F25E21" w:themeColor="accent2"/>
              </w:rPr>
            </w:pPr>
            <w:r w:rsidRPr="00DA30BB">
              <w:rPr>
                <w:rFonts w:asciiTheme="majorHAnsi" w:hAnsiTheme="majorHAnsi" w:cstheme="majorHAnsi"/>
              </w:rPr>
              <w:t>Flex</w:t>
            </w:r>
            <w:r>
              <w:rPr>
                <w:rFonts w:asciiTheme="majorHAnsi" w:hAnsiTheme="majorHAnsi" w:cstheme="majorHAnsi"/>
              </w:rPr>
              <w:t>ibility of</w:t>
            </w:r>
            <w:r w:rsidRPr="00DA30BB">
              <w:rPr>
                <w:rFonts w:asciiTheme="majorHAnsi" w:hAnsiTheme="majorHAnsi" w:cstheme="majorHAnsi"/>
              </w:rPr>
              <w:t xml:space="preserve"> funding</w:t>
            </w:r>
          </w:p>
        </w:tc>
        <w:tc>
          <w:tcPr>
            <w:tcW w:w="1728" w:type="pct"/>
            <w:tcBorders>
              <w:top w:val="single" w:sz="8" w:space="0" w:color="E6E6E1" w:themeColor="accent5"/>
              <w:bottom w:val="single" w:sz="8" w:space="0" w:color="E6E6E1" w:themeColor="accent5"/>
            </w:tcBorders>
          </w:tcPr>
          <w:p w14:paraId="0D18F50E" w14:textId="337C6F35" w:rsidR="009414E0" w:rsidRPr="005471AC" w:rsidRDefault="009414E0" w:rsidP="005471AC">
            <w:pPr>
              <w:pStyle w:val="TableNBullet"/>
              <w:cnfStyle w:val="000000000000" w:firstRow="0" w:lastRow="0" w:firstColumn="0" w:lastColumn="0" w:oddVBand="0" w:evenVBand="0" w:oddHBand="0" w:evenHBand="0" w:firstRowFirstColumn="0" w:firstRowLastColumn="0" w:lastRowFirstColumn="0" w:lastRowLastColumn="0"/>
            </w:pPr>
            <w:r w:rsidRPr="00392772">
              <w:rPr>
                <w:rFonts w:asciiTheme="majorHAnsi" w:hAnsiTheme="majorHAnsi" w:cstheme="majorHAnsi"/>
              </w:rPr>
              <w:t>Flexible funding:</w:t>
            </w:r>
            <w:r>
              <w:t xml:space="preserve"> </w:t>
            </w:r>
            <w:r w:rsidRPr="008A6A46">
              <w:t>enable</w:t>
            </w:r>
            <w:r>
              <w:t>s</w:t>
            </w:r>
            <w:r w:rsidRPr="008A6A46">
              <w:t xml:space="preserve"> tailored program design, </w:t>
            </w:r>
            <w:r>
              <w:t xml:space="preserve">which supports operational flexibility, local autonomy and </w:t>
            </w:r>
            <w:r w:rsidRPr="008A6A46">
              <w:t>help</w:t>
            </w:r>
            <w:r>
              <w:t>s</w:t>
            </w:r>
            <w:r w:rsidRPr="008A6A46">
              <w:t xml:space="preserve"> </w:t>
            </w:r>
            <w:r w:rsidRPr="008A6A46">
              <w:lastRenderedPageBreak/>
              <w:t>to remove key access barriers and target the program to local needs.</w:t>
            </w:r>
            <w:r w:rsidR="002B29BE">
              <w:rPr>
                <w:rFonts w:ascii="ZWAdobeF" w:hAnsi="ZWAdobeF" w:cs="ZWAdobeF"/>
                <w:sz w:val="2"/>
                <w:szCs w:val="2"/>
              </w:rPr>
              <w:t>34F</w:t>
            </w:r>
            <w:r>
              <w:rPr>
                <w:rStyle w:val="FootnoteReference"/>
              </w:rPr>
              <w:footnoteReference w:id="37"/>
            </w:r>
            <w:r w:rsidRPr="00316990">
              <w:rPr>
                <w:vertAlign w:val="superscript"/>
              </w:rPr>
              <w:t>,</w:t>
            </w:r>
            <w:r w:rsidR="002B29BE">
              <w:rPr>
                <w:rFonts w:ascii="ZWAdobeF" w:hAnsi="ZWAdobeF" w:cs="ZWAdobeF"/>
                <w:sz w:val="2"/>
                <w:szCs w:val="2"/>
              </w:rPr>
              <w:t>35F</w:t>
            </w:r>
            <w:r>
              <w:rPr>
                <w:rStyle w:val="FootnoteReference"/>
              </w:rPr>
              <w:footnoteReference w:id="38"/>
            </w:r>
            <w:r>
              <w:t xml:space="preserve"> </w:t>
            </w:r>
          </w:p>
        </w:tc>
        <w:tc>
          <w:tcPr>
            <w:tcW w:w="2081" w:type="pct"/>
            <w:tcBorders>
              <w:top w:val="single" w:sz="8" w:space="0" w:color="E6E6E1" w:themeColor="accent5"/>
              <w:bottom w:val="single" w:sz="8" w:space="0" w:color="E6E6E1" w:themeColor="accent5"/>
            </w:tcBorders>
          </w:tcPr>
          <w:p w14:paraId="117DBF9C" w14:textId="72B4FC08" w:rsidR="009414E0" w:rsidRPr="00D745D3"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rPr>
            </w:pPr>
            <w:r w:rsidRPr="00D745D3">
              <w:rPr>
                <w:rFonts w:asciiTheme="majorHAnsi" w:hAnsiTheme="majorHAnsi" w:cstheme="majorHAnsi"/>
                <w:color w:val="00264D" w:themeColor="background2"/>
              </w:rPr>
              <w:lastRenderedPageBreak/>
              <w:t>Flexible use of the grant money enabled recipients to design pro</w:t>
            </w:r>
            <w:r w:rsidR="00AA7559">
              <w:rPr>
                <w:rFonts w:asciiTheme="majorHAnsi" w:hAnsiTheme="majorHAnsi" w:cstheme="majorHAnsi"/>
                <w:color w:val="00264D" w:themeColor="background2"/>
              </w:rPr>
              <w:t>jects</w:t>
            </w:r>
            <w:r w:rsidRPr="00D745D3">
              <w:rPr>
                <w:rFonts w:asciiTheme="majorHAnsi" w:hAnsiTheme="majorHAnsi" w:cstheme="majorHAnsi"/>
                <w:color w:val="00264D" w:themeColor="background2"/>
              </w:rPr>
              <w:t xml:space="preserve"> that were tailored, accessible and inclusive.</w:t>
            </w:r>
          </w:p>
          <w:p w14:paraId="1DA565AB" w14:textId="47C3237D" w:rsidR="009414E0" w:rsidRPr="00155497" w:rsidRDefault="009414E0" w:rsidP="00147E75">
            <w:pPr>
              <w:pStyle w:val="TableExpText"/>
              <w:cnfStyle w:val="000000000000" w:firstRow="0" w:lastRow="0" w:firstColumn="0" w:lastColumn="0" w:oddVBand="0" w:evenVBand="0" w:oddHBand="0" w:evenHBand="0" w:firstRowFirstColumn="0" w:firstRowLastColumn="0" w:lastRowFirstColumn="0" w:lastRowLastColumn="0"/>
              <w:rPr>
                <w:sz w:val="17"/>
                <w:szCs w:val="17"/>
              </w:rPr>
            </w:pPr>
            <w:r w:rsidRPr="00155497">
              <w:rPr>
                <w:sz w:val="17"/>
                <w:szCs w:val="17"/>
              </w:rPr>
              <w:t xml:space="preserve">Grant recipients were allowed to spend grant funds on staff salaries, training, operating and administration expenses, assets that helped meet </w:t>
            </w:r>
            <w:r w:rsidRPr="00155497">
              <w:rPr>
                <w:sz w:val="17"/>
                <w:szCs w:val="17"/>
              </w:rPr>
              <w:lastRenderedPageBreak/>
              <w:t xml:space="preserve">deliverables and evaluation of </w:t>
            </w:r>
            <w:r w:rsidR="00CC1CF2" w:rsidRPr="00155497">
              <w:rPr>
                <w:sz w:val="17"/>
                <w:szCs w:val="17"/>
              </w:rPr>
              <w:t>p</w:t>
            </w:r>
            <w:r w:rsidR="00CC1CF2">
              <w:rPr>
                <w:sz w:val="17"/>
                <w:szCs w:val="17"/>
              </w:rPr>
              <w:t>roject</w:t>
            </w:r>
            <w:r w:rsidR="00CC1CF2" w:rsidRPr="00155497">
              <w:rPr>
                <w:sz w:val="17"/>
                <w:szCs w:val="17"/>
              </w:rPr>
              <w:t>s</w:t>
            </w:r>
            <w:r w:rsidRPr="00155497">
              <w:rPr>
                <w:sz w:val="17"/>
                <w:szCs w:val="17"/>
              </w:rPr>
              <w:t>.</w:t>
            </w:r>
            <w:r w:rsidR="002B29BE">
              <w:rPr>
                <w:rFonts w:ascii="ZWAdobeF" w:hAnsi="ZWAdobeF" w:cs="ZWAdobeF"/>
                <w:sz w:val="2"/>
                <w:szCs w:val="2"/>
              </w:rPr>
              <w:t>36F</w:t>
            </w:r>
            <w:r w:rsidRPr="00155497">
              <w:rPr>
                <w:rStyle w:val="FootnoteReference"/>
                <w:sz w:val="17"/>
                <w:szCs w:val="17"/>
              </w:rPr>
              <w:footnoteReference w:id="39"/>
            </w:r>
            <w:r w:rsidRPr="00155497">
              <w:rPr>
                <w:sz w:val="17"/>
                <w:szCs w:val="17"/>
              </w:rPr>
              <w:t xml:space="preserve"> </w:t>
            </w:r>
            <w:r w:rsidR="00446E7B" w:rsidRPr="00155497">
              <w:rPr>
                <w:sz w:val="17"/>
                <w:szCs w:val="17"/>
              </w:rPr>
              <w:t>This allowed grant recipients to use funding to remove barriers to access such as transport or session costs, and also to iteratively tailor the focus of the pro</w:t>
            </w:r>
            <w:r w:rsidR="00CC1CF2">
              <w:rPr>
                <w:sz w:val="17"/>
                <w:szCs w:val="17"/>
              </w:rPr>
              <w:t>ject</w:t>
            </w:r>
            <w:r w:rsidR="00446E7B" w:rsidRPr="00155497">
              <w:rPr>
                <w:sz w:val="17"/>
                <w:szCs w:val="17"/>
              </w:rPr>
              <w:t xml:space="preserve"> </w:t>
            </w:r>
            <w:r w:rsidR="00147E75" w:rsidRPr="00155497">
              <w:rPr>
                <w:sz w:val="17"/>
                <w:szCs w:val="17"/>
              </w:rPr>
              <w:t xml:space="preserve">to meet specific client needs and requests. </w:t>
            </w:r>
          </w:p>
        </w:tc>
        <w:tc>
          <w:tcPr>
            <w:tcW w:w="429" w:type="pct"/>
            <w:tcBorders>
              <w:top w:val="single" w:sz="8" w:space="0" w:color="E6E6E1" w:themeColor="accent5"/>
              <w:bottom w:val="single" w:sz="8" w:space="0" w:color="E6E6E1" w:themeColor="accent5"/>
            </w:tcBorders>
          </w:tcPr>
          <w:p w14:paraId="6D3A18C0" w14:textId="77777777" w:rsidR="009414E0" w:rsidRPr="00BD3CB7"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BD3CB7">
              <w:rPr>
                <w:rFonts w:asciiTheme="majorHAnsi" w:hAnsiTheme="majorHAnsi" w:cstheme="majorHAnsi"/>
                <w:color w:val="000000" w:themeColor="text1"/>
                <w:sz w:val="16"/>
                <w:szCs w:val="16"/>
              </w:rPr>
              <w:lastRenderedPageBreak/>
              <w:t>High</w:t>
            </w:r>
          </w:p>
        </w:tc>
        <w:tc>
          <w:tcPr>
            <w:tcW w:w="381" w:type="pct"/>
            <w:tcBorders>
              <w:top w:val="single" w:sz="8" w:space="0" w:color="E6E6E1" w:themeColor="accent5"/>
              <w:bottom w:val="single" w:sz="8" w:space="0" w:color="E6E6E1" w:themeColor="accent5"/>
            </w:tcBorders>
          </w:tcPr>
          <w:p w14:paraId="68D47077" w14:textId="77777777" w:rsidR="009414E0" w:rsidRPr="00BD3CB7"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BD3CB7">
              <w:rPr>
                <w:rFonts w:asciiTheme="majorHAnsi" w:hAnsiTheme="majorHAnsi" w:cstheme="majorHAnsi"/>
                <w:color w:val="000000" w:themeColor="text1"/>
                <w:sz w:val="16"/>
                <w:szCs w:val="16"/>
              </w:rPr>
              <w:t>High</w:t>
            </w:r>
          </w:p>
        </w:tc>
      </w:tr>
      <w:tr w:rsidR="009414E0" w:rsidRPr="00155497" w14:paraId="1EF5D50B" w14:textId="77777777" w:rsidTr="008D1384">
        <w:tc>
          <w:tcPr>
            <w:cnfStyle w:val="001000000000" w:firstRow="0" w:lastRow="0" w:firstColumn="1" w:lastColumn="0" w:oddVBand="0" w:evenVBand="0" w:oddHBand="0" w:evenHBand="0" w:firstRowFirstColumn="0" w:firstRowLastColumn="0" w:lastRowFirstColumn="0" w:lastRowLastColumn="0"/>
            <w:tcW w:w="381" w:type="pct"/>
          </w:tcPr>
          <w:p w14:paraId="39350101" w14:textId="77777777" w:rsidR="009414E0" w:rsidRDefault="009414E0">
            <w:pPr>
              <w:pStyle w:val="TableNText"/>
              <w:jc w:val="left"/>
              <w:rPr>
                <w:rFonts w:asciiTheme="majorHAnsi" w:hAnsiTheme="majorHAnsi" w:cstheme="majorHAnsi"/>
                <w:color w:val="F25E21" w:themeColor="accent2"/>
              </w:rPr>
            </w:pPr>
            <w:r w:rsidRPr="00DA30BB">
              <w:rPr>
                <w:rFonts w:asciiTheme="majorHAnsi" w:hAnsiTheme="majorHAnsi" w:cstheme="majorHAnsi"/>
              </w:rPr>
              <w:t>Early investment in local capability and governance</w:t>
            </w:r>
          </w:p>
        </w:tc>
        <w:tc>
          <w:tcPr>
            <w:tcW w:w="1728" w:type="pct"/>
            <w:tcBorders>
              <w:top w:val="single" w:sz="8" w:space="0" w:color="E6E6E1" w:themeColor="accent5"/>
              <w:bottom w:val="single" w:sz="8" w:space="0" w:color="E6E6E1" w:themeColor="accent5"/>
            </w:tcBorders>
          </w:tcPr>
          <w:p w14:paraId="417456C2" w14:textId="2AF4ADD9" w:rsidR="009414E0" w:rsidRPr="00155497" w:rsidRDefault="00CF420F" w:rsidP="00E468AB">
            <w:pPr>
              <w:pStyle w:val="TableNBullet"/>
              <w:cnfStyle w:val="000000000000" w:firstRow="0" w:lastRow="0" w:firstColumn="0" w:lastColumn="0" w:oddVBand="0" w:evenVBand="0" w:oddHBand="0" w:evenHBand="0" w:firstRowFirstColumn="0" w:firstRowLastColumn="0" w:lastRowFirstColumn="0" w:lastRowLastColumn="0"/>
              <w:rPr>
                <w:szCs w:val="17"/>
              </w:rPr>
            </w:pPr>
            <w:r w:rsidRPr="00155497">
              <w:rPr>
                <w:rFonts w:asciiTheme="majorHAnsi" w:hAnsiTheme="majorHAnsi" w:cstheme="majorHAnsi"/>
              </w:rPr>
              <w:t>Early investment in local capability and governance:</w:t>
            </w:r>
            <w:r w:rsidRPr="00155497">
              <w:rPr>
                <w:szCs w:val="17"/>
              </w:rPr>
              <w:t xml:space="preserve"> enables place ‘readiness’ and inclusive, diverse and structured governance that enables the sharing of power and lessons learnt.</w:t>
            </w:r>
            <w:r w:rsidR="002B29BE">
              <w:rPr>
                <w:rFonts w:ascii="ZWAdobeF" w:hAnsi="ZWAdobeF" w:cs="ZWAdobeF"/>
                <w:sz w:val="2"/>
                <w:szCs w:val="2"/>
              </w:rPr>
              <w:t>37F</w:t>
            </w:r>
            <w:r w:rsidRPr="00155497">
              <w:rPr>
                <w:rStyle w:val="FootnoteReference"/>
                <w:szCs w:val="17"/>
              </w:rPr>
              <w:footnoteReference w:id="40"/>
            </w:r>
            <w:r w:rsidRPr="00155497">
              <w:rPr>
                <w:szCs w:val="17"/>
              </w:rPr>
              <w:t xml:space="preserve"> Staff and leadership empowerment through skills development enables stronger pro</w:t>
            </w:r>
            <w:r w:rsidR="004B4D2A">
              <w:rPr>
                <w:szCs w:val="17"/>
              </w:rPr>
              <w:t>ject</w:t>
            </w:r>
            <w:r w:rsidRPr="00155497">
              <w:rPr>
                <w:szCs w:val="17"/>
              </w:rPr>
              <w:t xml:space="preserve"> delivery.</w:t>
            </w:r>
            <w:r w:rsidR="002B29BE">
              <w:rPr>
                <w:rFonts w:ascii="ZWAdobeF" w:hAnsi="ZWAdobeF" w:cs="ZWAdobeF"/>
                <w:sz w:val="2"/>
                <w:szCs w:val="2"/>
              </w:rPr>
              <w:t>38F</w:t>
            </w:r>
            <w:r w:rsidRPr="00155497">
              <w:rPr>
                <w:rStyle w:val="FootnoteReference"/>
                <w:szCs w:val="17"/>
              </w:rPr>
              <w:footnoteReference w:id="41"/>
            </w:r>
          </w:p>
        </w:tc>
        <w:tc>
          <w:tcPr>
            <w:tcW w:w="2081" w:type="pct"/>
            <w:tcBorders>
              <w:top w:val="single" w:sz="8" w:space="0" w:color="E6E6E1" w:themeColor="accent5"/>
              <w:bottom w:val="single" w:sz="8" w:space="0" w:color="E6E6E1" w:themeColor="accent5"/>
            </w:tcBorders>
          </w:tcPr>
          <w:p w14:paraId="1041BD9E" w14:textId="07BE20AC" w:rsidR="005A2FD0"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rPr>
            </w:pPr>
            <w:r w:rsidRPr="00D745D3">
              <w:rPr>
                <w:rFonts w:asciiTheme="majorHAnsi" w:hAnsiTheme="majorHAnsi" w:cstheme="majorHAnsi"/>
                <w:color w:val="00264D" w:themeColor="background2"/>
              </w:rPr>
              <w:t>Investment in local capability and governance was possible through the grant.</w:t>
            </w:r>
            <w:r w:rsidR="002B29BE">
              <w:rPr>
                <w:rFonts w:ascii="ZWAdobeF" w:hAnsi="ZWAdobeF" w:cs="ZWAdobeF"/>
                <w:sz w:val="2"/>
                <w:szCs w:val="2"/>
              </w:rPr>
              <w:t>39F</w:t>
            </w:r>
            <w:r w:rsidRPr="00D745D3">
              <w:rPr>
                <w:rStyle w:val="FootnoteReference"/>
                <w:rFonts w:asciiTheme="majorHAnsi" w:hAnsiTheme="majorHAnsi" w:cstheme="majorHAnsi"/>
                <w:color w:val="00264D" w:themeColor="background2"/>
              </w:rPr>
              <w:footnoteReference w:id="42"/>
            </w:r>
            <w:r w:rsidR="005A2FD0">
              <w:rPr>
                <w:rFonts w:asciiTheme="majorHAnsi" w:hAnsiTheme="majorHAnsi" w:cstheme="majorHAnsi"/>
                <w:color w:val="00264D" w:themeColor="background2"/>
              </w:rPr>
              <w:t xml:space="preserve"> </w:t>
            </w:r>
          </w:p>
          <w:p w14:paraId="7517ABB6" w14:textId="23F81ADC" w:rsidR="005A2FD0" w:rsidRPr="00155497"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szCs w:val="17"/>
              </w:rPr>
            </w:pPr>
            <w:r w:rsidRPr="006B5DBE">
              <w:rPr>
                <w:rFonts w:asciiTheme="minorHAnsi" w:hAnsiTheme="minorHAnsi" w:cstheme="minorHAnsi"/>
                <w:color w:val="000000" w:themeColor="text1"/>
              </w:rPr>
              <w:t>The grant guidelines did not prescribe investment in local capability and governance</w:t>
            </w:r>
            <w:r>
              <w:rPr>
                <w:rFonts w:asciiTheme="minorHAnsi" w:hAnsiTheme="minorHAnsi" w:cstheme="minorHAnsi"/>
                <w:color w:val="000000" w:themeColor="text1"/>
              </w:rPr>
              <w:t xml:space="preserve"> but e</w:t>
            </w:r>
            <w:r w:rsidRPr="007E6399">
              <w:rPr>
                <w:rFonts w:asciiTheme="minorHAnsi" w:hAnsiTheme="minorHAnsi" w:cstheme="minorHAnsi"/>
                <w:color w:val="000000" w:themeColor="text1"/>
              </w:rPr>
              <w:t xml:space="preserve">ligible expenditure included </w:t>
            </w:r>
            <w:r>
              <w:rPr>
                <w:rFonts w:asciiTheme="minorHAnsi" w:hAnsiTheme="minorHAnsi" w:cstheme="minorHAnsi"/>
                <w:color w:val="000000" w:themeColor="text1"/>
              </w:rPr>
              <w:t>‘</w:t>
            </w:r>
            <w:r w:rsidRPr="007E6399">
              <w:rPr>
                <w:rFonts w:asciiTheme="minorHAnsi" w:hAnsiTheme="minorHAnsi" w:cstheme="minorHAnsi"/>
                <w:color w:val="000000" w:themeColor="text1"/>
              </w:rPr>
              <w:t>operating and administration expenses</w:t>
            </w:r>
            <w:r>
              <w:rPr>
                <w:rFonts w:asciiTheme="minorHAnsi" w:hAnsiTheme="minorHAnsi" w:cstheme="minorHAnsi"/>
                <w:color w:val="000000" w:themeColor="text1"/>
              </w:rPr>
              <w:t>’</w:t>
            </w:r>
            <w:r w:rsidRPr="007E6399">
              <w:rPr>
                <w:rFonts w:asciiTheme="minorHAnsi" w:hAnsiTheme="minorHAnsi" w:cstheme="minorHAnsi"/>
                <w:color w:val="000000" w:themeColor="text1"/>
              </w:rPr>
              <w:t xml:space="preserve"> and training for paid and unpaid staff.</w:t>
            </w:r>
            <w:r w:rsidR="002B29BE">
              <w:rPr>
                <w:rFonts w:ascii="ZWAdobeF" w:hAnsi="ZWAdobeF" w:cs="ZWAdobeF"/>
                <w:sz w:val="2"/>
                <w:szCs w:val="2"/>
              </w:rPr>
              <w:t>40F</w:t>
            </w:r>
            <w:r>
              <w:rPr>
                <w:rStyle w:val="FootnoteReference"/>
                <w:rFonts w:asciiTheme="minorHAnsi" w:hAnsiTheme="minorHAnsi" w:cstheme="minorHAnsi"/>
                <w:color w:val="000000" w:themeColor="text1"/>
              </w:rPr>
              <w:footnoteReference w:id="43"/>
            </w:r>
            <w:r>
              <w:rPr>
                <w:rFonts w:asciiTheme="minorHAnsi" w:hAnsiTheme="minorHAnsi" w:cstheme="minorHAnsi"/>
                <w:color w:val="000000" w:themeColor="text1"/>
              </w:rPr>
              <w:t xml:space="preserve">   </w:t>
            </w:r>
          </w:p>
          <w:p w14:paraId="2C7CBC2E" w14:textId="03BFF405" w:rsidR="009414E0" w:rsidRPr="007E6399"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Pr>
                <w:rFonts w:asciiTheme="minorHAnsi" w:hAnsiTheme="minorHAnsi" w:cstheme="minorHAnsi"/>
                <w:color w:val="000000" w:themeColor="text1"/>
              </w:rPr>
              <w:t xml:space="preserve">The short-term nature of the funding may limit efforts to build and sustain local capability, and organisations may build capability in one program then be forced to pivot, rather than continue to build capability in one area. </w:t>
            </w:r>
          </w:p>
        </w:tc>
        <w:tc>
          <w:tcPr>
            <w:tcW w:w="429" w:type="pct"/>
            <w:tcBorders>
              <w:top w:val="single" w:sz="8" w:space="0" w:color="E6E6E1" w:themeColor="accent5"/>
              <w:bottom w:val="single" w:sz="8" w:space="0" w:color="E6E6E1" w:themeColor="accent5"/>
            </w:tcBorders>
          </w:tcPr>
          <w:p w14:paraId="484BF86B" w14:textId="77777777" w:rsidR="009414E0" w:rsidRPr="009B6EF6"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9B6EF6">
              <w:rPr>
                <w:rFonts w:asciiTheme="majorHAnsi" w:hAnsiTheme="majorHAnsi" w:cstheme="majorHAnsi"/>
                <w:color w:val="000000" w:themeColor="text1"/>
                <w:sz w:val="16"/>
                <w:szCs w:val="16"/>
              </w:rPr>
              <w:t>Moderate</w:t>
            </w:r>
          </w:p>
        </w:tc>
        <w:tc>
          <w:tcPr>
            <w:tcW w:w="381" w:type="pct"/>
            <w:tcBorders>
              <w:top w:val="single" w:sz="8" w:space="0" w:color="E6E6E1" w:themeColor="accent5"/>
              <w:bottom w:val="single" w:sz="8" w:space="0" w:color="E6E6E1" w:themeColor="accent5"/>
            </w:tcBorders>
          </w:tcPr>
          <w:p w14:paraId="2585F431" w14:textId="77777777" w:rsidR="009414E0" w:rsidRPr="009B6EF6"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9B6EF6">
              <w:rPr>
                <w:rFonts w:asciiTheme="majorHAnsi" w:hAnsiTheme="majorHAnsi" w:cstheme="majorHAnsi"/>
                <w:color w:val="000000" w:themeColor="text1"/>
                <w:sz w:val="16"/>
                <w:szCs w:val="16"/>
              </w:rPr>
              <w:t>Moderate</w:t>
            </w:r>
          </w:p>
        </w:tc>
      </w:tr>
      <w:tr w:rsidR="009414E0" w:rsidRPr="00155497" w14:paraId="3065B062" w14:textId="77777777" w:rsidTr="008D1384">
        <w:tc>
          <w:tcPr>
            <w:cnfStyle w:val="001000000000" w:firstRow="0" w:lastRow="0" w:firstColumn="1" w:lastColumn="0" w:oddVBand="0" w:evenVBand="0" w:oddHBand="0" w:evenHBand="0" w:firstRowFirstColumn="0" w:firstRowLastColumn="0" w:lastRowFirstColumn="0" w:lastRowLastColumn="0"/>
            <w:tcW w:w="381" w:type="pct"/>
          </w:tcPr>
          <w:p w14:paraId="57FAC749" w14:textId="77777777" w:rsidR="009414E0" w:rsidRDefault="009414E0">
            <w:pPr>
              <w:pStyle w:val="TableNText"/>
              <w:jc w:val="left"/>
              <w:rPr>
                <w:rFonts w:asciiTheme="majorHAnsi" w:hAnsiTheme="majorHAnsi" w:cstheme="majorHAnsi"/>
                <w:color w:val="F25E21" w:themeColor="accent2"/>
              </w:rPr>
            </w:pPr>
            <w:r w:rsidRPr="00DA30BB">
              <w:rPr>
                <w:rFonts w:asciiTheme="majorHAnsi" w:hAnsiTheme="majorHAnsi" w:cstheme="majorHAnsi"/>
              </w:rPr>
              <w:t>Systematic learning and evaluation</w:t>
            </w:r>
          </w:p>
        </w:tc>
        <w:tc>
          <w:tcPr>
            <w:tcW w:w="1728" w:type="pct"/>
            <w:tcBorders>
              <w:top w:val="single" w:sz="8" w:space="0" w:color="E6E6E1" w:themeColor="accent5"/>
              <w:bottom w:val="single" w:sz="8" w:space="0" w:color="E6E6E1" w:themeColor="accent5"/>
            </w:tcBorders>
          </w:tcPr>
          <w:p w14:paraId="44EC687A" w14:textId="002B427E" w:rsidR="001D6DAE" w:rsidRPr="001D6DAE" w:rsidRDefault="009414E0" w:rsidP="009414E0">
            <w:pPr>
              <w:pStyle w:val="TableNBullet"/>
              <w:cnfStyle w:val="000000000000" w:firstRow="0" w:lastRow="0" w:firstColumn="0" w:lastColumn="0" w:oddVBand="0" w:evenVBand="0" w:oddHBand="0" w:evenHBand="0" w:firstRowFirstColumn="0" w:firstRowLastColumn="0" w:lastRowFirstColumn="0" w:lastRowLastColumn="0"/>
              <w:rPr>
                <w:rFonts w:cstheme="minorBidi"/>
              </w:rPr>
            </w:pPr>
            <w:r>
              <w:rPr>
                <w:rFonts w:asciiTheme="majorHAnsi" w:hAnsiTheme="majorHAnsi" w:cstheme="majorHAnsi"/>
              </w:rPr>
              <w:t>Evaluation and learning</w:t>
            </w:r>
            <w:r w:rsidRPr="00B2031C">
              <w:rPr>
                <w:rFonts w:asciiTheme="majorHAnsi" w:hAnsiTheme="majorHAnsi" w:cstheme="majorHAnsi"/>
              </w:rPr>
              <w:t>:</w:t>
            </w:r>
            <w:r>
              <w:t xml:space="preserve"> </w:t>
            </w:r>
            <w:r w:rsidRPr="0050456E">
              <w:t>is</w:t>
            </w:r>
            <w:r w:rsidR="007C36A7">
              <w:t xml:space="preserve"> essential to both trialling new models and </w:t>
            </w:r>
            <w:r w:rsidR="00AC0D7D">
              <w:t>supporting</w:t>
            </w:r>
            <w:r w:rsidRPr="0050456E">
              <w:t xml:space="preserve"> community</w:t>
            </w:r>
            <w:r w:rsidR="00AC0D7D">
              <w:t xml:space="preserve"> </w:t>
            </w:r>
            <w:r w:rsidRPr="0050456E">
              <w:t xml:space="preserve">led </w:t>
            </w:r>
            <w:r w:rsidR="006550AF" w:rsidRPr="0050456E">
              <w:t>pr</w:t>
            </w:r>
            <w:r w:rsidR="006550AF">
              <w:t>oject</w:t>
            </w:r>
            <w:r w:rsidR="006550AF" w:rsidRPr="0050456E">
              <w:t>s</w:t>
            </w:r>
            <w:r w:rsidR="009A5E36">
              <w:t>.</w:t>
            </w:r>
            <w:r w:rsidR="002B29BE">
              <w:rPr>
                <w:rFonts w:ascii="ZWAdobeF" w:hAnsi="ZWAdobeF" w:cs="ZWAdobeF"/>
                <w:sz w:val="2"/>
                <w:szCs w:val="2"/>
              </w:rPr>
              <w:t>41F</w:t>
            </w:r>
            <w:r>
              <w:rPr>
                <w:rStyle w:val="FootnoteReference"/>
              </w:rPr>
              <w:footnoteReference w:id="44"/>
            </w:r>
            <w:r w:rsidRPr="00430F6E">
              <w:t xml:space="preserve"> </w:t>
            </w:r>
          </w:p>
          <w:p w14:paraId="7DA4DB06" w14:textId="16A283B7" w:rsidR="00AC0D7D" w:rsidRPr="00AC0D7D" w:rsidRDefault="009414E0" w:rsidP="00AC0D7D">
            <w:pPr>
              <w:pStyle w:val="TableNBullet"/>
              <w:cnfStyle w:val="000000000000" w:firstRow="0" w:lastRow="0" w:firstColumn="0" w:lastColumn="0" w:oddVBand="0" w:evenVBand="0" w:oddHBand="0" w:evenHBand="0" w:firstRowFirstColumn="0" w:firstRowLastColumn="0" w:lastRowFirstColumn="0" w:lastRowLastColumn="0"/>
              <w:rPr>
                <w:rFonts w:cstheme="minorBidi"/>
              </w:rPr>
            </w:pPr>
            <w:r>
              <w:t>For funders, s</w:t>
            </w:r>
            <w:r w:rsidRPr="003F71CD">
              <w:t>ystematic learning helps to inform future funding directions</w:t>
            </w:r>
            <w:r>
              <w:t xml:space="preserve">. </w:t>
            </w:r>
            <w:r w:rsidR="00AC0D7D">
              <w:t xml:space="preserve">Shared monitoring, evaluation and </w:t>
            </w:r>
            <w:r w:rsidR="00AC0D7D">
              <w:lastRenderedPageBreak/>
              <w:t>learning frameworks support meaningful data collection and learning at the whole of government policy level.</w:t>
            </w:r>
            <w:r w:rsidR="002B29BE">
              <w:rPr>
                <w:rFonts w:ascii="ZWAdobeF" w:hAnsi="ZWAdobeF" w:cs="ZWAdobeF"/>
                <w:sz w:val="2"/>
                <w:szCs w:val="2"/>
              </w:rPr>
              <w:t>42F</w:t>
            </w:r>
            <w:r w:rsidR="00AC0D7D">
              <w:rPr>
                <w:rStyle w:val="FootnoteReference"/>
              </w:rPr>
              <w:footnoteReference w:id="45"/>
            </w:r>
            <w:r w:rsidR="00AC0D7D" w:rsidRPr="00430F6E">
              <w:t xml:space="preserve"> </w:t>
            </w:r>
          </w:p>
          <w:p w14:paraId="4ABC0F84" w14:textId="73A3AFD6" w:rsidR="009414E0" w:rsidRPr="003651CE" w:rsidRDefault="009414E0" w:rsidP="009414E0">
            <w:pPr>
              <w:pStyle w:val="TableNBullet"/>
              <w:cnfStyle w:val="000000000000" w:firstRow="0" w:lastRow="0" w:firstColumn="0" w:lastColumn="0" w:oddVBand="0" w:evenVBand="0" w:oddHBand="0" w:evenHBand="0" w:firstRowFirstColumn="0" w:firstRowLastColumn="0" w:lastRowFirstColumn="0" w:lastRowLastColumn="0"/>
              <w:rPr>
                <w:rFonts w:cstheme="minorBidi"/>
              </w:rPr>
            </w:pPr>
            <w:r>
              <w:t>For grant recipients, a culture of learning</w:t>
            </w:r>
            <w:r w:rsidRPr="0050456E">
              <w:t xml:space="preserve"> and </w:t>
            </w:r>
            <w:r>
              <w:t xml:space="preserve">sharing supports continuous feedback loops to foster continuous improvement such as through effective use of local data and evaluation across the lifecycle of the </w:t>
            </w:r>
            <w:r w:rsidRPr="0050456E">
              <w:t>program</w:t>
            </w:r>
            <w:r w:rsidR="0025023C">
              <w:t>,</w:t>
            </w:r>
            <w:r w:rsidRPr="0050456E">
              <w:t xml:space="preserve"> </w:t>
            </w:r>
            <w:r>
              <w:t>not only at the completion.</w:t>
            </w:r>
            <w:r w:rsidR="002B29BE">
              <w:rPr>
                <w:rFonts w:ascii="ZWAdobeF" w:hAnsi="ZWAdobeF" w:cs="ZWAdobeF"/>
                <w:sz w:val="2"/>
                <w:szCs w:val="2"/>
              </w:rPr>
              <w:t>43F</w:t>
            </w:r>
            <w:r>
              <w:rPr>
                <w:rStyle w:val="FootnoteReference"/>
              </w:rPr>
              <w:footnoteReference w:id="46"/>
            </w:r>
          </w:p>
        </w:tc>
        <w:tc>
          <w:tcPr>
            <w:tcW w:w="2081" w:type="pct"/>
            <w:tcBorders>
              <w:top w:val="single" w:sz="8" w:space="0" w:color="E6E6E1" w:themeColor="accent5"/>
              <w:bottom w:val="single" w:sz="8" w:space="0" w:color="E6E6E1" w:themeColor="accent5"/>
            </w:tcBorders>
          </w:tcPr>
          <w:p w14:paraId="2BAC062F" w14:textId="77777777" w:rsidR="009414E0" w:rsidRPr="00D745D3"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rPr>
            </w:pPr>
            <w:r w:rsidRPr="00D745D3">
              <w:rPr>
                <w:rFonts w:asciiTheme="majorHAnsi" w:hAnsiTheme="majorHAnsi" w:cstheme="majorHAnsi"/>
                <w:color w:val="00264D" w:themeColor="background2"/>
              </w:rPr>
              <w:lastRenderedPageBreak/>
              <w:t>Program design supported evaluation, however there was no mechanism to share or use findings.</w:t>
            </w:r>
          </w:p>
          <w:p w14:paraId="0175FAA4" w14:textId="699DA154" w:rsidR="009414E0" w:rsidRDefault="009414E0">
            <w:pPr>
              <w:pStyle w:val="TableNText"/>
              <w:cnfStyle w:val="000000000000" w:firstRow="0" w:lastRow="0" w:firstColumn="0" w:lastColumn="0" w:oddVBand="0" w:evenVBand="0" w:oddHBand="0" w:evenHBand="0" w:firstRowFirstColumn="0" w:firstRowLastColumn="0" w:lastRowFirstColumn="0" w:lastRowLastColumn="0"/>
            </w:pPr>
            <w:r>
              <w:t>Grant recipients could spend up to 7.5 per cent of their total grant on evaluation.</w:t>
            </w:r>
            <w:r w:rsidR="002B29BE">
              <w:rPr>
                <w:rFonts w:ascii="ZWAdobeF" w:hAnsi="ZWAdobeF" w:cs="ZWAdobeF"/>
                <w:sz w:val="2"/>
                <w:szCs w:val="2"/>
              </w:rPr>
              <w:t>44F</w:t>
            </w:r>
            <w:r>
              <w:rPr>
                <w:rStyle w:val="FootnoteReference"/>
              </w:rPr>
              <w:footnoteReference w:id="47"/>
            </w:r>
            <w:r>
              <w:t xml:space="preserve"> This encourages</w:t>
            </w:r>
            <w:r w:rsidRPr="00883C1C">
              <w:t xml:space="preserve"> participants to track and measure their </w:t>
            </w:r>
            <w:r w:rsidRPr="00883C1C">
              <w:lastRenderedPageBreak/>
              <w:t>outcomes to gain new funding or inform future service delivery</w:t>
            </w:r>
            <w:r>
              <w:t xml:space="preserve">. However, the design of </w:t>
            </w:r>
            <w:r w:rsidR="00A90E98">
              <w:t>SARC – IC</w:t>
            </w:r>
            <w:r>
              <w:t xml:space="preserve"> did not include: </w:t>
            </w:r>
          </w:p>
          <w:p w14:paraId="261D1695" w14:textId="582BC60B" w:rsidR="009414E0" w:rsidRPr="00CA215C" w:rsidRDefault="009414E0">
            <w:pPr>
              <w:pStyle w:val="TableNBulle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A215C">
              <w:t>A mechanism to share learnings between grant recipients during delivery or following an evaluation</w:t>
            </w:r>
            <w:r w:rsidR="00F417EB" w:rsidRPr="00CA215C">
              <w:t>.</w:t>
            </w:r>
          </w:p>
          <w:p w14:paraId="44F82407" w14:textId="7F11B20C" w:rsidR="009414E0" w:rsidRPr="00352A8F" w:rsidRDefault="009414E0" w:rsidP="00352A8F">
            <w:pPr>
              <w:pStyle w:val="TableNBullet"/>
              <w:cnfStyle w:val="000000000000" w:firstRow="0" w:lastRow="0" w:firstColumn="0" w:lastColumn="0" w:oddVBand="0" w:evenVBand="0" w:oddHBand="0" w:evenHBand="0" w:firstRowFirstColumn="0" w:firstRowLastColumn="0" w:lastRowFirstColumn="0" w:lastRowLastColumn="0"/>
            </w:pPr>
            <w:r w:rsidRPr="00352A8F">
              <w:t xml:space="preserve">Support for recipients to use evidence of successful outcomes from the evaluation to access more funding from </w:t>
            </w:r>
            <w:r w:rsidR="005B70F9" w:rsidRPr="00352A8F">
              <w:t xml:space="preserve">the </w:t>
            </w:r>
            <w:r w:rsidR="00660A93" w:rsidRPr="00352A8F">
              <w:t>Department</w:t>
            </w:r>
            <w:r w:rsidRPr="00352A8F">
              <w:t>, other departments, or States and Territories (as discussed below in ‘trialling new approaches’</w:t>
            </w:r>
            <w:r w:rsidR="008401BE" w:rsidRPr="00352A8F">
              <w:t>)</w:t>
            </w:r>
            <w:r w:rsidRPr="00352A8F">
              <w:t xml:space="preserve">. </w:t>
            </w:r>
          </w:p>
        </w:tc>
        <w:tc>
          <w:tcPr>
            <w:tcW w:w="429" w:type="pct"/>
            <w:tcBorders>
              <w:top w:val="single" w:sz="8" w:space="0" w:color="E6E6E1" w:themeColor="accent5"/>
              <w:bottom w:val="single" w:sz="8" w:space="0" w:color="E6E6E1" w:themeColor="accent5"/>
            </w:tcBorders>
          </w:tcPr>
          <w:p w14:paraId="7E8AF3F9" w14:textId="77777777" w:rsidR="009414E0" w:rsidRPr="009B6EF6"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9B6EF6">
              <w:rPr>
                <w:rFonts w:asciiTheme="majorHAnsi" w:hAnsiTheme="majorHAnsi" w:cstheme="majorHAnsi"/>
                <w:color w:val="000000" w:themeColor="text1"/>
                <w:sz w:val="16"/>
                <w:szCs w:val="16"/>
              </w:rPr>
              <w:lastRenderedPageBreak/>
              <w:t>Low</w:t>
            </w:r>
          </w:p>
        </w:tc>
        <w:tc>
          <w:tcPr>
            <w:tcW w:w="381" w:type="pct"/>
            <w:tcBorders>
              <w:top w:val="single" w:sz="8" w:space="0" w:color="E6E6E1" w:themeColor="accent5"/>
              <w:bottom w:val="single" w:sz="8" w:space="0" w:color="E6E6E1" w:themeColor="accent5"/>
            </w:tcBorders>
          </w:tcPr>
          <w:p w14:paraId="33BE8E4B" w14:textId="77777777" w:rsidR="009414E0" w:rsidRPr="009B6EF6" w:rsidRDefault="009414E0">
            <w:pPr>
              <w:pStyle w:val="TableNT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rPr>
            </w:pPr>
            <w:r w:rsidRPr="009B6EF6">
              <w:rPr>
                <w:rFonts w:asciiTheme="majorHAnsi" w:hAnsiTheme="majorHAnsi" w:cstheme="majorHAnsi"/>
                <w:color w:val="000000" w:themeColor="text1"/>
                <w:sz w:val="16"/>
                <w:szCs w:val="16"/>
              </w:rPr>
              <w:t>Low</w:t>
            </w:r>
          </w:p>
        </w:tc>
      </w:tr>
    </w:tbl>
    <w:p w14:paraId="02FE8DD8" w14:textId="77777777" w:rsidR="003B3F79" w:rsidRDefault="003B3F79">
      <w:pPr>
        <w:spacing w:after="160"/>
        <w:sectPr w:rsidR="003B3F79" w:rsidSect="00843748">
          <w:pgSz w:w="16839" w:h="11907" w:orient="landscape" w:code="9"/>
          <w:pgMar w:top="1361" w:right="1361" w:bottom="1361" w:left="1361" w:header="720" w:footer="720" w:gutter="0"/>
          <w:cols w:space="720"/>
          <w:docGrid w:linePitch="360"/>
        </w:sectPr>
      </w:pPr>
    </w:p>
    <w:p w14:paraId="7A9444CC" w14:textId="77777777" w:rsidR="00A350B4" w:rsidRPr="00A350B4" w:rsidRDefault="001265F1" w:rsidP="00BE55F7">
      <w:pPr>
        <w:pStyle w:val="Heading4"/>
      </w:pPr>
      <w:r>
        <w:lastRenderedPageBreak/>
        <w:t>Literature shows that e</w:t>
      </w:r>
      <w:r w:rsidRPr="001265F1">
        <w:t>ffective</w:t>
      </w:r>
      <w:r w:rsidR="002F4725" w:rsidRPr="00E852EF">
        <w:t xml:space="preserve"> approaches </w:t>
      </w:r>
      <w:r w:rsidRPr="001265F1">
        <w:t>differ</w:t>
      </w:r>
      <w:r w:rsidR="002F4725">
        <w:t xml:space="preserve"> </w:t>
      </w:r>
      <w:r w:rsidR="00F2087F">
        <w:t>across target cohorts</w:t>
      </w:r>
      <w:r w:rsidRPr="001265F1">
        <w:t xml:space="preserve"> because the </w:t>
      </w:r>
      <w:r w:rsidR="008E045C" w:rsidRPr="00E852EF">
        <w:t>drivers of social and economic exclusion</w:t>
      </w:r>
      <w:r w:rsidRPr="001265F1">
        <w:t xml:space="preserve"> vary</w:t>
      </w:r>
    </w:p>
    <w:p w14:paraId="25204232" w14:textId="306F89F4" w:rsidR="009414E0" w:rsidRDefault="00772FD9" w:rsidP="009414E0">
      <w:r>
        <w:fldChar w:fldCharType="begin" w:fldLock="1"/>
      </w:r>
      <w:r>
        <w:instrText xml:space="preserve"> REF _Ref216882659 \h </w:instrText>
      </w:r>
      <w:r>
        <w:fldChar w:fldCharType="separate"/>
      </w:r>
      <w:r>
        <w:t xml:space="preserve">Table </w:t>
      </w:r>
      <w:r>
        <w:rPr>
          <w:noProof/>
        </w:rPr>
        <w:t>4</w:t>
      </w:r>
      <w:r>
        <w:fldChar w:fldCharType="end"/>
      </w:r>
      <w:r>
        <w:t xml:space="preserve"> </w:t>
      </w:r>
      <w:r w:rsidR="009414E0">
        <w:t>below sets out the key features for pro</w:t>
      </w:r>
      <w:r w:rsidR="00D970DB">
        <w:t>jects</w:t>
      </w:r>
      <w:r w:rsidR="009414E0">
        <w:t xml:space="preserve"> that provide effective support for each of the target </w:t>
      </w:r>
      <w:r>
        <w:t>cohorts and</w:t>
      </w:r>
      <w:r w:rsidR="009414E0">
        <w:t xml:space="preserve"> assesses SARC</w:t>
      </w:r>
      <w:r w:rsidR="00191A34">
        <w:t xml:space="preserve"> – </w:t>
      </w:r>
      <w:r w:rsidR="009414E0">
        <w:t xml:space="preserve">IC’s alignment to these features. These design elements have been informed by a literature review incorporating meta-analyses, systemic reviews, single studies and discussion papers. More detail on good practice supports for each cohort can be found </w:t>
      </w:r>
      <w:r w:rsidR="009414E0" w:rsidRPr="001E6131">
        <w:t>in</w:t>
      </w:r>
      <w:r w:rsidR="00CE7130">
        <w:t xml:space="preserve"> </w:t>
      </w:r>
      <w:r w:rsidR="00A03334">
        <w:fldChar w:fldCharType="begin" w:fldLock="1"/>
      </w:r>
      <w:r w:rsidR="00A03334">
        <w:instrText xml:space="preserve"> REF _Ref216882729 \r \h </w:instrText>
      </w:r>
      <w:r w:rsidR="00A03334">
        <w:fldChar w:fldCharType="separate"/>
      </w:r>
      <w:r w:rsidR="00A03334">
        <w:t>Appendix F</w:t>
      </w:r>
      <w:r w:rsidR="00A03334">
        <w:fldChar w:fldCharType="end"/>
      </w:r>
      <w:r w:rsidR="009414E0" w:rsidRPr="001E6131">
        <w:t>.</w:t>
      </w:r>
      <w:r w:rsidR="009414E0">
        <w:t xml:space="preserve"> </w:t>
      </w:r>
    </w:p>
    <w:p w14:paraId="61983AEC" w14:textId="08CEB11A" w:rsidR="009414E0" w:rsidRDefault="009414E0" w:rsidP="009414E0">
      <w:pPr>
        <w:pStyle w:val="Caption"/>
        <w:rPr>
          <w:lang w:eastAsia="en-AU"/>
        </w:rPr>
      </w:pPr>
      <w:bookmarkStart w:id="35" w:name="_Ref216882659"/>
      <w:r>
        <w:t xml:space="preserve">Table </w:t>
      </w:r>
      <w:r>
        <w:fldChar w:fldCharType="begin"/>
      </w:r>
      <w:r>
        <w:instrText xml:space="preserve"> SEQ Table \* ARABIC </w:instrText>
      </w:r>
      <w:r>
        <w:fldChar w:fldCharType="separate"/>
      </w:r>
      <w:r w:rsidR="00B666D1">
        <w:rPr>
          <w:noProof/>
        </w:rPr>
        <w:t>5</w:t>
      </w:r>
      <w:r>
        <w:fldChar w:fldCharType="end"/>
      </w:r>
      <w:bookmarkEnd w:id="35"/>
      <w:r>
        <w:t xml:space="preserve"> | </w:t>
      </w:r>
      <w:r w:rsidRPr="00D034AD">
        <w:t>Assessment of SARC</w:t>
      </w:r>
      <w:r w:rsidR="00622B26">
        <w:t xml:space="preserve"> – </w:t>
      </w:r>
      <w:r w:rsidRPr="00D034AD">
        <w:t xml:space="preserve">IC against </w:t>
      </w:r>
      <w:r>
        <w:t xml:space="preserve">cohort </w:t>
      </w:r>
      <w:r w:rsidRPr="00D034AD">
        <w:t>best practice</w:t>
      </w:r>
    </w:p>
    <w:tbl>
      <w:tblPr>
        <w:tblStyle w:val="NousTableStyletopandsideheading"/>
        <w:tblpPr w:leftFromText="180" w:rightFromText="180" w:vertAnchor="text" w:tblpY="1"/>
        <w:tblOverlap w:val="never"/>
        <w:tblW w:w="5170" w:type="pct"/>
        <w:tblLook w:val="04A0" w:firstRow="1" w:lastRow="0" w:firstColumn="1" w:lastColumn="0" w:noHBand="0" w:noVBand="1"/>
      </w:tblPr>
      <w:tblGrid>
        <w:gridCol w:w="1195"/>
        <w:gridCol w:w="2452"/>
        <w:gridCol w:w="4716"/>
        <w:gridCol w:w="1134"/>
      </w:tblGrid>
      <w:tr w:rsidR="003416A6" w14:paraId="763E1CBE" w14:textId="77777777" w:rsidTr="001258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9" w:type="pct"/>
            <w:tcBorders>
              <w:top w:val="nil"/>
              <w:bottom w:val="single" w:sz="8" w:space="0" w:color="F9F9F9"/>
            </w:tcBorders>
            <w:shd w:val="clear" w:color="auto" w:fill="00264D" w:themeFill="background2"/>
          </w:tcPr>
          <w:p w14:paraId="281969DF" w14:textId="77777777" w:rsidR="009414E0" w:rsidRPr="00213126" w:rsidRDefault="009414E0">
            <w:pPr>
              <w:pStyle w:val="TableNheader"/>
              <w:rPr>
                <w:color w:val="FFFFFF" w:themeColor="background1"/>
              </w:rPr>
            </w:pPr>
            <w:r>
              <w:rPr>
                <w:color w:val="FFFFFF" w:themeColor="background1"/>
              </w:rPr>
              <w:t>Cohort</w:t>
            </w:r>
            <w:r w:rsidRPr="00213126">
              <w:rPr>
                <w:color w:val="FFFFFF" w:themeColor="background1"/>
              </w:rPr>
              <w:t xml:space="preserve"> </w:t>
            </w:r>
          </w:p>
        </w:tc>
        <w:tc>
          <w:tcPr>
            <w:tcW w:w="1291" w:type="pct"/>
            <w:tcBorders>
              <w:top w:val="nil"/>
              <w:bottom w:val="single" w:sz="8" w:space="0" w:color="F9F9F9"/>
            </w:tcBorders>
            <w:shd w:val="clear" w:color="auto" w:fill="00264D" w:themeFill="background2"/>
          </w:tcPr>
          <w:p w14:paraId="71FF4655" w14:textId="5B82936E" w:rsidR="009414E0" w:rsidRPr="00213126" w:rsidRDefault="009414E0">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Literature on effective pro</w:t>
            </w:r>
            <w:r w:rsidR="00192200">
              <w:rPr>
                <w:color w:val="FFFFFF" w:themeColor="background1"/>
              </w:rPr>
              <w:t>ject</w:t>
            </w:r>
            <w:r>
              <w:rPr>
                <w:color w:val="FFFFFF" w:themeColor="background1"/>
              </w:rPr>
              <w:t>s</w:t>
            </w:r>
          </w:p>
        </w:tc>
        <w:tc>
          <w:tcPr>
            <w:tcW w:w="2483" w:type="pct"/>
            <w:tcBorders>
              <w:top w:val="nil"/>
              <w:bottom w:val="single" w:sz="8" w:space="0" w:color="F9F9F9"/>
            </w:tcBorders>
            <w:shd w:val="clear" w:color="auto" w:fill="00264D" w:themeFill="background2"/>
          </w:tcPr>
          <w:p w14:paraId="693A1F2A" w14:textId="09E31A4E" w:rsidR="009414E0" w:rsidRPr="00213126" w:rsidRDefault="009414E0">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rPr>
            </w:pPr>
            <w:r w:rsidRPr="00213126">
              <w:rPr>
                <w:color w:val="FFFFFF" w:themeColor="background1"/>
              </w:rPr>
              <w:t>SARC</w:t>
            </w:r>
            <w:r w:rsidR="008C3231">
              <w:rPr>
                <w:color w:val="FFFFFF" w:themeColor="background1"/>
              </w:rPr>
              <w:t xml:space="preserve"> – </w:t>
            </w:r>
            <w:r w:rsidRPr="00213126">
              <w:rPr>
                <w:color w:val="FFFFFF" w:themeColor="background1"/>
              </w:rPr>
              <w:t>IC alignment with best practice</w:t>
            </w:r>
          </w:p>
        </w:tc>
        <w:tc>
          <w:tcPr>
            <w:tcW w:w="597" w:type="pct"/>
            <w:tcBorders>
              <w:top w:val="nil"/>
              <w:bottom w:val="single" w:sz="8" w:space="0" w:color="F9F9F9"/>
            </w:tcBorders>
            <w:shd w:val="clear" w:color="auto" w:fill="00264D" w:themeFill="background2"/>
          </w:tcPr>
          <w:p w14:paraId="75CA8ADC" w14:textId="77777777" w:rsidR="009414E0" w:rsidRPr="00213126" w:rsidRDefault="009414E0">
            <w:pPr>
              <w:pStyle w:val="TableNhead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 xml:space="preserve">Level </w:t>
            </w:r>
          </w:p>
        </w:tc>
      </w:tr>
      <w:tr w:rsidR="00A828C7" w14:paraId="78AEB1B5" w14:textId="77777777" w:rsidTr="003C76C3">
        <w:tc>
          <w:tcPr>
            <w:cnfStyle w:val="001000000000" w:firstRow="0" w:lastRow="0" w:firstColumn="1" w:lastColumn="0" w:oddVBand="0" w:evenVBand="0" w:oddHBand="0" w:evenHBand="0" w:firstRowFirstColumn="0" w:firstRowLastColumn="0" w:lastRowFirstColumn="0" w:lastRowLastColumn="0"/>
            <w:tcW w:w="629" w:type="pct"/>
            <w:tcBorders>
              <w:top w:val="single" w:sz="8" w:space="0" w:color="F9F9F9"/>
            </w:tcBorders>
          </w:tcPr>
          <w:p w14:paraId="47E1AAEC" w14:textId="77777777" w:rsidR="009414E0" w:rsidRDefault="009414E0">
            <w:pPr>
              <w:pStyle w:val="TableNheader"/>
              <w:jc w:val="left"/>
            </w:pPr>
            <w:r w:rsidRPr="0081121D">
              <w:rPr>
                <w:noProof/>
              </w:rPr>
              <w:drawing>
                <wp:inline distT="0" distB="0" distL="0" distR="0" wp14:anchorId="7ED7964B" wp14:editId="5A218EEF">
                  <wp:extent cx="520550" cy="520550"/>
                  <wp:effectExtent l="0" t="0" r="0" b="0"/>
                  <wp:docPr id="20" name="Graphic 19">
                    <a:extLst xmlns:a="http://schemas.openxmlformats.org/drawingml/2006/main">
                      <a:ext uri="{FF2B5EF4-FFF2-40B4-BE49-F238E27FC236}">
                        <a16:creationId xmlns:a16="http://schemas.microsoft.com/office/drawing/2014/main" id="{2DF316D3-ED7A-63C3-B4DD-F59423F93C3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9">
                            <a:extLst>
                              <a:ext uri="{FF2B5EF4-FFF2-40B4-BE49-F238E27FC236}">
                                <a16:creationId xmlns:a16="http://schemas.microsoft.com/office/drawing/2014/main" id="{2DF316D3-ED7A-63C3-B4DD-F59423F93C3B}"/>
                              </a:ext>
                              <a:ext uri="{C183D7F6-B498-43B3-948B-1728B52AA6E4}">
                                <adec:decorative xmlns:adec="http://schemas.microsoft.com/office/drawing/2017/decorative" val="1"/>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20550" cy="520550"/>
                          </a:xfrm>
                          <a:prstGeom prst="rect">
                            <a:avLst/>
                          </a:prstGeom>
                        </pic:spPr>
                      </pic:pic>
                    </a:graphicData>
                  </a:graphic>
                </wp:inline>
              </w:drawing>
            </w:r>
          </w:p>
          <w:p w14:paraId="3766E9FD" w14:textId="77777777" w:rsidR="009414E0" w:rsidRDefault="009414E0">
            <w:pPr>
              <w:pStyle w:val="TableNheader"/>
              <w:jc w:val="left"/>
            </w:pPr>
            <w:r>
              <w:t>Young people who are disengaged or at risk of disengaging</w:t>
            </w:r>
          </w:p>
        </w:tc>
        <w:tc>
          <w:tcPr>
            <w:tcW w:w="1291" w:type="pct"/>
            <w:tcBorders>
              <w:top w:val="single" w:sz="8" w:space="0" w:color="F9F9F9"/>
            </w:tcBorders>
          </w:tcPr>
          <w:p w14:paraId="022B68FA" w14:textId="77777777"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Offer multiple, holistic supports including training, placements, social-skill development and counselling</w:t>
            </w:r>
          </w:p>
          <w:p w14:paraId="5666FF08" w14:textId="77777777"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Address underlying issues beyond the curriculum</w:t>
            </w:r>
          </w:p>
          <w:p w14:paraId="4852C94C" w14:textId="581E851F"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Link and integrate support at key transition periods, particularly from school to work</w:t>
            </w:r>
          </w:p>
        </w:tc>
        <w:tc>
          <w:tcPr>
            <w:tcW w:w="2483" w:type="pct"/>
            <w:tcBorders>
              <w:top w:val="single" w:sz="8" w:space="0" w:color="F9F9F9"/>
              <w:bottom w:val="single" w:sz="8" w:space="0" w:color="E6E6E1" w:themeColor="accent5"/>
            </w:tcBorders>
          </w:tcPr>
          <w:p w14:paraId="2B014EF7" w14:textId="144AE594"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12584A">
              <w:rPr>
                <w:rFonts w:asciiTheme="majorHAnsi" w:hAnsiTheme="majorHAnsi" w:cstheme="majorHAnsi"/>
                <w:color w:val="000000" w:themeColor="text1"/>
              </w:rPr>
              <w:t>Many pro</w:t>
            </w:r>
            <w:r w:rsidR="009006AC">
              <w:rPr>
                <w:rFonts w:asciiTheme="majorHAnsi" w:hAnsiTheme="majorHAnsi" w:cstheme="majorHAnsi"/>
                <w:color w:val="000000" w:themeColor="text1"/>
              </w:rPr>
              <w:t>ject</w:t>
            </w:r>
            <w:r w:rsidRPr="0012584A">
              <w:rPr>
                <w:rFonts w:asciiTheme="majorHAnsi" w:hAnsiTheme="majorHAnsi" w:cstheme="majorHAnsi"/>
                <w:color w:val="000000" w:themeColor="text1"/>
              </w:rPr>
              <w:t>s for young people aimed to enhance skills, link to employment and training</w:t>
            </w:r>
            <w:r w:rsidR="00CF16CE" w:rsidRPr="0012584A">
              <w:rPr>
                <w:rFonts w:asciiTheme="majorHAnsi" w:hAnsiTheme="majorHAnsi" w:cstheme="majorHAnsi"/>
                <w:color w:val="000000" w:themeColor="text1"/>
              </w:rPr>
              <w:t>,</w:t>
            </w:r>
            <w:r w:rsidRPr="0012584A">
              <w:rPr>
                <w:rFonts w:asciiTheme="majorHAnsi" w:hAnsiTheme="majorHAnsi" w:cstheme="majorHAnsi"/>
                <w:color w:val="000000" w:themeColor="text1"/>
              </w:rPr>
              <w:t xml:space="preserve"> and holistically address the underlying drivers of disengagement.</w:t>
            </w:r>
          </w:p>
          <w:p w14:paraId="6C3F11D9" w14:textId="690305A7"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Pro</w:t>
            </w:r>
            <w:r w:rsidR="0044380B">
              <w:rPr>
                <w:color w:val="000000" w:themeColor="text1"/>
              </w:rPr>
              <w:t>ject</w:t>
            </w:r>
            <w:r w:rsidRPr="0012584A">
              <w:rPr>
                <w:color w:val="000000" w:themeColor="text1"/>
              </w:rPr>
              <w:t xml:space="preserve">s emphasised transitioning students from school to the workforce by improving work readiness and facilitating placements. Many also targeted the underlying causes of disengagement by addressing factors beyond the school setting, such as </w:t>
            </w:r>
            <w:r w:rsidR="00007482" w:rsidRPr="0012584A">
              <w:rPr>
                <w:color w:val="000000" w:themeColor="text1"/>
              </w:rPr>
              <w:t>wellbeing</w:t>
            </w:r>
            <w:r w:rsidRPr="0012584A">
              <w:rPr>
                <w:color w:val="000000" w:themeColor="text1"/>
              </w:rPr>
              <w:t xml:space="preserve">, healing, transportation, and cultural connection. Furthermore, </w:t>
            </w:r>
            <w:r w:rsidR="00270490" w:rsidRPr="00585438">
              <w:rPr>
                <w:color w:val="000000" w:themeColor="text1"/>
              </w:rPr>
              <w:t>the design of the pro</w:t>
            </w:r>
            <w:r w:rsidR="008A455A">
              <w:rPr>
                <w:color w:val="000000" w:themeColor="text1"/>
              </w:rPr>
              <w:t>ject</w:t>
            </w:r>
            <w:r w:rsidR="00270490" w:rsidRPr="00585438">
              <w:rPr>
                <w:color w:val="000000" w:themeColor="text1"/>
              </w:rPr>
              <w:t>s included</w:t>
            </w:r>
            <w:r w:rsidRPr="0012584A">
              <w:rPr>
                <w:color w:val="000000" w:themeColor="text1"/>
              </w:rPr>
              <w:t xml:space="preserve"> referrals and outreach to complementary support services that would help the young person holistically. </w:t>
            </w:r>
          </w:p>
        </w:tc>
        <w:tc>
          <w:tcPr>
            <w:tcW w:w="597" w:type="pct"/>
            <w:tcBorders>
              <w:top w:val="single" w:sz="8" w:space="0" w:color="F9F9F9"/>
              <w:bottom w:val="single" w:sz="8" w:space="0" w:color="E6E6E1" w:themeColor="accent5"/>
            </w:tcBorders>
          </w:tcPr>
          <w:p w14:paraId="4A9CB3E8" w14:textId="77777777" w:rsidR="009414E0" w:rsidRPr="0012584A" w:rsidRDefault="009414E0">
            <w:pPr>
              <w:pStyle w:val="TableNheader"/>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High</w:t>
            </w:r>
          </w:p>
        </w:tc>
      </w:tr>
      <w:tr w:rsidR="00A828C7" w14:paraId="4427B61F" w14:textId="77777777" w:rsidTr="003C76C3">
        <w:tc>
          <w:tcPr>
            <w:cnfStyle w:val="001000000000" w:firstRow="0" w:lastRow="0" w:firstColumn="1" w:lastColumn="0" w:oddVBand="0" w:evenVBand="0" w:oddHBand="0" w:evenHBand="0" w:firstRowFirstColumn="0" w:firstRowLastColumn="0" w:lastRowFirstColumn="0" w:lastRowLastColumn="0"/>
            <w:tcW w:w="629" w:type="pct"/>
          </w:tcPr>
          <w:p w14:paraId="60E45235" w14:textId="77777777" w:rsidR="009414E0" w:rsidRDefault="009414E0">
            <w:pPr>
              <w:pStyle w:val="TableNheader"/>
              <w:jc w:val="left"/>
            </w:pPr>
            <w:r w:rsidRPr="00967EB0">
              <w:rPr>
                <w:noProof/>
              </w:rPr>
              <w:drawing>
                <wp:inline distT="0" distB="0" distL="0" distR="0" wp14:anchorId="34455BD2" wp14:editId="315E2A02">
                  <wp:extent cx="484274" cy="484274"/>
                  <wp:effectExtent l="0" t="0" r="0" b="0"/>
                  <wp:docPr id="22" name="Graphic 21">
                    <a:extLst xmlns:a="http://schemas.openxmlformats.org/drawingml/2006/main">
                      <a:ext uri="{FF2B5EF4-FFF2-40B4-BE49-F238E27FC236}">
                        <a16:creationId xmlns:a16="http://schemas.microsoft.com/office/drawing/2014/main" id="{74FADA50-EA00-56A5-3CEB-14D2A76E3E9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1">
                            <a:extLst>
                              <a:ext uri="{FF2B5EF4-FFF2-40B4-BE49-F238E27FC236}">
                                <a16:creationId xmlns:a16="http://schemas.microsoft.com/office/drawing/2014/main" id="{74FADA50-EA00-56A5-3CEB-14D2A76E3E9F}"/>
                              </a:ext>
                              <a:ext uri="{C183D7F6-B498-43B3-948B-1728B52AA6E4}">
                                <adec:decorative xmlns:adec="http://schemas.microsoft.com/office/drawing/2017/decorative" val="1"/>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84274" cy="484274"/>
                          </a:xfrm>
                          <a:prstGeom prst="rect">
                            <a:avLst/>
                          </a:prstGeom>
                        </pic:spPr>
                      </pic:pic>
                    </a:graphicData>
                  </a:graphic>
                </wp:inline>
              </w:drawing>
            </w:r>
          </w:p>
          <w:p w14:paraId="323292FF" w14:textId="77777777" w:rsidR="009414E0" w:rsidRDefault="009414E0">
            <w:pPr>
              <w:pStyle w:val="TableNheader"/>
              <w:jc w:val="left"/>
            </w:pPr>
            <w:r>
              <w:t xml:space="preserve">Tailoring to vulnerable women </w:t>
            </w:r>
          </w:p>
        </w:tc>
        <w:tc>
          <w:tcPr>
            <w:tcW w:w="1291" w:type="pct"/>
          </w:tcPr>
          <w:p w14:paraId="593E0F03" w14:textId="40096AD6"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Address barriers to pro</w:t>
            </w:r>
            <w:r w:rsidR="00A279C8" w:rsidRPr="003C76C3">
              <w:t>ject</w:t>
            </w:r>
            <w:r w:rsidRPr="003C76C3">
              <w:t xml:space="preserve"> access and entry (e.g. transport and childcare)</w:t>
            </w:r>
          </w:p>
          <w:p w14:paraId="3CD2BFC8" w14:textId="77777777"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Create women only spaces</w:t>
            </w:r>
          </w:p>
          <w:p w14:paraId="7C141F63" w14:textId="25E5D041"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Provide holistic support to refugee women</w:t>
            </w:r>
          </w:p>
        </w:tc>
        <w:tc>
          <w:tcPr>
            <w:tcW w:w="2483" w:type="pct"/>
            <w:tcBorders>
              <w:top w:val="single" w:sz="8" w:space="0" w:color="E6E6E1" w:themeColor="accent5"/>
              <w:bottom w:val="single" w:sz="8" w:space="0" w:color="E6E6E1" w:themeColor="accent5"/>
            </w:tcBorders>
          </w:tcPr>
          <w:p w14:paraId="2B0520F6" w14:textId="1FB3EBED"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12584A">
              <w:rPr>
                <w:rFonts w:asciiTheme="majorHAnsi" w:hAnsiTheme="majorHAnsi" w:cstheme="majorHAnsi"/>
                <w:color w:val="000000" w:themeColor="text1"/>
              </w:rPr>
              <w:t xml:space="preserve">Women-only support groups were </w:t>
            </w:r>
            <w:r w:rsidR="00F02DEA" w:rsidRPr="0012584A">
              <w:rPr>
                <w:rFonts w:asciiTheme="majorHAnsi" w:hAnsiTheme="majorHAnsi" w:cstheme="majorHAnsi"/>
                <w:color w:val="000000" w:themeColor="text1"/>
              </w:rPr>
              <w:t>common and</w:t>
            </w:r>
            <w:r w:rsidRPr="0012584A">
              <w:rPr>
                <w:rFonts w:asciiTheme="majorHAnsi" w:hAnsiTheme="majorHAnsi" w:cstheme="majorHAnsi"/>
                <w:color w:val="000000" w:themeColor="text1"/>
              </w:rPr>
              <w:t xml:space="preserve"> tailored to enable women to manage caring responsibilities.</w:t>
            </w:r>
          </w:p>
          <w:p w14:paraId="7ECE4AEA" w14:textId="058AA15C" w:rsidR="009414E0" w:rsidRPr="0012584A" w:rsidRDefault="00270490">
            <w:pPr>
              <w:pStyle w:val="TableNTex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The design of these</w:t>
            </w:r>
            <w:r w:rsidR="009414E0" w:rsidRPr="0012584A">
              <w:rPr>
                <w:color w:val="000000" w:themeColor="text1"/>
              </w:rPr>
              <w:t xml:space="preserve"> pro</w:t>
            </w:r>
            <w:r w:rsidR="001E2C73">
              <w:rPr>
                <w:color w:val="000000" w:themeColor="text1"/>
              </w:rPr>
              <w:t>ject</w:t>
            </w:r>
            <w:r w:rsidR="009414E0" w:rsidRPr="0012584A">
              <w:rPr>
                <w:color w:val="000000" w:themeColor="text1"/>
              </w:rPr>
              <w:t>s often enabled women to learn skills and knowledge</w:t>
            </w:r>
            <w:r w:rsidR="00DD4C6F" w:rsidRPr="0012584A">
              <w:rPr>
                <w:color w:val="000000" w:themeColor="text1"/>
              </w:rPr>
              <w:t>,</w:t>
            </w:r>
            <w:r w:rsidR="009414E0" w:rsidRPr="0012584A">
              <w:rPr>
                <w:color w:val="000000" w:themeColor="text1"/>
              </w:rPr>
              <w:t xml:space="preserve"> and receive support inside and outside their homes, for themselves and their families. Many included peer-support and mentor</w:t>
            </w:r>
            <w:r>
              <w:rPr>
                <w:color w:val="000000" w:themeColor="text1"/>
              </w:rPr>
              <w:t xml:space="preserve"> elements</w:t>
            </w:r>
            <w:r w:rsidR="009414E0" w:rsidRPr="0012584A">
              <w:rPr>
                <w:color w:val="000000" w:themeColor="text1"/>
              </w:rPr>
              <w:t xml:space="preserve">, and were flexible in design, both in terms of content covered and logistics. </w:t>
            </w:r>
          </w:p>
        </w:tc>
        <w:tc>
          <w:tcPr>
            <w:tcW w:w="597" w:type="pct"/>
            <w:tcBorders>
              <w:top w:val="single" w:sz="8" w:space="0" w:color="E6E6E1" w:themeColor="accent5"/>
              <w:bottom w:val="single" w:sz="8" w:space="0" w:color="E6E6E1" w:themeColor="accent5"/>
            </w:tcBorders>
          </w:tcPr>
          <w:p w14:paraId="4B1CF323" w14:textId="77777777" w:rsidR="009414E0" w:rsidRPr="0012584A" w:rsidRDefault="009414E0">
            <w:pPr>
              <w:pStyle w:val="TableNheader"/>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High</w:t>
            </w:r>
          </w:p>
          <w:p w14:paraId="30A85092" w14:textId="77777777" w:rsidR="009414E0" w:rsidRPr="0012584A" w:rsidRDefault="009414E0">
            <w:pPr>
              <w:pStyle w:val="TableNhead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00000" w:themeColor="text1"/>
              </w:rPr>
            </w:pPr>
            <w:r w:rsidRPr="0012584A">
              <w:rPr>
                <w:rFonts w:asciiTheme="minorHAnsi" w:hAnsiTheme="minorHAnsi" w:cstheme="minorHAnsi"/>
                <w:i/>
                <w:iCs/>
                <w:color w:val="000000" w:themeColor="text1"/>
              </w:rPr>
              <w:t>Note: literature is limited for this cohort.</w:t>
            </w:r>
          </w:p>
        </w:tc>
      </w:tr>
      <w:tr w:rsidR="00A828C7" w14:paraId="37D22974" w14:textId="77777777" w:rsidTr="003C76C3">
        <w:tc>
          <w:tcPr>
            <w:cnfStyle w:val="001000000000" w:firstRow="0" w:lastRow="0" w:firstColumn="1" w:lastColumn="0" w:oddVBand="0" w:evenVBand="0" w:oddHBand="0" w:evenHBand="0" w:firstRowFirstColumn="0" w:firstRowLastColumn="0" w:lastRowFirstColumn="0" w:lastRowLastColumn="0"/>
            <w:tcW w:w="629" w:type="pct"/>
          </w:tcPr>
          <w:p w14:paraId="4282AF3C" w14:textId="77777777" w:rsidR="009414E0" w:rsidRDefault="009414E0">
            <w:pPr>
              <w:pStyle w:val="TableNheader"/>
              <w:jc w:val="left"/>
            </w:pPr>
            <w:r w:rsidRPr="0081121D">
              <w:rPr>
                <w:noProof/>
              </w:rPr>
              <w:drawing>
                <wp:inline distT="0" distB="0" distL="0" distR="0" wp14:anchorId="32EF55AB" wp14:editId="7F61C126">
                  <wp:extent cx="455040" cy="455040"/>
                  <wp:effectExtent l="0" t="0" r="0" b="2540"/>
                  <wp:docPr id="19" name="Graphic 18">
                    <a:extLst xmlns:a="http://schemas.openxmlformats.org/drawingml/2006/main">
                      <a:ext uri="{FF2B5EF4-FFF2-40B4-BE49-F238E27FC236}">
                        <a16:creationId xmlns:a16="http://schemas.microsoft.com/office/drawing/2014/main" id="{6DE40BE5-2970-792F-F3A7-06F6E8FC68F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8">
                            <a:extLst>
                              <a:ext uri="{FF2B5EF4-FFF2-40B4-BE49-F238E27FC236}">
                                <a16:creationId xmlns:a16="http://schemas.microsoft.com/office/drawing/2014/main" id="{6DE40BE5-2970-792F-F3A7-06F6E8FC68F8}"/>
                              </a:ext>
                              <a:ext uri="{C183D7F6-B498-43B3-948B-1728B52AA6E4}">
                                <adec:decorative xmlns:adec="http://schemas.microsoft.com/office/drawing/2017/decorative" val="1"/>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455040" cy="455040"/>
                          </a:xfrm>
                          <a:prstGeom prst="rect">
                            <a:avLst/>
                          </a:prstGeom>
                        </pic:spPr>
                      </pic:pic>
                    </a:graphicData>
                  </a:graphic>
                </wp:inline>
              </w:drawing>
            </w:r>
          </w:p>
          <w:p w14:paraId="2A8960D2" w14:textId="77777777" w:rsidR="009414E0" w:rsidRDefault="009414E0">
            <w:pPr>
              <w:pStyle w:val="TableNheader"/>
              <w:jc w:val="left"/>
            </w:pPr>
            <w:r>
              <w:t>Tailoring to people with disability</w:t>
            </w:r>
          </w:p>
        </w:tc>
        <w:tc>
          <w:tcPr>
            <w:tcW w:w="1291" w:type="pct"/>
          </w:tcPr>
          <w:p w14:paraId="735431D3" w14:textId="77777777"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Support open employment</w:t>
            </w:r>
          </w:p>
          <w:p w14:paraId="00086E2F" w14:textId="7C7306DB"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Design interventions that connect people to activities, and build skills and capacity</w:t>
            </w:r>
          </w:p>
          <w:p w14:paraId="34050D30" w14:textId="77777777" w:rsidR="009414E0"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Employ skilled, empathetic support workers to improve results</w:t>
            </w:r>
          </w:p>
          <w:p w14:paraId="31CAFB5F"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2DBEAF17"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1C0D4B8A"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3961D0D9"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2BE6632A"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33AEC611"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0D98C17E"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197E82E3"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56788FFE"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23F762A8"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17174F20" w14:textId="77777777" w:rsidR="008D1384"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p w14:paraId="2E037D2E" w14:textId="63DAF711" w:rsidR="008D1384" w:rsidRPr="003C76C3" w:rsidRDefault="008D1384" w:rsidP="008F2079">
            <w:pPr>
              <w:pStyle w:val="TableNText"/>
              <w:cnfStyle w:val="000000000000" w:firstRow="0" w:lastRow="0" w:firstColumn="0" w:lastColumn="0" w:oddVBand="0" w:evenVBand="0" w:oddHBand="0" w:evenHBand="0" w:firstRowFirstColumn="0" w:firstRowLastColumn="0" w:lastRowFirstColumn="0" w:lastRowLastColumn="0"/>
            </w:pPr>
          </w:p>
        </w:tc>
        <w:tc>
          <w:tcPr>
            <w:tcW w:w="2483" w:type="pct"/>
            <w:tcBorders>
              <w:top w:val="single" w:sz="8" w:space="0" w:color="E6E6E1" w:themeColor="accent5"/>
              <w:bottom w:val="single" w:sz="8" w:space="0" w:color="E6E6E1" w:themeColor="accent5"/>
            </w:tcBorders>
          </w:tcPr>
          <w:p w14:paraId="56E60695" w14:textId="512FECC1"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12584A">
              <w:rPr>
                <w:rFonts w:asciiTheme="majorHAnsi" w:hAnsiTheme="majorHAnsi" w:cstheme="majorHAnsi"/>
                <w:color w:val="000000" w:themeColor="text1"/>
              </w:rPr>
              <w:t>Pro</w:t>
            </w:r>
            <w:r w:rsidR="00590D44">
              <w:rPr>
                <w:rFonts w:asciiTheme="majorHAnsi" w:hAnsiTheme="majorHAnsi" w:cstheme="majorHAnsi"/>
                <w:color w:val="000000" w:themeColor="text1"/>
              </w:rPr>
              <w:t>ject</w:t>
            </w:r>
            <w:r w:rsidRPr="0012584A">
              <w:rPr>
                <w:rFonts w:asciiTheme="majorHAnsi" w:hAnsiTheme="majorHAnsi" w:cstheme="majorHAnsi"/>
                <w:color w:val="000000" w:themeColor="text1"/>
              </w:rPr>
              <w:t>s for people with disability were thoughtfully tailored to individual needs, emphasising participation in inclusive environments.</w:t>
            </w:r>
          </w:p>
          <w:p w14:paraId="519756CC" w14:textId="5A446623" w:rsidR="009414E0" w:rsidRPr="0012584A" w:rsidRDefault="00230841">
            <w:pPr>
              <w:pStyle w:val="TableNTex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Pro</w:t>
            </w:r>
            <w:r w:rsidR="00275664">
              <w:rPr>
                <w:color w:val="000000" w:themeColor="text1"/>
              </w:rPr>
              <w:t>ject</w:t>
            </w:r>
            <w:r>
              <w:rPr>
                <w:color w:val="000000" w:themeColor="text1"/>
              </w:rPr>
              <w:t>s for people with a disability were designed to facilitate</w:t>
            </w:r>
            <w:r w:rsidR="009414E0" w:rsidRPr="0012584A">
              <w:rPr>
                <w:color w:val="000000" w:themeColor="text1"/>
              </w:rPr>
              <w:t xml:space="preserve"> open employment and work placements in diverse community organisations and industries, promoting participation beyond the disability-specific sector. However</w:t>
            </w:r>
            <w:r w:rsidR="00C1020D" w:rsidRPr="0012584A">
              <w:rPr>
                <w:color w:val="000000" w:themeColor="text1"/>
              </w:rPr>
              <w:t>,</w:t>
            </w:r>
            <w:r w:rsidR="009414E0" w:rsidRPr="0012584A">
              <w:rPr>
                <w:color w:val="000000" w:themeColor="text1"/>
              </w:rPr>
              <w:t xml:space="preserve"> there was limited evidence of pro</w:t>
            </w:r>
            <w:r w:rsidR="0080094D">
              <w:rPr>
                <w:color w:val="000000" w:themeColor="text1"/>
              </w:rPr>
              <w:t>ject</w:t>
            </w:r>
            <w:r w:rsidR="009414E0" w:rsidRPr="0012584A">
              <w:rPr>
                <w:color w:val="000000" w:themeColor="text1"/>
              </w:rPr>
              <w:t>s that provided all elements of the open employment model such as intensive on-site support and ongoing support once employment was attained.</w:t>
            </w:r>
          </w:p>
          <w:p w14:paraId="35E9B3B1" w14:textId="44ED54A0"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Pro</w:t>
            </w:r>
            <w:r w:rsidR="007340E3">
              <w:rPr>
                <w:color w:val="000000" w:themeColor="text1"/>
              </w:rPr>
              <w:t>ject</w:t>
            </w:r>
            <w:r w:rsidRPr="0012584A">
              <w:rPr>
                <w:color w:val="000000" w:themeColor="text1"/>
              </w:rPr>
              <w:t xml:space="preserve">s also reflected best practice by </w:t>
            </w:r>
            <w:r w:rsidR="004B78E9">
              <w:rPr>
                <w:color w:val="000000" w:themeColor="text1"/>
              </w:rPr>
              <w:t>looking to employ</w:t>
            </w:r>
            <w:r w:rsidR="004B78E9" w:rsidRPr="0012584A">
              <w:rPr>
                <w:color w:val="000000" w:themeColor="text1"/>
              </w:rPr>
              <w:t xml:space="preserve"> </w:t>
            </w:r>
            <w:r w:rsidRPr="0012584A">
              <w:rPr>
                <w:color w:val="000000" w:themeColor="text1"/>
              </w:rPr>
              <w:t xml:space="preserve">skilled social work staff and peers as facilitators and mentors, and by designing accessible learning modules and skill-building opportunities. </w:t>
            </w:r>
          </w:p>
        </w:tc>
        <w:tc>
          <w:tcPr>
            <w:tcW w:w="597" w:type="pct"/>
            <w:tcBorders>
              <w:top w:val="single" w:sz="8" w:space="0" w:color="E6E6E1" w:themeColor="accent5"/>
              <w:bottom w:val="single" w:sz="8" w:space="0" w:color="E6E6E1" w:themeColor="accent5"/>
            </w:tcBorders>
          </w:tcPr>
          <w:p w14:paraId="619F5023" w14:textId="77777777" w:rsidR="009414E0" w:rsidRPr="0012584A" w:rsidRDefault="009414E0">
            <w:pPr>
              <w:pStyle w:val="TableNheader"/>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Moderate/ High</w:t>
            </w:r>
          </w:p>
        </w:tc>
      </w:tr>
      <w:tr w:rsidR="00A828C7" w14:paraId="2B0CE327" w14:textId="77777777" w:rsidTr="003C76C3">
        <w:tc>
          <w:tcPr>
            <w:cnfStyle w:val="001000000000" w:firstRow="0" w:lastRow="0" w:firstColumn="1" w:lastColumn="0" w:oddVBand="0" w:evenVBand="0" w:oddHBand="0" w:evenHBand="0" w:firstRowFirstColumn="0" w:firstRowLastColumn="0" w:lastRowFirstColumn="0" w:lastRowLastColumn="0"/>
            <w:tcW w:w="629" w:type="pct"/>
          </w:tcPr>
          <w:p w14:paraId="148D1FB5" w14:textId="77777777" w:rsidR="009414E0" w:rsidRDefault="009414E0">
            <w:pPr>
              <w:pStyle w:val="TableNheader"/>
              <w:jc w:val="left"/>
            </w:pPr>
            <w:r w:rsidRPr="009B7A95">
              <w:rPr>
                <w:noProof/>
              </w:rPr>
              <w:lastRenderedPageBreak/>
              <w:drawing>
                <wp:inline distT="0" distB="0" distL="0" distR="0" wp14:anchorId="47FA8A7B" wp14:editId="63568A82">
                  <wp:extent cx="451627" cy="451627"/>
                  <wp:effectExtent l="0" t="0" r="5715" b="0"/>
                  <wp:docPr id="7" name="Graphic 6">
                    <a:extLst xmlns:a="http://schemas.openxmlformats.org/drawingml/2006/main">
                      <a:ext uri="{FF2B5EF4-FFF2-40B4-BE49-F238E27FC236}">
                        <a16:creationId xmlns:a16="http://schemas.microsoft.com/office/drawing/2014/main" id="{6445D830-52B0-7BD8-A079-75BC85E40A4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6445D830-52B0-7BD8-A079-75BC85E40A4C}"/>
                              </a:ext>
                              <a:ext uri="{C183D7F6-B498-43B3-948B-1728B52AA6E4}">
                                <adec:decorative xmlns:adec="http://schemas.microsoft.com/office/drawing/2017/decorative" val="1"/>
                              </a:ext>
                            </a:extLst>
                          </pic:cNvPr>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0" y="0"/>
                            <a:ext cx="451627" cy="451627"/>
                          </a:xfrm>
                          <a:prstGeom prst="rect">
                            <a:avLst/>
                          </a:prstGeom>
                        </pic:spPr>
                      </pic:pic>
                    </a:graphicData>
                  </a:graphic>
                </wp:inline>
              </w:drawing>
            </w:r>
          </w:p>
          <w:p w14:paraId="0506310F" w14:textId="77777777" w:rsidR="009414E0" w:rsidRDefault="009414E0">
            <w:pPr>
              <w:pStyle w:val="TableNheader"/>
              <w:jc w:val="left"/>
            </w:pPr>
            <w:r>
              <w:t>Tailoring to unemployed people facing barriers</w:t>
            </w:r>
          </w:p>
        </w:tc>
        <w:tc>
          <w:tcPr>
            <w:tcW w:w="1291" w:type="pct"/>
          </w:tcPr>
          <w:p w14:paraId="5994B8CE" w14:textId="77777777"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Provide vocational training</w:t>
            </w:r>
          </w:p>
          <w:p w14:paraId="3982A50E" w14:textId="62453C96"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Combine specific skill training with soft skill building (such as confidence and social skills)</w:t>
            </w:r>
          </w:p>
          <w:p w14:paraId="6402EB57" w14:textId="77777777" w:rsidR="009414E0" w:rsidRPr="003C76C3" w:rsidRDefault="009414E0" w:rsidP="008F2079">
            <w:pPr>
              <w:pStyle w:val="TableNText"/>
              <w:cnfStyle w:val="000000000000" w:firstRow="0" w:lastRow="0" w:firstColumn="0" w:lastColumn="0" w:oddVBand="0" w:evenVBand="0" w:oddHBand="0" w:evenHBand="0" w:firstRowFirstColumn="0" w:firstRowLastColumn="0" w:lastRowFirstColumn="0" w:lastRowLastColumn="0"/>
            </w:pPr>
            <w:r w:rsidRPr="003C76C3">
              <w:t>One stop shop models have been increasingly adopted</w:t>
            </w:r>
          </w:p>
        </w:tc>
        <w:tc>
          <w:tcPr>
            <w:tcW w:w="2483" w:type="pct"/>
            <w:tcBorders>
              <w:top w:val="single" w:sz="8" w:space="0" w:color="E6E6E1" w:themeColor="accent5"/>
              <w:bottom w:val="nil"/>
            </w:tcBorders>
          </w:tcPr>
          <w:p w14:paraId="5F0B5FF7" w14:textId="7342C32B"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12584A">
              <w:rPr>
                <w:rFonts w:asciiTheme="majorHAnsi" w:hAnsiTheme="majorHAnsi" w:cstheme="majorHAnsi"/>
                <w:color w:val="000000" w:themeColor="text1"/>
              </w:rPr>
              <w:t>Pro</w:t>
            </w:r>
            <w:r w:rsidR="00031C7D">
              <w:rPr>
                <w:rFonts w:asciiTheme="majorHAnsi" w:hAnsiTheme="majorHAnsi" w:cstheme="majorHAnsi"/>
                <w:color w:val="000000" w:themeColor="text1"/>
              </w:rPr>
              <w:t>ject</w:t>
            </w:r>
            <w:r w:rsidRPr="0012584A">
              <w:rPr>
                <w:rFonts w:asciiTheme="majorHAnsi" w:hAnsiTheme="majorHAnsi" w:cstheme="majorHAnsi"/>
                <w:color w:val="000000" w:themeColor="text1"/>
              </w:rPr>
              <w:t>s for people who are unemployed generally aligned to best practice but may be limited by short duration.</w:t>
            </w:r>
          </w:p>
          <w:p w14:paraId="526D6E21" w14:textId="734FB1C7"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The pro</w:t>
            </w:r>
            <w:r w:rsidR="00F14672">
              <w:rPr>
                <w:color w:val="000000" w:themeColor="text1"/>
              </w:rPr>
              <w:t>ject</w:t>
            </w:r>
            <w:r w:rsidRPr="0012584A">
              <w:rPr>
                <w:color w:val="000000" w:themeColor="text1"/>
              </w:rPr>
              <w:t>s included hard measures such as placements and traineeships, and linking participants with employment services. They also incorporated soft measures through group mentoring, group activities and one-on-one sessions to enhance confidence, motivation, and work readiness and address mental health barriers.</w:t>
            </w:r>
          </w:p>
          <w:p w14:paraId="4B26DB4D" w14:textId="37326C1C" w:rsidR="009414E0" w:rsidRPr="0012584A" w:rsidRDefault="009414E0">
            <w:pPr>
              <w:pStyle w:val="TableNText"/>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The grant's design may hinder the pro</w:t>
            </w:r>
            <w:r w:rsidR="00083EF3">
              <w:rPr>
                <w:color w:val="000000" w:themeColor="text1"/>
              </w:rPr>
              <w:t>ject</w:t>
            </w:r>
            <w:r w:rsidRPr="0012584A">
              <w:rPr>
                <w:color w:val="000000" w:themeColor="text1"/>
              </w:rPr>
              <w:t>s' capacity to align with the literature due to the grant’s short-term nature which limits the provision of sustained support.</w:t>
            </w:r>
          </w:p>
        </w:tc>
        <w:tc>
          <w:tcPr>
            <w:tcW w:w="597" w:type="pct"/>
            <w:tcBorders>
              <w:top w:val="single" w:sz="8" w:space="0" w:color="E6E6E1" w:themeColor="accent5"/>
              <w:bottom w:val="nil"/>
            </w:tcBorders>
          </w:tcPr>
          <w:p w14:paraId="2CB807B8" w14:textId="77777777" w:rsidR="009414E0" w:rsidRPr="0012584A" w:rsidRDefault="009414E0">
            <w:pPr>
              <w:pStyle w:val="TableNheader"/>
              <w:cnfStyle w:val="000000000000" w:firstRow="0" w:lastRow="0" w:firstColumn="0" w:lastColumn="0" w:oddVBand="0" w:evenVBand="0" w:oddHBand="0" w:evenHBand="0" w:firstRowFirstColumn="0" w:firstRowLastColumn="0" w:lastRowFirstColumn="0" w:lastRowLastColumn="0"/>
              <w:rPr>
                <w:color w:val="000000" w:themeColor="text1"/>
              </w:rPr>
            </w:pPr>
            <w:r w:rsidRPr="0012584A">
              <w:rPr>
                <w:color w:val="000000" w:themeColor="text1"/>
              </w:rPr>
              <w:t>Moderate/ High</w:t>
            </w:r>
          </w:p>
        </w:tc>
      </w:tr>
    </w:tbl>
    <w:p w14:paraId="24145308" w14:textId="23ADE8CA" w:rsidR="005471AC" w:rsidRPr="00DE069B" w:rsidRDefault="004C4120" w:rsidP="005471AC">
      <w:pPr>
        <w:pStyle w:val="Heading4"/>
      </w:pPr>
      <w:r>
        <w:t>SARC</w:t>
      </w:r>
      <w:r w:rsidR="00874DC3">
        <w:t xml:space="preserve"> – </w:t>
      </w:r>
      <w:r>
        <w:t>IC target cohorts have evolved over time to align with government priorities</w:t>
      </w:r>
    </w:p>
    <w:p w14:paraId="55C619B3" w14:textId="1A1689AF" w:rsidR="00F96307" w:rsidRDefault="00BE5522" w:rsidP="005471AC">
      <w:pPr>
        <w:rPr>
          <w:lang w:eastAsia="en-AU"/>
        </w:rPr>
      </w:pPr>
      <w:r>
        <w:rPr>
          <w:lang w:eastAsia="en-AU"/>
        </w:rPr>
        <w:t xml:space="preserve">The </w:t>
      </w:r>
      <w:r w:rsidR="0043303B">
        <w:rPr>
          <w:lang w:eastAsia="en-AU"/>
        </w:rPr>
        <w:t>SARC</w:t>
      </w:r>
      <w:r w:rsidR="0043303B">
        <w:t xml:space="preserve"> – </w:t>
      </w:r>
      <w:r w:rsidR="0043303B">
        <w:rPr>
          <w:lang w:eastAsia="en-AU"/>
        </w:rPr>
        <w:t xml:space="preserve">IC </w:t>
      </w:r>
      <w:r w:rsidR="00F0416E">
        <w:rPr>
          <w:lang w:eastAsia="en-AU"/>
        </w:rPr>
        <w:t xml:space="preserve"> Activity</w:t>
      </w:r>
      <w:r>
        <w:rPr>
          <w:lang w:eastAsia="en-AU"/>
        </w:rPr>
        <w:t xml:space="preserve"> has evolved over time</w:t>
      </w:r>
      <w:r w:rsidR="00EF1EAF">
        <w:rPr>
          <w:lang w:eastAsia="en-AU"/>
        </w:rPr>
        <w:t xml:space="preserve">. It began as </w:t>
      </w:r>
      <w:r w:rsidR="00F96307">
        <w:rPr>
          <w:lang w:eastAsia="en-AU"/>
        </w:rPr>
        <w:t>the M</w:t>
      </w:r>
      <w:r w:rsidR="00A83576">
        <w:rPr>
          <w:lang w:eastAsia="en-AU"/>
        </w:rPr>
        <w:t>USTER</w:t>
      </w:r>
      <w:r w:rsidR="00F96307">
        <w:rPr>
          <w:lang w:eastAsia="en-AU"/>
        </w:rPr>
        <w:t xml:space="preserve"> program</w:t>
      </w:r>
      <w:r w:rsidR="000B31EC">
        <w:rPr>
          <w:lang w:eastAsia="en-AU"/>
        </w:rPr>
        <w:t xml:space="preserve">, </w:t>
      </w:r>
      <w:r w:rsidR="00564E32">
        <w:rPr>
          <w:rStyle w:val="FootnoteReference"/>
          <w:lang w:eastAsia="en-AU"/>
        </w:rPr>
        <w:footnoteReference w:id="48"/>
      </w:r>
      <w:r w:rsidR="00F96307">
        <w:rPr>
          <w:lang w:eastAsia="en-AU"/>
        </w:rPr>
        <w:t xml:space="preserve"> followed by the </w:t>
      </w:r>
      <w:r w:rsidR="007E2599">
        <w:rPr>
          <w:lang w:eastAsia="en-AU"/>
        </w:rPr>
        <w:t>original SARC Activity with three streams of funding</w:t>
      </w:r>
      <w:r w:rsidR="00EF1EAF">
        <w:rPr>
          <w:lang w:eastAsia="en-AU"/>
        </w:rPr>
        <w:t xml:space="preserve"> which</w:t>
      </w:r>
      <w:r w:rsidR="007E2599">
        <w:rPr>
          <w:lang w:eastAsia="en-AU"/>
        </w:rPr>
        <w:t xml:space="preserve"> focused on supporting vulnerable cohorts by filling the gaps where mainstream services are not cutting through. </w:t>
      </w:r>
      <w:r w:rsidR="00A349E1">
        <w:rPr>
          <w:lang w:eastAsia="en-AU"/>
        </w:rPr>
        <w:t xml:space="preserve">Different elements of design have changed in each evolution, </w:t>
      </w:r>
      <w:r w:rsidR="007054FE">
        <w:rPr>
          <w:lang w:eastAsia="en-AU"/>
        </w:rPr>
        <w:t xml:space="preserve">and so the policy rationale for </w:t>
      </w:r>
      <w:r w:rsidR="004050FD">
        <w:rPr>
          <w:lang w:eastAsia="en-AU"/>
        </w:rPr>
        <w:t>each</w:t>
      </w:r>
      <w:r w:rsidR="007054FE">
        <w:rPr>
          <w:lang w:eastAsia="en-AU"/>
        </w:rPr>
        <w:t xml:space="preserve"> design element is no longer clear in the current iteration. </w:t>
      </w:r>
      <w:r w:rsidR="005364B0">
        <w:rPr>
          <w:lang w:eastAsia="en-AU"/>
        </w:rPr>
        <w:t xml:space="preserve">Following the evaluation of the SARC Activity in 2022 the grant was narrowed down </w:t>
      </w:r>
      <w:r w:rsidR="008E028B">
        <w:rPr>
          <w:lang w:eastAsia="en-AU"/>
        </w:rPr>
        <w:t>from the previous three streams to just fund the Inclusive Communities Stream</w:t>
      </w:r>
      <w:r w:rsidR="00F9185B">
        <w:rPr>
          <w:lang w:eastAsia="en-AU"/>
        </w:rPr>
        <w:t xml:space="preserve">, and in doing so the target </w:t>
      </w:r>
      <w:r w:rsidR="002E617E">
        <w:rPr>
          <w:lang w:eastAsia="en-AU"/>
        </w:rPr>
        <w:t>groups</w:t>
      </w:r>
      <w:r w:rsidR="00E23A6C">
        <w:rPr>
          <w:lang w:eastAsia="en-AU"/>
        </w:rPr>
        <w:t xml:space="preserve"> were</w:t>
      </w:r>
      <w:r w:rsidR="00F9185B">
        <w:rPr>
          <w:lang w:eastAsia="en-AU"/>
        </w:rPr>
        <w:t xml:space="preserve"> reduced</w:t>
      </w:r>
      <w:r w:rsidR="008E028B">
        <w:rPr>
          <w:lang w:eastAsia="en-AU"/>
        </w:rPr>
        <w:t>.</w:t>
      </w:r>
    </w:p>
    <w:p w14:paraId="6512E23C" w14:textId="5878F3A6" w:rsidR="00890D7F" w:rsidRDefault="00890D7F" w:rsidP="009414E0">
      <w:pPr>
        <w:pStyle w:val="Heading3"/>
      </w:pPr>
      <w:bookmarkStart w:id="36" w:name="_Ref216864000"/>
      <w:bookmarkStart w:id="37" w:name="_Toc240883556"/>
      <w:r>
        <w:t>SARC</w:t>
      </w:r>
      <w:r w:rsidR="008C3231">
        <w:t xml:space="preserve"> – </w:t>
      </w:r>
      <w:r>
        <w:t>IC’s objectives align to the broader policy landscape</w:t>
      </w:r>
      <w:bookmarkEnd w:id="36"/>
      <w:bookmarkEnd w:id="37"/>
    </w:p>
    <w:p w14:paraId="207DF276" w14:textId="18D8DEC8" w:rsidR="00BC5E2B" w:rsidRDefault="00890D7F" w:rsidP="00034831">
      <w:pPr>
        <w:rPr>
          <w:lang w:eastAsia="en-AU"/>
        </w:rPr>
      </w:pPr>
      <w:r w:rsidRPr="00AF084B">
        <w:t xml:space="preserve">The Australian Government </w:t>
      </w:r>
      <w:r w:rsidR="00E878FD">
        <w:t>is</w:t>
      </w:r>
      <w:r w:rsidRPr="00AF084B">
        <w:t xml:space="preserve"> commit</w:t>
      </w:r>
      <w:r w:rsidR="00E878FD">
        <w:t xml:space="preserve">ted </w:t>
      </w:r>
      <w:r w:rsidRPr="00AF084B">
        <w:t xml:space="preserve">to improving wellbeing and economic outcomes for people experiencing vulnerabilities. </w:t>
      </w:r>
      <w:r w:rsidR="001E79AE" w:rsidRPr="00AF084B">
        <w:rPr>
          <w:lang w:eastAsia="en-AU"/>
        </w:rPr>
        <w:t>SARC</w:t>
      </w:r>
      <w:r w:rsidR="008C3231">
        <w:rPr>
          <w:lang w:eastAsia="en-AU"/>
        </w:rPr>
        <w:t xml:space="preserve"> – </w:t>
      </w:r>
      <w:r w:rsidR="001E79AE" w:rsidRPr="00AF084B">
        <w:rPr>
          <w:lang w:eastAsia="en-AU"/>
        </w:rPr>
        <w:t>IC</w:t>
      </w:r>
      <w:r w:rsidR="00114206">
        <w:rPr>
          <w:lang w:eastAsia="en-AU"/>
        </w:rPr>
        <w:t xml:space="preserve">’s objectives </w:t>
      </w:r>
      <w:r w:rsidR="001E79AE" w:rsidRPr="00AF084B">
        <w:rPr>
          <w:lang w:eastAsia="en-AU"/>
        </w:rPr>
        <w:t xml:space="preserve">demonstrate strong alignment with Commonwealth policy priorities </w:t>
      </w:r>
      <w:r w:rsidR="008D495C">
        <w:rPr>
          <w:lang w:eastAsia="en-AU"/>
        </w:rPr>
        <w:t xml:space="preserve">and objectives </w:t>
      </w:r>
      <w:r w:rsidR="001E79AE" w:rsidRPr="00AF084B">
        <w:rPr>
          <w:lang w:eastAsia="en-AU"/>
        </w:rPr>
        <w:t xml:space="preserve">by contributing to </w:t>
      </w:r>
      <w:r w:rsidR="00F4226D">
        <w:rPr>
          <w:lang w:eastAsia="en-AU"/>
        </w:rPr>
        <w:t xml:space="preserve">improving </w:t>
      </w:r>
      <w:r w:rsidR="00884844" w:rsidRPr="00AF084B">
        <w:rPr>
          <w:lang w:eastAsia="en-AU"/>
        </w:rPr>
        <w:t>social</w:t>
      </w:r>
      <w:r w:rsidR="001E79AE" w:rsidRPr="00AF084B">
        <w:rPr>
          <w:lang w:eastAsia="en-AU"/>
        </w:rPr>
        <w:t xml:space="preserve"> </w:t>
      </w:r>
      <w:r w:rsidR="00884844" w:rsidRPr="00AF084B">
        <w:rPr>
          <w:lang w:eastAsia="en-AU"/>
        </w:rPr>
        <w:t xml:space="preserve">and economic </w:t>
      </w:r>
      <w:r w:rsidR="001E79AE" w:rsidRPr="00AF084B">
        <w:rPr>
          <w:lang w:eastAsia="en-AU"/>
        </w:rPr>
        <w:t>inclusion and participation</w:t>
      </w:r>
      <w:r w:rsidR="00F40540">
        <w:rPr>
          <w:lang w:eastAsia="en-AU"/>
        </w:rPr>
        <w:t xml:space="preserve"> </w:t>
      </w:r>
      <w:r w:rsidR="00322B85">
        <w:rPr>
          <w:lang w:eastAsia="en-AU"/>
        </w:rPr>
        <w:t>in</w:t>
      </w:r>
      <w:r w:rsidR="00F40540">
        <w:rPr>
          <w:lang w:eastAsia="en-AU"/>
        </w:rPr>
        <w:t xml:space="preserve"> the target cohorts</w:t>
      </w:r>
      <w:r w:rsidR="008467D3">
        <w:rPr>
          <w:lang w:eastAsia="en-AU"/>
        </w:rPr>
        <w:t>.</w:t>
      </w:r>
      <w:r w:rsidR="00C0779E">
        <w:rPr>
          <w:lang w:eastAsia="en-AU"/>
        </w:rPr>
        <w:t xml:space="preserve"> These include</w:t>
      </w:r>
      <w:r w:rsidR="004A25EC">
        <w:rPr>
          <w:lang w:eastAsia="en-AU"/>
        </w:rPr>
        <w:t xml:space="preserve"> </w:t>
      </w:r>
      <w:r w:rsidR="001C2656">
        <w:rPr>
          <w:lang w:eastAsia="en-AU"/>
        </w:rPr>
        <w:t>Outcome 2</w:t>
      </w:r>
      <w:r w:rsidR="00614838">
        <w:rPr>
          <w:lang w:eastAsia="en-AU"/>
        </w:rPr>
        <w:t xml:space="preserve"> in the </w:t>
      </w:r>
      <w:r w:rsidR="001C2656">
        <w:rPr>
          <w:lang w:eastAsia="en-AU"/>
        </w:rPr>
        <w:t>Department’s</w:t>
      </w:r>
      <w:r w:rsidR="00432F1F" w:rsidRPr="00432F1F">
        <w:rPr>
          <w:lang w:eastAsia="en-AU"/>
        </w:rPr>
        <w:t xml:space="preserve"> Corporate Plan 2025–26</w:t>
      </w:r>
      <w:r w:rsidR="00990C70">
        <w:rPr>
          <w:lang w:eastAsia="en-AU"/>
        </w:rPr>
        <w:t xml:space="preserve">: </w:t>
      </w:r>
      <w:r w:rsidR="00990C70" w:rsidRPr="00990C70">
        <w:rPr>
          <w:i/>
          <w:iCs/>
          <w:lang w:eastAsia="en-AU"/>
        </w:rPr>
        <w:t>Promote stronger and more resilient families, children, individuals and communities by providing targeted supports</w:t>
      </w:r>
      <w:r w:rsidR="00BC5E2B">
        <w:rPr>
          <w:lang w:eastAsia="en-AU"/>
        </w:rPr>
        <w:t>,</w:t>
      </w:r>
      <w:r w:rsidR="00BC5E2B" w:rsidRPr="00EF399F">
        <w:rPr>
          <w:rStyle w:val="FootnoteReference"/>
          <w:lang w:eastAsia="en-AU"/>
        </w:rPr>
        <w:t xml:space="preserve"> </w:t>
      </w:r>
      <w:r w:rsidR="002E17A4">
        <w:rPr>
          <w:lang w:eastAsia="en-AU"/>
        </w:rPr>
        <w:t xml:space="preserve">and the following </w:t>
      </w:r>
      <w:r w:rsidR="006C3ACD">
        <w:rPr>
          <w:lang w:eastAsia="en-AU"/>
        </w:rPr>
        <w:t xml:space="preserve">Department priorities: </w:t>
      </w:r>
    </w:p>
    <w:p w14:paraId="1ACB6A77" w14:textId="77777777" w:rsidR="00BC5E2B" w:rsidRDefault="00BC5E2B" w:rsidP="00BC5E2B">
      <w:pPr>
        <w:pStyle w:val="Bullet"/>
      </w:pPr>
      <w:r>
        <w:t>Get more people into work</w:t>
      </w:r>
    </w:p>
    <w:p w14:paraId="08C029A8" w14:textId="77777777" w:rsidR="00BC5E2B" w:rsidRDefault="00BC5E2B" w:rsidP="00BC5E2B">
      <w:pPr>
        <w:pStyle w:val="Bullet"/>
      </w:pPr>
      <w:r>
        <w:t>Break the cycle of entrenched disadvantage</w:t>
      </w:r>
    </w:p>
    <w:p w14:paraId="4F0ABE03" w14:textId="77777777" w:rsidR="00BC5E2B" w:rsidRDefault="00BC5E2B" w:rsidP="00BC5E2B">
      <w:pPr>
        <w:pStyle w:val="Bullet"/>
      </w:pPr>
      <w:r>
        <w:t>Enable people to be well connected to their community</w:t>
      </w:r>
    </w:p>
    <w:p w14:paraId="6A286AD4" w14:textId="5F42F7D8" w:rsidR="00AB7710" w:rsidRDefault="00BC5E2B" w:rsidP="00034831">
      <w:pPr>
        <w:pStyle w:val="Bullet"/>
      </w:pPr>
      <w:r>
        <w:t>End violence in families, relationships and communities.</w:t>
      </w:r>
      <w:r w:rsidR="005C79FA" w:rsidRPr="005C79FA">
        <w:rPr>
          <w:rStyle w:val="FootnoteReference"/>
        </w:rPr>
        <w:t xml:space="preserve"> </w:t>
      </w:r>
      <w:r w:rsidR="002B29BE">
        <w:rPr>
          <w:rFonts w:ascii="ZWAdobeF" w:hAnsi="ZWAdobeF" w:cs="ZWAdobeF"/>
          <w:sz w:val="2"/>
          <w:szCs w:val="2"/>
        </w:rPr>
        <w:t>45F</w:t>
      </w:r>
      <w:r w:rsidR="005C79FA">
        <w:rPr>
          <w:rStyle w:val="FootnoteReference"/>
        </w:rPr>
        <w:footnoteReference w:id="49"/>
      </w:r>
    </w:p>
    <w:p w14:paraId="2B973CE1" w14:textId="37040104" w:rsidR="00163278" w:rsidRDefault="00B21BB1" w:rsidP="00034831">
      <w:r>
        <w:t>SARC</w:t>
      </w:r>
      <w:r w:rsidR="008C3231">
        <w:t xml:space="preserve"> – </w:t>
      </w:r>
      <w:r>
        <w:t xml:space="preserve">IC also aligns with recent calls </w:t>
      </w:r>
      <w:r w:rsidR="005611EB">
        <w:t xml:space="preserve">by </w:t>
      </w:r>
      <w:r w:rsidR="00310844">
        <w:t xml:space="preserve">key peak bodies </w:t>
      </w:r>
      <w:r>
        <w:t xml:space="preserve">to establish a National Strategy to Address </w:t>
      </w:r>
      <w:r w:rsidR="00310844">
        <w:t>Loneliness</w:t>
      </w:r>
      <w:r>
        <w:t xml:space="preserve"> and Social Isolation</w:t>
      </w:r>
      <w:r w:rsidR="00310844">
        <w:t xml:space="preserve">, and the establishment of the </w:t>
      </w:r>
      <w:r w:rsidR="00C7493C">
        <w:t>Department’s</w:t>
      </w:r>
      <w:r w:rsidR="00310844">
        <w:t xml:space="preserve"> </w:t>
      </w:r>
      <w:r w:rsidR="00D41402" w:rsidRPr="00D41402">
        <w:t>Economic Inclusion Advisory Committee</w:t>
      </w:r>
      <w:r w:rsidR="007C7E2B">
        <w:t xml:space="preserve"> in 2022</w:t>
      </w:r>
      <w:r w:rsidR="00D41402">
        <w:t>.</w:t>
      </w:r>
      <w:r w:rsidR="002B29BE">
        <w:rPr>
          <w:rFonts w:ascii="ZWAdobeF" w:hAnsi="ZWAdobeF" w:cs="ZWAdobeF"/>
          <w:sz w:val="2"/>
          <w:szCs w:val="2"/>
        </w:rPr>
        <w:t>46F</w:t>
      </w:r>
      <w:r w:rsidR="00D41402">
        <w:rPr>
          <w:rStyle w:val="FootnoteReference"/>
        </w:rPr>
        <w:footnoteReference w:id="50"/>
      </w:r>
      <w:r w:rsidR="00C35BDA">
        <w:rPr>
          <w:vertAlign w:val="superscript"/>
        </w:rPr>
        <w:t xml:space="preserve">, </w:t>
      </w:r>
      <w:r w:rsidR="002B29BE">
        <w:rPr>
          <w:rFonts w:ascii="ZWAdobeF" w:hAnsi="ZWAdobeF" w:cs="ZWAdobeF"/>
          <w:sz w:val="2"/>
          <w:szCs w:val="2"/>
        </w:rPr>
        <w:t>47F</w:t>
      </w:r>
      <w:r w:rsidR="00C35BDA">
        <w:rPr>
          <w:rStyle w:val="FootnoteReference"/>
        </w:rPr>
        <w:footnoteReference w:id="51"/>
      </w:r>
      <w:r w:rsidR="000A721F">
        <w:t xml:space="preserve"> </w:t>
      </w:r>
      <w:r w:rsidR="009414E0">
        <w:t>The grant also aligns with and supports many state and territory policies, plans and strategies that focus on improving the social and economic participation of the key cohorts, including but not limited to ACT’s Disability Strategy 2022</w:t>
      </w:r>
      <w:r w:rsidR="00E20C3B">
        <w:t>–</w:t>
      </w:r>
      <w:r w:rsidR="009414E0">
        <w:t>2032, Young Queenslanders Strategy Action Plan 2024</w:t>
      </w:r>
      <w:r w:rsidR="001826B3">
        <w:t>–</w:t>
      </w:r>
      <w:r w:rsidR="009414E0">
        <w:t xml:space="preserve">2026 and </w:t>
      </w:r>
      <w:r w:rsidR="009414E0" w:rsidRPr="0045588C">
        <w:t>Stronger Together: WA’s Plan for Gender Equality</w:t>
      </w:r>
      <w:r w:rsidR="009414E0">
        <w:t xml:space="preserve">. </w:t>
      </w:r>
      <w:r w:rsidR="00E14869">
        <w:fldChar w:fldCharType="begin" w:fldLock="1"/>
      </w:r>
      <w:r w:rsidR="00E14869">
        <w:instrText xml:space="preserve"> REF _Ref216951118 \r \h </w:instrText>
      </w:r>
      <w:r w:rsidR="00E14869">
        <w:fldChar w:fldCharType="separate"/>
      </w:r>
      <w:r w:rsidR="00E14869">
        <w:t>Appendix D</w:t>
      </w:r>
      <w:r w:rsidR="00E14869">
        <w:fldChar w:fldCharType="end"/>
      </w:r>
      <w:r w:rsidR="009414E0">
        <w:t xml:space="preserve"> provides a more detailed list of state and territory commitments that SARC</w:t>
      </w:r>
      <w:r w:rsidR="008C3231">
        <w:t xml:space="preserve"> – </w:t>
      </w:r>
      <w:r w:rsidR="009414E0">
        <w:t>IC is aligned with</w:t>
      </w:r>
      <w:r w:rsidR="00590BCF">
        <w:t xml:space="preserve">. </w:t>
      </w:r>
    </w:p>
    <w:p w14:paraId="640752DC" w14:textId="43527C35" w:rsidR="009414E0" w:rsidRDefault="009414E0" w:rsidP="009414E0">
      <w:r>
        <w:rPr>
          <w:lang w:eastAsia="en-AU"/>
        </w:rPr>
        <w:lastRenderedPageBreak/>
        <w:fldChar w:fldCharType="begin" w:fldLock="1"/>
      </w:r>
      <w:r>
        <w:rPr>
          <w:lang w:eastAsia="en-AU"/>
        </w:rPr>
        <w:instrText xml:space="preserve"> REF _Ref214983483 \h </w:instrText>
      </w:r>
      <w:r>
        <w:rPr>
          <w:lang w:eastAsia="en-AU"/>
        </w:rPr>
      </w:r>
      <w:r>
        <w:rPr>
          <w:lang w:eastAsia="en-AU"/>
        </w:rPr>
        <w:fldChar w:fldCharType="separate"/>
      </w:r>
      <w:r>
        <w:t xml:space="preserve">Figure </w:t>
      </w:r>
      <w:r w:rsidR="00225847">
        <w:rPr>
          <w:noProof/>
        </w:rPr>
        <w:t>5</w:t>
      </w:r>
      <w:r>
        <w:rPr>
          <w:lang w:eastAsia="en-AU"/>
        </w:rPr>
        <w:fldChar w:fldCharType="end"/>
      </w:r>
      <w:r>
        <w:rPr>
          <w:lang w:eastAsia="en-AU"/>
        </w:rPr>
        <w:t xml:space="preserve"> </w:t>
      </w:r>
      <w:r w:rsidR="00996DD2">
        <w:rPr>
          <w:lang w:eastAsia="en-AU"/>
        </w:rPr>
        <w:t xml:space="preserve">below </w:t>
      </w:r>
      <w:r>
        <w:rPr>
          <w:lang w:eastAsia="en-AU"/>
        </w:rPr>
        <w:t>outlines SARC</w:t>
      </w:r>
      <w:r w:rsidR="00F65026">
        <w:rPr>
          <w:lang w:eastAsia="en-AU"/>
        </w:rPr>
        <w:t xml:space="preserve"> – </w:t>
      </w:r>
      <w:r>
        <w:rPr>
          <w:lang w:eastAsia="en-AU"/>
        </w:rPr>
        <w:t xml:space="preserve">IC objectives and alignment with key national strategies and objectives. </w:t>
      </w:r>
    </w:p>
    <w:p w14:paraId="0802BAEF" w14:textId="7783D2F1" w:rsidR="009414E0" w:rsidRDefault="009414E0" w:rsidP="009414E0">
      <w:pPr>
        <w:pStyle w:val="Caption"/>
      </w:pPr>
      <w:bookmarkStart w:id="38" w:name="figure_5"/>
      <w:bookmarkStart w:id="39" w:name="_Ref214983483"/>
      <w:bookmarkEnd w:id="38"/>
      <w:r>
        <w:t xml:space="preserve">Figure </w:t>
      </w:r>
      <w:r w:rsidR="00BE5A6C">
        <w:fldChar w:fldCharType="begin"/>
      </w:r>
      <w:r w:rsidR="00BE5A6C">
        <w:instrText xml:space="preserve"> SEQ Figure \* ARABIC </w:instrText>
      </w:r>
      <w:r w:rsidR="00BE5A6C">
        <w:fldChar w:fldCharType="separate"/>
      </w:r>
      <w:r w:rsidR="00B666D1">
        <w:rPr>
          <w:noProof/>
        </w:rPr>
        <w:t>5</w:t>
      </w:r>
      <w:r w:rsidR="00BE5A6C">
        <w:fldChar w:fldCharType="end"/>
      </w:r>
      <w:r>
        <w:t xml:space="preserve"> | Alignment with national strategies and objectives</w:t>
      </w:r>
    </w:p>
    <w:p w14:paraId="6BCA23B6" w14:textId="032E36AE" w:rsidR="009414E0" w:rsidRPr="0093726C" w:rsidRDefault="009414E0" w:rsidP="009414E0">
      <w:r>
        <w:rPr>
          <w:noProof/>
        </w:rPr>
        <w:drawing>
          <wp:inline distT="0" distB="0" distL="0" distR="0" wp14:anchorId="0ACC539B" wp14:editId="7865DF49">
            <wp:extent cx="5667375" cy="4722365"/>
            <wp:effectExtent l="0" t="0" r="0" b="2540"/>
            <wp:docPr id="629634604" name="Picture 2" descr="Figure 5: Alignment with national strategies and objectives - Figure Description at Appendix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34604" name="Picture 2" descr="Figure 5: Alignment with national strategies and objectives - Figure Description at Appendix G"/>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673315" cy="4727315"/>
                    </a:xfrm>
                    <a:prstGeom prst="rect">
                      <a:avLst/>
                    </a:prstGeom>
                    <a:noFill/>
                  </pic:spPr>
                </pic:pic>
              </a:graphicData>
            </a:graphic>
          </wp:inline>
        </w:drawing>
      </w:r>
      <w:r w:rsidR="00A75B1A">
        <w:br/>
      </w:r>
      <w:hyperlink w:anchor="_Figure_5_description" w:history="1">
        <w:r w:rsidR="00A75B1A" w:rsidRPr="00A75B1A">
          <w:rPr>
            <w:rStyle w:val="Hyperlink"/>
          </w:rPr>
          <w:t>Figure 5 full description</w:t>
        </w:r>
      </w:hyperlink>
    </w:p>
    <w:p w14:paraId="44C8E27F" w14:textId="026660C9" w:rsidR="009414E0" w:rsidRPr="000305F4" w:rsidRDefault="009414E0" w:rsidP="009414E0">
      <w:pPr>
        <w:pStyle w:val="Heading4"/>
      </w:pPr>
      <w:r>
        <w:t>T</w:t>
      </w:r>
      <w:r w:rsidRPr="000305F4">
        <w:t>he objectives of SARC</w:t>
      </w:r>
      <w:r w:rsidR="007000C1">
        <w:t xml:space="preserve"> – </w:t>
      </w:r>
      <w:r w:rsidRPr="000305F4">
        <w:t xml:space="preserve">IC overlap </w:t>
      </w:r>
      <w:r w:rsidR="008F66E1">
        <w:t xml:space="preserve">but are not linked </w:t>
      </w:r>
      <w:r w:rsidRPr="000305F4">
        <w:t xml:space="preserve">with </w:t>
      </w:r>
      <w:r>
        <w:t xml:space="preserve">existing </w:t>
      </w:r>
      <w:r w:rsidRPr="000305F4">
        <w:t>Commonwealth, state, territory and philanthropic programs</w:t>
      </w:r>
      <w:r w:rsidR="00145DB7">
        <w:t xml:space="preserve"> </w:t>
      </w:r>
    </w:p>
    <w:p w14:paraId="6B3E280C" w14:textId="7FB2FE56" w:rsidR="00841D13" w:rsidRDefault="009414E0" w:rsidP="009414E0">
      <w:pPr>
        <w:rPr>
          <w:lang w:eastAsia="en-AU"/>
        </w:rPr>
      </w:pPr>
      <w:r w:rsidRPr="000305F4">
        <w:rPr>
          <w:lang w:eastAsia="en-AU"/>
        </w:rPr>
        <w:t>SARC</w:t>
      </w:r>
      <w:r w:rsidR="003E699B">
        <w:rPr>
          <w:lang w:eastAsia="en-AU"/>
        </w:rPr>
        <w:t xml:space="preserve"> – </w:t>
      </w:r>
      <w:r w:rsidRPr="000305F4">
        <w:rPr>
          <w:lang w:eastAsia="en-AU"/>
        </w:rPr>
        <w:t>IC’s objectives are very broad</w:t>
      </w:r>
      <w:r w:rsidR="00841D13">
        <w:rPr>
          <w:lang w:eastAsia="en-AU"/>
        </w:rPr>
        <w:t>, which means that inevitably the</w:t>
      </w:r>
      <w:r w:rsidR="00126AE7">
        <w:rPr>
          <w:lang w:eastAsia="en-AU"/>
        </w:rPr>
        <w:t xml:space="preserve">re is overlap </w:t>
      </w:r>
      <w:r w:rsidR="006533E9">
        <w:rPr>
          <w:lang w:eastAsia="en-AU"/>
        </w:rPr>
        <w:t xml:space="preserve">with other state, territory and philanthropic </w:t>
      </w:r>
      <w:r w:rsidR="00E85244">
        <w:rPr>
          <w:lang w:eastAsia="en-AU"/>
        </w:rPr>
        <w:t>pro</w:t>
      </w:r>
      <w:r w:rsidR="00FF0125">
        <w:rPr>
          <w:lang w:eastAsia="en-AU"/>
        </w:rPr>
        <w:t>ject</w:t>
      </w:r>
      <w:r w:rsidR="00E85244">
        <w:rPr>
          <w:lang w:eastAsia="en-AU"/>
        </w:rPr>
        <w:t>s</w:t>
      </w:r>
      <w:r w:rsidR="00D77709">
        <w:rPr>
          <w:lang w:eastAsia="en-AU"/>
        </w:rPr>
        <w:t xml:space="preserve"> target</w:t>
      </w:r>
      <w:r w:rsidR="00D96DF9">
        <w:rPr>
          <w:lang w:eastAsia="en-AU"/>
        </w:rPr>
        <w:t>ing</w:t>
      </w:r>
      <w:r w:rsidR="00D77709">
        <w:rPr>
          <w:lang w:eastAsia="en-AU"/>
        </w:rPr>
        <w:t xml:space="preserve"> the same cohorts and outcomes. </w:t>
      </w:r>
      <w:r w:rsidR="008760A4">
        <w:rPr>
          <w:lang w:eastAsia="en-AU"/>
        </w:rPr>
        <w:t xml:space="preserve">As shown </w:t>
      </w:r>
      <w:r w:rsidR="00AC5021">
        <w:rPr>
          <w:lang w:eastAsia="en-AU"/>
        </w:rPr>
        <w:t>overleaf</w:t>
      </w:r>
      <w:r w:rsidR="008760A4">
        <w:rPr>
          <w:lang w:eastAsia="en-AU"/>
        </w:rPr>
        <w:t xml:space="preserve"> in </w:t>
      </w:r>
      <w:r w:rsidR="0075255E">
        <w:rPr>
          <w:lang w:eastAsia="en-AU"/>
        </w:rPr>
        <w:fldChar w:fldCharType="begin" w:fldLock="1"/>
      </w:r>
      <w:r w:rsidR="0075255E">
        <w:rPr>
          <w:lang w:eastAsia="en-AU"/>
        </w:rPr>
        <w:instrText xml:space="preserve"> REF _Ref216884187 \h </w:instrText>
      </w:r>
      <w:r w:rsidR="0075255E">
        <w:rPr>
          <w:lang w:eastAsia="en-AU"/>
        </w:rPr>
      </w:r>
      <w:r w:rsidR="0075255E">
        <w:rPr>
          <w:lang w:eastAsia="en-AU"/>
        </w:rPr>
        <w:fldChar w:fldCharType="separate"/>
      </w:r>
      <w:r w:rsidR="0075255E" w:rsidRPr="009478FE">
        <w:t xml:space="preserve">Figure </w:t>
      </w:r>
      <w:r w:rsidR="0075255E">
        <w:rPr>
          <w:noProof/>
        </w:rPr>
        <w:t>6</w:t>
      </w:r>
      <w:r w:rsidR="0075255E">
        <w:rPr>
          <w:lang w:eastAsia="en-AU"/>
        </w:rPr>
        <w:fldChar w:fldCharType="end"/>
      </w:r>
      <w:r w:rsidR="0075255E">
        <w:rPr>
          <w:lang w:eastAsia="en-AU"/>
        </w:rPr>
        <w:t xml:space="preserve"> </w:t>
      </w:r>
      <w:r w:rsidR="008760A4">
        <w:rPr>
          <w:lang w:eastAsia="en-AU"/>
        </w:rPr>
        <w:t xml:space="preserve">and </w:t>
      </w:r>
      <w:r w:rsidR="00EC20B5">
        <w:rPr>
          <w:lang w:eastAsia="en-AU"/>
        </w:rPr>
        <w:fldChar w:fldCharType="begin" w:fldLock="1"/>
      </w:r>
      <w:r w:rsidR="00EC20B5">
        <w:rPr>
          <w:lang w:eastAsia="en-AU"/>
        </w:rPr>
        <w:instrText xml:space="preserve"> REF _Ref216884504 \r \h </w:instrText>
      </w:r>
      <w:r w:rsidR="00EC20B5">
        <w:rPr>
          <w:lang w:eastAsia="en-AU"/>
        </w:rPr>
      </w:r>
      <w:r w:rsidR="00EC20B5">
        <w:rPr>
          <w:lang w:eastAsia="en-AU"/>
        </w:rPr>
        <w:fldChar w:fldCharType="separate"/>
      </w:r>
      <w:r w:rsidR="00EC20B5">
        <w:rPr>
          <w:lang w:eastAsia="en-AU"/>
        </w:rPr>
        <w:t>Appendix D</w:t>
      </w:r>
      <w:r w:rsidR="00EC20B5">
        <w:rPr>
          <w:lang w:eastAsia="en-AU"/>
        </w:rPr>
        <w:fldChar w:fldCharType="end"/>
      </w:r>
      <w:r w:rsidR="0049020E">
        <w:rPr>
          <w:lang w:eastAsia="en-AU"/>
        </w:rPr>
        <w:t>,</w:t>
      </w:r>
      <w:r w:rsidR="008C340D" w:rsidRPr="008C340D">
        <w:rPr>
          <w:noProof/>
        </w:rPr>
        <w:t xml:space="preserve"> </w:t>
      </w:r>
      <w:r w:rsidR="0049020E">
        <w:rPr>
          <w:lang w:eastAsia="en-AU"/>
        </w:rPr>
        <w:t xml:space="preserve"> </w:t>
      </w:r>
      <w:r w:rsidR="003249ED">
        <w:rPr>
          <w:lang w:eastAsia="en-AU"/>
        </w:rPr>
        <w:t>there are active programs with similar aims targeting each cohort. This is not necessarily a policy failure for SARC</w:t>
      </w:r>
      <w:r w:rsidR="003E699B">
        <w:rPr>
          <w:lang w:eastAsia="en-AU"/>
        </w:rPr>
        <w:t xml:space="preserve"> – </w:t>
      </w:r>
      <w:r w:rsidR="003249ED">
        <w:rPr>
          <w:lang w:eastAsia="en-AU"/>
        </w:rPr>
        <w:t xml:space="preserve">IC, given </w:t>
      </w:r>
      <w:r w:rsidR="006870E0">
        <w:rPr>
          <w:lang w:eastAsia="en-AU"/>
        </w:rPr>
        <w:t>its</w:t>
      </w:r>
      <w:r w:rsidR="003249ED">
        <w:rPr>
          <w:lang w:eastAsia="en-AU"/>
        </w:rPr>
        <w:t xml:space="preserve"> purpose </w:t>
      </w:r>
      <w:r w:rsidR="006870E0">
        <w:rPr>
          <w:lang w:eastAsia="en-AU"/>
        </w:rPr>
        <w:t>is</w:t>
      </w:r>
      <w:r w:rsidR="003249ED">
        <w:rPr>
          <w:lang w:eastAsia="en-AU"/>
        </w:rPr>
        <w:t xml:space="preserve"> to fill funding gaps and provide niche approaches to </w:t>
      </w:r>
      <w:r w:rsidR="00F1444B">
        <w:rPr>
          <w:lang w:eastAsia="en-AU"/>
        </w:rPr>
        <w:t xml:space="preserve">helping the most vulnerable people get support who are not currently reaching traditional services. </w:t>
      </w:r>
      <w:r w:rsidR="00FE6451">
        <w:rPr>
          <w:lang w:eastAsia="en-AU"/>
        </w:rPr>
        <w:t>Furthermore, as these are vulnerable and underfunded group</w:t>
      </w:r>
      <w:r w:rsidR="00E44A6D">
        <w:rPr>
          <w:lang w:eastAsia="en-AU"/>
        </w:rPr>
        <w:t>s</w:t>
      </w:r>
      <w:r w:rsidR="00FE6451">
        <w:rPr>
          <w:lang w:eastAsia="en-AU"/>
        </w:rPr>
        <w:t xml:space="preserve"> there will always be a need for further funding which can be used effectively by community organisations. </w:t>
      </w:r>
    </w:p>
    <w:p w14:paraId="2692F1BC" w14:textId="77777777" w:rsidR="003C24E2" w:rsidRPr="009270B4" w:rsidRDefault="003C24E2" w:rsidP="009414E0">
      <w:pPr>
        <w:rPr>
          <w:sz w:val="14"/>
          <w:szCs w:val="14"/>
          <w:lang w:eastAsia="en-AU"/>
        </w:rPr>
      </w:pPr>
    </w:p>
    <w:tbl>
      <w:tblPr>
        <w:tblStyle w:val="TableGrid"/>
        <w:tblW w:w="0" w:type="auto"/>
        <w:tblLook w:val="04A0" w:firstRow="1" w:lastRow="0" w:firstColumn="1" w:lastColumn="0" w:noHBand="0" w:noVBand="1"/>
      </w:tblPr>
      <w:tblGrid>
        <w:gridCol w:w="9175"/>
      </w:tblGrid>
      <w:tr w:rsidR="0012707A" w14:paraId="2FECC56A" w14:textId="77777777" w:rsidTr="003C24E2">
        <w:tc>
          <w:tcPr>
            <w:tcW w:w="9175" w:type="dxa"/>
            <w:tcBorders>
              <w:top w:val="nil"/>
              <w:left w:val="nil"/>
              <w:bottom w:val="nil"/>
              <w:right w:val="nil"/>
            </w:tcBorders>
            <w:shd w:val="clear" w:color="auto" w:fill="D9D9D9" w:themeFill="background1" w:themeFillShade="D9"/>
          </w:tcPr>
          <w:p w14:paraId="42F2E09E" w14:textId="77777777" w:rsidR="003C24E2" w:rsidRDefault="003C24E2" w:rsidP="003C24E2">
            <w:pPr>
              <w:spacing w:after="0"/>
              <w:jc w:val="center"/>
              <w:rPr>
                <w:rFonts w:asciiTheme="majorHAnsi" w:hAnsiTheme="majorHAnsi" w:cstheme="majorBidi"/>
                <w:i/>
                <w:iCs/>
                <w:color w:val="00264D" w:themeColor="background2"/>
              </w:rPr>
            </w:pPr>
          </w:p>
          <w:p w14:paraId="33F81DCC" w14:textId="3761EDF7" w:rsidR="003C24E2" w:rsidRDefault="003C24E2" w:rsidP="003C24E2">
            <w:pPr>
              <w:spacing w:after="0"/>
              <w:jc w:val="center"/>
              <w:rPr>
                <w:rFonts w:asciiTheme="majorHAnsi" w:hAnsiTheme="majorHAnsi" w:cstheme="majorBidi"/>
                <w:i/>
                <w:iCs/>
                <w:color w:val="00264D" w:themeColor="background2"/>
              </w:rPr>
            </w:pPr>
            <w:r>
              <w:rPr>
                <w:rFonts w:asciiTheme="majorHAnsi" w:hAnsiTheme="majorHAnsi" w:cstheme="majorBidi"/>
                <w:i/>
                <w:iCs/>
                <w:color w:val="00264D" w:themeColor="background2"/>
              </w:rPr>
              <w:t>“</w:t>
            </w:r>
            <w:r w:rsidRPr="00931731">
              <w:rPr>
                <w:rFonts w:asciiTheme="majorHAnsi" w:hAnsiTheme="majorHAnsi" w:cstheme="majorBidi"/>
                <w:i/>
                <w:iCs/>
                <w:color w:val="00264D" w:themeColor="background2"/>
              </w:rPr>
              <w:t>We helped many individuals in a unique, niche program that does not exist anywhere else.</w:t>
            </w:r>
          </w:p>
          <w:p w14:paraId="509BD94D" w14:textId="77777777" w:rsidR="003C24E2" w:rsidRPr="008C340D" w:rsidRDefault="003C24E2" w:rsidP="003C24E2">
            <w:pPr>
              <w:spacing w:after="0"/>
              <w:jc w:val="center"/>
              <w:rPr>
                <w:rFonts w:asciiTheme="majorHAnsi" w:hAnsiTheme="majorHAnsi" w:cstheme="majorBidi"/>
                <w:i/>
                <w:iCs/>
                <w:color w:val="00264D" w:themeColor="background2"/>
              </w:rPr>
            </w:pPr>
            <w:r w:rsidRPr="00931731">
              <w:rPr>
                <w:rFonts w:asciiTheme="majorHAnsi" w:hAnsiTheme="majorHAnsi" w:cstheme="majorBidi"/>
                <w:i/>
                <w:iCs/>
                <w:color w:val="00264D" w:themeColor="background2"/>
              </w:rPr>
              <w:t xml:space="preserve"> It was soul enriching to know we changed lives</w:t>
            </w:r>
            <w:r>
              <w:rPr>
                <w:rFonts w:asciiTheme="majorHAnsi" w:hAnsiTheme="majorHAnsi" w:cstheme="majorBidi"/>
                <w:i/>
                <w:iCs/>
                <w:color w:val="00264D" w:themeColor="background2"/>
              </w:rPr>
              <w:t>.</w:t>
            </w:r>
            <w:r w:rsidRPr="00931731">
              <w:rPr>
                <w:rFonts w:asciiTheme="majorHAnsi" w:hAnsiTheme="majorHAnsi" w:cstheme="majorBidi"/>
                <w:i/>
                <w:iCs/>
                <w:color w:val="00264D" w:themeColor="background2"/>
              </w:rPr>
              <w:t>"</w:t>
            </w:r>
          </w:p>
          <w:p w14:paraId="160098A6" w14:textId="77777777" w:rsidR="0012707A" w:rsidRDefault="0012707A" w:rsidP="009414E0">
            <w:pPr>
              <w:rPr>
                <w:lang w:eastAsia="en-AU"/>
              </w:rPr>
            </w:pPr>
          </w:p>
        </w:tc>
      </w:tr>
    </w:tbl>
    <w:p w14:paraId="4DEC4E45" w14:textId="206100B0" w:rsidR="0071416E" w:rsidRPr="009270B4" w:rsidRDefault="0071416E" w:rsidP="009414E0">
      <w:pPr>
        <w:rPr>
          <w:sz w:val="14"/>
          <w:szCs w:val="14"/>
          <w:lang w:eastAsia="en-AU"/>
        </w:rPr>
      </w:pPr>
    </w:p>
    <w:p w14:paraId="3F77C14D" w14:textId="703F6D1A" w:rsidR="009270B4" w:rsidRPr="009270B4" w:rsidRDefault="00991740" w:rsidP="009414E0">
      <w:pPr>
        <w:rPr>
          <w:noProof/>
        </w:rPr>
      </w:pPr>
      <w:r>
        <w:rPr>
          <w:lang w:eastAsia="en-AU"/>
        </w:rPr>
        <w:t>The missed opportunity is that SARC</w:t>
      </w:r>
      <w:r w:rsidR="003E699B">
        <w:rPr>
          <w:lang w:eastAsia="en-AU"/>
        </w:rPr>
        <w:t xml:space="preserve"> – </w:t>
      </w:r>
      <w:r>
        <w:rPr>
          <w:lang w:eastAsia="en-AU"/>
        </w:rPr>
        <w:t xml:space="preserve">IC operates in isolation from other funding sources, without </w:t>
      </w:r>
      <w:r w:rsidR="006B0CF7">
        <w:rPr>
          <w:lang w:eastAsia="en-AU"/>
        </w:rPr>
        <w:t>formal or inform</w:t>
      </w:r>
      <w:r w:rsidR="003A69A1">
        <w:rPr>
          <w:lang w:eastAsia="en-AU"/>
        </w:rPr>
        <w:t>al</w:t>
      </w:r>
      <w:r w:rsidR="006B0CF7">
        <w:rPr>
          <w:lang w:eastAsia="en-AU"/>
        </w:rPr>
        <w:t xml:space="preserve"> </w:t>
      </w:r>
      <w:r>
        <w:rPr>
          <w:lang w:eastAsia="en-AU"/>
        </w:rPr>
        <w:t xml:space="preserve">links to other Department or state/territory </w:t>
      </w:r>
      <w:r w:rsidR="00A26130">
        <w:rPr>
          <w:lang w:eastAsia="en-AU"/>
        </w:rPr>
        <w:t>funding and programs. Examples of where this has occurred more systematically, include DSS’ Outcomes Fund</w:t>
      </w:r>
      <w:r w:rsidR="00AA2D0F">
        <w:rPr>
          <w:lang w:eastAsia="en-AU"/>
        </w:rPr>
        <w:t xml:space="preserve">, which works with state and territory </w:t>
      </w:r>
      <w:r w:rsidR="00AA2D0F">
        <w:rPr>
          <w:lang w:eastAsia="en-AU"/>
        </w:rPr>
        <w:lastRenderedPageBreak/>
        <w:t xml:space="preserve">governments at the outset to leverage investment and </w:t>
      </w:r>
      <w:r w:rsidR="00102BEE">
        <w:rPr>
          <w:lang w:eastAsia="en-AU"/>
        </w:rPr>
        <w:t>coordinate on the administration of funding</w:t>
      </w:r>
      <w:r>
        <w:rPr>
          <w:lang w:eastAsia="en-AU"/>
        </w:rPr>
        <w:t>.</w:t>
      </w:r>
      <w:r w:rsidR="002B29BE">
        <w:rPr>
          <w:rFonts w:ascii="ZWAdobeF" w:hAnsi="ZWAdobeF" w:cs="ZWAdobeF"/>
          <w:sz w:val="2"/>
          <w:szCs w:val="2"/>
          <w:lang w:eastAsia="en-AU"/>
        </w:rPr>
        <w:t>48F</w:t>
      </w:r>
      <w:r w:rsidR="006117C6">
        <w:rPr>
          <w:rStyle w:val="FootnoteReference"/>
          <w:lang w:eastAsia="en-AU"/>
        </w:rPr>
        <w:footnoteReference w:id="52"/>
      </w:r>
      <w:r>
        <w:rPr>
          <w:lang w:eastAsia="en-AU"/>
        </w:rPr>
        <w:t xml:space="preserve"> At a systems level, this </w:t>
      </w:r>
      <w:r w:rsidR="009011BB">
        <w:rPr>
          <w:lang w:eastAsia="en-AU"/>
        </w:rPr>
        <w:t xml:space="preserve">isolation </w:t>
      </w:r>
      <w:r>
        <w:rPr>
          <w:lang w:eastAsia="en-AU"/>
        </w:rPr>
        <w:t xml:space="preserve">makes it difficult for the Department to map where the funding is duplicative or addressing </w:t>
      </w:r>
      <w:r w:rsidR="00B60A18">
        <w:rPr>
          <w:lang w:eastAsia="en-AU"/>
        </w:rPr>
        <w:t xml:space="preserve">a funding need. </w:t>
      </w:r>
      <w:r w:rsidR="00907A35">
        <w:rPr>
          <w:lang w:eastAsia="en-AU"/>
        </w:rPr>
        <w:t>At an individual grant recipient level</w:t>
      </w:r>
      <w:r w:rsidR="004C7848">
        <w:rPr>
          <w:lang w:eastAsia="en-AU"/>
        </w:rPr>
        <w:t>,</w:t>
      </w:r>
      <w:r w:rsidR="00907A35">
        <w:rPr>
          <w:lang w:eastAsia="en-AU"/>
        </w:rPr>
        <w:t xml:space="preserve"> it </w:t>
      </w:r>
      <w:r w:rsidR="00CC2F38">
        <w:rPr>
          <w:lang w:eastAsia="en-AU"/>
        </w:rPr>
        <w:t xml:space="preserve">makes it difficult for </w:t>
      </w:r>
      <w:r w:rsidR="000F3A18">
        <w:rPr>
          <w:lang w:eastAsia="en-AU"/>
        </w:rPr>
        <w:t>grant recipients</w:t>
      </w:r>
      <w:r w:rsidR="00CC2F38">
        <w:rPr>
          <w:lang w:eastAsia="en-AU"/>
        </w:rPr>
        <w:t xml:space="preserve"> to identify future funding sources for </w:t>
      </w:r>
      <w:r w:rsidR="006D2754">
        <w:rPr>
          <w:lang w:eastAsia="en-AU"/>
        </w:rPr>
        <w:t xml:space="preserve">projects </w:t>
      </w:r>
      <w:r w:rsidR="00CC2F38">
        <w:rPr>
          <w:lang w:eastAsia="en-AU"/>
        </w:rPr>
        <w:t xml:space="preserve">which have proved their outcomes through </w:t>
      </w:r>
      <w:r w:rsidR="002A526D">
        <w:rPr>
          <w:lang w:eastAsia="en-AU"/>
        </w:rPr>
        <w:t xml:space="preserve">the initial </w:t>
      </w:r>
      <w:r w:rsidR="006B47BF">
        <w:rPr>
          <w:lang w:eastAsia="en-AU"/>
        </w:rPr>
        <w:t xml:space="preserve">SARC – IC </w:t>
      </w:r>
      <w:r w:rsidR="002A526D">
        <w:rPr>
          <w:lang w:eastAsia="en-AU"/>
        </w:rPr>
        <w:t xml:space="preserve">funding. </w:t>
      </w:r>
      <w:r w:rsidR="00F94006">
        <w:rPr>
          <w:lang w:eastAsia="en-AU"/>
        </w:rPr>
        <w:t>It mean</w:t>
      </w:r>
      <w:r w:rsidR="008F3412">
        <w:rPr>
          <w:lang w:eastAsia="en-AU"/>
        </w:rPr>
        <w:t>s</w:t>
      </w:r>
      <w:r w:rsidR="00F94006">
        <w:rPr>
          <w:lang w:eastAsia="en-AU"/>
        </w:rPr>
        <w:t xml:space="preserve"> that organisations </w:t>
      </w:r>
      <w:r w:rsidR="008F3412">
        <w:rPr>
          <w:lang w:eastAsia="en-AU"/>
        </w:rPr>
        <w:t>a</w:t>
      </w:r>
      <w:r w:rsidR="00F94006">
        <w:rPr>
          <w:lang w:eastAsia="en-AU"/>
        </w:rPr>
        <w:t xml:space="preserve">re reliant on their own local networks to identify funding opportunities, rather than having the structures in place nationally to support them transitioning between funding sources. </w:t>
      </w:r>
      <w:r w:rsidR="00394466">
        <w:rPr>
          <w:lang w:eastAsia="en-AU"/>
        </w:rPr>
        <w:t>Whilst this is not unique to SARC</w:t>
      </w:r>
      <w:r w:rsidR="00AB180B">
        <w:rPr>
          <w:lang w:eastAsia="en-AU"/>
        </w:rPr>
        <w:t xml:space="preserve"> – IC and</w:t>
      </w:r>
      <w:r w:rsidR="00C30894">
        <w:rPr>
          <w:lang w:eastAsia="en-AU"/>
        </w:rPr>
        <w:t xml:space="preserve"> is a feature of the grant system more broadly, the siloed and short</w:t>
      </w:r>
      <w:r w:rsidR="00055AB3">
        <w:rPr>
          <w:lang w:eastAsia="en-AU"/>
        </w:rPr>
        <w:t>-</w:t>
      </w:r>
      <w:r w:rsidR="00C30894">
        <w:rPr>
          <w:lang w:eastAsia="en-AU"/>
        </w:rPr>
        <w:t xml:space="preserve">term funding makes it difficult to create continuity. </w:t>
      </w:r>
      <w:r w:rsidR="005F624A">
        <w:rPr>
          <w:lang w:eastAsia="en-AU"/>
        </w:rPr>
        <w:t xml:space="preserve">In practice this means that </w:t>
      </w:r>
      <w:r w:rsidR="006B47BF">
        <w:rPr>
          <w:lang w:eastAsia="en-AU"/>
        </w:rPr>
        <w:t xml:space="preserve">SARC – IC </w:t>
      </w:r>
      <w:r w:rsidR="005F624A">
        <w:rPr>
          <w:lang w:eastAsia="en-AU"/>
        </w:rPr>
        <w:t>adds another layer of fragmented funding to the service landscape</w:t>
      </w:r>
      <w:r w:rsidR="00AB01E5">
        <w:rPr>
          <w:lang w:eastAsia="en-AU"/>
        </w:rPr>
        <w:t xml:space="preserve">. </w:t>
      </w:r>
      <w:r w:rsidR="00AB01E5">
        <w:rPr>
          <w:lang w:eastAsia="en-AU"/>
        </w:rPr>
        <w:fldChar w:fldCharType="begin" w:fldLock="1"/>
      </w:r>
      <w:r w:rsidR="00AB01E5">
        <w:rPr>
          <w:lang w:eastAsia="en-AU"/>
        </w:rPr>
        <w:instrText xml:space="preserve"> REF _Ref216884187 \h </w:instrText>
      </w:r>
      <w:r w:rsidR="00AB01E5">
        <w:rPr>
          <w:lang w:eastAsia="en-AU"/>
        </w:rPr>
      </w:r>
      <w:r w:rsidR="00AB01E5">
        <w:rPr>
          <w:lang w:eastAsia="en-AU"/>
        </w:rPr>
        <w:fldChar w:fldCharType="separate"/>
      </w:r>
      <w:r w:rsidR="00AB01E5">
        <w:t xml:space="preserve">Figure </w:t>
      </w:r>
      <w:r w:rsidR="00AB01E5" w:rsidRPr="35608556">
        <w:rPr>
          <w:noProof/>
        </w:rPr>
        <w:t>6</w:t>
      </w:r>
      <w:r w:rsidR="00AB01E5">
        <w:rPr>
          <w:lang w:eastAsia="en-AU"/>
        </w:rPr>
        <w:fldChar w:fldCharType="end"/>
      </w:r>
      <w:r w:rsidR="00AB01E5">
        <w:rPr>
          <w:lang w:eastAsia="en-AU"/>
        </w:rPr>
        <w:t xml:space="preserve"> </w:t>
      </w:r>
      <w:r w:rsidR="00DF7FB1">
        <w:rPr>
          <w:lang w:eastAsia="en-AU"/>
        </w:rPr>
        <w:t>overleaf</w:t>
      </w:r>
      <w:r w:rsidR="00AB01E5">
        <w:rPr>
          <w:lang w:eastAsia="en-AU"/>
        </w:rPr>
        <w:t xml:space="preserve"> provides a summary of other programs that target similar outcomes</w:t>
      </w:r>
      <w:r w:rsidR="00B73118">
        <w:rPr>
          <w:lang w:eastAsia="en-AU"/>
        </w:rPr>
        <w:t xml:space="preserve"> across</w:t>
      </w:r>
      <w:r w:rsidR="00AB01E5">
        <w:rPr>
          <w:lang w:eastAsia="en-AU"/>
        </w:rPr>
        <w:t xml:space="preserve"> the </w:t>
      </w:r>
      <w:r w:rsidR="00B73118">
        <w:rPr>
          <w:lang w:eastAsia="en-AU"/>
        </w:rPr>
        <w:t>same priority cohorts</w:t>
      </w:r>
      <w:r w:rsidR="001222E6">
        <w:rPr>
          <w:lang w:eastAsia="en-AU"/>
        </w:rPr>
        <w:t>, Appendix D outlines in more detail what</w:t>
      </w:r>
      <w:r w:rsidR="006E79AF">
        <w:rPr>
          <w:lang w:eastAsia="en-AU"/>
        </w:rPr>
        <w:t xml:space="preserve"> these programs do and how they overlap with SARC</w:t>
      </w:r>
      <w:r w:rsidR="00330A95">
        <w:rPr>
          <w:lang w:eastAsia="en-AU"/>
        </w:rPr>
        <w:t xml:space="preserve"> – </w:t>
      </w:r>
      <w:r w:rsidR="006E79AF">
        <w:rPr>
          <w:lang w:eastAsia="en-AU"/>
        </w:rPr>
        <w:t>IC</w:t>
      </w:r>
      <w:r w:rsidR="00B73118">
        <w:rPr>
          <w:lang w:eastAsia="en-AU"/>
        </w:rPr>
        <w:t>.</w:t>
      </w:r>
      <w:r w:rsidR="00364A6D" w:rsidRPr="00364A6D">
        <w:rPr>
          <w:noProof/>
        </w:rPr>
        <w:t xml:space="preserve"> </w:t>
      </w:r>
    </w:p>
    <w:tbl>
      <w:tblPr>
        <w:tblStyle w:val="TableGrid"/>
        <w:tblW w:w="0" w:type="auto"/>
        <w:tblLook w:val="04A0" w:firstRow="1" w:lastRow="0" w:firstColumn="1" w:lastColumn="0" w:noHBand="0" w:noVBand="1"/>
      </w:tblPr>
      <w:tblGrid>
        <w:gridCol w:w="9175"/>
      </w:tblGrid>
      <w:tr w:rsidR="003C24E2" w14:paraId="0AAE6D3A" w14:textId="77777777" w:rsidTr="003C24E2">
        <w:tc>
          <w:tcPr>
            <w:tcW w:w="9175" w:type="dxa"/>
            <w:tcBorders>
              <w:top w:val="nil"/>
              <w:left w:val="nil"/>
              <w:bottom w:val="nil"/>
              <w:right w:val="nil"/>
            </w:tcBorders>
            <w:shd w:val="clear" w:color="auto" w:fill="D9D9D9" w:themeFill="background1" w:themeFillShade="D9"/>
          </w:tcPr>
          <w:p w14:paraId="6FD519FE" w14:textId="77777777" w:rsidR="003C24E2" w:rsidRDefault="003C24E2" w:rsidP="003C24E2">
            <w:pPr>
              <w:spacing w:after="0"/>
              <w:jc w:val="center"/>
              <w:rPr>
                <w:rFonts w:asciiTheme="majorHAnsi" w:hAnsiTheme="majorHAnsi" w:cstheme="majorBidi"/>
                <w:i/>
                <w:iCs/>
                <w:color w:val="00264D" w:themeColor="background2"/>
              </w:rPr>
            </w:pPr>
          </w:p>
          <w:p w14:paraId="2374C823" w14:textId="043E948A" w:rsidR="003C24E2" w:rsidRPr="008C340D" w:rsidRDefault="003C24E2" w:rsidP="003C24E2">
            <w:pPr>
              <w:spacing w:after="0"/>
              <w:jc w:val="center"/>
              <w:rPr>
                <w:rFonts w:asciiTheme="majorHAnsi" w:hAnsiTheme="majorHAnsi" w:cstheme="majorBidi"/>
                <w:i/>
                <w:iCs/>
                <w:color w:val="00264D" w:themeColor="background2"/>
              </w:rPr>
            </w:pPr>
            <w:r w:rsidRPr="00931731">
              <w:rPr>
                <w:rFonts w:asciiTheme="majorHAnsi" w:hAnsiTheme="majorHAnsi" w:cstheme="majorBidi"/>
                <w:i/>
                <w:iCs/>
                <w:color w:val="00264D" w:themeColor="background2"/>
              </w:rPr>
              <w:t>"Cessation of the program due to inability to secure continued grant funding has left a huge gap in the community that is unable to be delivered by anyone else... means [we] can't continue a highly successful initiative!"</w:t>
            </w:r>
          </w:p>
          <w:p w14:paraId="3E8EE330" w14:textId="77777777" w:rsidR="003C24E2" w:rsidRDefault="003C24E2" w:rsidP="009414E0">
            <w:pPr>
              <w:rPr>
                <w:noProof/>
              </w:rPr>
            </w:pPr>
          </w:p>
        </w:tc>
      </w:tr>
    </w:tbl>
    <w:p w14:paraId="1E61C746" w14:textId="07A8DEE9" w:rsidR="009414E0" w:rsidRPr="009478FE" w:rsidRDefault="009414E0" w:rsidP="009414E0">
      <w:pPr>
        <w:pStyle w:val="Caption"/>
        <w:rPr>
          <w:lang w:eastAsia="en-AU"/>
        </w:rPr>
      </w:pPr>
      <w:bookmarkStart w:id="40" w:name="figure_6"/>
      <w:bookmarkStart w:id="41" w:name="_Ref216884187"/>
      <w:bookmarkEnd w:id="40"/>
      <w:r>
        <w:t xml:space="preserve">Figure </w:t>
      </w:r>
      <w:r>
        <w:fldChar w:fldCharType="begin"/>
      </w:r>
      <w:r>
        <w:instrText xml:space="preserve"> SEQ Figure \* ARABIC </w:instrText>
      </w:r>
      <w:r>
        <w:fldChar w:fldCharType="separate"/>
      </w:r>
      <w:r w:rsidR="00B666D1">
        <w:rPr>
          <w:noProof/>
        </w:rPr>
        <w:t>6</w:t>
      </w:r>
      <w:r>
        <w:fldChar w:fldCharType="end"/>
      </w:r>
      <w:bookmarkEnd w:id="41"/>
      <w:r w:rsidR="00145DB7">
        <w:t xml:space="preserve"> </w:t>
      </w:r>
      <w:r>
        <w:t>| Summary of overlap between SARC</w:t>
      </w:r>
      <w:r w:rsidR="00A6649E">
        <w:t xml:space="preserve"> – </w:t>
      </w:r>
      <w:r>
        <w:t>IC and other programs</w:t>
      </w:r>
    </w:p>
    <w:p w14:paraId="28267F81" w14:textId="37D8D260" w:rsidR="009414E0" w:rsidRDefault="00773DDB" w:rsidP="009414E0">
      <w:pPr>
        <w:rPr>
          <w:highlight w:val="cyan"/>
          <w:lang w:eastAsia="en-AU"/>
        </w:rPr>
      </w:pPr>
      <w:r>
        <w:rPr>
          <w:noProof/>
          <w:highlight w:val="cyan"/>
          <w:lang w:eastAsia="en-AU"/>
        </w:rPr>
        <w:drawing>
          <wp:inline distT="0" distB="0" distL="0" distR="0" wp14:anchorId="2564919B" wp14:editId="1E996E47">
            <wp:extent cx="5846445" cy="4925695"/>
            <wp:effectExtent l="0" t="0" r="1905" b="8255"/>
            <wp:docPr id="1558550831" name="Picture 2" descr="Figure 6: Summary of overlap between SARC – IC and other programs - Figure Description at Appendix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50831" name="Picture 2" descr="Figure 6: Summary of overlap between SARC – IC and other programs - Figure Description at Appendix G.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46445" cy="4925695"/>
                    </a:xfrm>
                    <a:prstGeom prst="rect">
                      <a:avLst/>
                    </a:prstGeom>
                    <a:noFill/>
                    <a:ln>
                      <a:noFill/>
                    </a:ln>
                  </pic:spPr>
                </pic:pic>
              </a:graphicData>
            </a:graphic>
          </wp:inline>
        </w:drawing>
      </w:r>
    </w:p>
    <w:p w14:paraId="451D6BF4" w14:textId="3AA37704" w:rsidR="002C4841" w:rsidRPr="009270B4" w:rsidRDefault="00A75B1A" w:rsidP="009270B4">
      <w:pPr>
        <w:rPr>
          <w:lang w:eastAsia="en-AU"/>
        </w:rPr>
      </w:pPr>
      <w:hyperlink w:anchor="_Figure_6_description" w:history="1">
        <w:r w:rsidRPr="005329CC">
          <w:rPr>
            <w:rStyle w:val="Hyperlink"/>
          </w:rPr>
          <w:t xml:space="preserve">Figure </w:t>
        </w:r>
        <w:r w:rsidRPr="006D3381">
          <w:rPr>
            <w:rStyle w:val="Hyperlink"/>
            <w:lang w:eastAsia="en-AU"/>
          </w:rPr>
          <w:t>6</w:t>
        </w:r>
        <w:r w:rsidRPr="005329CC">
          <w:rPr>
            <w:rStyle w:val="Hyperlink"/>
          </w:rPr>
          <w:t xml:space="preserve"> </w:t>
        </w:r>
        <w:r w:rsidRPr="006D3381">
          <w:rPr>
            <w:rStyle w:val="Hyperlink"/>
            <w:lang w:eastAsia="en-AU"/>
          </w:rPr>
          <w:t>full description</w:t>
        </w:r>
      </w:hyperlink>
      <w:bookmarkEnd w:id="39"/>
    </w:p>
    <w:p w14:paraId="435B5421" w14:textId="7774563D" w:rsidR="00C05D26" w:rsidRDefault="00C05D26" w:rsidP="00767FD4">
      <w:pPr>
        <w:pStyle w:val="Heading2"/>
      </w:pPr>
      <w:bookmarkStart w:id="42" w:name="_Toc240883557"/>
      <w:r w:rsidRPr="00767FD4">
        <w:lastRenderedPageBreak/>
        <w:t>Implementation</w:t>
      </w:r>
      <w:bookmarkEnd w:id="42"/>
      <w:r w:rsidRPr="00784D9D">
        <w:t xml:space="preserve"> </w:t>
      </w:r>
    </w:p>
    <w:p w14:paraId="21B74125" w14:textId="136BC91D" w:rsidR="00C05D26" w:rsidRDefault="00C05D26" w:rsidP="00792F11">
      <w:pPr>
        <w:pStyle w:val="Heading3"/>
      </w:pPr>
      <w:bookmarkStart w:id="43" w:name="_Toc240883558"/>
      <w:r>
        <w:t>Key findings on implementation and administration</w:t>
      </w:r>
      <w:bookmarkEnd w:id="43"/>
    </w:p>
    <w:tbl>
      <w:tblPr>
        <w:tblStyle w:val="NOUSSideHeader1"/>
        <w:tblW w:w="9050" w:type="dxa"/>
        <w:tblLook w:val="0400" w:firstRow="0" w:lastRow="0" w:firstColumn="0" w:lastColumn="0" w:noHBand="0" w:noVBand="1"/>
      </w:tblPr>
      <w:tblGrid>
        <w:gridCol w:w="9050"/>
      </w:tblGrid>
      <w:tr w:rsidR="003416A6" w:rsidRPr="00823F52" w14:paraId="0ECA1E9A" w14:textId="77777777">
        <w:trPr>
          <w:cnfStyle w:val="000000100000" w:firstRow="0" w:lastRow="0" w:firstColumn="0" w:lastColumn="0" w:oddVBand="0" w:evenVBand="0" w:oddHBand="1" w:evenHBand="0" w:firstRowFirstColumn="0" w:firstRowLastColumn="0" w:lastRowFirstColumn="0" w:lastRowLastColumn="0"/>
          <w:trHeight w:val="666"/>
        </w:trPr>
        <w:tc>
          <w:tcPr>
            <w:tcW w:w="9050" w:type="dxa"/>
            <w:tcBorders>
              <w:top w:val="single" w:sz="8" w:space="0" w:color="00264D" w:themeColor="background2"/>
              <w:bottom w:val="single" w:sz="8" w:space="0" w:color="00264D" w:themeColor="background2"/>
            </w:tcBorders>
          </w:tcPr>
          <w:p w14:paraId="43741B89" w14:textId="3D9C7D47" w:rsidR="00D63C15" w:rsidRPr="009270B4" w:rsidRDefault="00D63C15">
            <w:pPr>
              <w:spacing w:before="120" w:line="259" w:lineRule="auto"/>
              <w:rPr>
                <w:rFonts w:ascii="Segoe UI Semilight" w:hAnsi="Segoe UI Semilight" w:cs="Segoe UI Semilight"/>
                <w:color w:val="00264D" w:themeColor="background2"/>
                <w:szCs w:val="19"/>
              </w:rPr>
            </w:pPr>
            <w:bookmarkStart w:id="44" w:name="_Hlk217034135"/>
            <w:r w:rsidRPr="009270B4">
              <w:rPr>
                <w:rFonts w:ascii="Segoe UI Semilight" w:hAnsi="Segoe UI Semilight" w:cs="Segoe UI Semilight"/>
                <w:color w:val="00264D" w:themeColor="background2"/>
                <w:szCs w:val="19"/>
              </w:rPr>
              <w:t xml:space="preserve">This section outlines findings relating to the implementation of the </w:t>
            </w:r>
            <w:r w:rsidR="0043303B" w:rsidRPr="009270B4">
              <w:rPr>
                <w:rFonts w:ascii="Segoe UI Semilight" w:hAnsi="Segoe UI Semilight" w:cs="Segoe UI Semilight"/>
                <w:color w:val="00264D" w:themeColor="background2"/>
                <w:szCs w:val="19"/>
              </w:rPr>
              <w:t xml:space="preserve">SARC – IC </w:t>
            </w:r>
            <w:r w:rsidR="00FF6A23" w:rsidRPr="009270B4">
              <w:rPr>
                <w:rFonts w:ascii="Segoe UI Semilight" w:hAnsi="Segoe UI Semilight" w:cs="Segoe UI Semilight"/>
                <w:color w:val="00264D" w:themeColor="background2"/>
                <w:szCs w:val="19"/>
              </w:rPr>
              <w:t xml:space="preserve">Activity </w:t>
            </w:r>
            <w:r w:rsidRPr="009270B4">
              <w:rPr>
                <w:rFonts w:ascii="Segoe UI Semilight" w:hAnsi="Segoe UI Semilight" w:cs="Segoe UI Semilight"/>
                <w:color w:val="00264D" w:themeColor="background2"/>
                <w:szCs w:val="19"/>
              </w:rPr>
              <w:t>(KEQ 2).</w:t>
            </w:r>
          </w:p>
          <w:p w14:paraId="6A77BE3D" w14:textId="25CE7BC4" w:rsidR="00D63C15" w:rsidRPr="0057553B" w:rsidRDefault="00D63C15" w:rsidP="004E57AF">
            <w:pPr>
              <w:pStyle w:val="TableNBullet"/>
              <w:rPr>
                <w:sz w:val="16"/>
                <w:szCs w:val="16"/>
              </w:rPr>
            </w:pPr>
            <w:r w:rsidRPr="009270B4">
              <w:rPr>
                <w:sz w:val="19"/>
              </w:rPr>
              <w:t>KEQ 2</w:t>
            </w:r>
            <w:r w:rsidR="006B6FAB" w:rsidRPr="009270B4">
              <w:rPr>
                <w:sz w:val="19"/>
              </w:rPr>
              <w:t xml:space="preserve">: To what extent was </w:t>
            </w:r>
            <w:r w:rsidR="006870E0" w:rsidRPr="009270B4">
              <w:rPr>
                <w:sz w:val="19"/>
              </w:rPr>
              <w:t>SARC – IC</w:t>
            </w:r>
            <w:r w:rsidR="006B6FAB" w:rsidRPr="009270B4">
              <w:rPr>
                <w:sz w:val="19"/>
              </w:rPr>
              <w:t xml:space="preserve"> </w:t>
            </w:r>
            <w:r w:rsidR="006B6FAB" w:rsidRPr="009270B4">
              <w:rPr>
                <w:rFonts w:asciiTheme="majorHAnsi" w:hAnsiTheme="majorHAnsi" w:cstheme="majorHAnsi"/>
                <w:sz w:val="19"/>
              </w:rPr>
              <w:t>implemented as expected</w:t>
            </w:r>
            <w:r w:rsidR="006B6FAB" w:rsidRPr="009270B4">
              <w:rPr>
                <w:sz w:val="19"/>
              </w:rPr>
              <w:t xml:space="preserve"> to deliver economic participation, wellbeing and social participation measures?</w:t>
            </w:r>
          </w:p>
        </w:tc>
      </w:tr>
      <w:bookmarkEnd w:id="44"/>
    </w:tbl>
    <w:p w14:paraId="6CA08C33" w14:textId="77777777" w:rsidR="00D63C15" w:rsidRPr="00D63C15" w:rsidRDefault="00D63C15" w:rsidP="00D63C15">
      <w:pPr>
        <w:rPr>
          <w:lang w:eastAsia="en-AU"/>
        </w:rPr>
      </w:pPr>
    </w:p>
    <w:tbl>
      <w:tblPr>
        <w:tblStyle w:val="Style1"/>
        <w:tblW w:w="4950" w:type="pct"/>
        <w:tblLook w:val="04A0" w:firstRow="1" w:lastRow="0" w:firstColumn="1" w:lastColumn="0" w:noHBand="0" w:noVBand="1"/>
      </w:tblPr>
      <w:tblGrid>
        <w:gridCol w:w="9093"/>
      </w:tblGrid>
      <w:tr w:rsidR="006371A6" w14:paraId="60AD5F2B" w14:textId="77777777" w:rsidTr="5E20C28B">
        <w:tc>
          <w:tcPr>
            <w:tcW w:w="9093" w:type="dxa"/>
            <w:shd w:val="clear" w:color="auto" w:fill="00264D" w:themeFill="background2"/>
          </w:tcPr>
          <w:p w14:paraId="40BAFDF4" w14:textId="1BB8B406" w:rsidR="004572A3" w:rsidRPr="001F4F37" w:rsidRDefault="00636356" w:rsidP="009F6EE2">
            <w:pPr>
              <w:spacing w:before="120"/>
              <w:ind w:left="312" w:right="204"/>
              <w:rPr>
                <w:rFonts w:asciiTheme="majorHAnsi" w:hAnsiTheme="majorHAnsi" w:cstheme="majorHAnsi"/>
                <w:sz w:val="22"/>
                <w:szCs w:val="28"/>
                <w:lang w:eastAsia="en-AU"/>
              </w:rPr>
            </w:pPr>
            <w:r>
              <w:rPr>
                <w:rFonts w:asciiTheme="majorHAnsi" w:hAnsiTheme="majorHAnsi" w:cstheme="majorHAnsi"/>
                <w:noProof/>
                <w:color w:val="FFFFFF" w:themeColor="background1"/>
                <w:sz w:val="22"/>
                <w:szCs w:val="28"/>
                <w:lang w:eastAsia="en-AU"/>
              </w:rPr>
              <w:drawing>
                <wp:anchor distT="0" distB="0" distL="114300" distR="114300" simplePos="0" relativeHeight="251658257" behindDoc="0" locked="0" layoutInCell="1" allowOverlap="1" wp14:anchorId="2EEEF86B" wp14:editId="32A86C4D">
                  <wp:simplePos x="0" y="0"/>
                  <wp:positionH relativeFrom="column">
                    <wp:posOffset>5277098</wp:posOffset>
                  </wp:positionH>
                  <wp:positionV relativeFrom="paragraph">
                    <wp:posOffset>21811</wp:posOffset>
                  </wp:positionV>
                  <wp:extent cx="335280" cy="335280"/>
                  <wp:effectExtent l="0" t="0" r="0" b="7620"/>
                  <wp:wrapNone/>
                  <wp:docPr id="1786671384" name="Picture 27" descr="P438C1T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71384" name="Picture 27" descr="P438C1T9#y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pic:spPr>
                      </pic:pic>
                    </a:graphicData>
                  </a:graphic>
                  <wp14:sizeRelH relativeFrom="margin">
                    <wp14:pctWidth>0</wp14:pctWidth>
                  </wp14:sizeRelH>
                  <wp14:sizeRelV relativeFrom="margin">
                    <wp14:pctHeight>0</wp14:pctHeight>
                  </wp14:sizeRelV>
                </wp:anchor>
              </w:drawing>
            </w:r>
            <w:r w:rsidR="00DD63F1" w:rsidRPr="001F4F37">
              <w:rPr>
                <w:rFonts w:asciiTheme="majorHAnsi" w:hAnsiTheme="majorHAnsi" w:cstheme="majorHAnsi"/>
                <w:color w:val="FFFFFF" w:themeColor="background1"/>
                <w:sz w:val="22"/>
                <w:szCs w:val="28"/>
                <w:lang w:eastAsia="en-AU"/>
              </w:rPr>
              <w:t>KEY FINDINGS</w:t>
            </w:r>
          </w:p>
        </w:tc>
      </w:tr>
      <w:tr w:rsidR="006371A6" w14:paraId="5A65B0A1" w14:textId="77777777" w:rsidTr="5E20C28B">
        <w:tc>
          <w:tcPr>
            <w:tcW w:w="9093" w:type="dxa"/>
            <w:shd w:val="clear" w:color="auto" w:fill="FF3A40" w:themeFill="accent1"/>
          </w:tcPr>
          <w:p w14:paraId="6827D00F" w14:textId="05EBFFAD" w:rsidR="00CE29B9" w:rsidRPr="00CE29B9" w:rsidRDefault="00003E81" w:rsidP="00401F81">
            <w:pPr>
              <w:spacing w:before="40" w:after="40"/>
              <w:ind w:left="313" w:right="202"/>
              <w:rPr>
                <w:rFonts w:asciiTheme="minorHAnsi" w:hAnsiTheme="minorHAnsi" w:cstheme="minorHAnsi"/>
                <w:color w:val="FFFFFF" w:themeColor="background1"/>
                <w:sz w:val="17"/>
                <w:szCs w:val="17"/>
              </w:rPr>
            </w:pPr>
            <w:r>
              <w:rPr>
                <w:rFonts w:asciiTheme="majorHAnsi" w:hAnsiTheme="majorHAnsi" w:cstheme="majorHAnsi"/>
                <w:noProof/>
                <w:color w:val="FFFFFF" w:themeColor="background1"/>
                <w:lang w:eastAsia="en-AU"/>
              </w:rPr>
              <mc:AlternateContent>
                <mc:Choice Requires="wps">
                  <w:drawing>
                    <wp:anchor distT="0" distB="0" distL="114300" distR="114300" simplePos="0" relativeHeight="251658269" behindDoc="0" locked="0" layoutInCell="1" allowOverlap="1" wp14:anchorId="7906B81A" wp14:editId="3F11AB0D">
                      <wp:simplePos x="0" y="0"/>
                      <wp:positionH relativeFrom="column">
                        <wp:posOffset>206842</wp:posOffset>
                      </wp:positionH>
                      <wp:positionV relativeFrom="paragraph">
                        <wp:posOffset>375920</wp:posOffset>
                      </wp:positionV>
                      <wp:extent cx="0" cy="2679065"/>
                      <wp:effectExtent l="0" t="0" r="38100" b="26035"/>
                      <wp:wrapNone/>
                      <wp:docPr id="1940964495"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679065"/>
                              </a:xfrm>
                              <a:prstGeom prst="line">
                                <a:avLst/>
                              </a:prstGeom>
                              <a:ln w="12700" cap="rnd">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C3E111" id="Straight Connector 8" o:spid="_x0000_s1026" alt="&quot;&quot;" style="position:absolute;z-index:251658269;visibility:visible;mso-wrap-style:square;mso-wrap-distance-left:9pt;mso-wrap-distance-top:0;mso-wrap-distance-right:9pt;mso-wrap-distance-bottom:0;mso-position-horizontal:absolute;mso-position-horizontal-relative:text;mso-position-vertical:absolute;mso-position-vertical-relative:text" from="16.3pt,29.6pt" to="16.3pt,2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" strokecolor="#00264d [3214]" strokeweight="1pt">
                      <v:stroke endcap="round"/>
                    </v:line>
                  </w:pict>
                </mc:Fallback>
              </mc:AlternateContent>
            </w:r>
            <w:r w:rsidR="00CE29B9" w:rsidRPr="00A9231E">
              <w:rPr>
                <w:rFonts w:asciiTheme="majorHAnsi" w:hAnsiTheme="majorHAnsi" w:cstheme="majorHAnsi"/>
                <w:color w:val="FFFFFF" w:themeColor="background1"/>
                <w:lang w:eastAsia="en-AU"/>
              </w:rPr>
              <w:t xml:space="preserve">KEQ 2 | </w:t>
            </w:r>
            <w:r w:rsidR="00CE29B9" w:rsidRPr="00A9231E">
              <w:rPr>
                <w:rFonts w:asciiTheme="majorHAnsi" w:hAnsiTheme="majorHAnsi" w:cstheme="majorHAnsi"/>
                <w:color w:val="FFFFFF" w:themeColor="background1"/>
                <w:szCs w:val="19"/>
              </w:rPr>
              <w:t xml:space="preserve">To what extent was </w:t>
            </w:r>
            <w:r w:rsidR="00FD304C">
              <w:rPr>
                <w:rFonts w:asciiTheme="majorHAnsi" w:hAnsiTheme="majorHAnsi" w:cstheme="majorHAnsi"/>
                <w:color w:val="FFFFFF" w:themeColor="background1"/>
                <w:szCs w:val="19"/>
              </w:rPr>
              <w:t>SARC – IC</w:t>
            </w:r>
            <w:r w:rsidR="00CE29B9" w:rsidRPr="00A9231E">
              <w:rPr>
                <w:rFonts w:asciiTheme="majorHAnsi" w:hAnsiTheme="majorHAnsi" w:cstheme="majorHAnsi"/>
                <w:color w:val="FFFFFF" w:themeColor="background1"/>
                <w:szCs w:val="19"/>
              </w:rPr>
              <w:t xml:space="preserve"> implemented as expected to deliver economic participation, wellbeing and social participation measures?</w:t>
            </w:r>
          </w:p>
        </w:tc>
      </w:tr>
      <w:tr w:rsidR="006371A6" w14:paraId="34B1EED8" w14:textId="77777777" w:rsidTr="5E20C28B">
        <w:tc>
          <w:tcPr>
            <w:tcW w:w="9093" w:type="dxa"/>
          </w:tcPr>
          <w:p w14:paraId="21BA0840" w14:textId="7666973C" w:rsidR="00CE29B9" w:rsidRPr="008A364B" w:rsidRDefault="00003E81" w:rsidP="5E20C28B">
            <w:pPr>
              <w:spacing w:before="240"/>
              <w:ind w:left="596" w:right="202"/>
              <w:rPr>
                <w:rFonts w:asciiTheme="minorHAnsi" w:hAnsiTheme="minorHAnsi"/>
                <w:color w:val="00264D" w:themeColor="background2"/>
                <w:lang w:eastAsia="en-AU"/>
              </w:rPr>
            </w:pPr>
            <w:r>
              <w:rPr>
                <w:rFonts w:asciiTheme="majorHAnsi" w:hAnsiTheme="majorHAnsi" w:cstheme="majorBidi"/>
                <w:noProof/>
                <w:color w:val="00264D" w:themeColor="background2"/>
                <w:lang w:eastAsia="en-AU"/>
              </w:rPr>
              <mc:AlternateContent>
                <mc:Choice Requires="wps">
                  <w:drawing>
                    <wp:anchor distT="0" distB="0" distL="114300" distR="114300" simplePos="0" relativeHeight="251658270" behindDoc="0" locked="0" layoutInCell="1" allowOverlap="1" wp14:anchorId="46077778" wp14:editId="4926165B">
                      <wp:simplePos x="0" y="0"/>
                      <wp:positionH relativeFrom="column">
                        <wp:posOffset>143510</wp:posOffset>
                      </wp:positionH>
                      <wp:positionV relativeFrom="paragraph">
                        <wp:posOffset>178705</wp:posOffset>
                      </wp:positionV>
                      <wp:extent cx="118745" cy="119246"/>
                      <wp:effectExtent l="0" t="0" r="0" b="0"/>
                      <wp:wrapNone/>
                      <wp:docPr id="1624618045"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745" cy="119246"/>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7437A6" id="Oval 9" o:spid="_x0000_s1026" alt="&quot;&quot;" style="position:absolute;margin-left:11.3pt;margin-top:14.05pt;width:9.35pt;height:9.4pt;z-index:25165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" fillcolor="#ff3a40 [3204]" stroked="f" strokeweight="2pt"/>
                  </w:pict>
                </mc:Fallback>
              </mc:AlternateContent>
            </w:r>
            <w:r w:rsidR="00BB11DA">
              <w:rPr>
                <w:rFonts w:asciiTheme="majorHAnsi" w:hAnsiTheme="majorHAnsi" w:cstheme="majorBidi"/>
                <w:color w:val="00264D" w:themeColor="background2"/>
                <w:lang w:eastAsia="en-AU"/>
              </w:rPr>
              <w:t>6</w:t>
            </w:r>
            <w:r w:rsidR="003F350A">
              <w:rPr>
                <w:rFonts w:asciiTheme="majorHAnsi" w:hAnsiTheme="majorHAnsi" w:cstheme="majorBidi"/>
                <w:color w:val="00264D" w:themeColor="background2"/>
                <w:lang w:eastAsia="en-AU"/>
              </w:rPr>
              <w:t xml:space="preserve">.2.2 </w:t>
            </w:r>
            <w:r w:rsidR="00A43BB9" w:rsidRPr="00A43BB9">
              <w:rPr>
                <w:rFonts w:asciiTheme="majorHAnsi" w:hAnsiTheme="majorHAnsi" w:cstheme="majorBidi"/>
                <w:color w:val="00264D" w:themeColor="background2"/>
                <w:lang w:eastAsia="en-AU"/>
              </w:rPr>
              <w:t xml:space="preserve">While the application process was simple to navigate, the broad eligibility criteria resulted in additional effort for many applicants and the </w:t>
            </w:r>
            <w:r w:rsidR="00F94A44" w:rsidRPr="00A43BB9">
              <w:rPr>
                <w:rFonts w:asciiTheme="majorHAnsi" w:hAnsiTheme="majorHAnsi" w:cstheme="majorBidi"/>
                <w:color w:val="00264D" w:themeColor="background2"/>
                <w:lang w:eastAsia="en-AU"/>
              </w:rPr>
              <w:t xml:space="preserve">Department </w:t>
            </w:r>
            <w:r w:rsidR="00F94A44" w:rsidRPr="5E20C28B">
              <w:rPr>
                <w:rFonts w:asciiTheme="majorHAnsi" w:hAnsiTheme="majorHAnsi" w:cstheme="majorBidi"/>
                <w:color w:val="00264D" w:themeColor="background2"/>
                <w:lang w:eastAsia="en-AU"/>
              </w:rPr>
              <w:t>|</w:t>
            </w:r>
            <w:r w:rsidR="6627CDA5" w:rsidRPr="5E20C28B">
              <w:rPr>
                <w:rFonts w:asciiTheme="majorHAnsi" w:hAnsiTheme="majorHAnsi" w:cstheme="majorBidi"/>
                <w:color w:val="00264D" w:themeColor="background2"/>
                <w:lang w:eastAsia="en-AU"/>
              </w:rPr>
              <w:t xml:space="preserve"> </w:t>
            </w:r>
            <w:r w:rsidR="6627CDA5" w:rsidRPr="5E20C28B">
              <w:rPr>
                <w:rFonts w:asciiTheme="minorHAnsi" w:hAnsiTheme="minorHAnsi"/>
                <w:color w:val="00264D" w:themeColor="background2"/>
                <w:lang w:eastAsia="en-AU"/>
              </w:rPr>
              <w:t>This led to a</w:t>
            </w:r>
            <w:r w:rsidR="1E5F859A" w:rsidRPr="5E20C28B">
              <w:rPr>
                <w:rFonts w:asciiTheme="minorHAnsi" w:hAnsiTheme="minorHAnsi"/>
                <w:color w:val="00264D" w:themeColor="background2"/>
                <w:lang w:eastAsia="en-AU"/>
              </w:rPr>
              <w:t xml:space="preserve">n </w:t>
            </w:r>
            <w:r w:rsidR="6627CDA5" w:rsidRPr="5E20C28B">
              <w:rPr>
                <w:rFonts w:asciiTheme="minorHAnsi" w:hAnsiTheme="minorHAnsi"/>
                <w:color w:val="00264D" w:themeColor="background2"/>
                <w:lang w:eastAsia="en-AU"/>
              </w:rPr>
              <w:t>oversubscribed grant which took up valuable time for organisations applying, and in the manual assessment process by the Department</w:t>
            </w:r>
            <w:r w:rsidR="009F03F8">
              <w:rPr>
                <w:rFonts w:asciiTheme="minorHAnsi" w:hAnsiTheme="minorHAnsi"/>
                <w:color w:val="00264D" w:themeColor="background2"/>
                <w:lang w:eastAsia="en-AU"/>
              </w:rPr>
              <w:t>.</w:t>
            </w:r>
          </w:p>
          <w:p w14:paraId="4506BA64" w14:textId="569679D6" w:rsidR="003F350A" w:rsidRPr="008A364B" w:rsidRDefault="00FD4AAD" w:rsidP="003F350A">
            <w:pPr>
              <w:ind w:left="596" w:right="202"/>
              <w:rPr>
                <w:rFonts w:asciiTheme="majorHAnsi" w:hAnsiTheme="majorHAnsi" w:cstheme="majorHAnsi"/>
                <w:color w:val="00264D" w:themeColor="background2"/>
                <w:lang w:eastAsia="en-AU"/>
              </w:rPr>
            </w:pPr>
            <w:r>
              <w:rPr>
                <w:rFonts w:asciiTheme="majorHAnsi" w:hAnsiTheme="majorHAnsi" w:cstheme="majorHAnsi"/>
                <w:noProof/>
                <w:color w:val="00264D" w:themeColor="background2"/>
                <w:lang w:eastAsia="en-AU"/>
              </w:rPr>
              <mc:AlternateContent>
                <mc:Choice Requires="wps">
                  <w:drawing>
                    <wp:anchor distT="0" distB="0" distL="114300" distR="114300" simplePos="0" relativeHeight="251658281" behindDoc="0" locked="0" layoutInCell="1" allowOverlap="1" wp14:anchorId="0AAD8050" wp14:editId="5C74F788">
                      <wp:simplePos x="0" y="0"/>
                      <wp:positionH relativeFrom="column">
                        <wp:posOffset>143510</wp:posOffset>
                      </wp:positionH>
                      <wp:positionV relativeFrom="paragraph">
                        <wp:posOffset>47446</wp:posOffset>
                      </wp:positionV>
                      <wp:extent cx="118745" cy="119246"/>
                      <wp:effectExtent l="0" t="0" r="0" b="0"/>
                      <wp:wrapNone/>
                      <wp:docPr id="506225551"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745" cy="119246"/>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0C1E48" id="Oval 9" o:spid="_x0000_s1026" alt="&quot;&quot;" style="position:absolute;margin-left:11.3pt;margin-top:3.75pt;width:9.35pt;height:9.4pt;z-index:2516582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" fillcolor="#ff3a40 [3204]" stroked="f" strokeweight="2pt"/>
                  </w:pict>
                </mc:Fallback>
              </mc:AlternateContent>
            </w:r>
            <w:r>
              <w:rPr>
                <w:rFonts w:asciiTheme="majorHAnsi" w:hAnsiTheme="majorHAnsi" w:cstheme="majorHAnsi"/>
                <w:color w:val="00264D" w:themeColor="background2"/>
                <w:lang w:eastAsia="en-AU"/>
              </w:rPr>
              <w:t xml:space="preserve">6.2.3 </w:t>
            </w:r>
            <w:r w:rsidRPr="000033FC">
              <w:rPr>
                <w:rFonts w:asciiTheme="majorHAnsi" w:hAnsiTheme="majorHAnsi" w:cstheme="majorHAnsi"/>
                <w:color w:val="00264D" w:themeColor="background2"/>
                <w:lang w:eastAsia="en-AU"/>
              </w:rPr>
              <w:t xml:space="preserve">The successful delivery of SARC – IC-funded services depends on FAMs, recruitment and community trust  </w:t>
            </w:r>
            <w:r w:rsidR="00003E81">
              <w:rPr>
                <w:rFonts w:asciiTheme="majorHAnsi" w:hAnsiTheme="majorHAnsi" w:cstheme="majorHAnsi"/>
                <w:noProof/>
                <w:color w:val="00264D" w:themeColor="background2"/>
                <w:lang w:eastAsia="en-AU"/>
              </w:rPr>
              <mc:AlternateContent>
                <mc:Choice Requires="wps">
                  <w:drawing>
                    <wp:anchor distT="0" distB="0" distL="114300" distR="114300" simplePos="0" relativeHeight="251658271" behindDoc="0" locked="0" layoutInCell="1" allowOverlap="1" wp14:anchorId="0AAD8050" wp14:editId="6AD732EF">
                      <wp:simplePos x="0" y="0"/>
                      <wp:positionH relativeFrom="column">
                        <wp:posOffset>143510</wp:posOffset>
                      </wp:positionH>
                      <wp:positionV relativeFrom="paragraph">
                        <wp:posOffset>47446</wp:posOffset>
                      </wp:positionV>
                      <wp:extent cx="118745" cy="119246"/>
                      <wp:effectExtent l="0" t="0" r="0" b="0"/>
                      <wp:wrapNone/>
                      <wp:docPr id="1208564117" name="Oval 9" descr="P443C3T9#y1"/>
                      <wp:cNvGraphicFramePr/>
                      <a:graphic xmlns:a="http://schemas.openxmlformats.org/drawingml/2006/main">
                        <a:graphicData uri="http://schemas.microsoft.com/office/word/2010/wordprocessingShape">
                          <wps:wsp>
                            <wps:cNvSpPr/>
                            <wps:spPr>
                              <a:xfrm>
                                <a:off x="0" y="0"/>
                                <a:ext cx="118745" cy="119246"/>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AF9122" id="Oval 9" o:spid="_x0000_s1026" alt="P443C3T9#y1" style="position:absolute;margin-left:11.3pt;margin-top:3.75pt;width:9.35pt;height:9.4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" fillcolor="#ff3a40 [3204]" stroked="f" strokeweight="2pt"/>
                  </w:pict>
                </mc:Fallback>
              </mc:AlternateContent>
            </w:r>
            <w:r w:rsidR="000033FC" w:rsidRPr="000033FC">
              <w:rPr>
                <w:rFonts w:asciiTheme="majorHAnsi" w:hAnsiTheme="majorHAnsi" w:cstheme="majorHAnsi"/>
                <w:color w:val="00264D" w:themeColor="background2"/>
                <w:lang w:eastAsia="en-AU"/>
              </w:rPr>
              <w:t xml:space="preserve"> </w:t>
            </w:r>
          </w:p>
          <w:p w14:paraId="360D4AE7" w14:textId="6555FFB8" w:rsidR="000033FC" w:rsidRDefault="00003E81" w:rsidP="008A364B">
            <w:pPr>
              <w:ind w:left="596" w:right="202"/>
              <w:rPr>
                <w:rFonts w:asciiTheme="majorHAnsi" w:hAnsiTheme="majorHAnsi" w:cstheme="majorHAnsi"/>
                <w:color w:val="00264D" w:themeColor="background2"/>
                <w:lang w:eastAsia="en-AU"/>
              </w:rPr>
            </w:pPr>
            <w:r>
              <w:rPr>
                <w:rFonts w:asciiTheme="majorHAnsi" w:hAnsiTheme="majorHAnsi" w:cstheme="majorHAnsi"/>
                <w:noProof/>
                <w:color w:val="00264D" w:themeColor="background2"/>
                <w:lang w:eastAsia="en-AU"/>
              </w:rPr>
              <mc:AlternateContent>
                <mc:Choice Requires="wps">
                  <w:drawing>
                    <wp:anchor distT="0" distB="0" distL="114300" distR="114300" simplePos="0" relativeHeight="251658272" behindDoc="0" locked="0" layoutInCell="1" allowOverlap="1" wp14:anchorId="17FE19D1" wp14:editId="45C6C61D">
                      <wp:simplePos x="0" y="0"/>
                      <wp:positionH relativeFrom="column">
                        <wp:posOffset>143510</wp:posOffset>
                      </wp:positionH>
                      <wp:positionV relativeFrom="paragraph">
                        <wp:posOffset>21281</wp:posOffset>
                      </wp:positionV>
                      <wp:extent cx="118223" cy="118722"/>
                      <wp:effectExtent l="0" t="0" r="0" b="0"/>
                      <wp:wrapNone/>
                      <wp:docPr id="839633574"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223" cy="118722"/>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F39219" id="Oval 9" o:spid="_x0000_s1026" alt="&quot;&quot;" style="position:absolute;margin-left:11.3pt;margin-top:1.7pt;width:9.3pt;height:9.35pt;z-index:2516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" fillcolor="#ff3a40 [3204]" stroked="f" strokeweight="2pt"/>
                  </w:pict>
                </mc:Fallback>
              </mc:AlternateContent>
            </w:r>
            <w:r w:rsidR="00BB11DA">
              <w:rPr>
                <w:rFonts w:asciiTheme="majorHAnsi" w:hAnsiTheme="majorHAnsi" w:cstheme="majorHAnsi"/>
                <w:color w:val="00264D" w:themeColor="background2"/>
                <w:lang w:eastAsia="en-AU"/>
              </w:rPr>
              <w:t>6</w:t>
            </w:r>
            <w:r w:rsidR="003F350A">
              <w:rPr>
                <w:rFonts w:asciiTheme="majorHAnsi" w:hAnsiTheme="majorHAnsi" w:cstheme="majorHAnsi"/>
                <w:color w:val="00264D" w:themeColor="background2"/>
                <w:lang w:eastAsia="en-AU"/>
              </w:rPr>
              <w:t xml:space="preserve">.2.4 </w:t>
            </w:r>
            <w:r w:rsidR="000033FC" w:rsidRPr="000033FC">
              <w:rPr>
                <w:rFonts w:asciiTheme="majorHAnsi" w:hAnsiTheme="majorHAnsi" w:cstheme="majorHAnsi"/>
                <w:color w:val="00264D" w:themeColor="background2"/>
                <w:lang w:eastAsia="en-AU"/>
              </w:rPr>
              <w:t>Challenges with DEX resulted in limited standardised reporting on outcomes</w:t>
            </w:r>
            <w:r w:rsidR="006E7D68">
              <w:rPr>
                <w:rFonts w:asciiTheme="majorHAnsi" w:hAnsiTheme="majorHAnsi" w:cstheme="majorHAnsi"/>
                <w:color w:val="00264D" w:themeColor="background2"/>
                <w:lang w:eastAsia="en-AU"/>
              </w:rPr>
              <w:t xml:space="preserve"> | </w:t>
            </w:r>
            <w:r w:rsidR="006E7D68" w:rsidRPr="4872A382">
              <w:rPr>
                <w:rFonts w:asciiTheme="minorHAnsi" w:hAnsiTheme="minorHAnsi"/>
                <w:color w:val="00264D" w:themeColor="background2"/>
                <w:lang w:eastAsia="en-AU"/>
              </w:rPr>
              <w:t xml:space="preserve">Despite </w:t>
            </w:r>
            <w:r w:rsidR="0083166C">
              <w:rPr>
                <w:rFonts w:asciiTheme="minorHAnsi" w:hAnsiTheme="minorHAnsi"/>
                <w:color w:val="00264D" w:themeColor="background2"/>
                <w:lang w:eastAsia="en-AU"/>
              </w:rPr>
              <w:t xml:space="preserve">the </w:t>
            </w:r>
            <w:r w:rsidR="006E7D68" w:rsidRPr="4872A382">
              <w:rPr>
                <w:rFonts w:asciiTheme="minorHAnsi" w:hAnsiTheme="minorHAnsi"/>
                <w:color w:val="00264D" w:themeColor="background2"/>
                <w:lang w:eastAsia="en-AU"/>
              </w:rPr>
              <w:t>introduction of 80</w:t>
            </w:r>
            <w:r w:rsidR="006E7D68" w:rsidRPr="0065039E">
              <w:rPr>
                <w:color w:val="00264D" w:themeColor="background2"/>
                <w:lang w:val="en-US"/>
              </w:rPr>
              <w:t xml:space="preserve"> </w:t>
            </w:r>
            <w:r w:rsidR="006E7D68" w:rsidRPr="00FA2D98">
              <w:rPr>
                <w:rFonts w:asciiTheme="minorHAnsi" w:hAnsiTheme="minorHAnsi"/>
                <w:color w:val="00264D" w:themeColor="background2"/>
                <w:lang w:eastAsia="en-AU"/>
              </w:rPr>
              <w:t>per cent</w:t>
            </w:r>
            <w:r w:rsidR="006E7D68" w:rsidRPr="283E5210">
              <w:rPr>
                <w:rFonts w:asciiTheme="minorHAnsi" w:hAnsiTheme="minorHAnsi"/>
                <w:color w:val="00264D" w:themeColor="background2"/>
                <w:lang w:eastAsia="en-AU"/>
              </w:rPr>
              <w:t xml:space="preserve"> </w:t>
            </w:r>
            <w:r w:rsidR="006E7D68" w:rsidRPr="4872A382">
              <w:rPr>
                <w:rFonts w:asciiTheme="minorHAnsi" w:hAnsiTheme="minorHAnsi"/>
                <w:color w:val="00264D" w:themeColor="background2"/>
                <w:lang w:eastAsia="en-AU"/>
              </w:rPr>
              <w:t xml:space="preserve">reporting requirements for grant recipients, only </w:t>
            </w:r>
            <w:r w:rsidR="001579A6">
              <w:rPr>
                <w:rFonts w:asciiTheme="minorHAnsi" w:hAnsiTheme="minorHAnsi"/>
                <w:color w:val="00264D" w:themeColor="background2"/>
                <w:lang w:eastAsia="en-AU"/>
              </w:rPr>
              <w:t>15</w:t>
            </w:r>
            <w:r w:rsidR="006E7D68" w:rsidRPr="00FA2D98">
              <w:rPr>
                <w:rFonts w:asciiTheme="minorHAnsi" w:eastAsiaTheme="minorEastAsia" w:hAnsiTheme="minorHAnsi"/>
                <w:color w:val="00264D" w:themeColor="background2"/>
                <w:szCs w:val="19"/>
                <w:lang w:val="en-US" w:eastAsia="en-AU"/>
              </w:rPr>
              <w:t xml:space="preserve"> per cent</w:t>
            </w:r>
            <w:r w:rsidR="006E7D68" w:rsidRPr="00FA2D98">
              <w:rPr>
                <w:rFonts w:asciiTheme="minorHAnsi" w:eastAsiaTheme="minorEastAsia" w:hAnsiTheme="minorHAnsi"/>
                <w:color w:val="00264D" w:themeColor="background2"/>
                <w:szCs w:val="19"/>
                <w:lang w:eastAsia="en-AU"/>
              </w:rPr>
              <w:t xml:space="preserve"> </w:t>
            </w:r>
            <w:r w:rsidR="008D6055" w:rsidRPr="0065039E">
              <w:rPr>
                <w:color w:val="00264D" w:themeColor="background2"/>
              </w:rPr>
              <w:t xml:space="preserve">(n = 9,902) </w:t>
            </w:r>
            <w:r w:rsidR="006E7D68" w:rsidRPr="4872A382">
              <w:rPr>
                <w:rFonts w:asciiTheme="minorHAnsi" w:hAnsiTheme="minorHAnsi"/>
                <w:color w:val="00264D" w:themeColor="background2"/>
                <w:lang w:eastAsia="en-AU"/>
              </w:rPr>
              <w:t xml:space="preserve">of </w:t>
            </w:r>
            <w:r w:rsidR="001579A6">
              <w:rPr>
                <w:rFonts w:asciiTheme="minorHAnsi" w:hAnsiTheme="minorHAnsi"/>
                <w:color w:val="00264D" w:themeColor="background2"/>
                <w:lang w:eastAsia="en-AU"/>
              </w:rPr>
              <w:t>clients with attendance</w:t>
            </w:r>
            <w:r w:rsidR="006E7D68" w:rsidRPr="4872A382">
              <w:rPr>
                <w:rFonts w:asciiTheme="minorHAnsi" w:hAnsiTheme="minorHAnsi"/>
                <w:color w:val="00264D" w:themeColor="background2"/>
                <w:lang w:eastAsia="en-AU"/>
              </w:rPr>
              <w:t xml:space="preserve"> records had both a pre and post SCORE limiting the ability of the evaluation to assess cost-effectiveness and outcomes</w:t>
            </w:r>
          </w:p>
          <w:p w14:paraId="3C3E14D4" w14:textId="66A3516F" w:rsidR="00CE29B9" w:rsidRPr="00CE29B9" w:rsidRDefault="00003E81" w:rsidP="00C81233">
            <w:pPr>
              <w:ind w:left="596" w:right="202"/>
              <w:rPr>
                <w:rFonts w:asciiTheme="minorHAnsi" w:hAnsiTheme="minorHAnsi"/>
                <w:lang w:eastAsia="en-AU"/>
              </w:rPr>
            </w:pPr>
            <w:r>
              <w:rPr>
                <w:rFonts w:asciiTheme="majorHAnsi" w:hAnsiTheme="majorHAnsi" w:cstheme="majorHAnsi"/>
                <w:noProof/>
                <w:color w:val="00264D" w:themeColor="background2"/>
                <w:lang w:eastAsia="en-AU"/>
              </w:rPr>
              <mc:AlternateContent>
                <mc:Choice Requires="wps">
                  <w:drawing>
                    <wp:anchor distT="0" distB="0" distL="114300" distR="114300" simplePos="0" relativeHeight="251658273" behindDoc="0" locked="0" layoutInCell="1" allowOverlap="1" wp14:anchorId="45FBEFA6" wp14:editId="220FCA0F">
                      <wp:simplePos x="0" y="0"/>
                      <wp:positionH relativeFrom="column">
                        <wp:posOffset>143510</wp:posOffset>
                      </wp:positionH>
                      <wp:positionV relativeFrom="paragraph">
                        <wp:posOffset>29451</wp:posOffset>
                      </wp:positionV>
                      <wp:extent cx="118223" cy="118722"/>
                      <wp:effectExtent l="0" t="0" r="0" b="0"/>
                      <wp:wrapNone/>
                      <wp:docPr id="709466883"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8223" cy="118722"/>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905525" id="Oval 9" o:spid="_x0000_s1026" alt="&quot;&quot;" style="position:absolute;margin-left:11.3pt;margin-top:2.3pt;width:9.3pt;height:9.35pt;z-index:2516582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" fillcolor="#ff3a40 [3204]" stroked="f" strokeweight="2pt"/>
                  </w:pict>
                </mc:Fallback>
              </mc:AlternateContent>
            </w:r>
            <w:r w:rsidR="00BB11DA">
              <w:rPr>
                <w:rFonts w:asciiTheme="majorHAnsi" w:hAnsiTheme="majorHAnsi" w:cstheme="majorHAnsi"/>
                <w:color w:val="00264D" w:themeColor="background2"/>
                <w:lang w:eastAsia="en-AU"/>
              </w:rPr>
              <w:t>6</w:t>
            </w:r>
            <w:r w:rsidR="003F350A">
              <w:rPr>
                <w:rFonts w:asciiTheme="majorHAnsi" w:hAnsiTheme="majorHAnsi" w:cstheme="majorHAnsi"/>
                <w:color w:val="00264D" w:themeColor="background2"/>
                <w:lang w:eastAsia="en-AU"/>
              </w:rPr>
              <w:t xml:space="preserve">.2.5 </w:t>
            </w:r>
            <w:r w:rsidR="000033FC" w:rsidRPr="000033FC">
              <w:rPr>
                <w:rFonts w:asciiTheme="majorHAnsi" w:hAnsiTheme="majorHAnsi" w:cstheme="majorHAnsi"/>
                <w:color w:val="00264D" w:themeColor="background2"/>
                <w:lang w:eastAsia="en-AU"/>
              </w:rPr>
              <w:t>While flexible funding helped grant recipients tailor services, the two-year funding model without pathways to further funding for effective pro</w:t>
            </w:r>
            <w:r w:rsidR="00AA7559">
              <w:rPr>
                <w:rFonts w:asciiTheme="majorHAnsi" w:hAnsiTheme="majorHAnsi" w:cstheme="majorHAnsi"/>
                <w:color w:val="00264D" w:themeColor="background2"/>
                <w:lang w:eastAsia="en-AU"/>
              </w:rPr>
              <w:t>jects</w:t>
            </w:r>
            <w:r w:rsidR="000033FC" w:rsidRPr="000033FC">
              <w:rPr>
                <w:rFonts w:asciiTheme="majorHAnsi" w:hAnsiTheme="majorHAnsi" w:cstheme="majorHAnsi"/>
                <w:color w:val="00264D" w:themeColor="background2"/>
                <w:lang w:eastAsia="en-AU"/>
              </w:rPr>
              <w:t xml:space="preserve"> did not support trialling new approaches or community-driven programs</w:t>
            </w:r>
            <w:r w:rsidR="006E7D68">
              <w:rPr>
                <w:rFonts w:asciiTheme="majorHAnsi" w:hAnsiTheme="majorHAnsi" w:cstheme="majorHAnsi"/>
                <w:color w:val="00264D" w:themeColor="background2"/>
                <w:lang w:eastAsia="en-AU"/>
              </w:rPr>
              <w:t xml:space="preserve"> | </w:t>
            </w:r>
            <w:r w:rsidR="006E7D68">
              <w:rPr>
                <w:rFonts w:asciiTheme="minorHAnsi" w:hAnsiTheme="minorHAnsi" w:cstheme="minorHAnsi"/>
                <w:color w:val="00264D" w:themeColor="background2"/>
                <w:lang w:eastAsia="en-AU"/>
              </w:rPr>
              <w:t>So</w:t>
            </w:r>
            <w:r w:rsidR="006E7D68" w:rsidRPr="00585438">
              <w:rPr>
                <w:rFonts w:asciiTheme="minorHAnsi" w:hAnsiTheme="minorHAnsi" w:cstheme="minorHAnsi"/>
                <w:color w:val="00264D" w:themeColor="background2"/>
                <w:lang w:eastAsia="en-AU"/>
              </w:rPr>
              <w:t>me choices in the design of the grant created challenges for grant recipients during implementation</w:t>
            </w:r>
            <w:r w:rsidR="001A13C7">
              <w:rPr>
                <w:rFonts w:asciiTheme="minorHAnsi" w:hAnsiTheme="minorHAnsi" w:cstheme="minorHAnsi"/>
                <w:color w:val="00264D" w:themeColor="background2"/>
                <w:lang w:eastAsia="en-AU"/>
              </w:rPr>
              <w:t xml:space="preserve">. </w:t>
            </w:r>
            <w:r w:rsidR="006E7D68" w:rsidRPr="008A364B">
              <w:rPr>
                <w:rFonts w:asciiTheme="minorHAnsi" w:hAnsiTheme="minorHAnsi" w:cstheme="minorHAnsi"/>
                <w:color w:val="00264D" w:themeColor="background2"/>
                <w:lang w:eastAsia="en-AU"/>
              </w:rPr>
              <w:t>These primarily stemmed from the short-term nature of the funding, and issues meeting reporting requirements.</w:t>
            </w:r>
          </w:p>
        </w:tc>
      </w:tr>
    </w:tbl>
    <w:p w14:paraId="24AE3118" w14:textId="6BBD7877" w:rsidR="007D336D" w:rsidRDefault="008413D5" w:rsidP="00F2245F">
      <w:pPr>
        <w:pStyle w:val="Heading3"/>
        <w:rPr>
          <w:lang w:val="en-US"/>
        </w:rPr>
      </w:pPr>
      <w:bookmarkStart w:id="45" w:name="_Toc240883559"/>
      <w:r w:rsidRPr="008413D5">
        <w:rPr>
          <w:lang w:val="en-US"/>
        </w:rPr>
        <w:t xml:space="preserve">While the application process was simple to navigate, the broad eligibility criteria resulted in </w:t>
      </w:r>
      <w:r w:rsidR="0015612B">
        <w:rPr>
          <w:lang w:val="en-US"/>
        </w:rPr>
        <w:t>additional</w:t>
      </w:r>
      <w:r w:rsidR="00AE1376">
        <w:rPr>
          <w:lang w:val="en-US"/>
        </w:rPr>
        <w:t xml:space="preserve"> effort </w:t>
      </w:r>
      <w:r w:rsidR="00FE787D">
        <w:rPr>
          <w:lang w:val="en-US"/>
        </w:rPr>
        <w:t xml:space="preserve">for </w:t>
      </w:r>
      <w:r w:rsidR="00D114E3">
        <w:rPr>
          <w:lang w:val="en-US"/>
        </w:rPr>
        <w:t>many</w:t>
      </w:r>
      <w:r w:rsidR="00AE1376">
        <w:rPr>
          <w:lang w:val="en-US"/>
        </w:rPr>
        <w:t xml:space="preserve"> applicants and the Department</w:t>
      </w:r>
      <w:bookmarkEnd w:id="45"/>
    </w:p>
    <w:p w14:paraId="5B2BE7E3" w14:textId="58FB210C" w:rsidR="00AD3D97" w:rsidRDefault="0066035B">
      <w:pPr>
        <w:pStyle w:val="Heading5"/>
        <w:rPr>
          <w:lang w:val="en-US"/>
        </w:rPr>
      </w:pPr>
      <w:r>
        <w:rPr>
          <w:lang w:val="en-US"/>
        </w:rPr>
        <w:t>The g</w:t>
      </w:r>
      <w:r w:rsidR="003E7E85" w:rsidRPr="00AD3D97">
        <w:rPr>
          <w:lang w:val="en-US"/>
        </w:rPr>
        <w:t xml:space="preserve">rant </w:t>
      </w:r>
      <w:r w:rsidR="00F26746">
        <w:rPr>
          <w:lang w:val="en-US"/>
        </w:rPr>
        <w:t xml:space="preserve">eligibility </w:t>
      </w:r>
      <w:r w:rsidR="003E7E85" w:rsidRPr="00AD3D97">
        <w:rPr>
          <w:lang w:val="en-US"/>
        </w:rPr>
        <w:t xml:space="preserve">criteria </w:t>
      </w:r>
      <w:r w:rsidR="00F26746">
        <w:rPr>
          <w:lang w:val="en-US"/>
        </w:rPr>
        <w:t xml:space="preserve">were clear </w:t>
      </w:r>
      <w:r w:rsidR="00503C47">
        <w:rPr>
          <w:lang w:val="en-US"/>
        </w:rPr>
        <w:t>to applicants</w:t>
      </w:r>
      <w:r w:rsidR="00DC3A95">
        <w:rPr>
          <w:lang w:val="en-US"/>
        </w:rPr>
        <w:t>,</w:t>
      </w:r>
      <w:r w:rsidR="00503C47">
        <w:rPr>
          <w:lang w:val="en-US"/>
        </w:rPr>
        <w:t xml:space="preserve"> </w:t>
      </w:r>
      <w:r w:rsidR="00F26746">
        <w:rPr>
          <w:lang w:val="en-US"/>
        </w:rPr>
        <w:t>but broad, resulting</w:t>
      </w:r>
      <w:r>
        <w:rPr>
          <w:lang w:val="en-US"/>
        </w:rPr>
        <w:t xml:space="preserve"> in</w:t>
      </w:r>
      <w:r w:rsidR="00AD3D97" w:rsidRPr="00AD3D97">
        <w:rPr>
          <w:lang w:val="en-US"/>
        </w:rPr>
        <w:t xml:space="preserve"> </w:t>
      </w:r>
      <w:r w:rsidR="008C7993">
        <w:rPr>
          <w:lang w:val="en-US"/>
        </w:rPr>
        <w:t xml:space="preserve">significant </w:t>
      </w:r>
      <w:r w:rsidR="00AD3D97" w:rsidRPr="00AD3D97">
        <w:rPr>
          <w:lang w:val="en-US"/>
        </w:rPr>
        <w:t>oversubscription</w:t>
      </w:r>
      <w:r w:rsidR="00FF302C">
        <w:rPr>
          <w:lang w:val="en-US"/>
        </w:rPr>
        <w:t xml:space="preserve"> </w:t>
      </w:r>
    </w:p>
    <w:p w14:paraId="58EA2CF4" w14:textId="5AC9C646" w:rsidR="008400D2" w:rsidRDefault="005A1E05" w:rsidP="00D640F8">
      <w:pPr>
        <w:rPr>
          <w:lang w:val="en-US"/>
        </w:rPr>
      </w:pPr>
      <w:r w:rsidRPr="005A1E05">
        <w:rPr>
          <w:lang w:val="en-US"/>
        </w:rPr>
        <w:t>While other grant programs face issues with</w:t>
      </w:r>
      <w:r w:rsidR="001B709D">
        <w:rPr>
          <w:lang w:val="en-US"/>
        </w:rPr>
        <w:t xml:space="preserve"> </w:t>
      </w:r>
      <w:r w:rsidR="007E351A">
        <w:rPr>
          <w:lang w:val="en-US"/>
        </w:rPr>
        <w:t>oversubscription</w:t>
      </w:r>
      <w:r w:rsidRPr="005A1E05">
        <w:rPr>
          <w:lang w:val="en-US"/>
        </w:rPr>
        <w:t xml:space="preserve">, </w:t>
      </w:r>
      <w:r>
        <w:rPr>
          <w:lang w:val="en-US"/>
        </w:rPr>
        <w:t>t</w:t>
      </w:r>
      <w:r w:rsidR="004E7732">
        <w:rPr>
          <w:lang w:val="en-US"/>
        </w:rPr>
        <w:t xml:space="preserve">he broad scope of the eligibility criteria </w:t>
      </w:r>
      <w:r w:rsidR="001F6625">
        <w:rPr>
          <w:lang w:val="en-US"/>
        </w:rPr>
        <w:t>meant that a</w:t>
      </w:r>
      <w:r w:rsidR="00D72F86">
        <w:rPr>
          <w:lang w:val="en-US"/>
        </w:rPr>
        <w:t>n</w:t>
      </w:r>
      <w:r w:rsidR="001F6625">
        <w:rPr>
          <w:lang w:val="en-US"/>
        </w:rPr>
        <w:t xml:space="preserve"> </w:t>
      </w:r>
      <w:r w:rsidR="00936061">
        <w:rPr>
          <w:lang w:val="en-US"/>
        </w:rPr>
        <w:t xml:space="preserve">overly </w:t>
      </w:r>
      <w:r w:rsidR="003A63EB">
        <w:rPr>
          <w:lang w:val="en-US"/>
        </w:rPr>
        <w:t>large</w:t>
      </w:r>
      <w:r w:rsidR="001F6625">
        <w:rPr>
          <w:lang w:val="en-US"/>
        </w:rPr>
        <w:t xml:space="preserve"> range of pro</w:t>
      </w:r>
      <w:r w:rsidR="003F350A">
        <w:rPr>
          <w:lang w:val="en-US"/>
        </w:rPr>
        <w:t>jects</w:t>
      </w:r>
      <w:r w:rsidR="001F6625">
        <w:rPr>
          <w:lang w:val="en-US"/>
        </w:rPr>
        <w:t xml:space="preserve"> </w:t>
      </w:r>
      <w:r w:rsidR="00996A79">
        <w:rPr>
          <w:lang w:val="en-US"/>
        </w:rPr>
        <w:t>met the criteria</w:t>
      </w:r>
      <w:r w:rsidR="00F564E1">
        <w:rPr>
          <w:lang w:val="en-US"/>
        </w:rPr>
        <w:t xml:space="preserve"> for SARC - IC</w:t>
      </w:r>
      <w:r w:rsidR="00D72F86">
        <w:rPr>
          <w:lang w:val="en-US"/>
        </w:rPr>
        <w:t xml:space="preserve">, </w:t>
      </w:r>
      <w:r w:rsidR="00996A79">
        <w:rPr>
          <w:lang w:val="en-US"/>
        </w:rPr>
        <w:t>result</w:t>
      </w:r>
      <w:r w:rsidR="00D72F86">
        <w:rPr>
          <w:lang w:val="en-US"/>
        </w:rPr>
        <w:t>ing</w:t>
      </w:r>
      <w:r w:rsidR="00996A79">
        <w:rPr>
          <w:lang w:val="en-US"/>
        </w:rPr>
        <w:t xml:space="preserve"> in </w:t>
      </w:r>
      <w:r w:rsidR="0042476C">
        <w:rPr>
          <w:lang w:val="en-US"/>
        </w:rPr>
        <w:t>large numbers of unsuccessful applications in each round</w:t>
      </w:r>
      <w:r w:rsidR="00D72F86">
        <w:rPr>
          <w:lang w:val="en-US"/>
        </w:rPr>
        <w:t xml:space="preserve">. </w:t>
      </w:r>
      <w:r w:rsidR="00D72F86" w:rsidRPr="00A463D7">
        <w:rPr>
          <w:lang w:val="en-US"/>
        </w:rPr>
        <w:t>In most rounds</w:t>
      </w:r>
      <w:r w:rsidR="00D72F86">
        <w:rPr>
          <w:lang w:val="en-US"/>
        </w:rPr>
        <w:t>, there were</w:t>
      </w:r>
      <w:r w:rsidR="0042476C">
        <w:rPr>
          <w:lang w:val="en-US"/>
        </w:rPr>
        <w:t xml:space="preserve"> </w:t>
      </w:r>
      <w:r w:rsidR="00EB7128">
        <w:rPr>
          <w:lang w:val="en-US"/>
        </w:rPr>
        <w:t xml:space="preserve">up to </w:t>
      </w:r>
      <w:r w:rsidR="00A463D7">
        <w:rPr>
          <w:lang w:val="en-US"/>
        </w:rPr>
        <w:t>30-</w:t>
      </w:r>
      <w:r w:rsidR="00EB7128">
        <w:rPr>
          <w:lang w:val="en-US"/>
        </w:rPr>
        <w:t xml:space="preserve">40 times as many </w:t>
      </w:r>
      <w:r w:rsidR="0042476C">
        <w:rPr>
          <w:lang w:val="en-US"/>
        </w:rPr>
        <w:t xml:space="preserve">unsuccessful </w:t>
      </w:r>
      <w:r w:rsidR="00F35FF1">
        <w:rPr>
          <w:lang w:val="en-US"/>
        </w:rPr>
        <w:t>applicants</w:t>
      </w:r>
      <w:r w:rsidR="00996A79">
        <w:rPr>
          <w:lang w:val="en-US"/>
        </w:rPr>
        <w:t xml:space="preserve"> </w:t>
      </w:r>
      <w:r w:rsidR="008400D2">
        <w:rPr>
          <w:lang w:val="en-US"/>
        </w:rPr>
        <w:t>compared to the number of grants awarded.</w:t>
      </w:r>
      <w:r w:rsidR="0042476C">
        <w:rPr>
          <w:lang w:val="en-US"/>
        </w:rPr>
        <w:t xml:space="preserve"> </w:t>
      </w:r>
      <w:r w:rsidR="00B32569">
        <w:rPr>
          <w:lang w:val="en-US"/>
        </w:rPr>
        <w:t>This meant a significant number of community organisations invested time</w:t>
      </w:r>
      <w:r w:rsidR="00D13BBD">
        <w:rPr>
          <w:lang w:val="en-US"/>
        </w:rPr>
        <w:t xml:space="preserve"> and resources</w:t>
      </w:r>
      <w:r w:rsidR="00B32569">
        <w:rPr>
          <w:lang w:val="en-US"/>
        </w:rPr>
        <w:t xml:space="preserve"> in a detailed application process</w:t>
      </w:r>
      <w:r w:rsidR="00D13BBD">
        <w:rPr>
          <w:lang w:val="en-US"/>
        </w:rPr>
        <w:t xml:space="preserve"> in which they were very unlikely to be successful.</w:t>
      </w:r>
      <w:r w:rsidR="00ED1BE5">
        <w:rPr>
          <w:lang w:val="en-US"/>
        </w:rPr>
        <w:t xml:space="preserve"> </w:t>
      </w:r>
      <w:r w:rsidR="00C34392">
        <w:rPr>
          <w:lang w:val="en-US"/>
        </w:rPr>
        <w:fldChar w:fldCharType="begin" w:fldLock="1"/>
      </w:r>
      <w:r w:rsidR="00C34392">
        <w:rPr>
          <w:lang w:val="en-US"/>
        </w:rPr>
        <w:instrText xml:space="preserve"> REF _Ref215829571 \h </w:instrText>
      </w:r>
      <w:r w:rsidR="00C34392">
        <w:rPr>
          <w:lang w:val="en-US"/>
        </w:rPr>
      </w:r>
      <w:r w:rsidR="00C34392">
        <w:rPr>
          <w:lang w:val="en-US"/>
        </w:rPr>
        <w:fldChar w:fldCharType="separate"/>
      </w:r>
      <w:r w:rsidR="00C34392">
        <w:t xml:space="preserve">Table </w:t>
      </w:r>
      <w:r w:rsidR="00C34392">
        <w:rPr>
          <w:noProof/>
        </w:rPr>
        <w:t>5</w:t>
      </w:r>
      <w:r w:rsidR="00C34392">
        <w:rPr>
          <w:lang w:val="en-US"/>
        </w:rPr>
        <w:fldChar w:fldCharType="end"/>
      </w:r>
      <w:r w:rsidR="00D96800" w:rsidRPr="00F147A5">
        <w:rPr>
          <w:lang w:val="en-US"/>
        </w:rPr>
        <w:t xml:space="preserve"> </w:t>
      </w:r>
      <w:r w:rsidR="003B784E">
        <w:rPr>
          <w:lang w:val="en-US"/>
        </w:rPr>
        <w:t>overleaf</w:t>
      </w:r>
      <w:r w:rsidR="0042476C" w:rsidRPr="00F147A5">
        <w:rPr>
          <w:lang w:val="en-US"/>
        </w:rPr>
        <w:t xml:space="preserve"> provides detail</w:t>
      </w:r>
      <w:r w:rsidR="00527FB5">
        <w:rPr>
          <w:lang w:val="en-US"/>
        </w:rPr>
        <w:t>s</w:t>
      </w:r>
      <w:r w:rsidR="0042476C" w:rsidRPr="00F147A5">
        <w:rPr>
          <w:lang w:val="en-US"/>
        </w:rPr>
        <w:t xml:space="preserve"> on the number</w:t>
      </w:r>
      <w:r w:rsidR="00463A16" w:rsidRPr="00F147A5">
        <w:rPr>
          <w:lang w:val="en-US"/>
        </w:rPr>
        <w:t>s</w:t>
      </w:r>
      <w:r w:rsidR="0042476C" w:rsidRPr="00F147A5">
        <w:rPr>
          <w:lang w:val="en-US"/>
        </w:rPr>
        <w:t xml:space="preserve"> of applica</w:t>
      </w:r>
      <w:r w:rsidR="00B239A6" w:rsidRPr="00F147A5">
        <w:rPr>
          <w:lang w:val="en-US"/>
        </w:rPr>
        <w:t xml:space="preserve">tions and </w:t>
      </w:r>
      <w:r w:rsidR="00463A16" w:rsidRPr="00F147A5">
        <w:rPr>
          <w:lang w:val="en-US"/>
        </w:rPr>
        <w:t xml:space="preserve">grants awarded </w:t>
      </w:r>
      <w:r w:rsidR="0001065C" w:rsidRPr="00F147A5">
        <w:rPr>
          <w:lang w:val="en-US"/>
        </w:rPr>
        <w:t xml:space="preserve">for </w:t>
      </w:r>
      <w:r w:rsidR="00C0423E">
        <w:rPr>
          <w:lang w:val="en-US"/>
        </w:rPr>
        <w:t>r</w:t>
      </w:r>
      <w:r w:rsidR="0001065C" w:rsidRPr="00F147A5">
        <w:rPr>
          <w:lang w:val="en-US"/>
        </w:rPr>
        <w:t>ounds 1 to 4.</w:t>
      </w:r>
    </w:p>
    <w:p w14:paraId="7ECA75C1" w14:textId="2E54DB21" w:rsidR="00F96F80" w:rsidRPr="00BC4C74" w:rsidRDefault="00D96800" w:rsidP="00D96800">
      <w:pPr>
        <w:pStyle w:val="Caption"/>
        <w:rPr>
          <w:rFonts w:asciiTheme="majorHAnsi" w:hAnsiTheme="majorHAnsi" w:cstheme="majorHAnsi"/>
          <w:lang w:val="en-US"/>
        </w:rPr>
      </w:pPr>
      <w:bookmarkStart w:id="46" w:name="_Ref215829571"/>
      <w:r>
        <w:lastRenderedPageBreak/>
        <w:t xml:space="preserve">Table </w:t>
      </w:r>
      <w:r>
        <w:fldChar w:fldCharType="begin"/>
      </w:r>
      <w:r>
        <w:instrText xml:space="preserve"> SEQ Table \* ARABIC </w:instrText>
      </w:r>
      <w:r>
        <w:fldChar w:fldCharType="separate"/>
      </w:r>
      <w:r w:rsidR="00B666D1">
        <w:rPr>
          <w:noProof/>
        </w:rPr>
        <w:t>6</w:t>
      </w:r>
      <w:r>
        <w:fldChar w:fldCharType="end"/>
      </w:r>
      <w:bookmarkEnd w:id="46"/>
      <w:r>
        <w:t xml:space="preserve"> </w:t>
      </w:r>
      <w:r w:rsidR="00F96F80" w:rsidRPr="00BC4C74">
        <w:rPr>
          <w:rFonts w:asciiTheme="majorHAnsi" w:hAnsiTheme="majorHAnsi" w:cstheme="majorHAnsi"/>
          <w:lang w:val="en-US"/>
        </w:rPr>
        <w:t>| Number of applications and grants awarded in each funding round</w:t>
      </w:r>
      <w:r w:rsidR="002B29BE">
        <w:rPr>
          <w:rFonts w:ascii="ZWAdobeF" w:hAnsi="ZWAdobeF" w:cs="ZWAdobeF"/>
          <w:color w:val="auto"/>
          <w:sz w:val="2"/>
          <w:szCs w:val="2"/>
          <w:lang w:val="en-US"/>
        </w:rPr>
        <w:t>49F</w:t>
      </w:r>
      <w:r w:rsidR="00940949">
        <w:rPr>
          <w:rStyle w:val="FootnoteReference"/>
          <w:rFonts w:asciiTheme="majorHAnsi" w:hAnsiTheme="majorHAnsi" w:cstheme="majorHAnsi"/>
          <w:lang w:val="en-US"/>
        </w:rPr>
        <w:footnoteReference w:id="53"/>
      </w:r>
    </w:p>
    <w:tbl>
      <w:tblPr>
        <w:tblStyle w:val="NOUS"/>
        <w:tblW w:w="0" w:type="auto"/>
        <w:tblLook w:val="04A0" w:firstRow="1" w:lastRow="0" w:firstColumn="1" w:lastColumn="0" w:noHBand="0" w:noVBand="1"/>
      </w:tblPr>
      <w:tblGrid>
        <w:gridCol w:w="1775"/>
        <w:gridCol w:w="3556"/>
        <w:gridCol w:w="3556"/>
      </w:tblGrid>
      <w:tr w:rsidR="00F937A3" w14:paraId="50747206" w14:textId="77872225" w:rsidTr="00CD5C30">
        <w:trPr>
          <w:cnfStyle w:val="100000000000" w:firstRow="1" w:lastRow="0" w:firstColumn="0" w:lastColumn="0" w:oddVBand="0" w:evenVBand="0" w:oddHBand="0" w:evenHBand="0" w:firstRowFirstColumn="0" w:firstRowLastColumn="0" w:lastRowFirstColumn="0" w:lastRowLastColumn="0"/>
          <w:trHeight w:val="622"/>
        </w:trPr>
        <w:tc>
          <w:tcPr>
            <w:tcW w:w="1775" w:type="dxa"/>
          </w:tcPr>
          <w:p w14:paraId="629BE0ED" w14:textId="0D0EB8EB" w:rsidR="00F96F80" w:rsidRDefault="001A4AC0" w:rsidP="00537D51">
            <w:pPr>
              <w:pStyle w:val="TableNheader"/>
              <w:rPr>
                <w:lang w:val="en-US"/>
              </w:rPr>
            </w:pPr>
            <w:r>
              <w:rPr>
                <w:lang w:val="en-US"/>
              </w:rPr>
              <w:t>Funding round</w:t>
            </w:r>
          </w:p>
        </w:tc>
        <w:tc>
          <w:tcPr>
            <w:tcW w:w="3556" w:type="dxa"/>
          </w:tcPr>
          <w:p w14:paraId="1110D2B2" w14:textId="25473137" w:rsidR="00F96F80" w:rsidRDefault="001A4AC0" w:rsidP="00537D51">
            <w:pPr>
              <w:pStyle w:val="TableNheader"/>
              <w:rPr>
                <w:lang w:val="en-US"/>
              </w:rPr>
            </w:pPr>
            <w:r>
              <w:rPr>
                <w:lang w:val="en-US"/>
              </w:rPr>
              <w:t>Number of applications</w:t>
            </w:r>
          </w:p>
        </w:tc>
        <w:tc>
          <w:tcPr>
            <w:tcW w:w="3556" w:type="dxa"/>
          </w:tcPr>
          <w:p w14:paraId="4D6FAE09" w14:textId="150F25EE" w:rsidR="00F96F80" w:rsidRDefault="00AB1C47" w:rsidP="00537D51">
            <w:pPr>
              <w:pStyle w:val="TableNheader"/>
              <w:rPr>
                <w:lang w:val="en-US"/>
              </w:rPr>
            </w:pPr>
            <w:r>
              <w:rPr>
                <w:lang w:val="en-US"/>
              </w:rPr>
              <w:t>Number of grants awarded (</w:t>
            </w:r>
            <w:r w:rsidR="00FD7280">
              <w:rPr>
                <w:lang w:val="en-US"/>
              </w:rPr>
              <w:t>percentage</w:t>
            </w:r>
            <w:r>
              <w:rPr>
                <w:lang w:val="en-US"/>
              </w:rPr>
              <w:t xml:space="preserve"> of eligible applications which were successful)</w:t>
            </w:r>
          </w:p>
        </w:tc>
      </w:tr>
      <w:tr w:rsidR="00F937A3" w14:paraId="0BEC7F79" w14:textId="7DB4B8F1" w:rsidTr="00AF6587">
        <w:trPr>
          <w:trHeight w:val="312"/>
        </w:trPr>
        <w:tc>
          <w:tcPr>
            <w:tcW w:w="1775" w:type="dxa"/>
          </w:tcPr>
          <w:p w14:paraId="1E473975" w14:textId="7EA69147" w:rsidR="00F96F80" w:rsidRDefault="001A4AC0" w:rsidP="00537D51">
            <w:pPr>
              <w:pStyle w:val="TableNText"/>
              <w:rPr>
                <w:lang w:val="en-US"/>
              </w:rPr>
            </w:pPr>
            <w:r>
              <w:rPr>
                <w:lang w:val="en-US"/>
              </w:rPr>
              <w:t>1</w:t>
            </w:r>
          </w:p>
        </w:tc>
        <w:tc>
          <w:tcPr>
            <w:tcW w:w="3556" w:type="dxa"/>
          </w:tcPr>
          <w:p w14:paraId="2D73F8D9" w14:textId="19FB88B0" w:rsidR="00F96F80" w:rsidRDefault="00417347" w:rsidP="00537D51">
            <w:pPr>
              <w:pStyle w:val="TableNText"/>
              <w:rPr>
                <w:lang w:val="en-US"/>
              </w:rPr>
            </w:pPr>
            <w:r>
              <w:rPr>
                <w:lang w:val="en-US"/>
              </w:rPr>
              <w:t>1250</w:t>
            </w:r>
            <w:r w:rsidR="00D93F59">
              <w:rPr>
                <w:lang w:val="en-US"/>
              </w:rPr>
              <w:t xml:space="preserve"> (</w:t>
            </w:r>
            <w:r w:rsidR="00397A1D">
              <w:rPr>
                <w:lang w:val="en-US"/>
              </w:rPr>
              <w:t>1206 eligible)</w:t>
            </w:r>
          </w:p>
        </w:tc>
        <w:tc>
          <w:tcPr>
            <w:tcW w:w="3556" w:type="dxa"/>
          </w:tcPr>
          <w:p w14:paraId="551E7146" w14:textId="4164018A" w:rsidR="00F96F80" w:rsidRDefault="00397A1D" w:rsidP="00537D51">
            <w:pPr>
              <w:pStyle w:val="TableNText"/>
              <w:rPr>
                <w:lang w:val="en-US"/>
              </w:rPr>
            </w:pPr>
            <w:r>
              <w:rPr>
                <w:lang w:val="en-US"/>
              </w:rPr>
              <w:t xml:space="preserve">38 </w:t>
            </w:r>
            <w:r w:rsidR="00AB1C47">
              <w:rPr>
                <w:lang w:val="en-US"/>
              </w:rPr>
              <w:t>(3</w:t>
            </w:r>
            <w:r w:rsidR="00FD7280">
              <w:rPr>
                <w:lang w:val="en-US"/>
              </w:rPr>
              <w:t xml:space="preserve"> per cent</w:t>
            </w:r>
            <w:r w:rsidR="00AB1C47">
              <w:rPr>
                <w:lang w:val="en-US"/>
              </w:rPr>
              <w:t>)</w:t>
            </w:r>
          </w:p>
        </w:tc>
      </w:tr>
      <w:tr w:rsidR="00F937A3" w14:paraId="01DB50FB" w14:textId="2AA53E56" w:rsidTr="00AF6587">
        <w:trPr>
          <w:trHeight w:val="326"/>
        </w:trPr>
        <w:tc>
          <w:tcPr>
            <w:tcW w:w="1775" w:type="dxa"/>
          </w:tcPr>
          <w:p w14:paraId="0AE2EDCC" w14:textId="32D4E4C8" w:rsidR="00F96F80" w:rsidRDefault="001A4AC0" w:rsidP="00537D51">
            <w:pPr>
              <w:pStyle w:val="TableNText"/>
              <w:rPr>
                <w:lang w:val="en-US"/>
              </w:rPr>
            </w:pPr>
            <w:r>
              <w:rPr>
                <w:lang w:val="en-US"/>
              </w:rPr>
              <w:t>2</w:t>
            </w:r>
          </w:p>
        </w:tc>
        <w:tc>
          <w:tcPr>
            <w:tcW w:w="3556" w:type="dxa"/>
          </w:tcPr>
          <w:p w14:paraId="3EC95E5C" w14:textId="727F21CA" w:rsidR="00F96F80" w:rsidRDefault="00835E5F" w:rsidP="00537D51">
            <w:pPr>
              <w:pStyle w:val="TableNText"/>
              <w:rPr>
                <w:lang w:val="en-US"/>
              </w:rPr>
            </w:pPr>
            <w:r>
              <w:rPr>
                <w:lang w:val="en-US"/>
              </w:rPr>
              <w:t>1188 (1174 eligible)</w:t>
            </w:r>
          </w:p>
        </w:tc>
        <w:tc>
          <w:tcPr>
            <w:tcW w:w="3556" w:type="dxa"/>
          </w:tcPr>
          <w:p w14:paraId="4E35D28D" w14:textId="02D3E8F4" w:rsidR="00F96F80" w:rsidRDefault="00AF6587" w:rsidP="00537D51">
            <w:pPr>
              <w:pStyle w:val="TableNText"/>
              <w:rPr>
                <w:lang w:val="en-US"/>
              </w:rPr>
            </w:pPr>
            <w:r>
              <w:rPr>
                <w:lang w:val="en-US"/>
              </w:rPr>
              <w:t>33</w:t>
            </w:r>
            <w:r w:rsidR="00A347B6">
              <w:rPr>
                <w:lang w:val="en-US"/>
              </w:rPr>
              <w:t xml:space="preserve"> (</w:t>
            </w:r>
            <w:r w:rsidR="00E4649D">
              <w:rPr>
                <w:lang w:val="en-US"/>
              </w:rPr>
              <w:t>2.7</w:t>
            </w:r>
            <w:r w:rsidR="00FD7280">
              <w:rPr>
                <w:lang w:val="en-US"/>
              </w:rPr>
              <w:t xml:space="preserve"> per cent</w:t>
            </w:r>
            <w:r w:rsidR="000161FD">
              <w:rPr>
                <w:lang w:val="en-US"/>
              </w:rPr>
              <w:t>)</w:t>
            </w:r>
          </w:p>
        </w:tc>
      </w:tr>
      <w:tr w:rsidR="00F937A3" w14:paraId="28795CBB" w14:textId="37011CCC" w:rsidTr="00AF6587">
        <w:trPr>
          <w:trHeight w:val="326"/>
        </w:trPr>
        <w:tc>
          <w:tcPr>
            <w:tcW w:w="1775" w:type="dxa"/>
          </w:tcPr>
          <w:p w14:paraId="55BE53EC" w14:textId="2DCEA911" w:rsidR="00F96F80" w:rsidRDefault="001A4AC0" w:rsidP="00537D51">
            <w:pPr>
              <w:pStyle w:val="TableNText"/>
              <w:rPr>
                <w:lang w:val="en-US"/>
              </w:rPr>
            </w:pPr>
            <w:r>
              <w:rPr>
                <w:lang w:val="en-US"/>
              </w:rPr>
              <w:t>3</w:t>
            </w:r>
          </w:p>
        </w:tc>
        <w:tc>
          <w:tcPr>
            <w:tcW w:w="3556" w:type="dxa"/>
          </w:tcPr>
          <w:p w14:paraId="01A65B0F" w14:textId="73EA93B4" w:rsidR="00F96F80" w:rsidRDefault="00A327CA" w:rsidP="00537D51">
            <w:pPr>
              <w:pStyle w:val="TableNText"/>
              <w:rPr>
                <w:lang w:val="en-US"/>
              </w:rPr>
            </w:pPr>
            <w:r>
              <w:rPr>
                <w:lang w:val="en-US"/>
              </w:rPr>
              <w:t>140</w:t>
            </w:r>
            <w:r w:rsidR="001A3777">
              <w:rPr>
                <w:lang w:val="en-US"/>
              </w:rPr>
              <w:t>8</w:t>
            </w:r>
            <w:r>
              <w:rPr>
                <w:lang w:val="en-US"/>
              </w:rPr>
              <w:t xml:space="preserve"> </w:t>
            </w:r>
            <w:r w:rsidR="00B72295">
              <w:rPr>
                <w:lang w:val="en-US"/>
              </w:rPr>
              <w:t xml:space="preserve">(1358 eligible) </w:t>
            </w:r>
          </w:p>
        </w:tc>
        <w:tc>
          <w:tcPr>
            <w:tcW w:w="3556" w:type="dxa"/>
          </w:tcPr>
          <w:p w14:paraId="65FFFC27" w14:textId="169C83E1" w:rsidR="00F96F80" w:rsidRDefault="00AF6587" w:rsidP="00537D51">
            <w:pPr>
              <w:pStyle w:val="TableNText"/>
              <w:rPr>
                <w:lang w:val="en-US"/>
              </w:rPr>
            </w:pPr>
            <w:r>
              <w:rPr>
                <w:lang w:val="en-US"/>
              </w:rPr>
              <w:t>33</w:t>
            </w:r>
            <w:r w:rsidR="0025025F">
              <w:rPr>
                <w:lang w:val="en-US"/>
              </w:rPr>
              <w:t xml:space="preserve"> (2.4</w:t>
            </w:r>
            <w:r w:rsidR="00FD7280">
              <w:rPr>
                <w:lang w:val="en-US"/>
              </w:rPr>
              <w:t xml:space="preserve"> per cent</w:t>
            </w:r>
            <w:r w:rsidR="000161FD">
              <w:rPr>
                <w:lang w:val="en-US"/>
              </w:rPr>
              <w:t>)</w:t>
            </w:r>
          </w:p>
        </w:tc>
      </w:tr>
      <w:tr w:rsidR="00F937A3" w14:paraId="7AB798A4" w14:textId="78BA91D3" w:rsidTr="00AF6587">
        <w:trPr>
          <w:trHeight w:val="326"/>
        </w:trPr>
        <w:tc>
          <w:tcPr>
            <w:tcW w:w="1775" w:type="dxa"/>
          </w:tcPr>
          <w:p w14:paraId="52E73AD7" w14:textId="05F95668" w:rsidR="00F96F80" w:rsidRDefault="001A4AC0" w:rsidP="00537D51">
            <w:pPr>
              <w:pStyle w:val="TableNText"/>
              <w:rPr>
                <w:lang w:val="en-US"/>
              </w:rPr>
            </w:pPr>
            <w:r>
              <w:rPr>
                <w:lang w:val="en-US"/>
              </w:rPr>
              <w:t>4</w:t>
            </w:r>
          </w:p>
        </w:tc>
        <w:tc>
          <w:tcPr>
            <w:tcW w:w="3556" w:type="dxa"/>
          </w:tcPr>
          <w:p w14:paraId="0BC919D5" w14:textId="05D27F4D" w:rsidR="00F96F80" w:rsidRDefault="001A3777" w:rsidP="00537D51">
            <w:pPr>
              <w:pStyle w:val="TableNText"/>
              <w:rPr>
                <w:lang w:val="en-US"/>
              </w:rPr>
            </w:pPr>
            <w:r>
              <w:rPr>
                <w:lang w:val="en-US"/>
              </w:rPr>
              <w:t xml:space="preserve">1260 (1177 eligible) </w:t>
            </w:r>
          </w:p>
        </w:tc>
        <w:tc>
          <w:tcPr>
            <w:tcW w:w="3556" w:type="dxa"/>
          </w:tcPr>
          <w:p w14:paraId="3CF0BE0C" w14:textId="0D7BFACD" w:rsidR="00F96F80" w:rsidRDefault="00AF6587" w:rsidP="00537D51">
            <w:pPr>
              <w:pStyle w:val="TableNText"/>
              <w:rPr>
                <w:lang w:val="en-US"/>
              </w:rPr>
            </w:pPr>
            <w:r>
              <w:rPr>
                <w:lang w:val="en-US"/>
              </w:rPr>
              <w:t>40</w:t>
            </w:r>
            <w:r w:rsidR="00CC78AF">
              <w:rPr>
                <w:lang w:val="en-US"/>
              </w:rPr>
              <w:t xml:space="preserve"> (3.2</w:t>
            </w:r>
            <w:r w:rsidR="00FD7280">
              <w:rPr>
                <w:lang w:val="en-US"/>
              </w:rPr>
              <w:t xml:space="preserve"> per cent</w:t>
            </w:r>
            <w:r w:rsidR="000161FD">
              <w:rPr>
                <w:lang w:val="en-US"/>
              </w:rPr>
              <w:t>)</w:t>
            </w:r>
          </w:p>
        </w:tc>
      </w:tr>
      <w:tr w:rsidR="00F937A3" w14:paraId="22C0709B" w14:textId="448E3764" w:rsidTr="00AF6587">
        <w:trPr>
          <w:trHeight w:val="312"/>
        </w:trPr>
        <w:tc>
          <w:tcPr>
            <w:tcW w:w="1775" w:type="dxa"/>
          </w:tcPr>
          <w:p w14:paraId="2FBB9444" w14:textId="56209B33" w:rsidR="00AB1C47" w:rsidRPr="00ED7825" w:rsidRDefault="00AB1C47" w:rsidP="00537D51">
            <w:pPr>
              <w:pStyle w:val="TableNText"/>
              <w:rPr>
                <w:rFonts w:asciiTheme="majorHAnsi" w:hAnsiTheme="majorHAnsi" w:cstheme="majorHAnsi"/>
                <w:lang w:val="en-US"/>
              </w:rPr>
            </w:pPr>
            <w:r w:rsidRPr="00ED7825">
              <w:rPr>
                <w:rFonts w:asciiTheme="majorHAnsi" w:hAnsiTheme="majorHAnsi" w:cstheme="majorHAnsi"/>
                <w:lang w:val="en-US"/>
              </w:rPr>
              <w:t>Total</w:t>
            </w:r>
          </w:p>
        </w:tc>
        <w:tc>
          <w:tcPr>
            <w:tcW w:w="3556" w:type="dxa"/>
          </w:tcPr>
          <w:p w14:paraId="4A33D031" w14:textId="629C368A" w:rsidR="00AB1C47" w:rsidRPr="00ED7825" w:rsidRDefault="0046562C" w:rsidP="00537D51">
            <w:pPr>
              <w:pStyle w:val="TableNText"/>
              <w:rPr>
                <w:rFonts w:asciiTheme="majorHAnsi" w:hAnsiTheme="majorHAnsi" w:cstheme="majorHAnsi"/>
                <w:lang w:val="en-US"/>
              </w:rPr>
            </w:pPr>
            <w:r w:rsidRPr="00ED7825">
              <w:rPr>
                <w:rFonts w:asciiTheme="majorHAnsi" w:hAnsiTheme="majorHAnsi" w:cstheme="majorHAnsi"/>
                <w:lang w:val="en-US"/>
              </w:rPr>
              <w:t>5106</w:t>
            </w:r>
            <w:r w:rsidR="00ED7825">
              <w:rPr>
                <w:rFonts w:asciiTheme="majorHAnsi" w:hAnsiTheme="majorHAnsi" w:cstheme="majorHAnsi"/>
                <w:lang w:val="en-US"/>
              </w:rPr>
              <w:t xml:space="preserve"> </w:t>
            </w:r>
          </w:p>
        </w:tc>
        <w:tc>
          <w:tcPr>
            <w:tcW w:w="3556" w:type="dxa"/>
          </w:tcPr>
          <w:p w14:paraId="40C6B953" w14:textId="04E310D5" w:rsidR="00AB1C47" w:rsidRPr="00ED7825" w:rsidRDefault="00763CC9" w:rsidP="00537D51">
            <w:pPr>
              <w:pStyle w:val="TableNText"/>
              <w:rPr>
                <w:rFonts w:asciiTheme="majorHAnsi" w:hAnsiTheme="majorHAnsi" w:cstheme="majorHAnsi"/>
                <w:lang w:val="en-US"/>
              </w:rPr>
            </w:pPr>
            <w:r w:rsidRPr="00ED7825">
              <w:rPr>
                <w:rFonts w:asciiTheme="majorHAnsi" w:hAnsiTheme="majorHAnsi" w:cstheme="majorHAnsi"/>
                <w:lang w:val="en-US"/>
              </w:rPr>
              <w:t>144</w:t>
            </w:r>
          </w:p>
        </w:tc>
      </w:tr>
    </w:tbl>
    <w:p w14:paraId="5B746855" w14:textId="77777777" w:rsidR="008400D2" w:rsidRDefault="008400D2" w:rsidP="00D640F8">
      <w:pPr>
        <w:rPr>
          <w:lang w:val="en-US"/>
        </w:rPr>
      </w:pPr>
    </w:p>
    <w:p w14:paraId="3AD52EE1" w14:textId="0658A3FD" w:rsidR="00E93899" w:rsidRPr="00812596" w:rsidRDefault="00F425AA" w:rsidP="00E93899">
      <w:pPr>
        <w:rPr>
          <w:lang w:val="en-US" w:eastAsia="en-AU"/>
        </w:rPr>
      </w:pPr>
      <w:r w:rsidRPr="35608556">
        <w:rPr>
          <w:lang w:val="en-US"/>
        </w:rPr>
        <w:t>Whil</w:t>
      </w:r>
      <w:r w:rsidR="00A07607" w:rsidRPr="35608556">
        <w:rPr>
          <w:lang w:val="en-US"/>
        </w:rPr>
        <w:t>e</w:t>
      </w:r>
      <w:r w:rsidRPr="35608556">
        <w:rPr>
          <w:lang w:val="en-US"/>
        </w:rPr>
        <w:t xml:space="preserve"> this evaluation </w:t>
      </w:r>
      <w:r w:rsidR="006D00C1" w:rsidRPr="35608556">
        <w:rPr>
          <w:lang w:val="en-US"/>
        </w:rPr>
        <w:t>did not engage</w:t>
      </w:r>
      <w:r w:rsidRPr="35608556">
        <w:rPr>
          <w:lang w:val="en-US"/>
        </w:rPr>
        <w:t xml:space="preserve"> with unsuccessful applicants, </w:t>
      </w:r>
      <w:r w:rsidR="003F4BE2" w:rsidRPr="35608556">
        <w:rPr>
          <w:lang w:val="en-US"/>
        </w:rPr>
        <w:t xml:space="preserve">some successful grant recipients noted </w:t>
      </w:r>
      <w:r w:rsidR="00AD0DBE" w:rsidRPr="35608556">
        <w:rPr>
          <w:lang w:val="en-US"/>
        </w:rPr>
        <w:t xml:space="preserve">the value of adapting the </w:t>
      </w:r>
      <w:r w:rsidR="00E43E5F" w:rsidRPr="35608556">
        <w:rPr>
          <w:lang w:val="en-US"/>
        </w:rPr>
        <w:t xml:space="preserve">application process to include an </w:t>
      </w:r>
      <w:r w:rsidR="00543456" w:rsidRPr="35608556">
        <w:rPr>
          <w:lang w:val="en-US"/>
        </w:rPr>
        <w:t xml:space="preserve">initial </w:t>
      </w:r>
      <w:r w:rsidR="00106174" w:rsidRPr="35608556">
        <w:rPr>
          <w:lang w:val="en-US"/>
        </w:rPr>
        <w:t>s</w:t>
      </w:r>
      <w:r w:rsidR="00543456" w:rsidRPr="35608556">
        <w:rPr>
          <w:lang w:val="en-US"/>
        </w:rPr>
        <w:t>hort Expression of Interest submission (</w:t>
      </w:r>
      <w:r w:rsidR="00E43E5F" w:rsidRPr="35608556">
        <w:rPr>
          <w:lang w:val="en-US"/>
        </w:rPr>
        <w:t>EOI</w:t>
      </w:r>
      <w:r w:rsidR="00543456" w:rsidRPr="35608556">
        <w:rPr>
          <w:lang w:val="en-US"/>
        </w:rPr>
        <w:t xml:space="preserve">), with only </w:t>
      </w:r>
      <w:r w:rsidR="00657876" w:rsidRPr="35608556">
        <w:rPr>
          <w:lang w:val="en-US"/>
        </w:rPr>
        <w:t xml:space="preserve">applicants successful in the EOI round required to </w:t>
      </w:r>
      <w:r w:rsidR="00C95E09" w:rsidRPr="35608556">
        <w:rPr>
          <w:lang w:val="en-US"/>
        </w:rPr>
        <w:t xml:space="preserve">develop a full application. </w:t>
      </w:r>
      <w:r w:rsidR="009A5654" w:rsidRPr="35608556">
        <w:rPr>
          <w:lang w:val="en-US"/>
        </w:rPr>
        <w:t>Peak bodies and successful grant recipients all rei</w:t>
      </w:r>
      <w:r w:rsidR="005E5E82" w:rsidRPr="35608556">
        <w:rPr>
          <w:lang w:val="en-US"/>
        </w:rPr>
        <w:t>terated</w:t>
      </w:r>
      <w:r w:rsidR="009A5654" w:rsidRPr="35608556">
        <w:rPr>
          <w:lang w:val="en-US"/>
        </w:rPr>
        <w:t xml:space="preserve"> the resource constraints on organisations in the sector</w:t>
      </w:r>
      <w:r w:rsidR="005347B6">
        <w:rPr>
          <w:lang w:val="en-US"/>
        </w:rPr>
        <w:t>,</w:t>
      </w:r>
      <w:r w:rsidR="009A5654" w:rsidRPr="35608556">
        <w:rPr>
          <w:lang w:val="en-US"/>
        </w:rPr>
        <w:t xml:space="preserve"> and the amount of time and resources required to submit a </w:t>
      </w:r>
      <w:r w:rsidR="005A5C22" w:rsidRPr="35608556">
        <w:rPr>
          <w:lang w:val="en-US"/>
        </w:rPr>
        <w:t>high-quality</w:t>
      </w:r>
      <w:r w:rsidR="009A5654" w:rsidRPr="35608556">
        <w:rPr>
          <w:lang w:val="en-US"/>
        </w:rPr>
        <w:t xml:space="preserve"> grant application meant that significant oversubscription of grants was not preferable. </w:t>
      </w:r>
      <w:r w:rsidR="0039196F" w:rsidRPr="35608556">
        <w:rPr>
          <w:lang w:val="en-US"/>
        </w:rPr>
        <w:t xml:space="preserve">This is a recommendation </w:t>
      </w:r>
      <w:r w:rsidR="004B5400">
        <w:rPr>
          <w:lang w:val="en-US"/>
        </w:rPr>
        <w:t>that</w:t>
      </w:r>
      <w:r w:rsidR="0039196F" w:rsidRPr="35608556">
        <w:rPr>
          <w:lang w:val="en-US"/>
        </w:rPr>
        <w:t xml:space="preserve"> has also been </w:t>
      </w:r>
      <w:r w:rsidR="0078149E">
        <w:rPr>
          <w:lang w:val="en-US"/>
        </w:rPr>
        <w:t xml:space="preserve">previously </w:t>
      </w:r>
      <w:r w:rsidR="0039196F" w:rsidRPr="35608556">
        <w:rPr>
          <w:lang w:val="en-US"/>
        </w:rPr>
        <w:t xml:space="preserve">considered by the Department </w:t>
      </w:r>
      <w:r w:rsidR="005227CC">
        <w:rPr>
          <w:lang w:val="en-US"/>
        </w:rPr>
        <w:t>following SARC</w:t>
      </w:r>
      <w:r w:rsidR="00366EBD">
        <w:rPr>
          <w:lang w:val="en-US"/>
        </w:rPr>
        <w:t xml:space="preserve"> </w:t>
      </w:r>
      <w:r w:rsidR="00EB4E74">
        <w:rPr>
          <w:lang w:val="en-US"/>
        </w:rPr>
        <w:t>–</w:t>
      </w:r>
      <w:r w:rsidR="00366EBD">
        <w:rPr>
          <w:lang w:val="en-US"/>
        </w:rPr>
        <w:t xml:space="preserve"> </w:t>
      </w:r>
      <w:r w:rsidR="006439AD">
        <w:rPr>
          <w:lang w:val="en-US"/>
        </w:rPr>
        <w:t>IC</w:t>
      </w:r>
      <w:r w:rsidR="005227CC">
        <w:rPr>
          <w:lang w:val="en-US"/>
        </w:rPr>
        <w:t xml:space="preserve"> Round 2.</w:t>
      </w:r>
    </w:p>
    <w:p w14:paraId="58CC77EB" w14:textId="4E575135" w:rsidR="00357424" w:rsidRDefault="001855E6" w:rsidP="003E7E85">
      <w:pPr>
        <w:pStyle w:val="Heading5"/>
        <w:rPr>
          <w:lang w:val="en-US"/>
        </w:rPr>
      </w:pPr>
      <w:r>
        <w:rPr>
          <w:lang w:val="en-US"/>
        </w:rPr>
        <w:t xml:space="preserve">The Department’s </w:t>
      </w:r>
      <w:r w:rsidR="00C95745">
        <w:rPr>
          <w:lang w:val="en-US"/>
        </w:rPr>
        <w:t xml:space="preserve">deliberately broad </w:t>
      </w:r>
      <w:r w:rsidR="00BC1F20">
        <w:rPr>
          <w:lang w:val="en-US"/>
        </w:rPr>
        <w:t>eligibility</w:t>
      </w:r>
      <w:r w:rsidR="00C95745">
        <w:rPr>
          <w:lang w:val="en-US"/>
        </w:rPr>
        <w:t xml:space="preserve"> </w:t>
      </w:r>
      <w:r w:rsidR="00411B09">
        <w:rPr>
          <w:lang w:val="en-US"/>
        </w:rPr>
        <w:t>and assessment criteria meant it was a laborious assessment process, which could be more targeted in the future</w:t>
      </w:r>
    </w:p>
    <w:p w14:paraId="1BDE5ED0" w14:textId="52F5E217" w:rsidR="003D7BCA" w:rsidRDefault="003D7BCA" w:rsidP="00DC7C4F">
      <w:pPr>
        <w:rPr>
          <w:lang w:val="en-US" w:eastAsia="en-AU"/>
        </w:rPr>
      </w:pPr>
      <w:r w:rsidRPr="5E20C28B">
        <w:rPr>
          <w:lang w:val="en-US" w:eastAsia="en-AU"/>
        </w:rPr>
        <w:t xml:space="preserve">The Department’s </w:t>
      </w:r>
      <w:r w:rsidR="008905CF" w:rsidRPr="5E20C28B">
        <w:rPr>
          <w:lang w:val="en-US" w:eastAsia="en-AU"/>
        </w:rPr>
        <w:t xml:space="preserve">assessment </w:t>
      </w:r>
      <w:r w:rsidRPr="5E20C28B">
        <w:rPr>
          <w:lang w:val="en-US" w:eastAsia="en-AU"/>
        </w:rPr>
        <w:t>process involved</w:t>
      </w:r>
      <w:r w:rsidR="00D4000F" w:rsidRPr="5E20C28B">
        <w:rPr>
          <w:lang w:val="en-US" w:eastAsia="en-AU"/>
        </w:rPr>
        <w:t xml:space="preserve"> t</w:t>
      </w:r>
      <w:r w:rsidR="0030352D" w:rsidRPr="5E20C28B">
        <w:rPr>
          <w:lang w:val="en-US" w:eastAsia="en-AU"/>
        </w:rPr>
        <w:t>hree</w:t>
      </w:r>
      <w:r w:rsidR="00D4000F" w:rsidRPr="5E20C28B">
        <w:rPr>
          <w:lang w:val="en-US" w:eastAsia="en-AU"/>
        </w:rPr>
        <w:t xml:space="preserve"> </w:t>
      </w:r>
      <w:r w:rsidR="000978D6" w:rsidRPr="5E20C28B">
        <w:rPr>
          <w:lang w:val="en-US" w:eastAsia="en-AU"/>
        </w:rPr>
        <w:t>main assessment stages</w:t>
      </w:r>
      <w:r w:rsidR="00616626" w:rsidRPr="5E20C28B">
        <w:rPr>
          <w:lang w:val="en-US" w:eastAsia="en-AU"/>
        </w:rPr>
        <w:t>:</w:t>
      </w:r>
      <w:r w:rsidR="00714187" w:rsidRPr="5E20C28B">
        <w:rPr>
          <w:lang w:val="en-US" w:eastAsia="en-AU"/>
        </w:rPr>
        <w:t xml:space="preserve"> </w:t>
      </w:r>
      <w:r w:rsidR="0030352D" w:rsidRPr="5E20C28B">
        <w:rPr>
          <w:lang w:val="en-US" w:eastAsia="en-AU"/>
        </w:rPr>
        <w:t xml:space="preserve">a grants hub </w:t>
      </w:r>
      <w:r w:rsidR="00714187" w:rsidRPr="5E20C28B">
        <w:rPr>
          <w:lang w:val="en-US" w:eastAsia="en-AU"/>
        </w:rPr>
        <w:t>assessment against the eligibility criteria, an</w:t>
      </w:r>
      <w:r w:rsidR="0030352D" w:rsidRPr="5E20C28B">
        <w:rPr>
          <w:lang w:val="en-US" w:eastAsia="en-AU"/>
        </w:rPr>
        <w:t xml:space="preserve"> initial filtering process to remove the bottom third of applicants by the SARC </w:t>
      </w:r>
      <w:r w:rsidR="006439AD">
        <w:rPr>
          <w:lang w:val="en-US" w:eastAsia="en-AU"/>
        </w:rPr>
        <w:t xml:space="preserve">– IC </w:t>
      </w:r>
      <w:r w:rsidR="0030352D" w:rsidRPr="5E20C28B">
        <w:rPr>
          <w:lang w:val="en-US" w:eastAsia="en-AU"/>
        </w:rPr>
        <w:t xml:space="preserve">policy team, </w:t>
      </w:r>
      <w:r w:rsidR="00714187" w:rsidRPr="5E20C28B">
        <w:rPr>
          <w:lang w:val="en-US" w:eastAsia="en-AU"/>
        </w:rPr>
        <w:t xml:space="preserve">and </w:t>
      </w:r>
      <w:r w:rsidR="0030352D" w:rsidRPr="5E20C28B">
        <w:rPr>
          <w:lang w:val="en-US" w:eastAsia="en-AU"/>
        </w:rPr>
        <w:t xml:space="preserve">the </w:t>
      </w:r>
      <w:r w:rsidR="00064277" w:rsidRPr="5E20C28B">
        <w:rPr>
          <w:lang w:val="en-US" w:eastAsia="en-AU"/>
        </w:rPr>
        <w:t>assessment panel</w:t>
      </w:r>
      <w:r w:rsidR="00714187" w:rsidRPr="5E20C28B">
        <w:rPr>
          <w:lang w:val="en-US" w:eastAsia="en-AU"/>
        </w:rPr>
        <w:t xml:space="preserve"> review </w:t>
      </w:r>
      <w:r w:rsidR="00064277" w:rsidRPr="5E20C28B">
        <w:rPr>
          <w:lang w:val="en-US" w:eastAsia="en-AU"/>
        </w:rPr>
        <w:t>and scoring</w:t>
      </w:r>
      <w:r w:rsidR="00714187" w:rsidRPr="5E20C28B">
        <w:rPr>
          <w:lang w:val="en-US" w:eastAsia="en-AU"/>
        </w:rPr>
        <w:t xml:space="preserve"> against the assessment criteria. </w:t>
      </w:r>
      <w:r w:rsidR="005A5C22" w:rsidRPr="5E20C28B">
        <w:rPr>
          <w:lang w:val="en-US" w:eastAsia="en-AU"/>
        </w:rPr>
        <w:t xml:space="preserve">The assessment criteria evolved slightly across rounds but </w:t>
      </w:r>
      <w:r w:rsidR="00FB5797" w:rsidRPr="5E20C28B">
        <w:rPr>
          <w:lang w:val="en-US" w:eastAsia="en-AU"/>
        </w:rPr>
        <w:t xml:space="preserve">included coverage of </w:t>
      </w:r>
      <w:r w:rsidR="006870E0">
        <w:rPr>
          <w:lang w:val="en-US" w:eastAsia="en-AU"/>
        </w:rPr>
        <w:t>SARC – IC</w:t>
      </w:r>
      <w:r w:rsidR="00FB5797" w:rsidRPr="5E20C28B">
        <w:rPr>
          <w:lang w:val="en-US" w:eastAsia="en-AU"/>
        </w:rPr>
        <w:t>’s policy objectives (</w:t>
      </w:r>
      <w:r w:rsidR="00DB2E24" w:rsidRPr="5E20C28B">
        <w:rPr>
          <w:lang w:val="en-US" w:eastAsia="en-AU"/>
        </w:rPr>
        <w:t xml:space="preserve">target cohorts, community driven and </w:t>
      </w:r>
      <w:r w:rsidR="009F61A8" w:rsidRPr="5E20C28B">
        <w:rPr>
          <w:lang w:val="en-US" w:eastAsia="en-AU"/>
        </w:rPr>
        <w:t>trialing</w:t>
      </w:r>
      <w:r w:rsidR="00DB2E24" w:rsidRPr="5E20C28B">
        <w:rPr>
          <w:lang w:val="en-US" w:eastAsia="en-AU"/>
        </w:rPr>
        <w:t xml:space="preserve"> a new approach) alongside organisational capacity to deliver and value for money. </w:t>
      </w:r>
    </w:p>
    <w:p w14:paraId="318603C2" w14:textId="3B671D27" w:rsidR="00F437AD" w:rsidRPr="000858FD" w:rsidRDefault="00251856" w:rsidP="000858FD">
      <w:pPr>
        <w:rPr>
          <w:lang w:val="en-US"/>
        </w:rPr>
      </w:pPr>
      <w:r>
        <w:rPr>
          <w:lang w:val="en-US" w:eastAsia="en-AU"/>
        </w:rPr>
        <w:t xml:space="preserve">The assessment criteria were quite broad and did not appear to provide clear guidance on how policy priorities, and consequently </w:t>
      </w:r>
      <w:r w:rsidR="00A31756">
        <w:rPr>
          <w:lang w:val="en-US" w:eastAsia="en-AU"/>
        </w:rPr>
        <w:t xml:space="preserve">applications, should be prioritised. </w:t>
      </w:r>
      <w:r w:rsidR="00F437AD">
        <w:rPr>
          <w:lang w:val="en-US"/>
        </w:rPr>
        <w:t xml:space="preserve">The assessment process itself was </w:t>
      </w:r>
      <w:r w:rsidR="00ED0234">
        <w:rPr>
          <w:lang w:val="en-US"/>
        </w:rPr>
        <w:t xml:space="preserve">also </w:t>
      </w:r>
      <w:r w:rsidR="00F437AD">
        <w:rPr>
          <w:lang w:val="en-US"/>
        </w:rPr>
        <w:t>highly manual and time</w:t>
      </w:r>
      <w:r w:rsidR="00A90F56">
        <w:rPr>
          <w:lang w:val="en-US"/>
        </w:rPr>
        <w:t>-</w:t>
      </w:r>
      <w:r w:rsidR="00F437AD">
        <w:rPr>
          <w:lang w:val="en-US"/>
        </w:rPr>
        <w:t xml:space="preserve">consuming, requiring the assessment panel to manually assess over </w:t>
      </w:r>
      <w:r w:rsidR="00497A4F">
        <w:rPr>
          <w:lang w:val="en-US"/>
        </w:rPr>
        <w:t>700</w:t>
      </w:r>
      <w:r w:rsidR="00F437AD">
        <w:rPr>
          <w:lang w:val="en-US"/>
        </w:rPr>
        <w:t xml:space="preserve"> applications each round</w:t>
      </w:r>
      <w:r w:rsidR="00875A97">
        <w:rPr>
          <w:lang w:val="en-US"/>
        </w:rPr>
        <w:t xml:space="preserve">, </w:t>
      </w:r>
      <w:r w:rsidR="006E24E6">
        <w:rPr>
          <w:lang w:val="en-US"/>
        </w:rPr>
        <w:t xml:space="preserve">and </w:t>
      </w:r>
      <w:r w:rsidR="00875A97">
        <w:rPr>
          <w:lang w:val="en-US"/>
        </w:rPr>
        <w:t xml:space="preserve">requiring the panel to convene for 12 days </w:t>
      </w:r>
      <w:r w:rsidR="00ED7123">
        <w:rPr>
          <w:lang w:val="en-US"/>
        </w:rPr>
        <w:t>or more each round</w:t>
      </w:r>
      <w:r w:rsidR="006870E0">
        <w:rPr>
          <w:lang w:val="en-US"/>
        </w:rPr>
        <w:t>.</w:t>
      </w:r>
      <w:r w:rsidR="002B29BE">
        <w:rPr>
          <w:rFonts w:ascii="ZWAdobeF" w:hAnsi="ZWAdobeF" w:cs="ZWAdobeF"/>
          <w:sz w:val="2"/>
          <w:szCs w:val="2"/>
          <w:lang w:val="en-US"/>
        </w:rPr>
        <w:t>50F</w:t>
      </w:r>
      <w:r w:rsidR="00F437AD">
        <w:rPr>
          <w:rStyle w:val="FootnoteReference"/>
          <w:lang w:val="en-US"/>
        </w:rPr>
        <w:footnoteReference w:id="54"/>
      </w:r>
      <w:r w:rsidR="00DC2AB3">
        <w:rPr>
          <w:lang w:val="en-US"/>
        </w:rPr>
        <w:t xml:space="preserve"> </w:t>
      </w:r>
    </w:p>
    <w:p w14:paraId="2C8010F4" w14:textId="2ED51DDA" w:rsidR="00180528" w:rsidRPr="000858FD" w:rsidRDefault="00180528" w:rsidP="000858FD">
      <w:pPr>
        <w:rPr>
          <w:lang w:val="en-US" w:eastAsia="en-AU"/>
        </w:rPr>
      </w:pPr>
      <w:r>
        <w:rPr>
          <w:lang w:val="en-US" w:eastAsia="en-AU"/>
        </w:rPr>
        <w:t xml:space="preserve">This increased workload was also seen across the community sector, as the combination of broad eligibility criteria and assessment criteria meant that many organisations invested a significant amount of time (between </w:t>
      </w:r>
      <w:r w:rsidR="00591C2A">
        <w:rPr>
          <w:lang w:val="en-US" w:eastAsia="en-AU"/>
        </w:rPr>
        <w:t>days</w:t>
      </w:r>
      <w:r>
        <w:rPr>
          <w:lang w:val="en-US" w:eastAsia="en-AU"/>
        </w:rPr>
        <w:t xml:space="preserve"> and </w:t>
      </w:r>
      <w:r w:rsidR="00591C2A">
        <w:rPr>
          <w:lang w:val="en-US" w:eastAsia="en-AU"/>
        </w:rPr>
        <w:t>weeks depending on their organisational maturity</w:t>
      </w:r>
      <w:r>
        <w:rPr>
          <w:lang w:val="en-US" w:eastAsia="en-AU"/>
        </w:rPr>
        <w:t xml:space="preserve">) developing applications which were eligible but did not meet the unstated policy intent of </w:t>
      </w:r>
      <w:r w:rsidR="00EF2D09">
        <w:rPr>
          <w:lang w:val="en-US" w:eastAsia="en-AU"/>
        </w:rPr>
        <w:t>SARC – IC</w:t>
      </w:r>
      <w:r>
        <w:rPr>
          <w:lang w:val="en-US" w:eastAsia="en-AU"/>
        </w:rPr>
        <w:t>.</w:t>
      </w:r>
    </w:p>
    <w:p w14:paraId="3B74822F" w14:textId="217F68F8" w:rsidR="003E7E85" w:rsidRDefault="003E7E85" w:rsidP="003E7E85">
      <w:pPr>
        <w:pStyle w:val="Heading5"/>
        <w:rPr>
          <w:lang w:val="en-US"/>
        </w:rPr>
      </w:pPr>
      <w:r>
        <w:rPr>
          <w:lang w:val="en-US"/>
        </w:rPr>
        <w:t xml:space="preserve">Most grant recipients found the application process </w:t>
      </w:r>
      <w:r w:rsidR="0097063F">
        <w:rPr>
          <w:lang w:val="en-US"/>
        </w:rPr>
        <w:t xml:space="preserve">clear and </w:t>
      </w:r>
      <w:r>
        <w:rPr>
          <w:lang w:val="en-US"/>
        </w:rPr>
        <w:t xml:space="preserve">simple to navigate </w:t>
      </w:r>
    </w:p>
    <w:p w14:paraId="67E6C91E" w14:textId="3FA8A07D" w:rsidR="00376E3E" w:rsidRPr="00AD3D97" w:rsidRDefault="00532029" w:rsidP="00376E3E">
      <w:r>
        <w:t>Seventy-five per cent</w:t>
      </w:r>
      <w:r w:rsidR="00376E3E" w:rsidRPr="75F9A890">
        <w:t xml:space="preserve"> </w:t>
      </w:r>
      <w:r w:rsidR="00E268E4">
        <w:t xml:space="preserve">(n = </w:t>
      </w:r>
      <w:r w:rsidR="00ED0328">
        <w:t xml:space="preserve">51) </w:t>
      </w:r>
      <w:r w:rsidR="00376E3E" w:rsidRPr="75F9A890">
        <w:t xml:space="preserve">of grant recipients told us the grant guidelines were </w:t>
      </w:r>
      <w:r w:rsidR="0096473B">
        <w:t>easy to understand</w:t>
      </w:r>
      <w:r w:rsidR="00376E3E" w:rsidRPr="75F9A890">
        <w:t>,</w:t>
      </w:r>
      <w:r w:rsidR="002B29BE">
        <w:rPr>
          <w:rFonts w:ascii="ZWAdobeF" w:hAnsi="ZWAdobeF" w:cs="ZWAdobeF"/>
          <w:sz w:val="2"/>
          <w:szCs w:val="2"/>
        </w:rPr>
        <w:t>51F</w:t>
      </w:r>
      <w:r w:rsidR="00376E3E" w:rsidRPr="75F9A890">
        <w:rPr>
          <w:rStyle w:val="FootnoteReference"/>
        </w:rPr>
        <w:footnoteReference w:id="55"/>
      </w:r>
      <w:r w:rsidR="00376E3E" w:rsidRPr="75F9A890">
        <w:t xml:space="preserve"> and most (over 95</w:t>
      </w:r>
      <w:r w:rsidR="00FD7280">
        <w:rPr>
          <w:lang w:val="en-US"/>
        </w:rPr>
        <w:t xml:space="preserve"> per cent</w:t>
      </w:r>
      <w:r w:rsidR="00ED0328">
        <w:rPr>
          <w:lang w:val="en-US"/>
        </w:rPr>
        <w:t>, n = 51</w:t>
      </w:r>
      <w:r w:rsidR="00FD7280">
        <w:rPr>
          <w:lang w:val="en-US"/>
        </w:rPr>
        <w:t>)</w:t>
      </w:r>
      <w:r w:rsidR="00376E3E" w:rsidRPr="75F9A890">
        <w:t xml:space="preserve"> of applicants met the eligibility criteria, suggesting that applicants understood SARC</w:t>
      </w:r>
      <w:r w:rsidR="00A6649E">
        <w:t xml:space="preserve"> – </w:t>
      </w:r>
      <w:r w:rsidR="00376E3E" w:rsidRPr="75F9A890">
        <w:t>IC requirements. Where there was confusion</w:t>
      </w:r>
      <w:r w:rsidR="00376E3E">
        <w:t xml:space="preserve"> in early rounds</w:t>
      </w:r>
      <w:r w:rsidR="00376E3E" w:rsidRPr="75F9A890">
        <w:t xml:space="preserve">, the Department made small changes to </w:t>
      </w:r>
      <w:r w:rsidR="00376E3E" w:rsidRPr="75F9A890">
        <w:lastRenderedPageBreak/>
        <w:t xml:space="preserve">the guidelines between rounds to increase their clarity, </w:t>
      </w:r>
      <w:r w:rsidR="00376E3E">
        <w:t>including making the time limited nature of the grant clearer and revising application criteria to reduce duplication.</w:t>
      </w:r>
      <w:r w:rsidR="00376E3E" w:rsidRPr="75F9A890">
        <w:t xml:space="preserve">  </w:t>
      </w:r>
    </w:p>
    <w:p w14:paraId="339C898F" w14:textId="735B4F5B" w:rsidR="00F80430" w:rsidRDefault="00F80430" w:rsidP="00F80430">
      <w:pPr>
        <w:rPr>
          <w:lang w:val="en-US"/>
        </w:rPr>
      </w:pPr>
      <w:r>
        <w:rPr>
          <w:lang w:val="en-US"/>
        </w:rPr>
        <w:t>Mos</w:t>
      </w:r>
      <w:r w:rsidR="00E054B4">
        <w:rPr>
          <w:lang w:val="en-US"/>
        </w:rPr>
        <w:t xml:space="preserve">t grant recipients reported that the application process for the </w:t>
      </w:r>
      <w:r w:rsidR="00676D33">
        <w:t xml:space="preserve">SARC – IC </w:t>
      </w:r>
      <w:r w:rsidR="00CD1516">
        <w:rPr>
          <w:lang w:val="en-US"/>
        </w:rPr>
        <w:t>Activity</w:t>
      </w:r>
      <w:r w:rsidR="00E054B4">
        <w:rPr>
          <w:lang w:val="en-US"/>
        </w:rPr>
        <w:t xml:space="preserve"> was </w:t>
      </w:r>
      <w:r w:rsidR="006264F5">
        <w:rPr>
          <w:lang w:val="en-US"/>
        </w:rPr>
        <w:t>like</w:t>
      </w:r>
      <w:r w:rsidR="00E054B4">
        <w:rPr>
          <w:lang w:val="en-US"/>
        </w:rPr>
        <w:t xml:space="preserve"> other </w:t>
      </w:r>
      <w:r w:rsidR="00E26A27">
        <w:rPr>
          <w:lang w:val="en-US"/>
        </w:rPr>
        <w:t>C</w:t>
      </w:r>
      <w:r w:rsidR="00E054B4">
        <w:rPr>
          <w:lang w:val="en-US"/>
        </w:rPr>
        <w:t>ommonwealth grants and relatively easy to navigate</w:t>
      </w:r>
      <w:r w:rsidR="00CC4DBE">
        <w:rPr>
          <w:lang w:val="en-US"/>
        </w:rPr>
        <w:t xml:space="preserve">. </w:t>
      </w:r>
      <w:r w:rsidR="005D2376">
        <w:rPr>
          <w:lang w:val="en-US"/>
        </w:rPr>
        <w:t>Feedback from the interview process suggests th</w:t>
      </w:r>
      <w:r w:rsidR="0045716F">
        <w:rPr>
          <w:lang w:val="en-US"/>
        </w:rPr>
        <w:t>at</w:t>
      </w:r>
      <w:r w:rsidR="005D2376">
        <w:rPr>
          <w:lang w:val="en-US"/>
        </w:rPr>
        <w:t xml:space="preserve"> </w:t>
      </w:r>
      <w:r>
        <w:rPr>
          <w:lang w:val="en-US"/>
        </w:rPr>
        <w:t xml:space="preserve">organisations </w:t>
      </w:r>
      <w:r w:rsidR="005D2376">
        <w:rPr>
          <w:lang w:val="en-US"/>
        </w:rPr>
        <w:t xml:space="preserve">which </w:t>
      </w:r>
      <w:r w:rsidR="00366D9E">
        <w:rPr>
          <w:lang w:val="en-US"/>
        </w:rPr>
        <w:t xml:space="preserve">found the application process challenging and time consuming </w:t>
      </w:r>
      <w:r w:rsidR="00721513">
        <w:rPr>
          <w:lang w:val="en-US"/>
        </w:rPr>
        <w:t>tended to have</w:t>
      </w:r>
      <w:r>
        <w:rPr>
          <w:lang w:val="en-US"/>
        </w:rPr>
        <w:t xml:space="preserve"> low maturity in </w:t>
      </w:r>
      <w:r w:rsidR="000162F1">
        <w:rPr>
          <w:lang w:val="en-US"/>
        </w:rPr>
        <w:t>grant applications</w:t>
      </w:r>
      <w:r w:rsidR="00174472">
        <w:rPr>
          <w:lang w:val="en-US"/>
        </w:rPr>
        <w:t>, or very limited resources</w:t>
      </w:r>
      <w:r w:rsidR="009E55CF">
        <w:rPr>
          <w:lang w:val="en-US"/>
        </w:rPr>
        <w:t xml:space="preserve"> for grant writing</w:t>
      </w:r>
      <w:r w:rsidR="00174472">
        <w:rPr>
          <w:lang w:val="en-US"/>
        </w:rPr>
        <w:t xml:space="preserve">, such as volunteer-run organisations. </w:t>
      </w:r>
    </w:p>
    <w:p w14:paraId="100F3D55" w14:textId="2DCF4825" w:rsidR="0009194D" w:rsidRPr="007D4ACC" w:rsidRDefault="57F6FF61" w:rsidP="18629A85">
      <w:pPr>
        <w:rPr>
          <w:i/>
          <w:iCs/>
          <w:lang w:val="en-US"/>
        </w:rPr>
      </w:pPr>
      <w:r w:rsidRPr="18629A85">
        <w:rPr>
          <w:lang w:val="en-US"/>
        </w:rPr>
        <w:t xml:space="preserve">A handful of grant recipients noted the short word limit discouraged more innovative </w:t>
      </w:r>
      <w:r w:rsidR="002B23D4">
        <w:rPr>
          <w:lang w:val="en-US"/>
        </w:rPr>
        <w:t>projects</w:t>
      </w:r>
      <w:r w:rsidRPr="18629A85">
        <w:rPr>
          <w:lang w:val="en-US"/>
        </w:rPr>
        <w:t xml:space="preserve"> as there was</w:t>
      </w:r>
      <w:r w:rsidR="00A383C4" w:rsidRPr="18629A85">
        <w:rPr>
          <w:lang w:val="en-US"/>
        </w:rPr>
        <w:t xml:space="preserve"> </w:t>
      </w:r>
      <w:r w:rsidRPr="18629A85">
        <w:rPr>
          <w:lang w:val="en-US"/>
        </w:rPr>
        <w:t>n</w:t>
      </w:r>
      <w:r w:rsidR="00A383C4" w:rsidRPr="18629A85">
        <w:rPr>
          <w:lang w:val="en-US"/>
        </w:rPr>
        <w:t>o</w:t>
      </w:r>
      <w:r w:rsidRPr="18629A85">
        <w:rPr>
          <w:lang w:val="en-US"/>
        </w:rPr>
        <w:t xml:space="preserve">t </w:t>
      </w:r>
      <w:r w:rsidR="00A383C4" w:rsidRPr="18629A85">
        <w:rPr>
          <w:lang w:val="en-US"/>
        </w:rPr>
        <w:t>sufficient</w:t>
      </w:r>
      <w:r w:rsidRPr="18629A85">
        <w:rPr>
          <w:lang w:val="en-US"/>
        </w:rPr>
        <w:t xml:space="preserve"> space to set out the evidence base for </w:t>
      </w:r>
      <w:r w:rsidR="49D3231C" w:rsidRPr="18629A85">
        <w:rPr>
          <w:lang w:val="en-US"/>
        </w:rPr>
        <w:t>a</w:t>
      </w:r>
      <w:r w:rsidRPr="18629A85">
        <w:rPr>
          <w:lang w:val="en-US"/>
        </w:rPr>
        <w:t xml:space="preserve"> program or explain a complex </w:t>
      </w:r>
      <w:r w:rsidR="49D3231C" w:rsidRPr="18629A85">
        <w:rPr>
          <w:lang w:val="en-US"/>
        </w:rPr>
        <w:t>service model</w:t>
      </w:r>
      <w:r w:rsidRPr="18629A85">
        <w:rPr>
          <w:lang w:val="en-US"/>
        </w:rPr>
        <w:t xml:space="preserve">. This may have encouraged applicants to put forward different versions of existing </w:t>
      </w:r>
      <w:r w:rsidR="002B23D4">
        <w:rPr>
          <w:lang w:val="en-US"/>
        </w:rPr>
        <w:t>projects</w:t>
      </w:r>
      <w:r w:rsidR="542B9A4F" w:rsidRPr="18629A85">
        <w:rPr>
          <w:lang w:val="en-US"/>
        </w:rPr>
        <w:t xml:space="preserve">, with one grant recipient interviewed noting </w:t>
      </w:r>
      <w:r w:rsidR="5BCB91A9" w:rsidRPr="18629A85">
        <w:rPr>
          <w:lang w:val="en-US"/>
        </w:rPr>
        <w:t xml:space="preserve">it </w:t>
      </w:r>
      <w:r w:rsidR="5BCB91A9" w:rsidRPr="18629A85">
        <w:rPr>
          <w:i/>
          <w:iCs/>
          <w:lang w:val="en-US"/>
        </w:rPr>
        <w:t xml:space="preserve">‘was impossible to demonstrate a completely innovative program </w:t>
      </w:r>
      <w:r w:rsidR="33C4D56C" w:rsidRPr="18629A85">
        <w:rPr>
          <w:i/>
          <w:iCs/>
          <w:lang w:val="en-US"/>
        </w:rPr>
        <w:t xml:space="preserve">[for the} hardest cohorts- but in no words.’ </w:t>
      </w:r>
    </w:p>
    <w:p w14:paraId="761B0D1A" w14:textId="59F46186" w:rsidR="007659E5" w:rsidRPr="008716B1" w:rsidRDefault="3DD55E2D" w:rsidP="00EB32F5">
      <w:pPr>
        <w:rPr>
          <w:lang w:val="en-US"/>
        </w:rPr>
      </w:pPr>
      <w:r w:rsidRPr="18629A85">
        <w:rPr>
          <w:lang w:val="en-US"/>
        </w:rPr>
        <w:t xml:space="preserve">A small number of organisations received ad hoc funding outside of the </w:t>
      </w:r>
      <w:r w:rsidR="35739525" w:rsidRPr="18629A85">
        <w:rPr>
          <w:lang w:val="en-US"/>
        </w:rPr>
        <w:t xml:space="preserve">main grant application rounds. No </w:t>
      </w:r>
      <w:r w:rsidR="75ED2A7E" w:rsidRPr="18629A85">
        <w:rPr>
          <w:lang w:val="en-US"/>
        </w:rPr>
        <w:t xml:space="preserve">significant feedback </w:t>
      </w:r>
      <w:r w:rsidR="3E670732" w:rsidRPr="18629A85">
        <w:rPr>
          <w:lang w:val="en-US"/>
        </w:rPr>
        <w:t>was received through the evaluation on ad hoc grants</w:t>
      </w:r>
      <w:r w:rsidR="08FE66C4" w:rsidRPr="18629A85">
        <w:rPr>
          <w:lang w:val="en-US"/>
        </w:rPr>
        <w:t xml:space="preserve"> interviews</w:t>
      </w:r>
      <w:r w:rsidR="00DE7AFD">
        <w:rPr>
          <w:lang w:val="en-US"/>
        </w:rPr>
        <w:t>.</w:t>
      </w:r>
    </w:p>
    <w:p w14:paraId="3CFDF7B4" w14:textId="3528C40B" w:rsidR="0044016D" w:rsidRDefault="00AA2862" w:rsidP="003E7E85">
      <w:pPr>
        <w:pStyle w:val="Heading3"/>
        <w:rPr>
          <w:lang w:val="en-US"/>
        </w:rPr>
      </w:pPr>
      <w:bookmarkStart w:id="47" w:name="_Toc240883560"/>
      <w:r>
        <w:rPr>
          <w:lang w:val="en-US"/>
        </w:rPr>
        <w:t>The s</w:t>
      </w:r>
      <w:r w:rsidR="00000DA3">
        <w:rPr>
          <w:lang w:val="en-US"/>
        </w:rPr>
        <w:t>uccessful d</w:t>
      </w:r>
      <w:r w:rsidR="00AA0807">
        <w:rPr>
          <w:lang w:val="en-US"/>
        </w:rPr>
        <w:t xml:space="preserve">elivery of </w:t>
      </w:r>
      <w:r>
        <w:rPr>
          <w:lang w:val="en-US"/>
        </w:rPr>
        <w:t>SARC</w:t>
      </w:r>
      <w:r w:rsidR="00A6649E">
        <w:rPr>
          <w:lang w:val="en-US"/>
        </w:rPr>
        <w:t xml:space="preserve"> – </w:t>
      </w:r>
      <w:r>
        <w:rPr>
          <w:lang w:val="en-US"/>
        </w:rPr>
        <w:t>IC</w:t>
      </w:r>
      <w:r w:rsidR="000E6788">
        <w:rPr>
          <w:lang w:val="en-US"/>
        </w:rPr>
        <w:t xml:space="preserve"> </w:t>
      </w:r>
      <w:r>
        <w:rPr>
          <w:lang w:val="en-US"/>
        </w:rPr>
        <w:t xml:space="preserve">funded </w:t>
      </w:r>
      <w:r w:rsidR="00000DA3">
        <w:rPr>
          <w:lang w:val="en-US"/>
        </w:rPr>
        <w:t xml:space="preserve">services </w:t>
      </w:r>
      <w:r w:rsidR="008921B0">
        <w:rPr>
          <w:lang w:val="en-US"/>
        </w:rPr>
        <w:t>depend</w:t>
      </w:r>
      <w:r w:rsidR="005958BE">
        <w:rPr>
          <w:lang w:val="en-US"/>
        </w:rPr>
        <w:t>s</w:t>
      </w:r>
      <w:r w:rsidR="008921B0">
        <w:rPr>
          <w:lang w:val="en-US"/>
        </w:rPr>
        <w:t xml:space="preserve"> on </w:t>
      </w:r>
      <w:r w:rsidR="00C22F50">
        <w:rPr>
          <w:lang w:val="en-US"/>
        </w:rPr>
        <w:t>FAMs, recruitment and community trust</w:t>
      </w:r>
      <w:bookmarkEnd w:id="47"/>
      <w:r w:rsidR="00AA0807">
        <w:rPr>
          <w:lang w:val="en-US"/>
        </w:rPr>
        <w:t xml:space="preserve"> </w:t>
      </w:r>
    </w:p>
    <w:p w14:paraId="60AA13AD" w14:textId="572335B3" w:rsidR="00CF30C3" w:rsidRDefault="00DC6ACF" w:rsidP="00CF30C3">
      <w:pPr>
        <w:pStyle w:val="Heading5"/>
        <w:rPr>
          <w:lang w:val="en-US"/>
        </w:rPr>
      </w:pPr>
      <w:r>
        <w:rPr>
          <w:lang w:val="en-US"/>
        </w:rPr>
        <w:t>FAMs play a critical role in the overall experience of grant recipients</w:t>
      </w:r>
      <w:r w:rsidR="006B1FD8">
        <w:rPr>
          <w:lang w:val="en-US"/>
        </w:rPr>
        <w:t xml:space="preserve"> of grant management</w:t>
      </w:r>
      <w:r w:rsidR="00CF30C3">
        <w:rPr>
          <w:lang w:val="en-US"/>
        </w:rPr>
        <w:t xml:space="preserve"> </w:t>
      </w:r>
    </w:p>
    <w:p w14:paraId="13898921" w14:textId="2B95D070" w:rsidR="00D201DF" w:rsidRDefault="1E072DBC" w:rsidP="00416D23">
      <w:pPr>
        <w:rPr>
          <w:lang w:val="en-US" w:eastAsia="en-AU"/>
        </w:rPr>
      </w:pPr>
      <w:r w:rsidRPr="35608556">
        <w:rPr>
          <w:lang w:val="en-US" w:eastAsia="en-AU"/>
        </w:rPr>
        <w:t xml:space="preserve">FAMs </w:t>
      </w:r>
      <w:r w:rsidR="7E0844AE" w:rsidRPr="35608556">
        <w:rPr>
          <w:lang w:val="en-US" w:eastAsia="en-AU"/>
        </w:rPr>
        <w:t xml:space="preserve">were responsible for </w:t>
      </w:r>
      <w:r w:rsidR="00F55715">
        <w:rPr>
          <w:lang w:val="en-US" w:eastAsia="en-AU"/>
        </w:rPr>
        <w:t xml:space="preserve">working directly with grant recipients </w:t>
      </w:r>
      <w:r w:rsidR="009B1E89">
        <w:rPr>
          <w:lang w:val="en-US" w:eastAsia="en-AU"/>
        </w:rPr>
        <w:t xml:space="preserve">throughout the delivery period, including </w:t>
      </w:r>
      <w:r w:rsidR="001C164C">
        <w:rPr>
          <w:lang w:val="en-US" w:eastAsia="en-AU"/>
        </w:rPr>
        <w:t>ensuring</w:t>
      </w:r>
      <w:r w:rsidR="009B1E89">
        <w:rPr>
          <w:lang w:val="en-US" w:eastAsia="en-AU"/>
        </w:rPr>
        <w:t xml:space="preserve"> they submitted all their required reporting</w:t>
      </w:r>
      <w:r w:rsidR="7E0844AE" w:rsidRPr="35608556">
        <w:rPr>
          <w:lang w:val="en-US" w:eastAsia="en-AU"/>
        </w:rPr>
        <w:t xml:space="preserve">. </w:t>
      </w:r>
      <w:r w:rsidR="17535665" w:rsidRPr="35608556">
        <w:rPr>
          <w:lang w:val="en-US" w:eastAsia="en-AU"/>
        </w:rPr>
        <w:t xml:space="preserve">Grant recipients who had a consistent FAM </w:t>
      </w:r>
      <w:r w:rsidR="082A7B11" w:rsidRPr="35608556">
        <w:rPr>
          <w:lang w:val="en-US" w:eastAsia="en-AU"/>
        </w:rPr>
        <w:t>usuall</w:t>
      </w:r>
      <w:r w:rsidR="3909ED35" w:rsidRPr="35608556">
        <w:rPr>
          <w:lang w:val="en-US" w:eastAsia="en-AU"/>
        </w:rPr>
        <w:t xml:space="preserve">y </w:t>
      </w:r>
      <w:r w:rsidR="777A35EA" w:rsidRPr="35608556">
        <w:rPr>
          <w:lang w:val="en-US" w:eastAsia="en-AU"/>
        </w:rPr>
        <w:t>found</w:t>
      </w:r>
      <w:r w:rsidR="3909ED35" w:rsidRPr="35608556">
        <w:rPr>
          <w:lang w:val="en-US" w:eastAsia="en-AU"/>
        </w:rPr>
        <w:t xml:space="preserve"> th</w:t>
      </w:r>
      <w:r w:rsidR="18C6D8B2" w:rsidRPr="35608556">
        <w:rPr>
          <w:lang w:val="en-US" w:eastAsia="en-AU"/>
        </w:rPr>
        <w:t>e</w:t>
      </w:r>
      <w:r w:rsidR="3909ED35" w:rsidRPr="35608556">
        <w:rPr>
          <w:lang w:val="en-US" w:eastAsia="en-AU"/>
        </w:rPr>
        <w:t xml:space="preserve"> </w:t>
      </w:r>
      <w:r w:rsidR="3909ED35" w:rsidRPr="35608556">
        <w:rPr>
          <w:i/>
          <w:iCs/>
          <w:lang w:val="en-US" w:eastAsia="en-AU"/>
        </w:rPr>
        <w:t>role</w:t>
      </w:r>
      <w:r w:rsidR="18C6D8B2" w:rsidRPr="35608556">
        <w:rPr>
          <w:i/>
          <w:iCs/>
          <w:lang w:val="en-US" w:eastAsia="en-AU"/>
        </w:rPr>
        <w:t xml:space="preserve"> “made a world of difference</w:t>
      </w:r>
      <w:r w:rsidR="186AEC60" w:rsidRPr="35608556">
        <w:rPr>
          <w:i/>
          <w:iCs/>
          <w:lang w:val="en-US" w:eastAsia="en-AU"/>
        </w:rPr>
        <w:t xml:space="preserve">, helping to </w:t>
      </w:r>
      <w:r w:rsidR="61D1F013" w:rsidRPr="35608556">
        <w:rPr>
          <w:i/>
          <w:iCs/>
          <w:lang w:val="en-US" w:eastAsia="en-AU"/>
        </w:rPr>
        <w:t>answer questions and provide assistance”</w:t>
      </w:r>
      <w:r w:rsidR="61D1F013" w:rsidRPr="35608556">
        <w:rPr>
          <w:lang w:val="en-US" w:eastAsia="en-AU"/>
        </w:rPr>
        <w:t xml:space="preserve"> a</w:t>
      </w:r>
      <w:r w:rsidR="555FE34C" w:rsidRPr="35608556">
        <w:rPr>
          <w:lang w:val="en-US" w:eastAsia="en-AU"/>
        </w:rPr>
        <w:t xml:space="preserve">nd </w:t>
      </w:r>
      <w:r w:rsidR="009B1E89">
        <w:rPr>
          <w:lang w:val="en-US" w:eastAsia="en-AU"/>
        </w:rPr>
        <w:t xml:space="preserve">helping them navigate interactions with </w:t>
      </w:r>
      <w:r w:rsidR="555FE34C" w:rsidRPr="35608556">
        <w:rPr>
          <w:lang w:val="en-US" w:eastAsia="en-AU"/>
        </w:rPr>
        <w:t xml:space="preserve">the Department. </w:t>
      </w:r>
      <w:r w:rsidR="45811425" w:rsidRPr="35608556">
        <w:rPr>
          <w:lang w:val="en-US" w:eastAsia="en-AU"/>
        </w:rPr>
        <w:t>Many grant recipients, especially those with lower organisational maturity, found it useful to have an ongoing point of contact with the Department who could support them through the grant delivery and reporting process.</w:t>
      </w:r>
    </w:p>
    <w:p w14:paraId="0DE80D84" w14:textId="6494651A" w:rsidR="00416D23" w:rsidRPr="00416D23" w:rsidRDefault="00D201DF" w:rsidP="00416D23">
      <w:pPr>
        <w:rPr>
          <w:lang w:eastAsia="en-AU"/>
        </w:rPr>
      </w:pPr>
      <w:r w:rsidRPr="4418F1A1">
        <w:rPr>
          <w:lang w:eastAsia="en-AU"/>
        </w:rPr>
        <w:t xml:space="preserve">However, </w:t>
      </w:r>
      <w:r w:rsidR="00A5471F" w:rsidRPr="4418F1A1">
        <w:rPr>
          <w:lang w:eastAsia="en-AU"/>
        </w:rPr>
        <w:t xml:space="preserve">around </w:t>
      </w:r>
      <w:r w:rsidR="004A506F">
        <w:rPr>
          <w:lang w:eastAsia="en-AU"/>
        </w:rPr>
        <w:t>2</w:t>
      </w:r>
      <w:r w:rsidR="00A5471F" w:rsidRPr="4418F1A1">
        <w:rPr>
          <w:lang w:eastAsia="en-AU"/>
        </w:rPr>
        <w:t>0</w:t>
      </w:r>
      <w:r w:rsidR="00FD7280" w:rsidRPr="4418F1A1">
        <w:rPr>
          <w:lang w:eastAsia="en-AU"/>
        </w:rPr>
        <w:t xml:space="preserve"> </w:t>
      </w:r>
      <w:r w:rsidR="00FD7280" w:rsidRPr="4418F1A1">
        <w:t>per cent</w:t>
      </w:r>
      <w:r w:rsidRPr="4418F1A1">
        <w:rPr>
          <w:lang w:eastAsia="en-AU"/>
        </w:rPr>
        <w:t xml:space="preserve"> </w:t>
      </w:r>
      <w:r w:rsidR="008958E4">
        <w:rPr>
          <w:lang w:eastAsia="en-AU"/>
        </w:rPr>
        <w:t xml:space="preserve">(n = </w:t>
      </w:r>
      <w:r w:rsidR="00590DD9">
        <w:rPr>
          <w:lang w:eastAsia="en-AU"/>
        </w:rPr>
        <w:t>51</w:t>
      </w:r>
      <w:r w:rsidR="008958E4">
        <w:rPr>
          <w:lang w:eastAsia="en-AU"/>
        </w:rPr>
        <w:t xml:space="preserve">) </w:t>
      </w:r>
      <w:r w:rsidRPr="4418F1A1">
        <w:rPr>
          <w:lang w:eastAsia="en-AU"/>
        </w:rPr>
        <w:t xml:space="preserve">of grant recipients </w:t>
      </w:r>
      <w:r w:rsidR="00EB2573">
        <w:rPr>
          <w:lang w:eastAsia="en-AU"/>
        </w:rPr>
        <w:t>surveyed</w:t>
      </w:r>
      <w:r w:rsidRPr="4418F1A1">
        <w:rPr>
          <w:lang w:eastAsia="en-AU"/>
        </w:rPr>
        <w:t xml:space="preserve"> reported the</w:t>
      </w:r>
      <w:r w:rsidR="007A432A" w:rsidRPr="4418F1A1">
        <w:rPr>
          <w:lang w:eastAsia="en-AU"/>
        </w:rPr>
        <w:t xml:space="preserve">re was high rotation of FAMs and </w:t>
      </w:r>
      <w:r w:rsidR="00D50DDD">
        <w:rPr>
          <w:lang w:eastAsia="en-AU"/>
        </w:rPr>
        <w:t>interviewees reported</w:t>
      </w:r>
      <w:r w:rsidR="007A432A" w:rsidRPr="4418F1A1">
        <w:rPr>
          <w:lang w:eastAsia="en-AU"/>
        </w:rPr>
        <w:t xml:space="preserve"> that they had more than three (sometimes as many as six) FAMs over the course of their </w:t>
      </w:r>
      <w:r w:rsidR="000F50A7" w:rsidRPr="4418F1A1">
        <w:rPr>
          <w:lang w:eastAsia="en-AU"/>
        </w:rPr>
        <w:t>two-year grant.</w:t>
      </w:r>
      <w:r w:rsidR="002B29BE">
        <w:rPr>
          <w:rFonts w:ascii="ZWAdobeF" w:hAnsi="ZWAdobeF" w:cs="ZWAdobeF"/>
          <w:sz w:val="2"/>
          <w:szCs w:val="2"/>
          <w:lang w:eastAsia="en-AU"/>
        </w:rPr>
        <w:t>52F</w:t>
      </w:r>
      <w:r w:rsidR="005B4DFC" w:rsidRPr="4418F1A1">
        <w:rPr>
          <w:rStyle w:val="FootnoteReference"/>
          <w:lang w:eastAsia="en-AU"/>
        </w:rPr>
        <w:footnoteReference w:id="56"/>
      </w:r>
      <w:r w:rsidR="000F50A7" w:rsidRPr="4418F1A1">
        <w:rPr>
          <w:lang w:eastAsia="en-AU"/>
        </w:rPr>
        <w:t xml:space="preserve"> Grant recipients reported that they received different guidance from different FAMs, which so</w:t>
      </w:r>
      <w:r w:rsidR="000A5B17" w:rsidRPr="4418F1A1">
        <w:rPr>
          <w:lang w:eastAsia="en-AU"/>
        </w:rPr>
        <w:t xml:space="preserve">metimes meant having to rework AWPs multiple times or in new templates. Additionally, a high turnover in FAMs meant that grant recipients invested a lot of time in bringing new FAMs up to speed on the </w:t>
      </w:r>
      <w:r w:rsidR="00B56628" w:rsidRPr="4418F1A1">
        <w:rPr>
          <w:lang w:eastAsia="en-AU"/>
        </w:rPr>
        <w:t>purpose and design of their pro</w:t>
      </w:r>
      <w:r w:rsidR="002320F5" w:rsidRPr="4418F1A1">
        <w:rPr>
          <w:lang w:eastAsia="en-AU"/>
        </w:rPr>
        <w:t>ject</w:t>
      </w:r>
      <w:r w:rsidR="0064658F" w:rsidRPr="4418F1A1">
        <w:rPr>
          <w:lang w:eastAsia="en-AU"/>
        </w:rPr>
        <w:t>.</w:t>
      </w:r>
      <w:r w:rsidR="005C52F2" w:rsidRPr="4418F1A1">
        <w:rPr>
          <w:lang w:eastAsia="en-AU"/>
        </w:rPr>
        <w:t xml:space="preserve"> </w:t>
      </w:r>
      <w:r w:rsidR="006978AF" w:rsidRPr="4418F1A1">
        <w:rPr>
          <w:lang w:eastAsia="en-AU"/>
        </w:rPr>
        <w:t>The evaluation notes that the turnover in FAMs and the impact on grant recipients is a broader</w:t>
      </w:r>
      <w:r w:rsidR="0093062D" w:rsidRPr="4418F1A1">
        <w:rPr>
          <w:lang w:eastAsia="en-AU"/>
        </w:rPr>
        <w:t xml:space="preserve"> challenge across D</w:t>
      </w:r>
      <w:r w:rsidR="005F3A5B" w:rsidRPr="4418F1A1">
        <w:rPr>
          <w:lang w:eastAsia="en-AU"/>
        </w:rPr>
        <w:t xml:space="preserve">epartment </w:t>
      </w:r>
      <w:r w:rsidR="0093062D" w:rsidRPr="4418F1A1">
        <w:rPr>
          <w:lang w:eastAsia="en-AU"/>
        </w:rPr>
        <w:t>grants which is not limited to delivery of the SARC</w:t>
      </w:r>
      <w:r w:rsidR="00270D1D" w:rsidRPr="4418F1A1">
        <w:rPr>
          <w:lang w:eastAsia="en-AU"/>
        </w:rPr>
        <w:t xml:space="preserve"> – </w:t>
      </w:r>
      <w:r w:rsidR="0093062D" w:rsidRPr="4418F1A1">
        <w:rPr>
          <w:lang w:eastAsia="en-AU"/>
        </w:rPr>
        <w:t>IC</w:t>
      </w:r>
      <w:r w:rsidR="00ED029B">
        <w:rPr>
          <w:lang w:eastAsia="en-AU"/>
        </w:rPr>
        <w:t xml:space="preserve"> </w:t>
      </w:r>
      <w:r w:rsidR="00A334C1" w:rsidRPr="4418F1A1">
        <w:rPr>
          <w:lang w:eastAsia="en-AU"/>
        </w:rPr>
        <w:t>Activity</w:t>
      </w:r>
      <w:r w:rsidR="0093062D" w:rsidRPr="4418F1A1">
        <w:rPr>
          <w:lang w:eastAsia="en-AU"/>
        </w:rPr>
        <w:t xml:space="preserve">. </w:t>
      </w:r>
      <w:r w:rsidR="00774F40" w:rsidRPr="4418F1A1">
        <w:rPr>
          <w:lang w:eastAsia="en-AU"/>
        </w:rPr>
        <w:t xml:space="preserve"> </w:t>
      </w:r>
    </w:p>
    <w:p w14:paraId="340FC6B7" w14:textId="301E049A" w:rsidR="00022720" w:rsidRPr="00D46DA2" w:rsidRDefault="000D79E0" w:rsidP="0093062D">
      <w:pPr>
        <w:pStyle w:val="Heading5"/>
        <w:rPr>
          <w:lang w:val="en-US"/>
        </w:rPr>
      </w:pPr>
      <w:r>
        <w:rPr>
          <w:lang w:val="en-US"/>
        </w:rPr>
        <w:t xml:space="preserve">Building trust with the community </w:t>
      </w:r>
      <w:r w:rsidR="008F0295">
        <w:rPr>
          <w:lang w:val="en-US"/>
        </w:rPr>
        <w:t xml:space="preserve">was </w:t>
      </w:r>
      <w:r w:rsidR="00A21B49">
        <w:rPr>
          <w:lang w:val="en-US"/>
        </w:rPr>
        <w:t xml:space="preserve">an important upfront </w:t>
      </w:r>
      <w:r w:rsidR="006F75CD">
        <w:rPr>
          <w:lang w:val="en-US"/>
        </w:rPr>
        <w:t>investment for grant recipients</w:t>
      </w:r>
      <w:r w:rsidR="0044016D">
        <w:rPr>
          <w:lang w:val="en-US"/>
        </w:rPr>
        <w:t xml:space="preserve"> </w:t>
      </w:r>
    </w:p>
    <w:p w14:paraId="6501409B" w14:textId="1098DC8E" w:rsidR="009C5369" w:rsidRDefault="00522941" w:rsidP="0093062D">
      <w:pPr>
        <w:rPr>
          <w:lang w:val="en-US" w:eastAsia="en-AU"/>
        </w:rPr>
      </w:pPr>
      <w:r>
        <w:rPr>
          <w:lang w:val="en-US" w:eastAsia="en-AU"/>
        </w:rPr>
        <w:t xml:space="preserve">Grant recipients </w:t>
      </w:r>
      <w:r w:rsidR="001F3A02">
        <w:rPr>
          <w:lang w:val="en-US" w:eastAsia="en-AU"/>
        </w:rPr>
        <w:t>often</w:t>
      </w:r>
      <w:r w:rsidR="00307DA6">
        <w:rPr>
          <w:lang w:val="en-US" w:eastAsia="en-AU"/>
        </w:rPr>
        <w:t xml:space="preserve"> needed to invest a significant amount of</w:t>
      </w:r>
      <w:r w:rsidR="00D02531">
        <w:rPr>
          <w:lang w:val="en-US" w:eastAsia="en-AU"/>
        </w:rPr>
        <w:t xml:space="preserve"> time </w:t>
      </w:r>
      <w:r w:rsidR="00307DA6">
        <w:rPr>
          <w:lang w:val="en-US" w:eastAsia="en-AU"/>
        </w:rPr>
        <w:t>at the beginning of their grant period</w:t>
      </w:r>
      <w:r w:rsidR="00D02531">
        <w:rPr>
          <w:lang w:val="en-US" w:eastAsia="en-AU"/>
        </w:rPr>
        <w:t xml:space="preserve"> building trust and relationships with</w:t>
      </w:r>
      <w:r w:rsidR="00307DA6">
        <w:rPr>
          <w:lang w:val="en-US" w:eastAsia="en-AU"/>
        </w:rPr>
        <w:t>in</w:t>
      </w:r>
      <w:r w:rsidR="00D02531">
        <w:rPr>
          <w:lang w:val="en-US" w:eastAsia="en-AU"/>
        </w:rPr>
        <w:t xml:space="preserve"> the new community/cohort they were </w:t>
      </w:r>
      <w:r w:rsidR="00307DA6">
        <w:rPr>
          <w:lang w:val="en-US" w:eastAsia="en-AU"/>
        </w:rPr>
        <w:t xml:space="preserve">delivering services for. </w:t>
      </w:r>
      <w:r w:rsidR="009C5369">
        <w:rPr>
          <w:lang w:val="en-US" w:eastAsia="en-AU"/>
        </w:rPr>
        <w:t xml:space="preserve">This was for two </w:t>
      </w:r>
      <w:r w:rsidR="001F3A02">
        <w:rPr>
          <w:lang w:val="en-US" w:eastAsia="en-AU"/>
        </w:rPr>
        <w:t>reasons:</w:t>
      </w:r>
      <w:r w:rsidR="009C5369">
        <w:rPr>
          <w:lang w:val="en-US" w:eastAsia="en-AU"/>
        </w:rPr>
        <w:t xml:space="preserve"> recruiting participants, and having connections across the community to support them </w:t>
      </w:r>
      <w:r w:rsidR="003742CF">
        <w:rPr>
          <w:lang w:val="en-US" w:eastAsia="en-AU"/>
        </w:rPr>
        <w:t xml:space="preserve">in </w:t>
      </w:r>
      <w:r w:rsidR="009C5369">
        <w:rPr>
          <w:lang w:val="en-US" w:eastAsia="en-AU"/>
        </w:rPr>
        <w:t xml:space="preserve">achieving their desired outcomes. </w:t>
      </w:r>
      <w:r w:rsidR="00105863">
        <w:rPr>
          <w:lang w:val="en-US" w:eastAsia="en-AU"/>
        </w:rPr>
        <w:t>The grant selection criteria required grant recipients to set out the community need and support for the project</w:t>
      </w:r>
      <w:r w:rsidR="0083455C">
        <w:rPr>
          <w:lang w:val="en-US" w:eastAsia="en-AU"/>
        </w:rPr>
        <w:t xml:space="preserve">, </w:t>
      </w:r>
      <w:r w:rsidR="00447C3D">
        <w:rPr>
          <w:lang w:val="en-US" w:eastAsia="en-AU"/>
        </w:rPr>
        <w:t>suggesting that some of the organisations who struggled to build attendance initially were not able to deliver on the plans they set out in their application.</w:t>
      </w:r>
    </w:p>
    <w:p w14:paraId="4FE3D8E0" w14:textId="1197C554" w:rsidR="00E41421" w:rsidRPr="0093062D" w:rsidRDefault="00AA111E" w:rsidP="00C5665C">
      <w:pPr>
        <w:rPr>
          <w:lang w:val="en-US" w:eastAsia="en-AU"/>
        </w:rPr>
      </w:pPr>
      <w:r>
        <w:rPr>
          <w:lang w:val="en-US" w:eastAsia="en-AU"/>
        </w:rPr>
        <w:t xml:space="preserve">A range of grant recipients (small and large) reported through their AWPs that they struggled with </w:t>
      </w:r>
      <w:r w:rsidR="008B4DBE">
        <w:rPr>
          <w:lang w:val="en-US" w:eastAsia="en-AU"/>
        </w:rPr>
        <w:t>low attendance and a slow build in participant recruitment</w:t>
      </w:r>
      <w:r w:rsidR="00702AC8">
        <w:rPr>
          <w:lang w:val="en-US" w:eastAsia="en-AU"/>
        </w:rPr>
        <w:t>.</w:t>
      </w:r>
      <w:r w:rsidR="002B29BE">
        <w:rPr>
          <w:rFonts w:ascii="ZWAdobeF" w:hAnsi="ZWAdobeF" w:cs="ZWAdobeF"/>
          <w:sz w:val="2"/>
          <w:szCs w:val="2"/>
          <w:lang w:val="en-US" w:eastAsia="en-AU"/>
        </w:rPr>
        <w:t>53F</w:t>
      </w:r>
      <w:r w:rsidR="003753D8">
        <w:rPr>
          <w:rStyle w:val="FootnoteReference"/>
          <w:lang w:val="en-US" w:eastAsia="en-AU"/>
        </w:rPr>
        <w:footnoteReference w:id="57"/>
      </w:r>
      <w:r w:rsidR="008B4DBE">
        <w:rPr>
          <w:lang w:val="en-US" w:eastAsia="en-AU"/>
        </w:rPr>
        <w:t xml:space="preserve"> </w:t>
      </w:r>
      <w:r w:rsidR="00FF5CDB">
        <w:rPr>
          <w:lang w:val="en-US" w:eastAsia="en-AU"/>
        </w:rPr>
        <w:t xml:space="preserve">As </w:t>
      </w:r>
      <w:r w:rsidR="00535E2A">
        <w:rPr>
          <w:lang w:val="en-US" w:eastAsia="en-AU"/>
        </w:rPr>
        <w:t>with</w:t>
      </w:r>
      <w:r w:rsidR="0064069E">
        <w:rPr>
          <w:lang w:val="en-US" w:eastAsia="en-AU"/>
        </w:rPr>
        <w:t xml:space="preserve"> </w:t>
      </w:r>
      <w:r w:rsidR="0006568E">
        <w:rPr>
          <w:lang w:val="en-US" w:eastAsia="en-AU"/>
        </w:rPr>
        <w:t>similar grant programs, t</w:t>
      </w:r>
      <w:r w:rsidR="00C5665C">
        <w:rPr>
          <w:lang w:val="en-US" w:eastAsia="en-AU"/>
        </w:rPr>
        <w:t>his</w:t>
      </w:r>
      <w:r w:rsidR="00BC0945">
        <w:rPr>
          <w:lang w:val="en-US" w:eastAsia="en-AU"/>
        </w:rPr>
        <w:t xml:space="preserve"> </w:t>
      </w:r>
      <w:r w:rsidR="001C172C">
        <w:rPr>
          <w:lang w:val="en-US" w:eastAsia="en-AU"/>
        </w:rPr>
        <w:t>issue</w:t>
      </w:r>
      <w:r w:rsidR="00C5665C">
        <w:rPr>
          <w:lang w:val="en-US" w:eastAsia="en-AU"/>
        </w:rPr>
        <w:t xml:space="preserve"> likely </w:t>
      </w:r>
      <w:r w:rsidR="00AD3D97">
        <w:rPr>
          <w:lang w:val="en-US" w:eastAsia="en-AU"/>
        </w:rPr>
        <w:t>stems from m</w:t>
      </w:r>
      <w:r w:rsidR="00586016">
        <w:rPr>
          <w:lang w:val="en-US" w:eastAsia="en-AU"/>
        </w:rPr>
        <w:t>any</w:t>
      </w:r>
      <w:r w:rsidR="00AD3D97">
        <w:rPr>
          <w:lang w:val="en-US" w:eastAsia="en-AU"/>
        </w:rPr>
        <w:t xml:space="preserve"> </w:t>
      </w:r>
      <w:r w:rsidR="002B23D4">
        <w:rPr>
          <w:lang w:val="en-US" w:eastAsia="en-AU"/>
        </w:rPr>
        <w:t>projects</w:t>
      </w:r>
      <w:r w:rsidR="00AD3D97">
        <w:rPr>
          <w:lang w:val="en-US" w:eastAsia="en-AU"/>
        </w:rPr>
        <w:t xml:space="preserve"> relying on word-of-mouth </w:t>
      </w:r>
      <w:r w:rsidR="00F524A2">
        <w:rPr>
          <w:lang w:val="en-US" w:eastAsia="en-AU"/>
        </w:rPr>
        <w:t xml:space="preserve">referrals </w:t>
      </w:r>
      <w:r w:rsidR="00AD3D97">
        <w:rPr>
          <w:lang w:val="en-US" w:eastAsia="en-AU"/>
        </w:rPr>
        <w:t xml:space="preserve">and referrals from other services for participant recruitment, which require time and trust to establish. </w:t>
      </w:r>
    </w:p>
    <w:p w14:paraId="167B05D4" w14:textId="77777777" w:rsidR="002071A3" w:rsidRDefault="52B53C70" w:rsidP="00C5665C">
      <w:pPr>
        <w:rPr>
          <w:lang w:val="en-US" w:eastAsia="en-AU"/>
        </w:rPr>
      </w:pPr>
      <w:r w:rsidRPr="18629A85">
        <w:rPr>
          <w:lang w:val="en-US" w:eastAsia="en-AU"/>
        </w:rPr>
        <w:lastRenderedPageBreak/>
        <w:t>G</w:t>
      </w:r>
      <w:r w:rsidR="02E41179" w:rsidRPr="18629A85">
        <w:rPr>
          <w:lang w:val="en-US" w:eastAsia="en-AU"/>
        </w:rPr>
        <w:t>rant recipients also needed time to develop formal and informal relationships with other service providers in the local community</w:t>
      </w:r>
      <w:r w:rsidRPr="18629A85">
        <w:rPr>
          <w:lang w:val="en-US" w:eastAsia="en-AU"/>
        </w:rPr>
        <w:t xml:space="preserve"> to build referral pathways</w:t>
      </w:r>
      <w:r w:rsidR="02E41179" w:rsidRPr="18629A85">
        <w:rPr>
          <w:lang w:val="en-US" w:eastAsia="en-AU"/>
        </w:rPr>
        <w:t xml:space="preserve">. </w:t>
      </w:r>
      <w:r w:rsidR="2CB1A05C" w:rsidRPr="18629A85">
        <w:rPr>
          <w:lang w:val="en-US" w:eastAsia="en-AU"/>
        </w:rPr>
        <w:t xml:space="preserve">Many of the intended short-term outcomes of the grant were focused on helping link participants to services, including education, employment, training and health </w:t>
      </w:r>
      <w:r w:rsidR="7CA04C42" w:rsidRPr="18629A85">
        <w:rPr>
          <w:lang w:val="en-US" w:eastAsia="en-AU"/>
        </w:rPr>
        <w:t xml:space="preserve">services. </w:t>
      </w:r>
      <w:r w:rsidR="66F062E8" w:rsidRPr="18629A85">
        <w:rPr>
          <w:lang w:val="en-US" w:eastAsia="en-AU"/>
        </w:rPr>
        <w:t xml:space="preserve">Organisations that invested in </w:t>
      </w:r>
      <w:r w:rsidR="24FD1AFF" w:rsidRPr="18629A85">
        <w:rPr>
          <w:lang w:val="en-US" w:eastAsia="en-AU"/>
        </w:rPr>
        <w:t xml:space="preserve">building those referral pathways had </w:t>
      </w:r>
      <w:r w:rsidR="7416F2B5" w:rsidRPr="18629A85">
        <w:rPr>
          <w:lang w:val="en-US" w:eastAsia="en-AU"/>
        </w:rPr>
        <w:t xml:space="preserve">significantly better </w:t>
      </w:r>
      <w:r w:rsidR="27895CD3" w:rsidRPr="18629A85">
        <w:rPr>
          <w:lang w:val="en-US" w:eastAsia="en-AU"/>
        </w:rPr>
        <w:t xml:space="preserve">self-reported </w:t>
      </w:r>
      <w:r w:rsidR="7416F2B5" w:rsidRPr="18629A85">
        <w:rPr>
          <w:lang w:val="en-US" w:eastAsia="en-AU"/>
        </w:rPr>
        <w:t>outcomes for their participants</w:t>
      </w:r>
      <w:r w:rsidR="328F18CD" w:rsidRPr="18629A85">
        <w:rPr>
          <w:lang w:val="en-US" w:eastAsia="en-AU"/>
        </w:rPr>
        <w:t xml:space="preserve">, and grant recipients identified </w:t>
      </w:r>
      <w:r w:rsidR="356D830D" w:rsidRPr="18629A85">
        <w:rPr>
          <w:lang w:val="en-US" w:eastAsia="en-AU"/>
        </w:rPr>
        <w:t>having built this referral pathway as a critical success factor in their AWPs</w:t>
      </w:r>
      <w:r w:rsidR="7416F2B5" w:rsidRPr="18629A85">
        <w:rPr>
          <w:lang w:val="en-US" w:eastAsia="en-AU"/>
        </w:rPr>
        <w:t xml:space="preserve">. For example, one grant recipient noted that </w:t>
      </w:r>
      <w:r w:rsidR="76D9509F" w:rsidRPr="18629A85">
        <w:rPr>
          <w:lang w:val="en-US" w:eastAsia="en-AU"/>
        </w:rPr>
        <w:t xml:space="preserve">they had partnered with a handful of local companies and were providing job training to unemployed </w:t>
      </w:r>
      <w:r w:rsidR="003C3F64">
        <w:rPr>
          <w:lang w:val="en-US" w:eastAsia="en-AU"/>
        </w:rPr>
        <w:t>participants</w:t>
      </w:r>
      <w:r w:rsidR="76D9509F" w:rsidRPr="18629A85">
        <w:rPr>
          <w:lang w:val="en-US" w:eastAsia="en-AU"/>
        </w:rPr>
        <w:t xml:space="preserve"> that was relevant to working at those partner companies. As a result, they had created a clear employment pathway for participants which was mutually beneficial to </w:t>
      </w:r>
      <w:r w:rsidR="41AD318F" w:rsidRPr="18629A85">
        <w:rPr>
          <w:lang w:val="en-US" w:eastAsia="en-AU"/>
        </w:rPr>
        <w:t>employee and employer</w:t>
      </w:r>
      <w:r w:rsidR="05EE1036" w:rsidRPr="18629A85">
        <w:rPr>
          <w:lang w:val="en-US" w:eastAsia="en-AU"/>
        </w:rPr>
        <w:t>.</w:t>
      </w:r>
      <w:r w:rsidR="67B25CB8" w:rsidRPr="18629A85">
        <w:rPr>
          <w:lang w:val="en-US" w:eastAsia="en-AU"/>
        </w:rPr>
        <w:t xml:space="preserve"> </w:t>
      </w:r>
    </w:p>
    <w:tbl>
      <w:tblPr>
        <w:tblStyle w:val="TableGrid"/>
        <w:tblW w:w="0" w:type="auto"/>
        <w:tblLook w:val="04A0" w:firstRow="1" w:lastRow="0" w:firstColumn="1" w:lastColumn="0" w:noHBand="0" w:noVBand="1"/>
      </w:tblPr>
      <w:tblGrid>
        <w:gridCol w:w="9175"/>
      </w:tblGrid>
      <w:tr w:rsidR="00F57784" w14:paraId="6BA74ECA" w14:textId="77777777" w:rsidTr="00F57784">
        <w:tc>
          <w:tcPr>
            <w:tcW w:w="9175" w:type="dxa"/>
            <w:tcBorders>
              <w:top w:val="nil"/>
              <w:left w:val="nil"/>
              <w:bottom w:val="nil"/>
              <w:right w:val="nil"/>
            </w:tcBorders>
            <w:shd w:val="clear" w:color="auto" w:fill="D9D9D9" w:themeFill="background1" w:themeFillShade="D9"/>
          </w:tcPr>
          <w:p w14:paraId="7DDC38DD" w14:textId="77777777" w:rsidR="00F57784" w:rsidRDefault="00F57784" w:rsidP="00F57784">
            <w:pPr>
              <w:tabs>
                <w:tab w:val="left" w:pos="1635"/>
                <w:tab w:val="center" w:pos="4479"/>
              </w:tabs>
              <w:spacing w:after="0"/>
              <w:rPr>
                <w:rFonts w:asciiTheme="majorHAnsi" w:hAnsiTheme="majorHAnsi" w:cstheme="majorBidi"/>
                <w:i/>
                <w:iCs/>
                <w:color w:val="00264D" w:themeColor="background2"/>
              </w:rPr>
            </w:pPr>
            <w:r>
              <w:rPr>
                <w:rFonts w:asciiTheme="majorHAnsi" w:hAnsiTheme="majorHAnsi" w:cstheme="majorBidi"/>
                <w:i/>
                <w:iCs/>
                <w:color w:val="00264D" w:themeColor="background2"/>
              </w:rPr>
              <w:tab/>
            </w:r>
          </w:p>
          <w:p w14:paraId="40F19BF5" w14:textId="1388B032" w:rsidR="00F57784" w:rsidRPr="008C340D" w:rsidRDefault="00F57784" w:rsidP="00F57784">
            <w:pPr>
              <w:tabs>
                <w:tab w:val="left" w:pos="1635"/>
                <w:tab w:val="center" w:pos="4479"/>
              </w:tabs>
              <w:spacing w:after="0"/>
              <w:rPr>
                <w:rFonts w:asciiTheme="majorHAnsi" w:hAnsiTheme="majorHAnsi" w:cstheme="majorBidi"/>
                <w:i/>
                <w:iCs/>
                <w:color w:val="00264D" w:themeColor="background2"/>
              </w:rPr>
            </w:pPr>
            <w:r>
              <w:rPr>
                <w:rFonts w:asciiTheme="majorHAnsi" w:hAnsiTheme="majorHAnsi" w:cstheme="majorBidi"/>
                <w:i/>
                <w:iCs/>
                <w:color w:val="00264D" w:themeColor="background2"/>
              </w:rPr>
              <w:tab/>
            </w:r>
            <w:r w:rsidRPr="00931731">
              <w:rPr>
                <w:rFonts w:asciiTheme="majorHAnsi" w:hAnsiTheme="majorHAnsi" w:cstheme="majorBidi"/>
                <w:i/>
                <w:iCs/>
                <w:color w:val="00264D" w:themeColor="background2"/>
              </w:rPr>
              <w:t>"Without established trust you can't move a project forward</w:t>
            </w:r>
            <w:r>
              <w:rPr>
                <w:rFonts w:asciiTheme="majorHAnsi" w:hAnsiTheme="majorHAnsi" w:cstheme="majorBidi"/>
                <w:i/>
                <w:iCs/>
                <w:color w:val="00264D" w:themeColor="background2"/>
              </w:rPr>
              <w:t>.</w:t>
            </w:r>
            <w:r w:rsidRPr="00931731">
              <w:rPr>
                <w:rFonts w:asciiTheme="majorHAnsi" w:hAnsiTheme="majorHAnsi" w:cstheme="majorBidi"/>
                <w:i/>
                <w:iCs/>
                <w:color w:val="00264D" w:themeColor="background2"/>
              </w:rPr>
              <w:t>"</w:t>
            </w:r>
          </w:p>
          <w:p w14:paraId="0199282F" w14:textId="77777777" w:rsidR="00F57784" w:rsidRDefault="00F57784" w:rsidP="00C5665C">
            <w:pPr>
              <w:rPr>
                <w:lang w:val="en-US" w:eastAsia="en-AU"/>
              </w:rPr>
            </w:pPr>
          </w:p>
        </w:tc>
      </w:tr>
    </w:tbl>
    <w:p w14:paraId="5A7F8FDA" w14:textId="0F62F919" w:rsidR="001A2758" w:rsidRDefault="009739BA" w:rsidP="001A2758">
      <w:pPr>
        <w:pStyle w:val="Heading5"/>
        <w:rPr>
          <w:lang w:val="en-US"/>
        </w:rPr>
      </w:pPr>
      <w:r>
        <w:rPr>
          <w:lang w:val="en-US"/>
        </w:rPr>
        <w:t xml:space="preserve">The right </w:t>
      </w:r>
      <w:r w:rsidR="00721DA0">
        <w:rPr>
          <w:lang w:val="en-US"/>
        </w:rPr>
        <w:t xml:space="preserve">program staff </w:t>
      </w:r>
      <w:r>
        <w:rPr>
          <w:lang w:val="en-US"/>
        </w:rPr>
        <w:t xml:space="preserve">was an important enabler; recruitment was </w:t>
      </w:r>
      <w:r w:rsidR="00D54D82">
        <w:rPr>
          <w:lang w:val="en-US"/>
        </w:rPr>
        <w:t xml:space="preserve">often </w:t>
      </w:r>
      <w:r>
        <w:rPr>
          <w:lang w:val="en-US"/>
        </w:rPr>
        <w:t>more difficult due to the short-term funding</w:t>
      </w:r>
      <w:r w:rsidR="001A2758">
        <w:rPr>
          <w:lang w:val="en-US"/>
        </w:rPr>
        <w:t xml:space="preserve"> </w:t>
      </w:r>
    </w:p>
    <w:p w14:paraId="79FB0296" w14:textId="0837C236" w:rsidR="002E5742" w:rsidRPr="00D83DDD" w:rsidRDefault="002E5742" w:rsidP="002E5742">
      <w:r>
        <w:rPr>
          <w:lang w:val="en-US" w:eastAsia="en-AU"/>
        </w:rPr>
        <w:t xml:space="preserve">Grant recipient AWP reporting consistently </w:t>
      </w:r>
      <w:r w:rsidR="008F1154">
        <w:rPr>
          <w:lang w:val="en-US" w:eastAsia="en-AU"/>
        </w:rPr>
        <w:t>(</w:t>
      </w:r>
      <w:r w:rsidR="00FD7280">
        <w:rPr>
          <w:lang w:val="en-US" w:eastAsia="en-AU"/>
        </w:rPr>
        <w:t>around</w:t>
      </w:r>
      <w:r w:rsidR="00B31C1A">
        <w:rPr>
          <w:lang w:val="en-US" w:eastAsia="en-AU"/>
        </w:rPr>
        <w:t xml:space="preserve"> 15</w:t>
      </w:r>
      <w:r w:rsidR="00FD7280">
        <w:rPr>
          <w:lang w:val="en-US"/>
        </w:rPr>
        <w:t xml:space="preserve"> per cent</w:t>
      </w:r>
      <w:r w:rsidR="008958E4">
        <w:rPr>
          <w:lang w:val="en-US"/>
        </w:rPr>
        <w:t xml:space="preserve">, n = </w:t>
      </w:r>
      <w:r w:rsidR="004D62A1">
        <w:rPr>
          <w:lang w:val="en-US"/>
        </w:rPr>
        <w:t>72</w:t>
      </w:r>
      <w:r w:rsidR="00B31C1A">
        <w:rPr>
          <w:lang w:val="en-US" w:eastAsia="en-AU"/>
        </w:rPr>
        <w:t>)</w:t>
      </w:r>
      <w:r>
        <w:rPr>
          <w:lang w:val="en-US" w:eastAsia="en-AU"/>
        </w:rPr>
        <w:t xml:space="preserve"> noted that highly capable staff who either brought lived experience, or were relatable to participants, was a key factor which supported </w:t>
      </w:r>
      <w:r w:rsidR="00020601">
        <w:rPr>
          <w:lang w:val="en-US" w:eastAsia="en-AU"/>
        </w:rPr>
        <w:t>ongoing</w:t>
      </w:r>
      <w:r>
        <w:rPr>
          <w:lang w:val="en-US" w:eastAsia="en-AU"/>
        </w:rPr>
        <w:t xml:space="preserve"> participation. </w:t>
      </w:r>
      <w:r w:rsidR="003C3F64">
        <w:rPr>
          <w:lang w:val="en-US" w:eastAsia="en-AU"/>
        </w:rPr>
        <w:t>Participants</w:t>
      </w:r>
      <w:r>
        <w:rPr>
          <w:lang w:val="en-US" w:eastAsia="en-AU"/>
        </w:rPr>
        <w:t xml:space="preserve"> echoed this sentiment, noting that it helped them feel safer to open up and seek support. </w:t>
      </w:r>
    </w:p>
    <w:p w14:paraId="3C674B44" w14:textId="77777777" w:rsidR="002071A3" w:rsidRDefault="00EC2150" w:rsidP="00996A81">
      <w:pPr>
        <w:rPr>
          <w:noProof/>
        </w:rPr>
      </w:pPr>
      <w:r>
        <w:rPr>
          <w:lang w:val="en-US"/>
        </w:rPr>
        <w:t>The short-term funding available through SARC</w:t>
      </w:r>
      <w:r w:rsidR="00A6649E">
        <w:rPr>
          <w:lang w:val="en-US"/>
        </w:rPr>
        <w:t xml:space="preserve"> – </w:t>
      </w:r>
      <w:r>
        <w:rPr>
          <w:lang w:val="en-US"/>
        </w:rPr>
        <w:t xml:space="preserve">IC </w:t>
      </w:r>
      <w:r w:rsidR="00AB69A9">
        <w:rPr>
          <w:lang w:val="en-US"/>
        </w:rPr>
        <w:t>made it more difficult</w:t>
      </w:r>
      <w:r>
        <w:rPr>
          <w:lang w:val="en-US"/>
        </w:rPr>
        <w:t xml:space="preserve"> for g</w:t>
      </w:r>
      <w:r w:rsidR="00474D82">
        <w:rPr>
          <w:lang w:val="en-US"/>
        </w:rPr>
        <w:t>rant</w:t>
      </w:r>
      <w:r w:rsidR="00702611">
        <w:rPr>
          <w:lang w:val="en-US"/>
        </w:rPr>
        <w:t xml:space="preserve"> recipients </w:t>
      </w:r>
      <w:r w:rsidR="00AB69A9">
        <w:rPr>
          <w:lang w:val="en-US"/>
        </w:rPr>
        <w:t xml:space="preserve">to recruit and onboard appropriately qualified staff when </w:t>
      </w:r>
      <w:r w:rsidR="00411BFC">
        <w:rPr>
          <w:lang w:val="en-US"/>
        </w:rPr>
        <w:t>establishing a program in</w:t>
      </w:r>
      <w:r w:rsidR="00702611">
        <w:rPr>
          <w:lang w:val="en-US"/>
        </w:rPr>
        <w:t xml:space="preserve"> a new community.</w:t>
      </w:r>
      <w:r w:rsidR="005F42E4">
        <w:rPr>
          <w:lang w:val="en-US"/>
        </w:rPr>
        <w:t xml:space="preserve"> </w:t>
      </w:r>
      <w:r w:rsidR="0088204A">
        <w:rPr>
          <w:lang w:val="en-US"/>
        </w:rPr>
        <w:t>S</w:t>
      </w:r>
      <w:r w:rsidR="00284F64">
        <w:rPr>
          <w:lang w:val="en-US"/>
        </w:rPr>
        <w:t>ome</w:t>
      </w:r>
      <w:r w:rsidR="00411BFC">
        <w:rPr>
          <w:lang w:val="en-US"/>
        </w:rPr>
        <w:t xml:space="preserve"> grant recipients </w:t>
      </w:r>
      <w:r w:rsidR="00B31C1A">
        <w:rPr>
          <w:lang w:val="en-US"/>
        </w:rPr>
        <w:t>(approx</w:t>
      </w:r>
      <w:r w:rsidR="00FD7280">
        <w:rPr>
          <w:lang w:val="en-US"/>
        </w:rPr>
        <w:t>imately</w:t>
      </w:r>
      <w:r w:rsidR="00B31C1A">
        <w:rPr>
          <w:lang w:val="en-US"/>
        </w:rPr>
        <w:t xml:space="preserve"> 5</w:t>
      </w:r>
      <w:r w:rsidR="00FD7280">
        <w:rPr>
          <w:lang w:val="en-US"/>
        </w:rPr>
        <w:t xml:space="preserve"> per cent</w:t>
      </w:r>
      <w:r w:rsidR="00105CA6">
        <w:rPr>
          <w:lang w:val="en-US"/>
        </w:rPr>
        <w:t xml:space="preserve">, n = </w:t>
      </w:r>
      <w:r w:rsidR="005C63A1">
        <w:rPr>
          <w:lang w:val="en-US"/>
        </w:rPr>
        <w:t>72</w:t>
      </w:r>
      <w:r w:rsidR="00B31C1A">
        <w:rPr>
          <w:lang w:val="en-US"/>
        </w:rPr>
        <w:t xml:space="preserve">) </w:t>
      </w:r>
      <w:r w:rsidR="00284F64">
        <w:rPr>
          <w:lang w:val="en-US"/>
        </w:rPr>
        <w:t>report</w:t>
      </w:r>
      <w:r w:rsidR="0088204A">
        <w:rPr>
          <w:lang w:val="en-US"/>
        </w:rPr>
        <w:t>ed</w:t>
      </w:r>
      <w:r w:rsidR="00411BFC">
        <w:rPr>
          <w:lang w:val="en-US"/>
        </w:rPr>
        <w:t xml:space="preserve"> in their AWPs that they struggled to get the workforce they needed </w:t>
      </w:r>
      <w:r w:rsidR="00411BFC" w:rsidRPr="00E76E59">
        <w:rPr>
          <w:lang w:val="en-US"/>
        </w:rPr>
        <w:t>because organisations were only able to offer short-term contracts</w:t>
      </w:r>
      <w:r w:rsidR="00411BFC">
        <w:rPr>
          <w:lang w:val="en-US"/>
        </w:rPr>
        <w:t>.</w:t>
      </w:r>
      <w:r w:rsidR="00702611">
        <w:rPr>
          <w:lang w:val="en-US"/>
        </w:rPr>
        <w:t xml:space="preserve"> This was especially the case for rural and remote locations already facing workforce shortages</w:t>
      </w:r>
      <w:r w:rsidR="00E76E59" w:rsidRPr="00E76E59">
        <w:rPr>
          <w:lang w:val="en-US"/>
        </w:rPr>
        <w:t>.</w:t>
      </w:r>
      <w:r w:rsidR="002071A3" w:rsidRPr="002071A3">
        <w:rPr>
          <w:noProof/>
        </w:rPr>
        <w:t xml:space="preserve"> </w:t>
      </w:r>
    </w:p>
    <w:tbl>
      <w:tblPr>
        <w:tblStyle w:val="TableGrid"/>
        <w:tblW w:w="0" w:type="auto"/>
        <w:tblLook w:val="04A0" w:firstRow="1" w:lastRow="0" w:firstColumn="1" w:lastColumn="0" w:noHBand="0" w:noVBand="1"/>
      </w:tblPr>
      <w:tblGrid>
        <w:gridCol w:w="9175"/>
      </w:tblGrid>
      <w:tr w:rsidR="00F57784" w14:paraId="0A7F1271" w14:textId="77777777" w:rsidTr="00F57784">
        <w:tc>
          <w:tcPr>
            <w:tcW w:w="9175" w:type="dxa"/>
            <w:tcBorders>
              <w:top w:val="nil"/>
              <w:left w:val="nil"/>
              <w:bottom w:val="nil"/>
              <w:right w:val="nil"/>
            </w:tcBorders>
            <w:shd w:val="clear" w:color="auto" w:fill="D9D9D9" w:themeFill="background1" w:themeFillShade="D9"/>
          </w:tcPr>
          <w:p w14:paraId="4B2D3A68" w14:textId="77777777" w:rsidR="00F57784" w:rsidRDefault="00F57784" w:rsidP="00F57784">
            <w:pPr>
              <w:spacing w:after="0"/>
              <w:jc w:val="center"/>
              <w:rPr>
                <w:rFonts w:asciiTheme="majorHAnsi" w:hAnsiTheme="majorHAnsi" w:cstheme="majorBidi"/>
                <w:i/>
                <w:iCs/>
                <w:color w:val="00264D" w:themeColor="background2"/>
              </w:rPr>
            </w:pPr>
          </w:p>
          <w:p w14:paraId="4A068273" w14:textId="146D9657" w:rsidR="00F57784" w:rsidRPr="008C340D" w:rsidRDefault="00F57784" w:rsidP="00F57784">
            <w:pPr>
              <w:spacing w:after="0"/>
              <w:jc w:val="center"/>
              <w:rPr>
                <w:rFonts w:asciiTheme="majorHAnsi" w:hAnsiTheme="majorHAnsi" w:cstheme="majorBidi"/>
                <w:i/>
                <w:iCs/>
                <w:color w:val="00264D" w:themeColor="background2"/>
              </w:rPr>
            </w:pPr>
            <w:r w:rsidRPr="00931731">
              <w:rPr>
                <w:rFonts w:asciiTheme="majorHAnsi" w:hAnsiTheme="majorHAnsi" w:cstheme="majorBidi"/>
                <w:i/>
                <w:iCs/>
                <w:color w:val="00264D" w:themeColor="background2"/>
              </w:rPr>
              <w:t>"To have someone to relate to who knows what it is like is amazing</w:t>
            </w:r>
            <w:r>
              <w:rPr>
                <w:rFonts w:asciiTheme="majorHAnsi" w:hAnsiTheme="majorHAnsi" w:cstheme="majorBidi"/>
                <w:i/>
                <w:iCs/>
                <w:color w:val="00264D" w:themeColor="background2"/>
              </w:rPr>
              <w:t>.</w:t>
            </w:r>
            <w:r w:rsidRPr="00931731">
              <w:rPr>
                <w:rFonts w:asciiTheme="majorHAnsi" w:hAnsiTheme="majorHAnsi" w:cstheme="majorBidi"/>
                <w:i/>
                <w:iCs/>
                <w:color w:val="00264D" w:themeColor="background2"/>
              </w:rPr>
              <w:t>"</w:t>
            </w:r>
          </w:p>
          <w:p w14:paraId="67217B2B" w14:textId="77777777" w:rsidR="00F57784" w:rsidRDefault="00F57784" w:rsidP="00996A81">
            <w:pPr>
              <w:rPr>
                <w:noProof/>
              </w:rPr>
            </w:pPr>
          </w:p>
        </w:tc>
      </w:tr>
    </w:tbl>
    <w:p w14:paraId="2DD72F93" w14:textId="3E575AE3" w:rsidR="003E7E85" w:rsidRDefault="00DB621A" w:rsidP="003E7E85">
      <w:pPr>
        <w:pStyle w:val="Heading3"/>
        <w:rPr>
          <w:lang w:val="en-US"/>
        </w:rPr>
      </w:pPr>
      <w:bookmarkStart w:id="48" w:name="_Toc240883561"/>
      <w:r>
        <w:rPr>
          <w:lang w:val="en-US"/>
        </w:rPr>
        <w:t>Challenges</w:t>
      </w:r>
      <w:r w:rsidR="00671535">
        <w:rPr>
          <w:lang w:val="en-US"/>
        </w:rPr>
        <w:t xml:space="preserve"> </w:t>
      </w:r>
      <w:r w:rsidR="00AC2CEC">
        <w:rPr>
          <w:lang w:val="en-US"/>
        </w:rPr>
        <w:t>with</w:t>
      </w:r>
      <w:r w:rsidR="00671535">
        <w:rPr>
          <w:lang w:val="en-US"/>
        </w:rPr>
        <w:t xml:space="preserve"> DEX</w:t>
      </w:r>
      <w:r w:rsidR="00267354">
        <w:rPr>
          <w:lang w:val="en-US"/>
        </w:rPr>
        <w:t xml:space="preserve"> resulted in </w:t>
      </w:r>
      <w:r w:rsidR="00836D2D">
        <w:rPr>
          <w:lang w:val="en-US"/>
        </w:rPr>
        <w:t xml:space="preserve">limited </w:t>
      </w:r>
      <w:r w:rsidR="00BD2CEB">
        <w:rPr>
          <w:lang w:val="en-US"/>
        </w:rPr>
        <w:t xml:space="preserve">standardised </w:t>
      </w:r>
      <w:r w:rsidR="00836D2D">
        <w:rPr>
          <w:lang w:val="en-US"/>
        </w:rPr>
        <w:t xml:space="preserve">reporting on </w:t>
      </w:r>
      <w:r w:rsidR="00267354">
        <w:rPr>
          <w:lang w:val="en-US"/>
        </w:rPr>
        <w:t>outcomes</w:t>
      </w:r>
      <w:bookmarkEnd w:id="48"/>
      <w:r w:rsidR="00075547" w:rsidRPr="00075547">
        <w:rPr>
          <w:lang w:val="en-US"/>
        </w:rPr>
        <w:t xml:space="preserve"> </w:t>
      </w:r>
    </w:p>
    <w:p w14:paraId="531D1A1C" w14:textId="002B483F" w:rsidR="008137C6" w:rsidRDefault="00C019E0" w:rsidP="001C2BCC">
      <w:pPr>
        <w:pStyle w:val="Heading5"/>
      </w:pPr>
      <w:r>
        <w:t>D</w:t>
      </w:r>
      <w:r w:rsidR="00B75A3E">
        <w:t xml:space="preserve">ifficulties using DEX </w:t>
      </w:r>
      <w:r w:rsidR="00CB0661">
        <w:t>resulted in low reporting rates</w:t>
      </w:r>
      <w:r>
        <w:t xml:space="preserve"> on outcomes data</w:t>
      </w:r>
    </w:p>
    <w:p w14:paraId="06CF0976" w14:textId="478C7A2B" w:rsidR="00361BC3" w:rsidRDefault="00361BC3" w:rsidP="00C940A2">
      <w:r>
        <w:t>One of the</w:t>
      </w:r>
      <w:r w:rsidR="003236E9">
        <w:t xml:space="preserve"> refinements made to SARC</w:t>
      </w:r>
      <w:r w:rsidR="00810E80">
        <w:t xml:space="preserve"> – </w:t>
      </w:r>
      <w:r w:rsidR="003236E9">
        <w:t xml:space="preserve">IC </w:t>
      </w:r>
      <w:r w:rsidR="00B073E6">
        <w:t xml:space="preserve">in its most recent iteration (since 2022) was introducing an increased DEX reporting threshold as part of the grant agreement. </w:t>
      </w:r>
      <w:r w:rsidR="00882F05">
        <w:t>Grant recipients were required to provide at least one pre and post</w:t>
      </w:r>
      <w:r w:rsidR="00FB3CF8">
        <w:t xml:space="preserve"> </w:t>
      </w:r>
      <w:r w:rsidR="00882F05">
        <w:t>SCORE for at least 80</w:t>
      </w:r>
      <w:r w:rsidR="00FD7280">
        <w:t xml:space="preserve"> </w:t>
      </w:r>
      <w:r w:rsidR="00FD7280" w:rsidRPr="4AF1E856">
        <w:rPr>
          <w:lang w:val="en-US"/>
        </w:rPr>
        <w:t>per cent</w:t>
      </w:r>
      <w:r w:rsidR="00882F05">
        <w:t xml:space="preserve"> of their </w:t>
      </w:r>
      <w:r w:rsidR="003C3F64">
        <w:t>participants</w:t>
      </w:r>
      <w:r w:rsidR="00882F05">
        <w:t xml:space="preserve">. This requirement was introduced as the previous evaluation </w:t>
      </w:r>
      <w:r w:rsidR="00DA287E">
        <w:t xml:space="preserve">found the limited data meant it was difficult to </w:t>
      </w:r>
      <w:r w:rsidR="00731F62">
        <w:t xml:space="preserve">come to any findings on long-term impact and cost-effectiveness. Despite this change in requirements, </w:t>
      </w:r>
      <w:r w:rsidR="00F75DF2">
        <w:t xml:space="preserve">around </w:t>
      </w:r>
      <w:r w:rsidR="001579A6">
        <w:t>15</w:t>
      </w:r>
      <w:r w:rsidR="00FD7280" w:rsidRPr="4AF1E856">
        <w:rPr>
          <w:lang w:val="en-US"/>
        </w:rPr>
        <w:t xml:space="preserve"> per cent</w:t>
      </w:r>
      <w:r w:rsidR="00731F62">
        <w:t xml:space="preserve"> </w:t>
      </w:r>
      <w:r w:rsidR="00D30E05">
        <w:t xml:space="preserve">(n = 9,902) </w:t>
      </w:r>
      <w:r w:rsidR="00731F62">
        <w:t xml:space="preserve">of </w:t>
      </w:r>
      <w:r w:rsidR="003C3F64">
        <w:t>participants</w:t>
      </w:r>
      <w:r w:rsidR="00731F62">
        <w:t xml:space="preserve"> </w:t>
      </w:r>
      <w:r w:rsidR="00D30E05">
        <w:t xml:space="preserve">with an attendance record </w:t>
      </w:r>
      <w:r w:rsidR="00731F62">
        <w:t>have both a pre and a post</w:t>
      </w:r>
      <w:r w:rsidR="00860DF2">
        <w:t xml:space="preserve"> </w:t>
      </w:r>
      <w:r w:rsidR="00731F62">
        <w:t>SCORE recorded. In 2022, the Department revised the DEX reporting requirements but the low adherence rates suggests these changes were not effective.</w:t>
      </w:r>
    </w:p>
    <w:p w14:paraId="39ABE5B4" w14:textId="38D0FF3F" w:rsidR="00C940A2" w:rsidRPr="007C63A9" w:rsidRDefault="00764BF5" w:rsidP="00731F62">
      <w:r>
        <w:t xml:space="preserve">The vast majority of grant recipients </w:t>
      </w:r>
      <w:r w:rsidR="00B32464">
        <w:t xml:space="preserve">struggled to </w:t>
      </w:r>
      <w:r w:rsidR="002A0967">
        <w:t xml:space="preserve">meet DEX data </w:t>
      </w:r>
      <w:r w:rsidR="002A0967" w:rsidRPr="000B03B2">
        <w:t>requirements</w:t>
      </w:r>
      <w:r w:rsidR="00237901" w:rsidRPr="000B03B2">
        <w:t xml:space="preserve"> </w:t>
      </w:r>
      <w:r w:rsidR="00B31429" w:rsidRPr="000B03B2">
        <w:t xml:space="preserve">and </w:t>
      </w:r>
      <w:r w:rsidR="002079AE" w:rsidRPr="000B03B2">
        <w:t>50</w:t>
      </w:r>
      <w:r w:rsidR="00FD7280">
        <w:rPr>
          <w:lang w:val="en-US"/>
        </w:rPr>
        <w:t xml:space="preserve"> per cent</w:t>
      </w:r>
      <w:r w:rsidR="00F90A52" w:rsidRPr="000B03B2">
        <w:t xml:space="preserve"> </w:t>
      </w:r>
      <w:r w:rsidR="00B31C1A">
        <w:t xml:space="preserve">of grant recipient </w:t>
      </w:r>
      <w:r w:rsidR="00E91F17">
        <w:t xml:space="preserve">(n = 51) </w:t>
      </w:r>
      <w:r w:rsidR="00B31C1A">
        <w:t xml:space="preserve">survey respondents </w:t>
      </w:r>
      <w:r w:rsidR="00F90A52" w:rsidRPr="000B03B2">
        <w:t xml:space="preserve">strongly disagreed or disagreed that </w:t>
      </w:r>
      <w:r w:rsidR="00237901" w:rsidRPr="000B03B2">
        <w:t>it was easy to meet data collection requirements on DEX.</w:t>
      </w:r>
      <w:r w:rsidR="008B6205" w:rsidRPr="000B03B2">
        <w:t xml:space="preserve"> This has</w:t>
      </w:r>
      <w:r w:rsidR="007A6E57" w:rsidRPr="000B03B2">
        <w:t xml:space="preserve"> directly impacted the quantity and quality of user outcomes data collected. </w:t>
      </w:r>
      <w:r w:rsidR="00247EE3" w:rsidRPr="000B03B2">
        <w:t xml:space="preserve">Grant recipients </w:t>
      </w:r>
      <w:r w:rsidR="008B4914" w:rsidRPr="000B03B2">
        <w:t>who engaged in the evaluation identified DEX reporting as the most difficult and time</w:t>
      </w:r>
      <w:r w:rsidR="00B503D1" w:rsidRPr="000B03B2">
        <w:t>-</w:t>
      </w:r>
      <w:r w:rsidR="008B4914" w:rsidRPr="000B03B2">
        <w:t>consuming part of the delivery</w:t>
      </w:r>
      <w:r w:rsidR="00731F62">
        <w:t>.</w:t>
      </w:r>
    </w:p>
    <w:p w14:paraId="2CFB91D2" w14:textId="759A0B9D" w:rsidR="00B852C2" w:rsidRDefault="005765C8" w:rsidP="007C63A9">
      <w:r>
        <w:t>A key issue</w:t>
      </w:r>
      <w:r w:rsidR="00B852C2">
        <w:t xml:space="preserve"> that grant recipients experienced was navigating the system. Whilst training was made available, many recipients noted in interviews that it was not sufficient to help them use the system and that they needed additional support from their FAM or the DEX helpdesk. As a result, many grant recipients invested </w:t>
      </w:r>
      <w:r w:rsidR="00B852C2">
        <w:lastRenderedPageBreak/>
        <w:t xml:space="preserve">large amounts of time trying to work out how to use the system to meet their reporting requirements and sometimes needed to enter data multiple times. </w:t>
      </w:r>
      <w:r w:rsidR="0051369B">
        <w:t xml:space="preserve">Some grant recipients also struggled to take their DEX data off the system once they had input it, </w:t>
      </w:r>
      <w:r w:rsidR="00CD1B58">
        <w:t>which means the</w:t>
      </w:r>
      <w:r w:rsidR="00592E17">
        <w:t>y</w:t>
      </w:r>
      <w:r w:rsidR="00CD1B58">
        <w:t xml:space="preserve"> </w:t>
      </w:r>
      <w:r w:rsidR="00074EC7" w:rsidRPr="00C42BBF">
        <w:rPr>
          <w:i/>
        </w:rPr>
        <w:t>‘can’t use DEX data as proven impact to use in future applications</w:t>
      </w:r>
      <w:r w:rsidR="00877D2E" w:rsidRPr="00C42BBF">
        <w:rPr>
          <w:i/>
        </w:rPr>
        <w:t>.</w:t>
      </w:r>
      <w:r w:rsidR="00074EC7" w:rsidRPr="00C42BBF">
        <w:rPr>
          <w:i/>
        </w:rPr>
        <w:t>’</w:t>
      </w:r>
      <w:r w:rsidR="00877D2E">
        <w:t xml:space="preserve"> </w:t>
      </w:r>
      <w:r w:rsidR="00B852C2">
        <w:t xml:space="preserve">It also meant they were less confident they were entering data correctly, which may have flow on effects to the quality of outcomes data at a program level. </w:t>
      </w:r>
    </w:p>
    <w:p w14:paraId="3D42B8FC" w14:textId="4B4E4E6A" w:rsidR="00D273C9" w:rsidRDefault="003F5EA2" w:rsidP="00D273C9">
      <w:pPr>
        <w:pStyle w:val="Heading5"/>
      </w:pPr>
      <w:r>
        <w:t xml:space="preserve">The structure of DEX reporting </w:t>
      </w:r>
      <w:r w:rsidR="00645AAE">
        <w:t>meant grant recipients struggled to communicate the outcomes of their program</w:t>
      </w:r>
    </w:p>
    <w:p w14:paraId="6F0B0EAB" w14:textId="266E7E9C" w:rsidR="00D273C9" w:rsidRDefault="00A22F86" w:rsidP="00D273C9">
      <w:r>
        <w:t>Many</w:t>
      </w:r>
      <w:r w:rsidR="00D273C9">
        <w:t xml:space="preserve"> grant recipients found that the data reporting fields within DEX were not fit for purpose, and as a result did not allow them to fully demonstrate the outcomes of their </w:t>
      </w:r>
      <w:r w:rsidR="008C3EE6">
        <w:t>project</w:t>
      </w:r>
      <w:r w:rsidR="00D273C9">
        <w:t xml:space="preserve">. Whilst many recipients would have liked the entry process to be simpler, </w:t>
      </w:r>
      <w:r w:rsidR="00E26A02">
        <w:t>their fundamental issue with DEX was that</w:t>
      </w:r>
      <w:r w:rsidR="0012365F">
        <w:t xml:space="preserve"> it did not allow them to paint the full picture of the impact the pro</w:t>
      </w:r>
      <w:r w:rsidR="008C3EE6">
        <w:t>ject</w:t>
      </w:r>
      <w:r w:rsidR="0012365F">
        <w:t xml:space="preserve"> had on the lives of participants. </w:t>
      </w:r>
      <w:r w:rsidR="006A35C5">
        <w:t xml:space="preserve"> </w:t>
      </w:r>
    </w:p>
    <w:p w14:paraId="3FC852F6" w14:textId="77777777" w:rsidR="002071A3" w:rsidRDefault="00FE1080" w:rsidP="00D273C9">
      <w:pPr>
        <w:rPr>
          <w:noProof/>
        </w:rPr>
      </w:pPr>
      <w:r>
        <w:t>Interviews with grant recipients suggest that</w:t>
      </w:r>
      <w:r w:rsidR="4707FCA8">
        <w:t xml:space="preserve"> the reporting fields </w:t>
      </w:r>
      <w:r w:rsidR="00C2005B">
        <w:t>in DEX are</w:t>
      </w:r>
      <w:r w:rsidR="4707FCA8">
        <w:t xml:space="preserve"> inappropriate </w:t>
      </w:r>
      <w:r w:rsidR="00C2005B">
        <w:t>for the type of activity they were funded to deliver, because</w:t>
      </w:r>
      <w:r w:rsidR="7FC0AEE8">
        <w:t xml:space="preserve"> </w:t>
      </w:r>
      <w:r w:rsidR="4707FCA8">
        <w:t xml:space="preserve">outcomes they were delivering did not neatly fit into the categories available on DEX, </w:t>
      </w:r>
      <w:r w:rsidR="7FC0AEE8">
        <w:t xml:space="preserve">and </w:t>
      </w:r>
      <w:r w:rsidR="4707FCA8">
        <w:t xml:space="preserve">the demographic options </w:t>
      </w:r>
      <w:r w:rsidR="0C4F8E9A">
        <w:t xml:space="preserve">that </w:t>
      </w:r>
      <w:r w:rsidR="093DB4B2">
        <w:t xml:space="preserve">were </w:t>
      </w:r>
      <w:r w:rsidR="4707FCA8">
        <w:t>available did not reflect their cohort (for example, multiple grant recipients noted that neurodivergence could not properly be captured through the system</w:t>
      </w:r>
      <w:r w:rsidR="00FD4AAD">
        <w:t>, nor could broader outcomes like increased confidence, empowerment and facilitator skill growth</w:t>
      </w:r>
      <w:r w:rsidR="4707FCA8">
        <w:t xml:space="preserve">). </w:t>
      </w:r>
      <w:r w:rsidR="0B1DCDEB">
        <w:t xml:space="preserve">More broadly, some </w:t>
      </w:r>
      <w:r w:rsidR="3803E05E">
        <w:t>grant recipients felt that</w:t>
      </w:r>
      <w:r w:rsidR="6ADAEE3E">
        <w:t xml:space="preserve"> the outcomes reporting was not appropriate for vulnerable cohort</w:t>
      </w:r>
      <w:r w:rsidR="7988383D">
        <w:t>s where their standard practice was to minimise the amount of sensitive information collected.</w:t>
      </w:r>
      <w:r w:rsidR="004A078D">
        <w:t xml:space="preserve"> This was especially the case for grant recipients providing a service for women and for young people.</w:t>
      </w:r>
      <w:r w:rsidR="3803E05E">
        <w:t xml:space="preserve"> Grant recipients found</w:t>
      </w:r>
      <w:r w:rsidR="59E153B8">
        <w:t xml:space="preserve"> these reporting limitations frustrating because their reporting did not fully </w:t>
      </w:r>
      <w:r w:rsidR="6FE00A10">
        <w:t>reflect the impact the pro</w:t>
      </w:r>
      <w:r w:rsidR="008C3EE6">
        <w:t>ject</w:t>
      </w:r>
      <w:r w:rsidR="6FE00A10">
        <w:t xml:space="preserve"> was having on clients</w:t>
      </w:r>
      <w:r w:rsidR="55F37F3B">
        <w:t>.</w:t>
      </w:r>
      <w:r w:rsidR="002071A3" w:rsidRPr="002071A3">
        <w:rPr>
          <w:noProof/>
        </w:rPr>
        <w:t xml:space="preserve"> </w:t>
      </w:r>
    </w:p>
    <w:p w14:paraId="4A524C0F" w14:textId="77777777" w:rsidR="009270B4" w:rsidRPr="009270B4" w:rsidRDefault="009270B4" w:rsidP="00D273C9">
      <w:pPr>
        <w:rPr>
          <w:noProof/>
          <w:sz w:val="14"/>
          <w:szCs w:val="14"/>
        </w:rPr>
      </w:pPr>
    </w:p>
    <w:tbl>
      <w:tblPr>
        <w:tblStyle w:val="TableGrid"/>
        <w:tblW w:w="0" w:type="auto"/>
        <w:tblLook w:val="04A0" w:firstRow="1" w:lastRow="0" w:firstColumn="1" w:lastColumn="0" w:noHBand="0" w:noVBand="1"/>
      </w:tblPr>
      <w:tblGrid>
        <w:gridCol w:w="9175"/>
      </w:tblGrid>
      <w:tr w:rsidR="00F57784" w14:paraId="263AA4F8" w14:textId="77777777" w:rsidTr="00F57784">
        <w:tc>
          <w:tcPr>
            <w:tcW w:w="9175" w:type="dxa"/>
            <w:tcBorders>
              <w:top w:val="nil"/>
              <w:left w:val="nil"/>
              <w:bottom w:val="nil"/>
              <w:right w:val="nil"/>
            </w:tcBorders>
            <w:shd w:val="clear" w:color="auto" w:fill="D9D9D9" w:themeFill="background1" w:themeFillShade="D9"/>
          </w:tcPr>
          <w:p w14:paraId="415BAA26" w14:textId="77777777" w:rsidR="00F57784" w:rsidRDefault="00F57784" w:rsidP="00F57784">
            <w:pPr>
              <w:spacing w:after="0"/>
              <w:jc w:val="center"/>
              <w:rPr>
                <w:rFonts w:asciiTheme="majorHAnsi" w:hAnsiTheme="majorHAnsi" w:cstheme="majorBidi"/>
                <w:i/>
                <w:iCs/>
                <w:color w:val="00264D" w:themeColor="background2"/>
              </w:rPr>
            </w:pPr>
          </w:p>
          <w:p w14:paraId="1829FBE3" w14:textId="62CBD949" w:rsidR="00F57784" w:rsidRPr="008C340D" w:rsidRDefault="00F57784" w:rsidP="00F57784">
            <w:pPr>
              <w:spacing w:after="0"/>
              <w:jc w:val="center"/>
              <w:rPr>
                <w:rFonts w:asciiTheme="majorHAnsi" w:hAnsiTheme="majorHAnsi" w:cstheme="majorBidi"/>
                <w:i/>
                <w:iCs/>
                <w:color w:val="00264D" w:themeColor="background2"/>
              </w:rPr>
            </w:pPr>
            <w:r w:rsidRPr="00931731">
              <w:rPr>
                <w:rFonts w:asciiTheme="majorHAnsi" w:hAnsiTheme="majorHAnsi" w:cstheme="majorBidi"/>
                <w:i/>
                <w:iCs/>
                <w:color w:val="00264D" w:themeColor="background2"/>
              </w:rPr>
              <w:t>"SCORE reporting was not appropriate or accessible for vulnerable target user groups</w:t>
            </w:r>
            <w:r>
              <w:rPr>
                <w:rFonts w:asciiTheme="majorHAnsi" w:hAnsiTheme="majorHAnsi" w:cstheme="majorBidi"/>
                <w:i/>
                <w:iCs/>
                <w:color w:val="00264D" w:themeColor="background2"/>
              </w:rPr>
              <w:t>.</w:t>
            </w:r>
            <w:r w:rsidRPr="00931731">
              <w:rPr>
                <w:rFonts w:asciiTheme="majorHAnsi" w:hAnsiTheme="majorHAnsi" w:cstheme="majorBidi"/>
                <w:i/>
                <w:iCs/>
                <w:color w:val="00264D" w:themeColor="background2"/>
              </w:rPr>
              <w:t>"</w:t>
            </w:r>
          </w:p>
          <w:p w14:paraId="6815C530" w14:textId="77777777" w:rsidR="00F57784" w:rsidRDefault="00F57784" w:rsidP="00D273C9">
            <w:pPr>
              <w:rPr>
                <w:noProof/>
              </w:rPr>
            </w:pPr>
          </w:p>
        </w:tc>
      </w:tr>
    </w:tbl>
    <w:p w14:paraId="0A574F2A" w14:textId="77777777" w:rsidR="009270B4" w:rsidRPr="009270B4" w:rsidRDefault="009270B4" w:rsidP="007C63A9">
      <w:pPr>
        <w:rPr>
          <w:sz w:val="14"/>
          <w:szCs w:val="14"/>
        </w:rPr>
      </w:pPr>
    </w:p>
    <w:p w14:paraId="1FF0AC34" w14:textId="499F9656" w:rsidR="00D273C9" w:rsidRDefault="00D273C9" w:rsidP="007C63A9">
      <w:r>
        <w:t>Grant respondents dealt with this situation in different ways; some reached out to FAMs for clarification</w:t>
      </w:r>
      <w:r w:rsidR="006D5EE3">
        <w:t xml:space="preserve"> about how to approach vague fields</w:t>
      </w:r>
      <w:r>
        <w:t>, others used the closest relevant field and then used their own system to collect data that met their own requirements</w:t>
      </w:r>
      <w:r w:rsidR="00571658">
        <w:t xml:space="preserve"> resulting in wasted time for duplicate data handling</w:t>
      </w:r>
      <w:r w:rsidR="00881196">
        <w:t xml:space="preserve">. Some recipients </w:t>
      </w:r>
      <w:r>
        <w:t>admitt</w:t>
      </w:r>
      <w:r w:rsidR="00881196">
        <w:t>ed</w:t>
      </w:r>
      <w:r>
        <w:t xml:space="preserve"> the data they entered into DEX was unlikely to be usable or meaningful. </w:t>
      </w:r>
      <w:r w:rsidR="006D5EE3">
        <w:t xml:space="preserve">This is likely to have </w:t>
      </w:r>
      <w:r w:rsidR="006643F5">
        <w:t>significantly</w:t>
      </w:r>
      <w:r w:rsidR="006D5EE3">
        <w:t xml:space="preserve"> impacted the </w:t>
      </w:r>
      <w:r w:rsidR="00EF52D4">
        <w:t xml:space="preserve">reliability of </w:t>
      </w:r>
      <w:r w:rsidR="005765C8">
        <w:t xml:space="preserve">outcomes data across the </w:t>
      </w:r>
      <w:r w:rsidR="008C3EE6">
        <w:t>Activity</w:t>
      </w:r>
      <w:r w:rsidR="005765C8">
        <w:t>.</w:t>
      </w:r>
      <w:r w:rsidR="0010563B">
        <w:t xml:space="preserve"> </w:t>
      </w:r>
    </w:p>
    <w:p w14:paraId="7126A8A8" w14:textId="77777777" w:rsidR="00A74DCA" w:rsidRPr="00A74DCA" w:rsidRDefault="003E7E85" w:rsidP="00A74DCA">
      <w:pPr>
        <w:pStyle w:val="Heading5"/>
      </w:pPr>
      <w:r>
        <w:t xml:space="preserve">Most grant recipients thought the AWPs were useful for tracking progress and reporting outcomes through case studies </w:t>
      </w:r>
    </w:p>
    <w:p w14:paraId="7E8E765D" w14:textId="4CB71DF4" w:rsidR="00A74DCA" w:rsidRDefault="007C63A9" w:rsidP="00A74DCA">
      <w:r>
        <w:t>Grant recipients valued being able to demonstrate</w:t>
      </w:r>
      <w:r w:rsidR="00A74DCA">
        <w:t xml:space="preserve"> the nuance of their pro</w:t>
      </w:r>
      <w:r w:rsidR="008C3EE6">
        <w:t>ject</w:t>
      </w:r>
      <w:r w:rsidR="00A74DCA">
        <w:t xml:space="preserve"> and its outcomes through Activity Work Plans (AWPs)</w:t>
      </w:r>
      <w:r w:rsidR="002540C6">
        <w:t xml:space="preserve"> and generally found them simple to complete. </w:t>
      </w:r>
      <w:r w:rsidR="00713A4D">
        <w:t xml:space="preserve">The structure of the AWP, which allowed </w:t>
      </w:r>
      <w:r w:rsidR="00153A32">
        <w:t xml:space="preserve">grant recipients to provide case studies and report their progress against their specific intended outcomes and activities, was flexible enough </w:t>
      </w:r>
      <w:r w:rsidR="00E01317">
        <w:t>to accurately reflect their pro</w:t>
      </w:r>
      <w:r w:rsidR="008C3EE6">
        <w:t>ject</w:t>
      </w:r>
      <w:r w:rsidR="00E01317">
        <w:t>. The short-term nature, and quick reporting turnaround, of the grant also meant that many grant recipients found individual case studies were the most effective way of demonstrating the impact of their pro</w:t>
      </w:r>
      <w:r w:rsidR="008C3EE6">
        <w:t>ject</w:t>
      </w:r>
      <w:r w:rsidR="00E01317">
        <w:t xml:space="preserve"> before they could collect longer term measures. </w:t>
      </w:r>
    </w:p>
    <w:p w14:paraId="0831A9F2" w14:textId="4D35A58D" w:rsidR="003E7E85" w:rsidRPr="00680A85" w:rsidRDefault="00386EFA" w:rsidP="003E7E85">
      <w:pPr>
        <w:rPr>
          <w:lang w:eastAsia="en-AU"/>
        </w:rPr>
      </w:pPr>
      <w:r>
        <w:t xml:space="preserve">The main group of grant recipients who found the AWP process onerous were </w:t>
      </w:r>
      <w:r w:rsidR="00DE3D08">
        <w:t>grant recipients who had multiple FAMs over the course of their grant</w:t>
      </w:r>
      <w:r w:rsidR="00CA1CF8">
        <w:t xml:space="preserve">. Some of these organisations found that each FAM had a different view on the right template to use and approach to take to reporting, </w:t>
      </w:r>
      <w:r w:rsidR="001C2084">
        <w:t xml:space="preserve">and so </w:t>
      </w:r>
      <w:r w:rsidR="001C2084">
        <w:rPr>
          <w:i/>
          <w:iCs/>
        </w:rPr>
        <w:t xml:space="preserve">‘would provide different instructions on how to do the AWP each time which was very frustrating’ </w:t>
      </w:r>
      <w:r w:rsidR="008263F4" w:rsidRPr="008263F4">
        <w:t xml:space="preserve">so that </w:t>
      </w:r>
      <w:r w:rsidR="006C698E">
        <w:t xml:space="preserve">they had to rework or sometimes completely rewrite their reporting to meet a new set of guidance. </w:t>
      </w:r>
    </w:p>
    <w:p w14:paraId="688C003B" w14:textId="6763C009" w:rsidR="00450774" w:rsidRDefault="00450774" w:rsidP="008A1A6C">
      <w:pPr>
        <w:pStyle w:val="Heading5"/>
      </w:pPr>
      <w:r>
        <w:lastRenderedPageBreak/>
        <w:t xml:space="preserve">Grant recipients felt lessons learned </w:t>
      </w:r>
      <w:r w:rsidR="00CA4E4C">
        <w:t>should have been</w:t>
      </w:r>
      <w:r>
        <w:t xml:space="preserve"> shared more broadly across government </w:t>
      </w:r>
    </w:p>
    <w:p w14:paraId="5DF1C6A0" w14:textId="016B06D7" w:rsidR="00450774" w:rsidRDefault="00450774" w:rsidP="00450774">
      <w:r>
        <w:rPr>
          <w:lang w:eastAsia="en-AU"/>
        </w:rPr>
        <w:t xml:space="preserve">At a systems level, one of the objectives of the grant was to understand what service models work in what context so that these lessons learned could inform future funding decisions. The </w:t>
      </w:r>
      <w:r>
        <w:t>Department does not appear to be collecting</w:t>
      </w:r>
      <w:r w:rsidR="00A515BB">
        <w:t xml:space="preserve">, </w:t>
      </w:r>
      <w:r>
        <w:t xml:space="preserve">analysing </w:t>
      </w:r>
      <w:r w:rsidR="00A515BB">
        <w:t xml:space="preserve">and sharing back with the sector </w:t>
      </w:r>
      <w:r>
        <w:t xml:space="preserve">lessons learned </w:t>
      </w:r>
      <w:r w:rsidR="004A078D">
        <w:t>at an aggregate level</w:t>
      </w:r>
      <w:r w:rsidR="00A515BB">
        <w:t>. The Department does monitor outcomes through AWPs, DEX and point in time evaluations (such as this one). However, a</w:t>
      </w:r>
      <w:r>
        <w:t xml:space="preserve"> small number of grant recipients interviewed reported this gap as a </w:t>
      </w:r>
      <w:r w:rsidRPr="002D35D6">
        <w:rPr>
          <w:i/>
          <w:iCs/>
        </w:rPr>
        <w:t>‘missed opportunity, because social problems are only solved when you watch what is happening on the ground and learn how to address them.’</w:t>
      </w:r>
      <w:r>
        <w:t xml:space="preserve"> These organisations felt that lessons they had learned and outcomes they had demonstrated should be fed into how policy is made across the Department more broadly. </w:t>
      </w:r>
    </w:p>
    <w:p w14:paraId="4B6C8D56" w14:textId="713F9946" w:rsidR="00A060A7" w:rsidRDefault="00450774" w:rsidP="003E7E85">
      <w:r>
        <w:t xml:space="preserve">There is currently a missed opportunity </w:t>
      </w:r>
      <w:r w:rsidR="005D77FD">
        <w:t xml:space="preserve">at a systems level </w:t>
      </w:r>
      <w:r>
        <w:t xml:space="preserve">to collate lessons learned from these </w:t>
      </w:r>
      <w:r w:rsidR="002D58C0">
        <w:t>projects</w:t>
      </w:r>
      <w:r>
        <w:t xml:space="preserve"> to understand what types of </w:t>
      </w:r>
      <w:r w:rsidR="002B23D4">
        <w:t>projects</w:t>
      </w:r>
      <w:r>
        <w:t xml:space="preserve"> work. While this would be valuable from a funding perspective, some grant recipients also expressed interest in some of these learnings being circulated between grant recipients so they could learn from each other.</w:t>
      </w:r>
      <w:r w:rsidR="005D77FD">
        <w:rPr>
          <w:lang w:eastAsia="en-AU"/>
        </w:rPr>
        <w:t xml:space="preserve"> </w:t>
      </w:r>
      <w:r w:rsidR="00A060A7">
        <w:t xml:space="preserve">As discussed further below in section 5.3.4, this also limited the ability of grant recipients to obtain </w:t>
      </w:r>
      <w:r w:rsidR="00DF7515">
        <w:t>long</w:t>
      </w:r>
      <w:r w:rsidR="002D3DE0">
        <w:t>-</w:t>
      </w:r>
      <w:r w:rsidR="00DF7515">
        <w:t>term</w:t>
      </w:r>
      <w:r w:rsidR="00A060A7">
        <w:t xml:space="preserve"> funding</w:t>
      </w:r>
      <w:r w:rsidR="00EE49A5">
        <w:t xml:space="preserve"> as there was not </w:t>
      </w:r>
      <w:r w:rsidR="00043E61">
        <w:t xml:space="preserve">a clear mechanism for them to </w:t>
      </w:r>
      <w:r w:rsidR="000340DF">
        <w:t>demonstrat</w:t>
      </w:r>
      <w:r w:rsidR="00642E23">
        <w:t>e</w:t>
      </w:r>
      <w:r w:rsidR="000340DF">
        <w:t xml:space="preserve"> their impact to funding bodies. </w:t>
      </w:r>
    </w:p>
    <w:p w14:paraId="7D3C9E1F" w14:textId="1D638A57" w:rsidR="005D77FD" w:rsidRPr="00680A85" w:rsidRDefault="005D77FD" w:rsidP="003E7E85">
      <w:pPr>
        <w:rPr>
          <w:lang w:eastAsia="en-AU"/>
        </w:rPr>
      </w:pPr>
      <w:r>
        <w:t>There is also a missed opportunity to share lessons learned between SARC</w:t>
      </w:r>
      <w:r w:rsidR="00220A4E">
        <w:t xml:space="preserve"> – </w:t>
      </w:r>
      <w:r>
        <w:t>IC participants t</w:t>
      </w:r>
      <w:r w:rsidR="00D718EF">
        <w:t>o</w:t>
      </w:r>
      <w:r>
        <w:t xml:space="preserve"> improve their </w:t>
      </w:r>
      <w:r w:rsidR="007F3398">
        <w:t xml:space="preserve">project </w:t>
      </w:r>
      <w:r>
        <w:t>implementation during their delivery</w:t>
      </w:r>
      <w:r w:rsidR="00D718EF">
        <w:t xml:space="preserve">. Some grant recipients expressed it would have been useful to understand what other organisations were delivering and how they had overcome common barriers, as this would have helped them </w:t>
      </w:r>
      <w:r w:rsidR="00664F44">
        <w:t xml:space="preserve">especially during the initial design phase. </w:t>
      </w:r>
    </w:p>
    <w:p w14:paraId="0E3212E8" w14:textId="0F70F84F" w:rsidR="003577C4" w:rsidRDefault="00736769" w:rsidP="003577C4">
      <w:pPr>
        <w:pStyle w:val="Heading3"/>
      </w:pPr>
      <w:bookmarkStart w:id="49" w:name="_Toc240883562"/>
      <w:r>
        <w:t xml:space="preserve">While flexible funding </w:t>
      </w:r>
      <w:r w:rsidR="0020467E">
        <w:t xml:space="preserve">helped grant recipients </w:t>
      </w:r>
      <w:r w:rsidR="002B6B9E">
        <w:t>tailor services</w:t>
      </w:r>
      <w:r>
        <w:t>, the t</w:t>
      </w:r>
      <w:r w:rsidR="00AB5C60">
        <w:t>wo</w:t>
      </w:r>
      <w:r>
        <w:t>-</w:t>
      </w:r>
      <w:r w:rsidR="00AB5C60">
        <w:t xml:space="preserve">year funding </w:t>
      </w:r>
      <w:r>
        <w:t>model</w:t>
      </w:r>
      <w:r w:rsidR="00AB5C60">
        <w:t xml:space="preserve"> </w:t>
      </w:r>
      <w:r w:rsidR="003C59CE">
        <w:t xml:space="preserve">had limited </w:t>
      </w:r>
      <w:r w:rsidR="00066671">
        <w:t xml:space="preserve">pathways to </w:t>
      </w:r>
      <w:r w:rsidR="00DF7515">
        <w:t>long</w:t>
      </w:r>
      <w:r w:rsidR="002D3DE0">
        <w:t>-</w:t>
      </w:r>
      <w:r w:rsidR="00DF7515">
        <w:t>term</w:t>
      </w:r>
      <w:r w:rsidR="00066671">
        <w:t xml:space="preserve"> funding</w:t>
      </w:r>
      <w:bookmarkEnd w:id="49"/>
    </w:p>
    <w:p w14:paraId="30C1BE1D" w14:textId="40EFB2EF" w:rsidR="003577C4" w:rsidRDefault="003577C4" w:rsidP="003577C4">
      <w:pPr>
        <w:pStyle w:val="Heading5"/>
        <w:rPr>
          <w:lang w:val="en-US"/>
        </w:rPr>
      </w:pPr>
      <w:r>
        <w:rPr>
          <w:lang w:val="en-US"/>
        </w:rPr>
        <w:t xml:space="preserve">Flexibility in the use of funding enabled grant recipients to tailor </w:t>
      </w:r>
      <w:r w:rsidR="002B23D4">
        <w:rPr>
          <w:lang w:val="en-US"/>
        </w:rPr>
        <w:t>projects</w:t>
      </w:r>
      <w:r>
        <w:rPr>
          <w:lang w:val="en-US"/>
        </w:rPr>
        <w:t xml:space="preserve"> to </w:t>
      </w:r>
      <w:r w:rsidR="002B23D4">
        <w:rPr>
          <w:lang w:val="en-US"/>
        </w:rPr>
        <w:t>participant</w:t>
      </w:r>
      <w:r>
        <w:rPr>
          <w:lang w:val="en-US"/>
        </w:rPr>
        <w:t xml:space="preserve"> needs</w:t>
      </w:r>
    </w:p>
    <w:p w14:paraId="608AD879" w14:textId="523CC15A" w:rsidR="009270B4" w:rsidRPr="009270B4" w:rsidRDefault="00B50711" w:rsidP="003577C4">
      <w:pPr>
        <w:rPr>
          <w:lang w:val="en-US" w:eastAsia="en-AU"/>
        </w:rPr>
      </w:pPr>
      <w:r>
        <w:rPr>
          <w:lang w:val="en-US" w:eastAsia="en-AU"/>
        </w:rPr>
        <w:t>Whilst the flexibility of the funding did make the assessment process more difficult, the benefit of the flexibility was that it</w:t>
      </w:r>
      <w:r w:rsidR="003577C4" w:rsidRPr="35608556">
        <w:rPr>
          <w:lang w:val="en-US" w:eastAsia="en-AU"/>
        </w:rPr>
        <w:t xml:space="preserve"> allowed grant recipients to involve their </w:t>
      </w:r>
      <w:r w:rsidR="003C3F64">
        <w:rPr>
          <w:lang w:val="en-US" w:eastAsia="en-AU"/>
        </w:rPr>
        <w:t>participants</w:t>
      </w:r>
      <w:r w:rsidR="003577C4" w:rsidRPr="35608556">
        <w:rPr>
          <w:lang w:val="en-US" w:eastAsia="en-AU"/>
        </w:rPr>
        <w:t xml:space="preserve"> in ongoing program design and continue to adapt delivery to meet changing needs. This was important because many grant recipients found that as they began delivery the shape of the </w:t>
      </w:r>
      <w:r w:rsidR="00290DFA" w:rsidRPr="35608556">
        <w:rPr>
          <w:lang w:val="en-US" w:eastAsia="en-AU"/>
        </w:rPr>
        <w:t>pro</w:t>
      </w:r>
      <w:r w:rsidR="00290DFA">
        <w:rPr>
          <w:lang w:val="en-US" w:eastAsia="en-AU"/>
        </w:rPr>
        <w:t>ject</w:t>
      </w:r>
      <w:r w:rsidR="00290DFA" w:rsidRPr="35608556">
        <w:rPr>
          <w:lang w:val="en-US" w:eastAsia="en-AU"/>
        </w:rPr>
        <w:t xml:space="preserve"> </w:t>
      </w:r>
      <w:r w:rsidR="003577C4" w:rsidRPr="35608556">
        <w:rPr>
          <w:lang w:val="en-US" w:eastAsia="en-AU"/>
        </w:rPr>
        <w:t xml:space="preserve">needed to change because new issues and needs emerged as they built relationships with </w:t>
      </w:r>
      <w:r w:rsidR="003C3F64">
        <w:rPr>
          <w:lang w:val="en-US" w:eastAsia="en-AU"/>
        </w:rPr>
        <w:t>participants</w:t>
      </w:r>
      <w:r w:rsidR="003577C4" w:rsidRPr="35608556">
        <w:rPr>
          <w:lang w:val="en-US" w:eastAsia="en-AU"/>
        </w:rPr>
        <w:t>. For example, one grant recipient who was focused on supporting vulnerable women into employment found that many of the women were still in crisis and not yet in a position to be employed, and so had to pivot their service delivery to helping prepare their users to be ready for employment.</w:t>
      </w:r>
    </w:p>
    <w:tbl>
      <w:tblPr>
        <w:tblStyle w:val="TableGrid"/>
        <w:tblW w:w="0" w:type="auto"/>
        <w:tblLook w:val="04A0" w:firstRow="1" w:lastRow="0" w:firstColumn="1" w:lastColumn="0" w:noHBand="0" w:noVBand="1"/>
      </w:tblPr>
      <w:tblGrid>
        <w:gridCol w:w="9175"/>
      </w:tblGrid>
      <w:tr w:rsidR="00F57784" w14:paraId="413C799C" w14:textId="77777777" w:rsidTr="00F57784">
        <w:tc>
          <w:tcPr>
            <w:tcW w:w="9175" w:type="dxa"/>
            <w:tcBorders>
              <w:top w:val="nil"/>
              <w:left w:val="nil"/>
              <w:bottom w:val="nil"/>
              <w:right w:val="nil"/>
            </w:tcBorders>
            <w:shd w:val="clear" w:color="auto" w:fill="D9D9D9" w:themeFill="background1" w:themeFillShade="D9"/>
          </w:tcPr>
          <w:p w14:paraId="21681BDF" w14:textId="77777777" w:rsidR="00F57784" w:rsidRDefault="00F57784" w:rsidP="00F57784">
            <w:pPr>
              <w:spacing w:after="0"/>
              <w:jc w:val="center"/>
              <w:rPr>
                <w:rFonts w:asciiTheme="majorHAnsi" w:hAnsiTheme="majorHAnsi" w:cstheme="majorBidi"/>
                <w:i/>
                <w:iCs/>
                <w:color w:val="00264D" w:themeColor="background2"/>
              </w:rPr>
            </w:pPr>
          </w:p>
          <w:p w14:paraId="09992CEA" w14:textId="53132B11" w:rsidR="00F57784" w:rsidRPr="008C340D"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"We've learnt a lot of skills here, did money matters and other financial stuff... coming here gives you the courage to help yourself</w:t>
            </w:r>
            <w:r>
              <w:rPr>
                <w:rFonts w:asciiTheme="majorHAnsi" w:hAnsiTheme="majorHAnsi" w:cstheme="majorBidi"/>
                <w:i/>
                <w:iCs/>
                <w:color w:val="00264D" w:themeColor="background2"/>
              </w:rPr>
              <w:t>.</w:t>
            </w:r>
            <w:r w:rsidRPr="00333D09">
              <w:rPr>
                <w:rFonts w:asciiTheme="majorHAnsi" w:hAnsiTheme="majorHAnsi" w:cstheme="majorBidi"/>
                <w:i/>
                <w:iCs/>
                <w:color w:val="00264D" w:themeColor="background2"/>
              </w:rPr>
              <w:t>"</w:t>
            </w:r>
          </w:p>
          <w:p w14:paraId="721C42D2" w14:textId="77777777" w:rsidR="00F57784" w:rsidRDefault="00F57784" w:rsidP="003577C4">
            <w:pPr>
              <w:rPr>
                <w:lang w:val="en-US" w:eastAsia="en-AU"/>
              </w:rPr>
            </w:pPr>
          </w:p>
        </w:tc>
      </w:tr>
    </w:tbl>
    <w:p w14:paraId="66AB3972" w14:textId="1DD34026" w:rsidR="00F57784" w:rsidRDefault="003577C4" w:rsidP="003577C4">
      <w:pPr>
        <w:rPr>
          <w:i/>
          <w:iCs/>
          <w:lang w:val="en-US"/>
        </w:rPr>
      </w:pPr>
      <w:r>
        <w:rPr>
          <w:lang w:val="en-US"/>
        </w:rPr>
        <w:t xml:space="preserve">The design of the grant also encouraged organisations to actively engage </w:t>
      </w:r>
      <w:r w:rsidR="003C3F64">
        <w:rPr>
          <w:lang w:val="en-US"/>
        </w:rPr>
        <w:t>participants</w:t>
      </w:r>
      <w:r>
        <w:rPr>
          <w:lang w:val="en-US"/>
        </w:rPr>
        <w:t xml:space="preserve"> in design of the </w:t>
      </w:r>
      <w:r w:rsidR="00B44C54">
        <w:rPr>
          <w:lang w:val="en-US"/>
        </w:rPr>
        <w:t xml:space="preserve">project </w:t>
      </w:r>
      <w:r>
        <w:rPr>
          <w:lang w:val="en-US"/>
        </w:rPr>
        <w:t>overall, and of individual sessions, which meant sessions met their needs and were delivered in a way they felt comfortable. This helped participants gain relevant skills but also created a space where they could build a community away from other stressors in their life</w:t>
      </w:r>
      <w:r w:rsidR="00BA7DC9">
        <w:rPr>
          <w:lang w:val="en-US"/>
        </w:rPr>
        <w:t xml:space="preserve"> </w:t>
      </w:r>
      <w:r w:rsidR="00CF1374">
        <w:rPr>
          <w:lang w:val="en-US"/>
        </w:rPr>
        <w:t>including financial difficulties and domestic violence</w:t>
      </w:r>
      <w:r>
        <w:rPr>
          <w:lang w:val="en-US"/>
        </w:rPr>
        <w:t>. For example, one women’s group interviewed explained that they made suggestions about what sessions would be useful for them in their daily lives and as a result they have gained skills and confidence that are relevant to their lives.</w:t>
      </w:r>
      <w:r w:rsidRPr="4AF1E856">
        <w:rPr>
          <w:i/>
          <w:iCs/>
          <w:lang w:val="en-US"/>
        </w:rPr>
        <w:t xml:space="preserve"> </w:t>
      </w:r>
    </w:p>
    <w:tbl>
      <w:tblPr>
        <w:tblStyle w:val="TableGrid"/>
        <w:tblW w:w="0" w:type="auto"/>
        <w:tblLook w:val="04A0" w:firstRow="1" w:lastRow="0" w:firstColumn="1" w:lastColumn="0" w:noHBand="0" w:noVBand="1"/>
      </w:tblPr>
      <w:tblGrid>
        <w:gridCol w:w="9175"/>
      </w:tblGrid>
      <w:tr w:rsidR="00F57784" w14:paraId="41677918" w14:textId="77777777" w:rsidTr="00F57784">
        <w:tc>
          <w:tcPr>
            <w:tcW w:w="9175" w:type="dxa"/>
            <w:tcBorders>
              <w:top w:val="nil"/>
              <w:left w:val="nil"/>
              <w:bottom w:val="nil"/>
              <w:right w:val="nil"/>
            </w:tcBorders>
            <w:shd w:val="clear" w:color="auto" w:fill="D9D9D9" w:themeFill="background1" w:themeFillShade="D9"/>
          </w:tcPr>
          <w:p w14:paraId="55DF53E6" w14:textId="77777777" w:rsidR="005329CC" w:rsidRDefault="005329CC" w:rsidP="00F57784">
            <w:pPr>
              <w:spacing w:after="0"/>
              <w:jc w:val="center"/>
              <w:rPr>
                <w:rFonts w:asciiTheme="majorHAnsi" w:hAnsiTheme="majorHAnsi" w:cstheme="majorBidi"/>
                <w:i/>
                <w:iCs/>
                <w:color w:val="00264D" w:themeColor="background2"/>
              </w:rPr>
            </w:pPr>
          </w:p>
          <w:p w14:paraId="6F503EC9" w14:textId="108B94FC" w:rsidR="00F57784"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"The group there are so good at listening to what is needed and actually acting on it.</w:t>
            </w:r>
          </w:p>
          <w:p w14:paraId="3B78A649" w14:textId="77777777" w:rsidR="00F57784"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We were all in the centre of every decision they were making</w:t>
            </w:r>
            <w:r>
              <w:rPr>
                <w:rFonts w:asciiTheme="majorHAnsi" w:hAnsiTheme="majorHAnsi" w:cstheme="majorBidi"/>
                <w:i/>
                <w:iCs/>
                <w:color w:val="00264D" w:themeColor="background2"/>
              </w:rPr>
              <w:t>.</w:t>
            </w:r>
            <w:r w:rsidRPr="00333D09">
              <w:rPr>
                <w:rFonts w:asciiTheme="majorHAnsi" w:hAnsiTheme="majorHAnsi" w:cstheme="majorBidi"/>
                <w:i/>
                <w:iCs/>
                <w:color w:val="00264D" w:themeColor="background2"/>
              </w:rPr>
              <w:t>"</w:t>
            </w:r>
          </w:p>
          <w:p w14:paraId="7871D0E2" w14:textId="50505233" w:rsidR="005329CC" w:rsidRPr="00F57784" w:rsidRDefault="005329CC" w:rsidP="00F57784">
            <w:pPr>
              <w:spacing w:after="0"/>
              <w:jc w:val="center"/>
              <w:rPr>
                <w:rFonts w:asciiTheme="majorHAnsi" w:hAnsiTheme="majorHAnsi" w:cstheme="majorBidi"/>
                <w:i/>
                <w:iCs/>
                <w:color w:val="00264D" w:themeColor="background2"/>
              </w:rPr>
            </w:pPr>
          </w:p>
        </w:tc>
      </w:tr>
    </w:tbl>
    <w:p w14:paraId="0F0F9894" w14:textId="77777777" w:rsidR="009270B4" w:rsidRPr="009270B4" w:rsidRDefault="009270B4" w:rsidP="003577C4">
      <w:pPr>
        <w:rPr>
          <w:sz w:val="14"/>
          <w:szCs w:val="14"/>
          <w:lang w:val="en-US" w:eastAsia="en-AU"/>
        </w:rPr>
      </w:pPr>
    </w:p>
    <w:p w14:paraId="0F66E135" w14:textId="50C42015" w:rsidR="003577C4" w:rsidRDefault="003C3F64" w:rsidP="003577C4">
      <w:pPr>
        <w:rPr>
          <w:lang w:val="en-US" w:eastAsia="en-AU"/>
        </w:rPr>
      </w:pPr>
      <w:r>
        <w:rPr>
          <w:lang w:val="en-US" w:eastAsia="en-AU"/>
        </w:rPr>
        <w:lastRenderedPageBreak/>
        <w:t>Participants</w:t>
      </w:r>
      <w:r w:rsidR="003577C4">
        <w:rPr>
          <w:lang w:val="en-US" w:eastAsia="en-AU"/>
        </w:rPr>
        <w:t xml:space="preserve"> highlighted how much they valued being invited to help shape the </w:t>
      </w:r>
      <w:r w:rsidR="00B44C54">
        <w:rPr>
          <w:lang w:val="en-US" w:eastAsia="en-AU"/>
        </w:rPr>
        <w:t>project</w:t>
      </w:r>
      <w:r w:rsidR="003577C4">
        <w:rPr>
          <w:lang w:val="en-US" w:eastAsia="en-AU"/>
        </w:rPr>
        <w:t>, and that they felt seen and understood when participating in the service and where other participants ‘</w:t>
      </w:r>
      <w:r w:rsidR="003577C4" w:rsidRPr="00DC3BE2">
        <w:rPr>
          <w:i/>
          <w:lang w:val="en-US" w:eastAsia="en-AU"/>
        </w:rPr>
        <w:t>had been through the same thing.’</w:t>
      </w:r>
      <w:r w:rsidR="003577C4">
        <w:rPr>
          <w:lang w:val="en-US" w:eastAsia="en-AU"/>
        </w:rPr>
        <w:t xml:space="preserve"> This benefit can be directly linked to requirements in the grant guidelines for applicants to actively work with the community to understand and identify a need to be addressed. </w:t>
      </w:r>
    </w:p>
    <w:p w14:paraId="701E7C53" w14:textId="05EF6A47" w:rsidR="003E7E85" w:rsidRDefault="3ED356D4" w:rsidP="003E7E85">
      <w:pPr>
        <w:pStyle w:val="Heading5"/>
        <w:rPr>
          <w:lang w:val="en-US"/>
        </w:rPr>
      </w:pPr>
      <w:r w:rsidRPr="18629A85">
        <w:rPr>
          <w:lang w:val="en-US"/>
        </w:rPr>
        <w:t>M</w:t>
      </w:r>
      <w:r w:rsidR="7F78ECC9" w:rsidRPr="18629A85">
        <w:rPr>
          <w:lang w:val="en-US"/>
        </w:rPr>
        <w:t>ost</w:t>
      </w:r>
      <w:r w:rsidRPr="18629A85">
        <w:rPr>
          <w:lang w:val="en-US"/>
        </w:rPr>
        <w:t xml:space="preserve"> grant recipients</w:t>
      </w:r>
      <w:r w:rsidR="7F78ECC9" w:rsidRPr="18629A85">
        <w:rPr>
          <w:lang w:val="en-US"/>
        </w:rPr>
        <w:t xml:space="preserve"> had to stop the</w:t>
      </w:r>
      <w:r w:rsidR="00FD2B47">
        <w:rPr>
          <w:lang w:val="en-US"/>
        </w:rPr>
        <w:t>ir</w:t>
      </w:r>
      <w:r w:rsidR="7F78ECC9" w:rsidRPr="18629A85">
        <w:rPr>
          <w:lang w:val="en-US"/>
        </w:rPr>
        <w:t xml:space="preserve"> </w:t>
      </w:r>
      <w:r w:rsidR="00B44C54" w:rsidRPr="18629A85">
        <w:rPr>
          <w:lang w:val="en-US"/>
        </w:rPr>
        <w:t>pro</w:t>
      </w:r>
      <w:r w:rsidR="00B44C54">
        <w:rPr>
          <w:lang w:val="en-US"/>
        </w:rPr>
        <w:t>ject</w:t>
      </w:r>
      <w:r w:rsidR="00B44C54" w:rsidRPr="18629A85">
        <w:rPr>
          <w:lang w:val="en-US"/>
        </w:rPr>
        <w:t xml:space="preserve"> </w:t>
      </w:r>
      <w:r w:rsidR="7F78ECC9" w:rsidRPr="18629A85">
        <w:rPr>
          <w:lang w:val="en-US"/>
        </w:rPr>
        <w:t xml:space="preserve">at the end of the grant period </w:t>
      </w:r>
      <w:r w:rsidRPr="18629A85">
        <w:rPr>
          <w:lang w:val="en-US"/>
        </w:rPr>
        <w:t xml:space="preserve">due to an inability to source </w:t>
      </w:r>
      <w:r w:rsidR="00DF7515">
        <w:rPr>
          <w:lang w:val="en-US"/>
        </w:rPr>
        <w:t>long</w:t>
      </w:r>
      <w:r w:rsidR="005A4F35">
        <w:rPr>
          <w:lang w:val="en-US"/>
        </w:rPr>
        <w:t>-</w:t>
      </w:r>
      <w:r w:rsidR="00DF7515">
        <w:rPr>
          <w:lang w:val="en-US"/>
        </w:rPr>
        <w:t>term</w:t>
      </w:r>
      <w:r w:rsidRPr="18629A85">
        <w:rPr>
          <w:lang w:val="en-US"/>
        </w:rPr>
        <w:t xml:space="preserve"> funding</w:t>
      </w:r>
    </w:p>
    <w:p w14:paraId="33DBAFFB" w14:textId="445090B1" w:rsidR="003264AF" w:rsidRDefault="003264AF" w:rsidP="00237FD2">
      <w:pPr>
        <w:rPr>
          <w:lang w:val="en-US" w:eastAsia="en-AU"/>
        </w:rPr>
      </w:pPr>
      <w:r>
        <w:rPr>
          <w:lang w:val="en-US" w:eastAsia="en-AU"/>
        </w:rPr>
        <w:t>Survey results suggest 84</w:t>
      </w:r>
      <w:r w:rsidR="00FD7280">
        <w:rPr>
          <w:lang w:val="en-US"/>
        </w:rPr>
        <w:t xml:space="preserve"> per cent</w:t>
      </w:r>
      <w:r>
        <w:rPr>
          <w:lang w:val="en-US" w:eastAsia="en-AU"/>
        </w:rPr>
        <w:t xml:space="preserve"> </w:t>
      </w:r>
      <w:r w:rsidR="00E91F17">
        <w:rPr>
          <w:lang w:val="en-US" w:eastAsia="en-AU"/>
        </w:rPr>
        <w:t xml:space="preserve">(n = 51) </w:t>
      </w:r>
      <w:r>
        <w:rPr>
          <w:lang w:val="en-US" w:eastAsia="en-AU"/>
        </w:rPr>
        <w:t>o</w:t>
      </w:r>
      <w:r w:rsidR="004A5967">
        <w:rPr>
          <w:lang w:val="en-US" w:eastAsia="en-AU"/>
        </w:rPr>
        <w:t>f organisations delivering SARC</w:t>
      </w:r>
      <w:r w:rsidR="006439AD">
        <w:rPr>
          <w:lang w:val="en-US" w:eastAsia="en-AU"/>
        </w:rPr>
        <w:t xml:space="preserve"> – IC</w:t>
      </w:r>
      <w:r w:rsidR="004A5967">
        <w:rPr>
          <w:lang w:val="en-US" w:eastAsia="en-AU"/>
        </w:rPr>
        <w:t xml:space="preserve"> had to stop their </w:t>
      </w:r>
      <w:r w:rsidR="00FD2B47">
        <w:rPr>
          <w:lang w:val="en-US" w:eastAsia="en-AU"/>
        </w:rPr>
        <w:t xml:space="preserve">project </w:t>
      </w:r>
      <w:r w:rsidR="004A5967">
        <w:rPr>
          <w:lang w:val="en-US" w:eastAsia="en-AU"/>
        </w:rPr>
        <w:t>at the completion of their funding round (or have not yet been able to identify a new funding source)</w:t>
      </w:r>
      <w:r w:rsidR="0067793A">
        <w:rPr>
          <w:lang w:val="en-US" w:eastAsia="en-AU"/>
        </w:rPr>
        <w:t xml:space="preserve">. This challenges one of the design choices to focus on </w:t>
      </w:r>
      <w:r w:rsidR="00377D58">
        <w:rPr>
          <w:lang w:val="en-US" w:eastAsia="en-AU"/>
        </w:rPr>
        <w:t>trialing</w:t>
      </w:r>
      <w:r w:rsidR="0067793A">
        <w:rPr>
          <w:lang w:val="en-US" w:eastAsia="en-AU"/>
        </w:rPr>
        <w:t xml:space="preserve"> new service models to inform future funding. </w:t>
      </w:r>
      <w:r w:rsidR="0013268D">
        <w:rPr>
          <w:lang w:val="en-US" w:eastAsia="en-AU"/>
        </w:rPr>
        <w:t>The nature of the type of projects funded</w:t>
      </w:r>
      <w:r w:rsidR="003D6AFF">
        <w:rPr>
          <w:lang w:val="en-US" w:eastAsia="en-AU"/>
        </w:rPr>
        <w:t xml:space="preserve"> means that their objectives will likely never be fully ‘achieved’ </w:t>
      </w:r>
      <w:r w:rsidR="001A5D0A">
        <w:rPr>
          <w:lang w:val="en-US" w:eastAsia="en-AU"/>
        </w:rPr>
        <w:t xml:space="preserve">as even if they have finished providing support to particular individuals, more people need their support over time to address the particular need. </w:t>
      </w:r>
      <w:r w:rsidR="00CF4FBF">
        <w:rPr>
          <w:lang w:val="en-US" w:eastAsia="en-AU"/>
        </w:rPr>
        <w:t xml:space="preserve">As such, for most organisations, they stopped delivering the project after the funding because they could not afford to run it rather than because they </w:t>
      </w:r>
      <w:r w:rsidR="00176699">
        <w:rPr>
          <w:lang w:val="en-US" w:eastAsia="en-AU"/>
        </w:rPr>
        <w:t>felt like they had finished delivering on their objective.</w:t>
      </w:r>
    </w:p>
    <w:p w14:paraId="47D51E5F" w14:textId="77777777" w:rsidR="009270B4" w:rsidRDefault="00E900B6" w:rsidP="00237FD2">
      <w:pPr>
        <w:rPr>
          <w:lang w:val="en-US" w:eastAsia="en-AU"/>
        </w:rPr>
      </w:pPr>
      <w:r>
        <w:rPr>
          <w:lang w:val="en-US" w:eastAsia="en-AU"/>
        </w:rPr>
        <w:t xml:space="preserve">Many grant recipients interviewed highlighted that they had used the funding available within the grant to conduct an evaluation of the </w:t>
      </w:r>
      <w:r w:rsidR="00A33907">
        <w:rPr>
          <w:lang w:val="en-US" w:eastAsia="en-AU"/>
        </w:rPr>
        <w:t>project</w:t>
      </w:r>
      <w:r>
        <w:rPr>
          <w:lang w:val="en-US" w:eastAsia="en-AU"/>
        </w:rPr>
        <w:t xml:space="preserve">, which had shown significant positive outcomes, but that the funding streams were not available or too competitive to receive </w:t>
      </w:r>
      <w:r w:rsidR="00DF7515">
        <w:rPr>
          <w:lang w:val="en-US" w:eastAsia="en-AU"/>
        </w:rPr>
        <w:t>long</w:t>
      </w:r>
      <w:r w:rsidR="005A4F35">
        <w:rPr>
          <w:lang w:val="en-US" w:eastAsia="en-AU"/>
        </w:rPr>
        <w:t>-</w:t>
      </w:r>
      <w:r w:rsidR="00DF7515">
        <w:rPr>
          <w:lang w:val="en-US" w:eastAsia="en-AU"/>
        </w:rPr>
        <w:t>term</w:t>
      </w:r>
      <w:r>
        <w:rPr>
          <w:lang w:val="en-US" w:eastAsia="en-AU"/>
        </w:rPr>
        <w:t xml:space="preserve"> funding.</w:t>
      </w:r>
    </w:p>
    <w:p w14:paraId="72346446" w14:textId="7FD274BB" w:rsidR="002071A3" w:rsidRDefault="00E900B6" w:rsidP="00237FD2">
      <w:pPr>
        <w:rPr>
          <w:lang w:val="en-US" w:eastAsia="en-AU"/>
        </w:rPr>
      </w:pPr>
      <w:r>
        <w:rPr>
          <w:lang w:val="en-US" w:eastAsia="en-AU"/>
        </w:rPr>
        <w:t xml:space="preserve"> </w:t>
      </w:r>
    </w:p>
    <w:tbl>
      <w:tblPr>
        <w:tblStyle w:val="TableGrid"/>
        <w:tblW w:w="0" w:type="auto"/>
        <w:tblLook w:val="04A0" w:firstRow="1" w:lastRow="0" w:firstColumn="1" w:lastColumn="0" w:noHBand="0" w:noVBand="1"/>
      </w:tblPr>
      <w:tblGrid>
        <w:gridCol w:w="9175"/>
      </w:tblGrid>
      <w:tr w:rsidR="00F57784" w14:paraId="6E332935" w14:textId="77777777" w:rsidTr="00F57784">
        <w:tc>
          <w:tcPr>
            <w:tcW w:w="9175" w:type="dxa"/>
            <w:tcBorders>
              <w:top w:val="nil"/>
              <w:left w:val="nil"/>
              <w:bottom w:val="nil"/>
              <w:right w:val="nil"/>
            </w:tcBorders>
            <w:shd w:val="clear" w:color="auto" w:fill="D9D9D9" w:themeFill="background1" w:themeFillShade="D9"/>
          </w:tcPr>
          <w:p w14:paraId="111CC90C" w14:textId="77777777" w:rsidR="00F57784" w:rsidRDefault="00F57784" w:rsidP="00F57784">
            <w:pPr>
              <w:spacing w:after="0"/>
              <w:jc w:val="center"/>
              <w:rPr>
                <w:rFonts w:asciiTheme="majorHAnsi" w:hAnsiTheme="majorHAnsi" w:cstheme="majorBidi"/>
                <w:i/>
                <w:iCs/>
                <w:color w:val="00264D" w:themeColor="background2"/>
              </w:rPr>
            </w:pPr>
          </w:p>
          <w:p w14:paraId="1C9012EB" w14:textId="1D81A17C" w:rsidR="00F57784" w:rsidRPr="008C340D"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"A lot of the time funders wants new things all the time and want things to change ... but what is needed is the stability of having things that work</w:t>
            </w:r>
            <w:r>
              <w:rPr>
                <w:rFonts w:asciiTheme="majorHAnsi" w:hAnsiTheme="majorHAnsi" w:cstheme="majorBidi"/>
                <w:i/>
                <w:iCs/>
                <w:color w:val="00264D" w:themeColor="background2"/>
              </w:rPr>
              <w:t>.</w:t>
            </w:r>
            <w:r w:rsidRPr="00333D09">
              <w:rPr>
                <w:rFonts w:asciiTheme="majorHAnsi" w:hAnsiTheme="majorHAnsi" w:cstheme="majorBidi"/>
                <w:i/>
                <w:iCs/>
                <w:color w:val="00264D" w:themeColor="background2"/>
              </w:rPr>
              <w:t>"</w:t>
            </w:r>
          </w:p>
          <w:p w14:paraId="67381965" w14:textId="77777777" w:rsidR="00F57784" w:rsidRDefault="00F57784" w:rsidP="00F57784">
            <w:pPr>
              <w:jc w:val="center"/>
              <w:rPr>
                <w:lang w:val="en-US" w:eastAsia="en-AU"/>
              </w:rPr>
            </w:pPr>
          </w:p>
        </w:tc>
      </w:tr>
    </w:tbl>
    <w:p w14:paraId="59F5ADBD" w14:textId="77777777" w:rsidR="00F57784" w:rsidRPr="009270B4" w:rsidRDefault="00F57784" w:rsidP="00237FD2">
      <w:pPr>
        <w:rPr>
          <w:sz w:val="14"/>
          <w:szCs w:val="14"/>
          <w:lang w:val="en-US" w:eastAsia="en-AU"/>
        </w:rPr>
      </w:pPr>
    </w:p>
    <w:p w14:paraId="199F6E16" w14:textId="5C29A6C1" w:rsidR="00F73DDB" w:rsidRDefault="00E900B6" w:rsidP="00237FD2">
      <w:pPr>
        <w:rPr>
          <w:lang w:eastAsia="en-AU"/>
        </w:rPr>
      </w:pPr>
      <w:r>
        <w:rPr>
          <w:lang w:val="en-US" w:eastAsia="en-AU"/>
        </w:rPr>
        <w:t xml:space="preserve">This suggests that the barrier to getting further funding is not that the </w:t>
      </w:r>
      <w:r w:rsidR="00A33907">
        <w:rPr>
          <w:lang w:val="en-US" w:eastAsia="en-AU"/>
        </w:rPr>
        <w:t xml:space="preserve">projects </w:t>
      </w:r>
      <w:r>
        <w:rPr>
          <w:lang w:val="en-US" w:eastAsia="en-AU"/>
        </w:rPr>
        <w:t xml:space="preserve">could not demonstrate impact, but that the fundings streams do not exist (or are too competitive) to continue funding these </w:t>
      </w:r>
      <w:r w:rsidR="00A33907">
        <w:rPr>
          <w:lang w:val="en-US" w:eastAsia="en-AU"/>
        </w:rPr>
        <w:t>projects</w:t>
      </w:r>
      <w:r>
        <w:rPr>
          <w:lang w:val="en-US" w:eastAsia="en-AU"/>
        </w:rPr>
        <w:t>.</w:t>
      </w:r>
      <w:r w:rsidR="0027181F">
        <w:rPr>
          <w:lang w:val="en-US" w:eastAsia="en-AU"/>
        </w:rPr>
        <w:t xml:space="preserve"> </w:t>
      </w:r>
      <w:r w:rsidR="000E3896">
        <w:rPr>
          <w:lang w:val="en-US" w:eastAsia="en-AU"/>
        </w:rPr>
        <w:t>Many grant recipients noted in interviews that they did not have</w:t>
      </w:r>
      <w:r w:rsidR="00085884">
        <w:rPr>
          <w:lang w:eastAsia="en-AU"/>
        </w:rPr>
        <w:t xml:space="preserve"> the budget to continue the </w:t>
      </w:r>
      <w:r w:rsidR="00864D0A">
        <w:rPr>
          <w:lang w:eastAsia="en-AU"/>
        </w:rPr>
        <w:t xml:space="preserve">project </w:t>
      </w:r>
      <w:r w:rsidR="00085884">
        <w:rPr>
          <w:lang w:eastAsia="en-AU"/>
        </w:rPr>
        <w:t>as BAU operations while they look</w:t>
      </w:r>
      <w:r w:rsidR="006B4B63">
        <w:rPr>
          <w:lang w:eastAsia="en-AU"/>
        </w:rPr>
        <w:t>ed</w:t>
      </w:r>
      <w:r w:rsidR="00085884">
        <w:rPr>
          <w:lang w:eastAsia="en-AU"/>
        </w:rPr>
        <w:t xml:space="preserve"> for additional funding. </w:t>
      </w:r>
      <w:r w:rsidR="00CA1190">
        <w:rPr>
          <w:lang w:eastAsia="en-AU"/>
        </w:rPr>
        <w:t xml:space="preserve">This challenges </w:t>
      </w:r>
      <w:r w:rsidR="00824440">
        <w:rPr>
          <w:lang w:eastAsia="en-AU"/>
        </w:rPr>
        <w:t xml:space="preserve">whether </w:t>
      </w:r>
      <w:r w:rsidR="00864D0A">
        <w:rPr>
          <w:lang w:eastAsia="en-AU"/>
        </w:rPr>
        <w:t>SARC – IC</w:t>
      </w:r>
      <w:r w:rsidR="00824440">
        <w:rPr>
          <w:lang w:eastAsia="en-AU"/>
        </w:rPr>
        <w:t xml:space="preserve"> is delivering </w:t>
      </w:r>
      <w:r w:rsidR="0008731F">
        <w:rPr>
          <w:lang w:eastAsia="en-AU"/>
        </w:rPr>
        <w:t>on its policy aim</w:t>
      </w:r>
      <w:r w:rsidR="008102F1">
        <w:rPr>
          <w:lang w:eastAsia="en-AU"/>
        </w:rPr>
        <w:t xml:space="preserve">, as there do not appear to be clear pathways for effective new service models to gain further funding or be rolled out more broadly. </w:t>
      </w:r>
    </w:p>
    <w:p w14:paraId="1A424844" w14:textId="77777777" w:rsidR="009270B4" w:rsidRDefault="7BFAEF70" w:rsidP="00237FD2">
      <w:pPr>
        <w:rPr>
          <w:lang w:val="en-US" w:eastAsia="en-AU"/>
        </w:rPr>
      </w:pPr>
      <w:r w:rsidRPr="35608556">
        <w:rPr>
          <w:lang w:val="en-US" w:eastAsia="en-AU"/>
        </w:rPr>
        <w:t xml:space="preserve">Whilst grant recipients understood from the beginning of the grant that it was </w:t>
      </w:r>
      <w:r w:rsidR="4AD5298A" w:rsidRPr="35608556">
        <w:rPr>
          <w:lang w:val="en-US" w:eastAsia="en-AU"/>
        </w:rPr>
        <w:t>time limited, nearly all grant recipients reflected that they would have benefited from more support identifying future funding sources</w:t>
      </w:r>
      <w:r w:rsidR="708EB57A" w:rsidRPr="35608556">
        <w:rPr>
          <w:i/>
          <w:iCs/>
          <w:lang w:val="en-US" w:eastAsia="en-AU"/>
        </w:rPr>
        <w:t>.</w:t>
      </w:r>
      <w:r w:rsidR="732CFFD4" w:rsidRPr="35608556">
        <w:rPr>
          <w:i/>
          <w:iCs/>
          <w:lang w:val="en-US" w:eastAsia="en-AU"/>
        </w:rPr>
        <w:t xml:space="preserve"> </w:t>
      </w:r>
      <w:r w:rsidR="353297D6" w:rsidRPr="35608556">
        <w:rPr>
          <w:lang w:val="en-US" w:eastAsia="en-AU"/>
        </w:rPr>
        <w:t xml:space="preserve">The small number of organisations who have been able to secure additional funding to continue their </w:t>
      </w:r>
      <w:r w:rsidR="00CA0B23" w:rsidRPr="35608556">
        <w:rPr>
          <w:lang w:val="en-US" w:eastAsia="en-AU"/>
        </w:rPr>
        <w:t>pro</w:t>
      </w:r>
      <w:r w:rsidR="00CA0B23">
        <w:rPr>
          <w:lang w:val="en-US" w:eastAsia="en-AU"/>
        </w:rPr>
        <w:t>ject</w:t>
      </w:r>
      <w:r w:rsidR="00CA0B23" w:rsidRPr="35608556">
        <w:rPr>
          <w:lang w:val="en-US" w:eastAsia="en-AU"/>
        </w:rPr>
        <w:t xml:space="preserve"> </w:t>
      </w:r>
      <w:r w:rsidR="1C061F4F" w:rsidRPr="35608556">
        <w:rPr>
          <w:lang w:val="en-US" w:eastAsia="en-AU"/>
        </w:rPr>
        <w:t xml:space="preserve">are mainly </w:t>
      </w:r>
      <w:r w:rsidR="774AE002" w:rsidRPr="35608556">
        <w:rPr>
          <w:lang w:val="en-US" w:eastAsia="en-AU"/>
        </w:rPr>
        <w:t>larger</w:t>
      </w:r>
      <w:r w:rsidR="50F670FA" w:rsidRPr="35608556">
        <w:rPr>
          <w:lang w:val="en-US" w:eastAsia="en-AU"/>
        </w:rPr>
        <w:t xml:space="preserve"> organisations who already have multiple funding sources</w:t>
      </w:r>
      <w:r w:rsidR="007F5F96">
        <w:rPr>
          <w:lang w:val="en-US" w:eastAsia="en-AU"/>
        </w:rPr>
        <w:t xml:space="preserve"> they could use to cross-subsidise the pro</w:t>
      </w:r>
      <w:r w:rsidR="00EF2D09">
        <w:rPr>
          <w:lang w:val="en-US" w:eastAsia="en-AU"/>
        </w:rPr>
        <w:t>ject</w:t>
      </w:r>
      <w:r w:rsidR="76919602" w:rsidRPr="35608556">
        <w:rPr>
          <w:lang w:val="en-US" w:eastAsia="en-AU"/>
        </w:rPr>
        <w:t>,</w:t>
      </w:r>
      <w:r w:rsidR="50F670FA" w:rsidRPr="35608556">
        <w:rPr>
          <w:lang w:val="en-US" w:eastAsia="en-AU"/>
        </w:rPr>
        <w:t xml:space="preserve"> for example, </w:t>
      </w:r>
      <w:r w:rsidR="399F7D1D" w:rsidRPr="35608556">
        <w:rPr>
          <w:lang w:val="en-US" w:eastAsia="en-AU"/>
        </w:rPr>
        <w:t>local councils</w:t>
      </w:r>
      <w:r w:rsidR="7D4ABF1C" w:rsidRPr="35608556">
        <w:rPr>
          <w:lang w:val="en-US" w:eastAsia="en-AU"/>
        </w:rPr>
        <w:t xml:space="preserve">, charities and </w:t>
      </w:r>
      <w:r w:rsidR="6F74E174" w:rsidRPr="35608556">
        <w:rPr>
          <w:lang w:val="en-US" w:eastAsia="en-AU"/>
        </w:rPr>
        <w:t>universities</w:t>
      </w:r>
      <w:r w:rsidR="1C061F4F" w:rsidRPr="35608556">
        <w:rPr>
          <w:lang w:val="en-US" w:eastAsia="en-AU"/>
        </w:rPr>
        <w:t>.</w:t>
      </w:r>
    </w:p>
    <w:p w14:paraId="2F253E01" w14:textId="55FB06D7" w:rsidR="00F95747" w:rsidRDefault="1C061F4F" w:rsidP="00237FD2">
      <w:pPr>
        <w:rPr>
          <w:lang w:val="en-US" w:eastAsia="en-AU"/>
        </w:rPr>
      </w:pPr>
      <w:r w:rsidRPr="35608556">
        <w:rPr>
          <w:lang w:val="en-US" w:eastAsia="en-AU"/>
        </w:rPr>
        <w:t xml:space="preserve"> </w:t>
      </w:r>
    </w:p>
    <w:tbl>
      <w:tblPr>
        <w:tblStyle w:val="TableGrid"/>
        <w:tblW w:w="0" w:type="auto"/>
        <w:tblLook w:val="04A0" w:firstRow="1" w:lastRow="0" w:firstColumn="1" w:lastColumn="0" w:noHBand="0" w:noVBand="1"/>
      </w:tblPr>
      <w:tblGrid>
        <w:gridCol w:w="9175"/>
      </w:tblGrid>
      <w:tr w:rsidR="00F57784" w14:paraId="329A1850" w14:textId="77777777" w:rsidTr="00F57784">
        <w:tc>
          <w:tcPr>
            <w:tcW w:w="9175" w:type="dxa"/>
            <w:tcBorders>
              <w:top w:val="nil"/>
              <w:left w:val="nil"/>
              <w:bottom w:val="nil"/>
              <w:right w:val="nil"/>
            </w:tcBorders>
            <w:shd w:val="clear" w:color="auto" w:fill="D9D9D9" w:themeFill="background1" w:themeFillShade="D9"/>
          </w:tcPr>
          <w:p w14:paraId="4CE0D873" w14:textId="77777777" w:rsidR="00F57784" w:rsidRDefault="00F57784" w:rsidP="00F57784">
            <w:pPr>
              <w:spacing w:after="0"/>
              <w:jc w:val="center"/>
              <w:rPr>
                <w:rFonts w:asciiTheme="majorHAnsi" w:hAnsiTheme="majorHAnsi" w:cstheme="majorBidi"/>
                <w:i/>
                <w:iCs/>
                <w:color w:val="00264D" w:themeColor="background2"/>
              </w:rPr>
            </w:pPr>
          </w:p>
          <w:p w14:paraId="61714D31" w14:textId="0D6DEB19" w:rsidR="00F57784" w:rsidRPr="008C340D"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"[the Department] linking us into other sources of funding would have really helped</w:t>
            </w:r>
            <w:r>
              <w:rPr>
                <w:rFonts w:asciiTheme="majorHAnsi" w:hAnsiTheme="majorHAnsi" w:cstheme="majorBidi"/>
                <w:i/>
                <w:iCs/>
                <w:color w:val="00264D" w:themeColor="background2"/>
              </w:rPr>
              <w:t>.</w:t>
            </w:r>
            <w:r w:rsidRPr="00333D09">
              <w:rPr>
                <w:rFonts w:asciiTheme="majorHAnsi" w:hAnsiTheme="majorHAnsi" w:cstheme="majorBidi"/>
                <w:i/>
                <w:iCs/>
                <w:color w:val="00264D" w:themeColor="background2"/>
              </w:rPr>
              <w:t>"</w:t>
            </w:r>
          </w:p>
          <w:p w14:paraId="65957AEF" w14:textId="77777777" w:rsidR="00F57784" w:rsidRDefault="00F57784" w:rsidP="00237FD2">
            <w:pPr>
              <w:rPr>
                <w:lang w:val="en-US" w:eastAsia="en-AU"/>
              </w:rPr>
            </w:pPr>
          </w:p>
        </w:tc>
      </w:tr>
    </w:tbl>
    <w:p w14:paraId="29C261C1" w14:textId="77777777" w:rsidR="00F57784" w:rsidRPr="009270B4" w:rsidRDefault="00F57784" w:rsidP="00791949">
      <w:pPr>
        <w:rPr>
          <w:sz w:val="14"/>
          <w:szCs w:val="14"/>
          <w:lang w:val="en-US" w:eastAsia="en-AU"/>
        </w:rPr>
      </w:pPr>
    </w:p>
    <w:p w14:paraId="557E869E" w14:textId="31C9E77D" w:rsidR="00FA7124" w:rsidRPr="00791949" w:rsidRDefault="2CC85CBA" w:rsidP="00791949">
      <w:pPr>
        <w:rPr>
          <w:lang w:val="en-US" w:eastAsia="en-AU"/>
        </w:rPr>
      </w:pPr>
      <w:r>
        <w:rPr>
          <w:lang w:val="en-US" w:eastAsia="en-AU"/>
        </w:rPr>
        <w:t xml:space="preserve">Of the small proportion of organisations who have been able to continue delivery, many are doing so on </w:t>
      </w:r>
      <w:r w:rsidR="7B27A5B1">
        <w:rPr>
          <w:lang w:val="en-US" w:eastAsia="en-AU"/>
        </w:rPr>
        <w:t>reduced</w:t>
      </w:r>
      <w:r>
        <w:rPr>
          <w:lang w:val="en-US" w:eastAsia="en-AU"/>
        </w:rPr>
        <w:t xml:space="preserve"> budgets or</w:t>
      </w:r>
      <w:r w:rsidR="7B27A5B1">
        <w:rPr>
          <w:lang w:val="en-US" w:eastAsia="en-AU"/>
        </w:rPr>
        <w:t xml:space="preserve"> </w:t>
      </w:r>
      <w:r w:rsidR="69663416" w:rsidRPr="18629A85">
        <w:rPr>
          <w:i/>
          <w:iCs/>
          <w:lang w:val="en-US" w:eastAsia="en-AU"/>
        </w:rPr>
        <w:t xml:space="preserve">‘are reliant on a </w:t>
      </w:r>
      <w:r w:rsidR="4D5262CA" w:rsidRPr="18629A85">
        <w:rPr>
          <w:i/>
          <w:iCs/>
          <w:lang w:val="en-US" w:eastAsia="en-AU"/>
        </w:rPr>
        <w:t>donor providing monthly support, which makes it hard to plan ahead.’</w:t>
      </w:r>
      <w:r>
        <w:rPr>
          <w:lang w:val="en-US" w:eastAsia="en-AU"/>
        </w:rPr>
        <w:t xml:space="preserve"> </w:t>
      </w:r>
      <w:r w:rsidR="2FA20C07">
        <w:rPr>
          <w:lang w:val="en-US" w:eastAsia="en-AU"/>
        </w:rPr>
        <w:t xml:space="preserve">Grant recipients consistently provided the feedback that it would have been useful for the Department to provide </w:t>
      </w:r>
      <w:r w:rsidR="7FE0B23F">
        <w:rPr>
          <w:lang w:val="en-US" w:eastAsia="en-AU"/>
        </w:rPr>
        <w:t>guidance during the process on how to identify other possible funding sources, or more actively support the process</w:t>
      </w:r>
      <w:r w:rsidR="43071FBC">
        <w:rPr>
          <w:lang w:val="en-US" w:eastAsia="en-AU"/>
        </w:rPr>
        <w:t>,</w:t>
      </w:r>
      <w:r w:rsidR="7FE0B23F">
        <w:rPr>
          <w:lang w:val="en-US" w:eastAsia="en-AU"/>
        </w:rPr>
        <w:t xml:space="preserve"> for example by running presentation sessions where </w:t>
      </w:r>
      <w:r w:rsidR="7373B3AB">
        <w:rPr>
          <w:lang w:val="en-US" w:eastAsia="en-AU"/>
        </w:rPr>
        <w:t xml:space="preserve">grant recipients could showcase their outcomes to potential funders/donors. </w:t>
      </w:r>
      <w:bookmarkStart w:id="50" w:name="_Ref215758344"/>
      <w:r w:rsidR="00FA7124">
        <w:rPr>
          <w:highlight w:val="lightGray"/>
        </w:rPr>
        <w:br w:type="page"/>
      </w:r>
    </w:p>
    <w:p w14:paraId="1187FEAF" w14:textId="45186F9C" w:rsidR="002958E9" w:rsidRDefault="00C05D26" w:rsidP="00FA7124">
      <w:pPr>
        <w:pStyle w:val="Heading2"/>
      </w:pPr>
      <w:bookmarkStart w:id="51" w:name="_Toc240883563"/>
      <w:r w:rsidRPr="004746B7">
        <w:lastRenderedPageBreak/>
        <w:t>Effectiveness and impact</w:t>
      </w:r>
      <w:bookmarkEnd w:id="51"/>
      <w:r w:rsidRPr="004746B7">
        <w:t xml:space="preserve"> </w:t>
      </w:r>
      <w:r>
        <w:t xml:space="preserve"> </w:t>
      </w:r>
      <w:bookmarkEnd w:id="50"/>
    </w:p>
    <w:tbl>
      <w:tblPr>
        <w:tblStyle w:val="NOUSSideHeader1"/>
        <w:tblW w:w="9050" w:type="dxa"/>
        <w:tblLook w:val="0400" w:firstRow="0" w:lastRow="0" w:firstColumn="0" w:lastColumn="0" w:noHBand="0" w:noVBand="1"/>
      </w:tblPr>
      <w:tblGrid>
        <w:gridCol w:w="9050"/>
      </w:tblGrid>
      <w:tr w:rsidR="003416A6" w:rsidRPr="00823F52" w14:paraId="55EA6F7E" w14:textId="77777777">
        <w:trPr>
          <w:cnfStyle w:val="000000100000" w:firstRow="0" w:lastRow="0" w:firstColumn="0" w:lastColumn="0" w:oddVBand="0" w:evenVBand="0" w:oddHBand="1" w:evenHBand="0" w:firstRowFirstColumn="0" w:firstRowLastColumn="0" w:lastRowFirstColumn="0" w:lastRowLastColumn="0"/>
          <w:trHeight w:val="666"/>
        </w:trPr>
        <w:tc>
          <w:tcPr>
            <w:tcW w:w="9050" w:type="dxa"/>
            <w:tcBorders>
              <w:top w:val="single" w:sz="8" w:space="0" w:color="00264D" w:themeColor="background2"/>
              <w:bottom w:val="single" w:sz="8" w:space="0" w:color="00264D" w:themeColor="background2"/>
            </w:tcBorders>
          </w:tcPr>
          <w:p w14:paraId="07652251" w14:textId="1F423979" w:rsidR="00605D0C" w:rsidRPr="009270B4" w:rsidRDefault="00605D0C">
            <w:pPr>
              <w:spacing w:before="120" w:line="259" w:lineRule="auto"/>
              <w:rPr>
                <w:rFonts w:ascii="Segoe UI Semilight" w:hAnsi="Segoe UI Semilight" w:cs="Segoe UI Semilight"/>
                <w:color w:val="00264D" w:themeColor="background2"/>
                <w:szCs w:val="19"/>
              </w:rPr>
            </w:pPr>
            <w:r w:rsidRPr="009270B4">
              <w:rPr>
                <w:rFonts w:ascii="Segoe UI Semilight" w:hAnsi="Segoe UI Semilight" w:cs="Segoe UI Semilight"/>
                <w:color w:val="00264D" w:themeColor="background2"/>
                <w:szCs w:val="19"/>
              </w:rPr>
              <w:t xml:space="preserve">This section outlines findings relating to the </w:t>
            </w:r>
            <w:r w:rsidR="009B57B3" w:rsidRPr="009270B4">
              <w:rPr>
                <w:rFonts w:asciiTheme="minorHAnsi" w:hAnsiTheme="minorHAnsi" w:cstheme="minorHAnsi"/>
                <w:color w:val="00264D" w:themeColor="background2"/>
                <w:szCs w:val="19"/>
              </w:rPr>
              <w:t>effectiveness and impact</w:t>
            </w:r>
            <w:r w:rsidRPr="009270B4">
              <w:rPr>
                <w:rFonts w:ascii="Segoe UI Semilight" w:hAnsi="Segoe UI Semilight" w:cs="Segoe UI Semilight"/>
                <w:color w:val="00264D" w:themeColor="background2"/>
                <w:szCs w:val="19"/>
              </w:rPr>
              <w:t xml:space="preserve"> of the SARC – IC </w:t>
            </w:r>
            <w:r w:rsidR="00FF6A23" w:rsidRPr="009270B4">
              <w:rPr>
                <w:rFonts w:ascii="Segoe UI Semilight" w:hAnsi="Segoe UI Semilight" w:cs="Segoe UI Semilight"/>
                <w:color w:val="00264D" w:themeColor="background2"/>
                <w:szCs w:val="19"/>
              </w:rPr>
              <w:t xml:space="preserve">Activity </w:t>
            </w:r>
            <w:r w:rsidRPr="009270B4">
              <w:rPr>
                <w:rFonts w:ascii="Segoe UI Semilight" w:hAnsi="Segoe UI Semilight" w:cs="Segoe UI Semilight"/>
                <w:color w:val="00264D" w:themeColor="background2"/>
                <w:szCs w:val="19"/>
              </w:rPr>
              <w:t>(KEQ 3).</w:t>
            </w:r>
          </w:p>
          <w:p w14:paraId="3EEE456E" w14:textId="40056B60" w:rsidR="00605D0C" w:rsidRPr="003D42A9" w:rsidRDefault="00605D0C" w:rsidP="00B24D89">
            <w:pPr>
              <w:pStyle w:val="TableNBullet"/>
              <w:rPr>
                <w:sz w:val="16"/>
                <w:szCs w:val="16"/>
              </w:rPr>
            </w:pPr>
            <w:r w:rsidRPr="009270B4">
              <w:rPr>
                <w:sz w:val="19"/>
              </w:rPr>
              <w:t xml:space="preserve">KEQ 3: </w:t>
            </w:r>
            <w:r w:rsidR="00C51EFF" w:rsidRPr="009270B4">
              <w:rPr>
                <w:rFonts w:asciiTheme="majorHAnsi" w:hAnsiTheme="majorHAnsi" w:cstheme="majorHAnsi"/>
                <w:sz w:val="19"/>
              </w:rPr>
              <w:t>How effective</w:t>
            </w:r>
            <w:r w:rsidR="00C51EFF" w:rsidRPr="009270B4">
              <w:rPr>
                <w:sz w:val="19"/>
              </w:rPr>
              <w:t xml:space="preserve"> is </w:t>
            </w:r>
            <w:r w:rsidR="00A72A1C" w:rsidRPr="009270B4">
              <w:rPr>
                <w:sz w:val="19"/>
              </w:rPr>
              <w:t>SARC – IC</w:t>
            </w:r>
            <w:r w:rsidR="00C51EFF" w:rsidRPr="009270B4">
              <w:rPr>
                <w:sz w:val="19"/>
              </w:rPr>
              <w:t xml:space="preserve"> design in delivering program objectives and short</w:t>
            </w:r>
            <w:r w:rsidR="00CE5C45" w:rsidRPr="009270B4">
              <w:rPr>
                <w:sz w:val="19"/>
              </w:rPr>
              <w:t>-</w:t>
            </w:r>
            <w:r w:rsidR="00C51EFF" w:rsidRPr="009270B4">
              <w:rPr>
                <w:sz w:val="19"/>
              </w:rPr>
              <w:t>, medium</w:t>
            </w:r>
            <w:r w:rsidR="00CE5C45" w:rsidRPr="009270B4">
              <w:rPr>
                <w:sz w:val="19"/>
              </w:rPr>
              <w:t>-</w:t>
            </w:r>
            <w:r w:rsidR="00C51EFF" w:rsidRPr="009270B4">
              <w:rPr>
                <w:sz w:val="19"/>
              </w:rPr>
              <w:t xml:space="preserve"> and long-term outcomes?</w:t>
            </w:r>
          </w:p>
        </w:tc>
      </w:tr>
    </w:tbl>
    <w:p w14:paraId="7F72ED11" w14:textId="75217F7C" w:rsidR="00454F47" w:rsidRPr="00454F47" w:rsidRDefault="00454F47" w:rsidP="00454F47">
      <w:pPr>
        <w:pStyle w:val="Heading3"/>
      </w:pPr>
      <w:bookmarkStart w:id="52" w:name="_Toc240883564"/>
      <w:r>
        <w:t>Key findings effectiveness and impact</w:t>
      </w:r>
      <w:bookmarkEnd w:id="52"/>
      <w:r>
        <w:t xml:space="preserve"> </w:t>
      </w:r>
    </w:p>
    <w:tbl>
      <w:tblPr>
        <w:tblStyle w:val="Style1"/>
        <w:tblW w:w="4950" w:type="pct"/>
        <w:tblLook w:val="04A0" w:firstRow="1" w:lastRow="0" w:firstColumn="1" w:lastColumn="0" w:noHBand="0" w:noVBand="1"/>
      </w:tblPr>
      <w:tblGrid>
        <w:gridCol w:w="9093"/>
      </w:tblGrid>
      <w:tr w:rsidR="006371A6" w14:paraId="6FEAC56A" w14:textId="77777777" w:rsidTr="4AF1E856">
        <w:trPr>
          <w:trHeight w:val="565"/>
        </w:trPr>
        <w:tc>
          <w:tcPr>
            <w:tcW w:w="9093" w:type="dxa"/>
            <w:shd w:val="clear" w:color="auto" w:fill="00264D" w:themeFill="background2"/>
          </w:tcPr>
          <w:p w14:paraId="5023290D" w14:textId="43A793A5" w:rsidR="00DF58F2" w:rsidRPr="001F4F37" w:rsidRDefault="00947F21" w:rsidP="009F6EE2">
            <w:pPr>
              <w:spacing w:before="120"/>
              <w:ind w:left="312" w:right="204"/>
              <w:rPr>
                <w:rFonts w:asciiTheme="majorHAnsi" w:hAnsiTheme="majorHAnsi" w:cstheme="majorHAnsi"/>
                <w:sz w:val="22"/>
                <w:szCs w:val="28"/>
                <w:lang w:eastAsia="en-AU"/>
              </w:rPr>
            </w:pPr>
            <w:r>
              <w:rPr>
                <w:rFonts w:asciiTheme="majorHAnsi" w:hAnsiTheme="majorHAnsi" w:cstheme="majorHAnsi"/>
                <w:noProof/>
                <w:color w:val="FFFFFF" w:themeColor="background1"/>
                <w:sz w:val="22"/>
                <w:szCs w:val="28"/>
                <w:lang w:eastAsia="en-AU"/>
              </w:rPr>
              <w:drawing>
                <wp:anchor distT="0" distB="0" distL="114300" distR="114300" simplePos="0" relativeHeight="251658258" behindDoc="0" locked="0" layoutInCell="1" allowOverlap="1" wp14:anchorId="60C6FE2D" wp14:editId="024F9CAB">
                  <wp:simplePos x="0" y="0"/>
                  <wp:positionH relativeFrom="column">
                    <wp:posOffset>5324475</wp:posOffset>
                  </wp:positionH>
                  <wp:positionV relativeFrom="paragraph">
                    <wp:posOffset>78740</wp:posOffset>
                  </wp:positionV>
                  <wp:extent cx="243840" cy="213360"/>
                  <wp:effectExtent l="0" t="0" r="3810" b="0"/>
                  <wp:wrapNone/>
                  <wp:docPr id="1325873945" name="Picture 29" descr="P530C1T1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73945" name="Picture 29" descr="P530C1T12#y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pic:spPr>
                      </pic:pic>
                    </a:graphicData>
                  </a:graphic>
                </wp:anchor>
              </w:drawing>
            </w:r>
            <w:r w:rsidR="00DF58F2" w:rsidRPr="001F4F37">
              <w:rPr>
                <w:rFonts w:asciiTheme="majorHAnsi" w:hAnsiTheme="majorHAnsi" w:cstheme="majorHAnsi"/>
                <w:color w:val="FFFFFF" w:themeColor="background1"/>
                <w:sz w:val="22"/>
                <w:szCs w:val="28"/>
                <w:lang w:eastAsia="en-AU"/>
              </w:rPr>
              <w:t>KEY FINDINGS</w:t>
            </w:r>
          </w:p>
        </w:tc>
      </w:tr>
      <w:tr w:rsidR="006371A6" w14:paraId="6B84E409" w14:textId="77777777" w:rsidTr="4AF1E856">
        <w:tc>
          <w:tcPr>
            <w:tcW w:w="9093" w:type="dxa"/>
            <w:shd w:val="clear" w:color="auto" w:fill="FF3A40" w:themeFill="accent1"/>
          </w:tcPr>
          <w:p w14:paraId="1CA470B7" w14:textId="6595A11D" w:rsidR="00DF58F2" w:rsidRPr="00CE29B9" w:rsidRDefault="00DF58F2">
            <w:pPr>
              <w:spacing w:before="40" w:after="40"/>
              <w:ind w:left="313" w:right="202"/>
              <w:rPr>
                <w:rFonts w:asciiTheme="minorHAnsi" w:hAnsiTheme="minorHAnsi" w:cstheme="minorHAnsi"/>
                <w:color w:val="FFFFFF" w:themeColor="background1"/>
                <w:sz w:val="17"/>
                <w:szCs w:val="17"/>
              </w:rPr>
            </w:pPr>
            <w:r w:rsidRPr="00334612">
              <w:rPr>
                <w:rFonts w:asciiTheme="majorHAnsi" w:hAnsiTheme="majorHAnsi" w:cstheme="majorHAnsi"/>
                <w:color w:val="FFFFFF" w:themeColor="background1"/>
                <w:lang w:eastAsia="en-AU"/>
              </w:rPr>
              <w:t xml:space="preserve">KEQ 3 | How effective is </w:t>
            </w:r>
            <w:r w:rsidR="00A72A1C">
              <w:rPr>
                <w:rFonts w:asciiTheme="majorHAnsi" w:hAnsiTheme="majorHAnsi" w:cstheme="majorHAnsi"/>
                <w:color w:val="FFFFFF" w:themeColor="background1"/>
                <w:lang w:eastAsia="en-AU"/>
              </w:rPr>
              <w:t>SARC – IC</w:t>
            </w:r>
            <w:r w:rsidRPr="00334612">
              <w:rPr>
                <w:rFonts w:asciiTheme="majorHAnsi" w:hAnsiTheme="majorHAnsi" w:cstheme="majorHAnsi"/>
                <w:color w:val="FFFFFF" w:themeColor="background1"/>
                <w:lang w:eastAsia="en-AU"/>
              </w:rPr>
              <w:t xml:space="preserve"> design in delivering program objectives and short</w:t>
            </w:r>
            <w:r w:rsidR="00A7798C">
              <w:rPr>
                <w:rFonts w:asciiTheme="majorHAnsi" w:hAnsiTheme="majorHAnsi" w:cstheme="majorHAnsi"/>
                <w:color w:val="FFFFFF" w:themeColor="background1"/>
                <w:lang w:eastAsia="en-AU"/>
              </w:rPr>
              <w:t>-</w:t>
            </w:r>
            <w:r w:rsidRPr="00334612">
              <w:rPr>
                <w:rFonts w:asciiTheme="majorHAnsi" w:hAnsiTheme="majorHAnsi" w:cstheme="majorHAnsi"/>
                <w:color w:val="FFFFFF" w:themeColor="background1"/>
                <w:lang w:eastAsia="en-AU"/>
              </w:rPr>
              <w:t>, medium</w:t>
            </w:r>
            <w:r w:rsidR="00A7798C">
              <w:rPr>
                <w:rFonts w:asciiTheme="majorHAnsi" w:hAnsiTheme="majorHAnsi" w:cstheme="majorHAnsi"/>
                <w:color w:val="FFFFFF" w:themeColor="background1"/>
                <w:lang w:eastAsia="en-AU"/>
              </w:rPr>
              <w:t>-</w:t>
            </w:r>
            <w:r w:rsidRPr="00334612">
              <w:rPr>
                <w:rFonts w:asciiTheme="majorHAnsi" w:hAnsiTheme="majorHAnsi" w:cstheme="majorHAnsi"/>
                <w:color w:val="FFFFFF" w:themeColor="background1"/>
                <w:lang w:eastAsia="en-AU"/>
              </w:rPr>
              <w:t xml:space="preserve"> and long-term outcomes?</w:t>
            </w:r>
          </w:p>
        </w:tc>
      </w:tr>
      <w:tr w:rsidR="006371A6" w14:paraId="4F351227" w14:textId="77777777" w:rsidTr="4AF1E856">
        <w:tc>
          <w:tcPr>
            <w:tcW w:w="9093" w:type="dxa"/>
          </w:tcPr>
          <w:p w14:paraId="53D66B5F" w14:textId="19FF1050" w:rsidR="00DF58F2" w:rsidRPr="00BF463D" w:rsidRDefault="00BA6899" w:rsidP="00BF463D">
            <w:pPr>
              <w:spacing w:before="240"/>
              <w:ind w:left="313"/>
              <w:rPr>
                <w:rFonts w:asciiTheme="minorHAnsi" w:hAnsiTheme="minorHAnsi" w:cstheme="minorHAnsi"/>
                <w:color w:val="00264D" w:themeColor="background2"/>
                <w:lang w:eastAsia="en-AU"/>
              </w:rPr>
            </w:pPr>
            <w:r>
              <w:rPr>
                <w:rFonts w:asciiTheme="majorHAnsi" w:hAnsiTheme="majorHAnsi" w:cstheme="majorHAnsi"/>
                <w:noProof/>
                <w:color w:val="00264D" w:themeColor="background2"/>
                <w:lang w:eastAsia="en-AU"/>
              </w:rPr>
              <mc:AlternateContent>
                <mc:Choice Requires="wpg">
                  <w:drawing>
                    <wp:anchor distT="0" distB="0" distL="114300" distR="114300" simplePos="0" relativeHeight="251658261" behindDoc="0" locked="0" layoutInCell="1" allowOverlap="1" wp14:anchorId="054AA993" wp14:editId="2436EFFB">
                      <wp:simplePos x="0" y="0"/>
                      <wp:positionH relativeFrom="column">
                        <wp:posOffset>11368</wp:posOffset>
                      </wp:positionH>
                      <wp:positionV relativeFrom="paragraph">
                        <wp:posOffset>34239</wp:posOffset>
                      </wp:positionV>
                      <wp:extent cx="124078" cy="2679590"/>
                      <wp:effectExtent l="0" t="0" r="9525" b="26035"/>
                      <wp:wrapNone/>
                      <wp:docPr id="1903052494"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4078" cy="2679590"/>
                                <a:chOff x="522" y="0"/>
                                <a:chExt cx="124078" cy="2679590"/>
                              </a:xfrm>
                            </wpg:grpSpPr>
                            <wps:wsp>
                              <wps:cNvPr id="1276707868" name="Straight Connector 8"/>
                              <wps:cNvCnPr/>
                              <wps:spPr>
                                <a:xfrm>
                                  <a:off x="63611" y="0"/>
                                  <a:ext cx="0" cy="2679590"/>
                                </a:xfrm>
                                <a:prstGeom prst="line">
                                  <a:avLst/>
                                </a:prstGeom>
                                <a:ln w="12700" cap="rnd">
                                  <a:solidFill>
                                    <a:schemeClr val="bg2"/>
                                  </a:solidFill>
                                </a:ln>
                              </wps:spPr>
                              <wps:style>
                                <a:lnRef idx="1">
                                  <a:schemeClr val="accent1"/>
                                </a:lnRef>
                                <a:fillRef idx="0">
                                  <a:schemeClr val="accent1"/>
                                </a:fillRef>
                                <a:effectRef idx="0">
                                  <a:schemeClr val="accent1"/>
                                </a:effectRef>
                                <a:fontRef idx="minor">
                                  <a:schemeClr val="tx1"/>
                                </a:fontRef>
                              </wps:style>
                              <wps:bodyPr/>
                            </wps:wsp>
                            <wps:wsp>
                              <wps:cNvPr id="802914796" name="Oval 9"/>
                              <wps:cNvSpPr/>
                              <wps:spPr>
                                <a:xfrm>
                                  <a:off x="5331" y="152983"/>
                                  <a:ext cx="119269" cy="119269"/>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2350354" name="Oval 9"/>
                              <wps:cNvSpPr/>
                              <wps:spPr>
                                <a:xfrm>
                                  <a:off x="522" y="2216505"/>
                                  <a:ext cx="118745" cy="118745"/>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551613" id="Group 10" o:spid="_x0000_s1026" alt="&quot;&quot;" style="position:absolute;margin-left:.9pt;margin-top:2.7pt;width:9.75pt;height:211pt;z-index:251658261" coordorigin="5" coordsize="1240,26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">
                      <v:line id="Straight Connector 8" o:spid="_x0000_s1027" style="position:absolute;visibility:visible;mso-wrap-style:square" from="636,0" to="636,26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" strokecolor="#00264d [3214]" strokeweight="1pt">
                        <v:stroke endcap="round"/>
                      </v:line>
                      <v:oval id="Oval 9" o:spid="_x0000_s1028" style="position:absolute;left:53;top:1529;width:1193;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" fillcolor="#ff3a40 [3204]" stroked="f" strokeweight="2pt"/>
                      <v:oval id="Oval 9" o:spid="_x0000_s1029" style="position:absolute;left:5;top:22165;width:1187;height:1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" fillcolor="#ff3a40 [3204]" stroked="f" strokeweight="2pt"/>
                    </v:group>
                  </w:pict>
                </mc:Fallback>
              </mc:AlternateContent>
            </w:r>
            <w:r w:rsidR="00BB11DA">
              <w:rPr>
                <w:rFonts w:asciiTheme="majorHAnsi" w:hAnsiTheme="majorHAnsi" w:cstheme="majorHAnsi"/>
                <w:color w:val="00264D" w:themeColor="background2"/>
                <w:lang w:eastAsia="en-AU"/>
              </w:rPr>
              <w:t>6</w:t>
            </w:r>
            <w:r w:rsidR="003D7121">
              <w:rPr>
                <w:rFonts w:asciiTheme="majorHAnsi" w:hAnsiTheme="majorHAnsi" w:cstheme="majorHAnsi"/>
                <w:color w:val="00264D" w:themeColor="background2"/>
                <w:lang w:eastAsia="en-AU"/>
              </w:rPr>
              <w:t xml:space="preserve">.3.2 </w:t>
            </w:r>
            <w:r w:rsidR="00AA7559">
              <w:rPr>
                <w:rFonts w:asciiTheme="majorHAnsi" w:hAnsiTheme="majorHAnsi" w:cstheme="majorHAnsi"/>
                <w:color w:val="00264D" w:themeColor="background2"/>
                <w:lang w:eastAsia="en-AU"/>
              </w:rPr>
              <w:t>Projects</w:t>
            </w:r>
            <w:r w:rsidR="00DF58F2" w:rsidRPr="00BF463D">
              <w:rPr>
                <w:rFonts w:asciiTheme="majorHAnsi" w:hAnsiTheme="majorHAnsi" w:cstheme="majorHAnsi"/>
                <w:color w:val="00264D" w:themeColor="background2"/>
                <w:lang w:eastAsia="en-AU"/>
              </w:rPr>
              <w:t xml:space="preserve"> funded through the grant </w:t>
            </w:r>
            <w:r w:rsidR="00CE5253">
              <w:rPr>
                <w:rFonts w:asciiTheme="majorHAnsi" w:hAnsiTheme="majorHAnsi" w:cstheme="majorHAnsi"/>
                <w:color w:val="00264D" w:themeColor="background2"/>
                <w:lang w:eastAsia="en-AU"/>
              </w:rPr>
              <w:t>saw their</w:t>
            </w:r>
            <w:r w:rsidR="00DF58F2" w:rsidRPr="00BF463D">
              <w:rPr>
                <w:rFonts w:asciiTheme="majorHAnsi" w:hAnsiTheme="majorHAnsi" w:cstheme="majorHAnsi"/>
                <w:color w:val="00264D" w:themeColor="background2"/>
                <w:lang w:eastAsia="en-AU"/>
              </w:rPr>
              <w:t xml:space="preserve"> participants</w:t>
            </w:r>
            <w:r w:rsidR="00CE5253">
              <w:rPr>
                <w:rFonts w:asciiTheme="majorHAnsi" w:hAnsiTheme="majorHAnsi" w:cstheme="majorHAnsi"/>
                <w:color w:val="00264D" w:themeColor="background2"/>
                <w:lang w:eastAsia="en-AU"/>
              </w:rPr>
              <w:t xml:space="preserve"> improve outcomes (pre/post)</w:t>
            </w:r>
            <w:r w:rsidR="00DF58F2" w:rsidRPr="00BF463D">
              <w:rPr>
                <w:rFonts w:asciiTheme="majorHAnsi" w:hAnsiTheme="majorHAnsi" w:cstheme="majorHAnsi"/>
                <w:color w:val="00264D" w:themeColor="background2"/>
                <w:lang w:eastAsia="en-AU"/>
              </w:rPr>
              <w:t>, especially in social participation and wellbeing. This was highlighted in both qualitative and quantitative data</w:t>
            </w:r>
          </w:p>
          <w:p w14:paraId="63E20EC0" w14:textId="3FFA9830" w:rsidR="00DF58F2" w:rsidRPr="00BF463D" w:rsidRDefault="5C0C3F52" w:rsidP="00BF463D">
            <w:pPr>
              <w:pStyle w:val="Bullet"/>
              <w:ind w:left="738"/>
              <w:rPr>
                <w:color w:val="00264D" w:themeColor="background2"/>
              </w:rPr>
            </w:pPr>
            <w:r w:rsidRPr="4AF1E856">
              <w:rPr>
                <w:color w:val="00264D" w:themeColor="background2"/>
              </w:rPr>
              <w:t>There was relatively little variation in the outcomes recorded by each target cohort, with about 40-5</w:t>
            </w:r>
            <w:r w:rsidRPr="00585438">
              <w:rPr>
                <w:rFonts w:asciiTheme="minorHAnsi" w:eastAsiaTheme="minorEastAsia" w:hAnsiTheme="minorHAnsi" w:cstheme="minorBidi"/>
                <w:color w:val="00264D" w:themeColor="background2"/>
              </w:rPr>
              <w:t>5</w:t>
            </w:r>
            <w:r w:rsidR="00FD7280" w:rsidRPr="00585438">
              <w:rPr>
                <w:rFonts w:asciiTheme="minorHAnsi" w:eastAsiaTheme="minorEastAsia" w:hAnsiTheme="minorHAnsi" w:cstheme="minorBidi"/>
                <w:color w:val="00264D" w:themeColor="background2"/>
                <w:lang w:val="en-US"/>
              </w:rPr>
              <w:t xml:space="preserve"> per cent</w:t>
            </w:r>
            <w:r w:rsidRPr="00585438">
              <w:rPr>
                <w:rFonts w:asciiTheme="minorHAnsi" w:eastAsiaTheme="minorEastAsia" w:hAnsiTheme="minorHAnsi" w:cstheme="minorBidi"/>
                <w:color w:val="00264D" w:themeColor="background2"/>
              </w:rPr>
              <w:t xml:space="preserve"> o</w:t>
            </w:r>
            <w:r w:rsidRPr="4AF1E856">
              <w:rPr>
                <w:color w:val="00264D" w:themeColor="background2"/>
              </w:rPr>
              <w:t xml:space="preserve">f participants with a pre and post SCORE recording an improvement in each key SCORE. </w:t>
            </w:r>
          </w:p>
          <w:p w14:paraId="725CC386" w14:textId="777897F5" w:rsidR="00DF58F2" w:rsidRDefault="00DF58F2" w:rsidP="00BF463D">
            <w:pPr>
              <w:pStyle w:val="Bullet"/>
              <w:ind w:left="738"/>
              <w:rPr>
                <w:color w:val="00264D" w:themeColor="background2"/>
              </w:rPr>
            </w:pPr>
            <w:r w:rsidRPr="00BF463D">
              <w:rPr>
                <w:color w:val="00264D" w:themeColor="background2"/>
              </w:rPr>
              <w:t xml:space="preserve">It is difficult to assess the impact of intensity of service on outcomes as </w:t>
            </w:r>
            <w:r w:rsidR="005B0824">
              <w:rPr>
                <w:color w:val="00264D" w:themeColor="background2"/>
              </w:rPr>
              <w:t>not all</w:t>
            </w:r>
            <w:r w:rsidR="00A72A1C">
              <w:rPr>
                <w:color w:val="00264D" w:themeColor="background2"/>
              </w:rPr>
              <w:t xml:space="preserve"> </w:t>
            </w:r>
            <w:r w:rsidRPr="00BF463D">
              <w:rPr>
                <w:color w:val="00264D" w:themeColor="background2"/>
              </w:rPr>
              <w:t>organisations accurately recorded the number of sessions participants accessed</w:t>
            </w:r>
            <w:r w:rsidR="00BF55E1">
              <w:rPr>
                <w:color w:val="00264D" w:themeColor="background2"/>
              </w:rPr>
              <w:t>.</w:t>
            </w:r>
            <w:r w:rsidRPr="00BF463D">
              <w:rPr>
                <w:color w:val="00264D" w:themeColor="background2"/>
              </w:rPr>
              <w:t xml:space="preserve"> </w:t>
            </w:r>
          </w:p>
          <w:p w14:paraId="3C7734E9" w14:textId="41A291E4" w:rsidR="00703F54" w:rsidRPr="00BF463D" w:rsidRDefault="00703F54" w:rsidP="00BF463D">
            <w:pPr>
              <w:pStyle w:val="Bullet"/>
              <w:ind w:left="738"/>
              <w:rPr>
                <w:color w:val="00264D" w:themeColor="background2"/>
              </w:rPr>
            </w:pPr>
            <w:r>
              <w:rPr>
                <w:color w:val="00264D" w:themeColor="background2"/>
              </w:rPr>
              <w:t>Anecdotally the pro</w:t>
            </w:r>
            <w:r w:rsidR="00A72A1C">
              <w:rPr>
                <w:color w:val="00264D" w:themeColor="background2"/>
              </w:rPr>
              <w:t>ject</w:t>
            </w:r>
            <w:r>
              <w:rPr>
                <w:color w:val="00264D" w:themeColor="background2"/>
              </w:rPr>
              <w:t xml:space="preserve">s </w:t>
            </w:r>
            <w:r w:rsidR="00062816">
              <w:rPr>
                <w:color w:val="00264D" w:themeColor="background2"/>
              </w:rPr>
              <w:t>that</w:t>
            </w:r>
            <w:r>
              <w:rPr>
                <w:color w:val="00264D" w:themeColor="background2"/>
              </w:rPr>
              <w:t xml:space="preserve"> created the greatest improvement in outcomes were </w:t>
            </w:r>
            <w:r w:rsidR="002B23D4">
              <w:rPr>
                <w:color w:val="00264D" w:themeColor="background2"/>
              </w:rPr>
              <w:t xml:space="preserve">those </w:t>
            </w:r>
            <w:r>
              <w:rPr>
                <w:color w:val="00264D" w:themeColor="background2"/>
              </w:rPr>
              <w:t>structured over a set period of time, and ongoing pro</w:t>
            </w:r>
            <w:r w:rsidR="002B007F">
              <w:rPr>
                <w:color w:val="00264D" w:themeColor="background2"/>
              </w:rPr>
              <w:t>jects</w:t>
            </w:r>
            <w:r>
              <w:rPr>
                <w:color w:val="00264D" w:themeColor="background2"/>
              </w:rPr>
              <w:t xml:space="preserve"> </w:t>
            </w:r>
            <w:r w:rsidR="00A140D9">
              <w:rPr>
                <w:color w:val="00264D" w:themeColor="background2"/>
              </w:rPr>
              <w:t>that</w:t>
            </w:r>
            <w:r>
              <w:rPr>
                <w:color w:val="00264D" w:themeColor="background2"/>
              </w:rPr>
              <w:t xml:space="preserve"> adapted their focus </w:t>
            </w:r>
            <w:r w:rsidR="00A94FF8">
              <w:rPr>
                <w:color w:val="00264D" w:themeColor="background2"/>
              </w:rPr>
              <w:t>based on participant feedback</w:t>
            </w:r>
            <w:r w:rsidR="00BF55E1">
              <w:rPr>
                <w:color w:val="00264D" w:themeColor="background2"/>
              </w:rPr>
              <w:t>.</w:t>
            </w:r>
          </w:p>
          <w:p w14:paraId="157BF364" w14:textId="32F6B99F" w:rsidR="00DF58F2" w:rsidRPr="00CE29B9" w:rsidRDefault="00FD4AAD" w:rsidP="00B77462">
            <w:pPr>
              <w:pStyle w:val="Bullet"/>
              <w:numPr>
                <w:ilvl w:val="0"/>
                <w:numId w:val="0"/>
              </w:numPr>
              <w:ind w:left="398"/>
              <w:rPr>
                <w:rFonts w:asciiTheme="minorHAnsi" w:hAnsiTheme="minorHAnsi" w:cstheme="minorHAnsi"/>
              </w:rPr>
            </w:pPr>
            <w:r>
              <w:rPr>
                <w:rFonts w:asciiTheme="majorHAnsi" w:hAnsiTheme="majorHAnsi" w:cstheme="majorHAnsi"/>
                <w:color w:val="00264D" w:themeColor="background2"/>
              </w:rPr>
              <w:t xml:space="preserve">6.3.3 </w:t>
            </w:r>
            <w:r w:rsidRPr="00BF463D">
              <w:rPr>
                <w:rFonts w:asciiTheme="majorHAnsi" w:hAnsiTheme="majorHAnsi" w:cstheme="majorHAnsi"/>
                <w:color w:val="00264D" w:themeColor="background2"/>
              </w:rPr>
              <w:t>The sustainability of outcomes varied depending on the structure of the pro</w:t>
            </w:r>
            <w:r>
              <w:rPr>
                <w:rFonts w:asciiTheme="majorHAnsi" w:hAnsiTheme="majorHAnsi" w:cstheme="majorHAnsi"/>
                <w:color w:val="00264D" w:themeColor="background2"/>
              </w:rPr>
              <w:t>ject</w:t>
            </w:r>
            <w:r w:rsidRPr="00BF463D">
              <w:rPr>
                <w:rFonts w:asciiTheme="majorHAnsi" w:hAnsiTheme="majorHAnsi" w:cstheme="majorHAnsi"/>
                <w:color w:val="00264D" w:themeColor="background2"/>
              </w:rPr>
              <w:t xml:space="preserve"> | </w:t>
            </w:r>
            <w:r w:rsidRPr="00BF463D">
              <w:rPr>
                <w:rFonts w:asciiTheme="minorHAnsi" w:hAnsiTheme="minorHAnsi" w:cstheme="minorHAnsi"/>
                <w:color w:val="00264D" w:themeColor="background2"/>
              </w:rPr>
              <w:t xml:space="preserve">Grant recipients and </w:t>
            </w:r>
            <w:r>
              <w:rPr>
                <w:rFonts w:asciiTheme="minorHAnsi" w:hAnsiTheme="minorHAnsi" w:cstheme="minorHAnsi"/>
                <w:color w:val="00264D" w:themeColor="background2"/>
              </w:rPr>
              <w:t>participants</w:t>
            </w:r>
            <w:r w:rsidRPr="00BF463D">
              <w:rPr>
                <w:rFonts w:asciiTheme="minorHAnsi" w:hAnsiTheme="minorHAnsi" w:cstheme="minorHAnsi"/>
                <w:color w:val="00264D" w:themeColor="background2"/>
              </w:rPr>
              <w:t xml:space="preserve"> reported that for structured short-term pro</w:t>
            </w:r>
            <w:r>
              <w:rPr>
                <w:rFonts w:asciiTheme="minorHAnsi" w:hAnsiTheme="minorHAnsi" w:cstheme="minorHAnsi"/>
                <w:color w:val="00264D" w:themeColor="background2"/>
              </w:rPr>
              <w:t>jects</w:t>
            </w:r>
            <w:r w:rsidRPr="00BF463D">
              <w:rPr>
                <w:rFonts w:asciiTheme="minorHAnsi" w:hAnsiTheme="minorHAnsi" w:cstheme="minorHAnsi"/>
                <w:color w:val="00264D" w:themeColor="background2"/>
              </w:rPr>
              <w:t xml:space="preserve"> funding ending did not impact their long</w:t>
            </w:r>
            <w:r w:rsidR="00A140D9">
              <w:rPr>
                <w:rFonts w:asciiTheme="minorHAnsi" w:hAnsiTheme="minorHAnsi" w:cstheme="minorHAnsi"/>
                <w:color w:val="00264D" w:themeColor="background2"/>
              </w:rPr>
              <w:t>-</w:t>
            </w:r>
            <w:r w:rsidRPr="00BF463D">
              <w:rPr>
                <w:rFonts w:asciiTheme="minorHAnsi" w:hAnsiTheme="minorHAnsi" w:cstheme="minorHAnsi"/>
                <w:color w:val="00264D" w:themeColor="background2"/>
              </w:rPr>
              <w:t xml:space="preserve">term outcomes, however for ongoing support services, </w:t>
            </w:r>
            <w:r>
              <w:rPr>
                <w:rFonts w:asciiTheme="minorHAnsi" w:hAnsiTheme="minorHAnsi" w:cstheme="minorHAnsi"/>
                <w:color w:val="00264D" w:themeColor="background2"/>
              </w:rPr>
              <w:t>participants</w:t>
            </w:r>
            <w:r w:rsidRPr="00BF463D">
              <w:rPr>
                <w:rFonts w:asciiTheme="minorHAnsi" w:hAnsiTheme="minorHAnsi" w:cstheme="minorHAnsi"/>
                <w:color w:val="00264D" w:themeColor="background2"/>
              </w:rPr>
              <w:t xml:space="preserve"> actively missed being able to attend the p</w:t>
            </w:r>
            <w:r>
              <w:rPr>
                <w:rFonts w:asciiTheme="minorHAnsi" w:hAnsiTheme="minorHAnsi" w:cstheme="minorHAnsi"/>
                <w:color w:val="00264D" w:themeColor="background2"/>
              </w:rPr>
              <w:t>roject activities</w:t>
            </w:r>
            <w:r w:rsidRPr="00BF463D">
              <w:rPr>
                <w:rFonts w:asciiTheme="minorHAnsi" w:hAnsiTheme="minorHAnsi" w:cstheme="minorHAnsi"/>
                <w:color w:val="00264D" w:themeColor="background2"/>
              </w:rPr>
              <w:t>.</w:t>
            </w:r>
          </w:p>
        </w:tc>
      </w:tr>
    </w:tbl>
    <w:p w14:paraId="6195AF59" w14:textId="630F2D41" w:rsidR="009C2DF7" w:rsidRDefault="00AA7559" w:rsidP="00695C05">
      <w:pPr>
        <w:pStyle w:val="Heading3"/>
      </w:pPr>
      <w:bookmarkStart w:id="53" w:name="_Toc240883565"/>
      <w:r>
        <w:t>Projects</w:t>
      </w:r>
      <w:r w:rsidR="009C2DF7">
        <w:t xml:space="preserve"> </w:t>
      </w:r>
      <w:r w:rsidR="009C2DF7" w:rsidRPr="009C2DF7">
        <w:t>funded</w:t>
      </w:r>
      <w:r w:rsidR="009C2DF7">
        <w:t xml:space="preserve"> through SARC</w:t>
      </w:r>
      <w:r w:rsidR="00472A73">
        <w:t xml:space="preserve"> </w:t>
      </w:r>
      <w:r w:rsidR="00C60E0E">
        <w:t xml:space="preserve">– </w:t>
      </w:r>
      <w:r w:rsidR="004C2BB2">
        <w:t xml:space="preserve">IC </w:t>
      </w:r>
      <w:r w:rsidR="00B12D9B">
        <w:t xml:space="preserve">saw improvements in </w:t>
      </w:r>
      <w:r w:rsidR="00972FA5">
        <w:t>the social and economic participation of</w:t>
      </w:r>
      <w:r w:rsidR="009C2DF7">
        <w:t xml:space="preserve"> </w:t>
      </w:r>
      <w:r w:rsidR="00B171B6">
        <w:t xml:space="preserve">most of </w:t>
      </w:r>
      <w:r w:rsidR="009C2DF7">
        <w:t xml:space="preserve">their participants </w:t>
      </w:r>
      <w:r w:rsidR="00B12D9B">
        <w:t>(pre/post)</w:t>
      </w:r>
      <w:bookmarkEnd w:id="53"/>
    </w:p>
    <w:p w14:paraId="39951A01" w14:textId="12156A2F" w:rsidR="00695812" w:rsidRDefault="00932CCE" w:rsidP="00695812">
      <w:pPr>
        <w:pStyle w:val="Heading5"/>
      </w:pPr>
      <w:r>
        <w:t xml:space="preserve">Projects </w:t>
      </w:r>
      <w:r w:rsidR="00695812">
        <w:t>funded through SARC</w:t>
      </w:r>
      <w:r w:rsidR="00C60E0E">
        <w:t xml:space="preserve"> – </w:t>
      </w:r>
      <w:r w:rsidR="004C2BB2">
        <w:t xml:space="preserve">IC </w:t>
      </w:r>
      <w:r w:rsidR="002B4970">
        <w:t xml:space="preserve">saw </w:t>
      </w:r>
      <w:r w:rsidR="000161FD">
        <w:t>most</w:t>
      </w:r>
      <w:r w:rsidR="002B4970">
        <w:t xml:space="preserve"> participants improve their pre/post SCOREs </w:t>
      </w:r>
      <w:r w:rsidR="00695812">
        <w:t xml:space="preserve"> </w:t>
      </w:r>
    </w:p>
    <w:p w14:paraId="5EC8F0BC" w14:textId="189EC728" w:rsidR="00976E76" w:rsidRDefault="009C2DF7" w:rsidP="009C2DF7">
      <w:r>
        <w:t xml:space="preserve">Program data and feedback from grant recipients and </w:t>
      </w:r>
      <w:r w:rsidR="003C3F64">
        <w:t>participants</w:t>
      </w:r>
      <w:r>
        <w:t xml:space="preserve"> show that </w:t>
      </w:r>
      <w:r w:rsidR="00932CCE">
        <w:t>projects</w:t>
      </w:r>
      <w:r>
        <w:t xml:space="preserve"> funded through SARC</w:t>
      </w:r>
      <w:r w:rsidR="00C60E0E">
        <w:t xml:space="preserve"> – </w:t>
      </w:r>
      <w:r>
        <w:t>IC had a meaningful</w:t>
      </w:r>
      <w:r w:rsidR="002B415E">
        <w:t>,</w:t>
      </w:r>
      <w:r>
        <w:t xml:space="preserve"> positive impact on the majority of </w:t>
      </w:r>
      <w:r w:rsidR="003C3F64">
        <w:t>participants</w:t>
      </w:r>
      <w:r w:rsidR="00663771">
        <w:t xml:space="preserve"> who had recorded SCORE</w:t>
      </w:r>
      <w:r w:rsidR="00725C1C">
        <w:t xml:space="preserve"> data</w:t>
      </w:r>
      <w:r>
        <w:t xml:space="preserve">. </w:t>
      </w:r>
      <w:r w:rsidR="00D30A45">
        <w:fldChar w:fldCharType="begin" w:fldLock="1"/>
      </w:r>
      <w:r w:rsidR="00D30A45">
        <w:instrText xml:space="preserve"> REF _Ref216794533 \h </w:instrText>
      </w:r>
      <w:r w:rsidR="00D30A45">
        <w:fldChar w:fldCharType="separate"/>
      </w:r>
      <w:r w:rsidR="00D30A45">
        <w:t xml:space="preserve">Figure </w:t>
      </w:r>
      <w:r w:rsidR="00D30A45">
        <w:rPr>
          <w:noProof/>
        </w:rPr>
        <w:t>7</w:t>
      </w:r>
      <w:r w:rsidR="00D30A45">
        <w:fldChar w:fldCharType="end"/>
      </w:r>
      <w:r w:rsidR="00D30A45">
        <w:t xml:space="preserve"> </w:t>
      </w:r>
      <w:r w:rsidR="00C679CF">
        <w:t>overleaf</w:t>
      </w:r>
      <w:r w:rsidR="00D30A45">
        <w:t xml:space="preserve"> shows the proportion of participants in all target groups that increased their score in a key outcome domain over the duration of the pro</w:t>
      </w:r>
      <w:r w:rsidR="00E77DDF">
        <w:t>ject</w:t>
      </w:r>
      <w:r w:rsidR="00D30A45">
        <w:t xml:space="preserve">. </w:t>
      </w:r>
      <w:r w:rsidR="003C1E5E" w:rsidRPr="003C1E5E">
        <w:t>The reported sample sizes represent the number of clients with both pre- and post-assessment scores for each outcome. These may vary between cohorts and may be lower than the total number of clients with pre- and post</w:t>
      </w:r>
      <w:r w:rsidR="003C1E5E">
        <w:t>-</w:t>
      </w:r>
      <w:r w:rsidR="003C1E5E" w:rsidRPr="003C1E5E">
        <w:t>scores, as not all clients have scores recorded for every outcome.</w:t>
      </w:r>
      <w:r w:rsidR="003C1E5E">
        <w:t xml:space="preserve"> </w:t>
      </w:r>
      <w:r w:rsidR="00D30A45">
        <w:t xml:space="preserve">Over 55 per cent </w:t>
      </w:r>
      <w:r w:rsidR="00AC1C24">
        <w:t xml:space="preserve">(n = </w:t>
      </w:r>
      <w:r w:rsidR="00FE31FC">
        <w:t xml:space="preserve">2,304) </w:t>
      </w:r>
      <w:r w:rsidR="00D30A45">
        <w:t xml:space="preserve">of participants </w:t>
      </w:r>
      <w:r w:rsidR="00657F84">
        <w:t xml:space="preserve">improved their community participation and networks, around 50 per cent increased employment </w:t>
      </w:r>
      <w:r w:rsidR="00130BC8">
        <w:t>(n = ~2,100)</w:t>
      </w:r>
      <w:r w:rsidR="004D3D45">
        <w:rPr>
          <w:rStyle w:val="FootnoteReference"/>
        </w:rPr>
        <w:footnoteReference w:id="58"/>
      </w:r>
      <w:r w:rsidR="00130BC8">
        <w:t xml:space="preserve"> </w:t>
      </w:r>
      <w:r w:rsidR="00657F84">
        <w:t>and mental health</w:t>
      </w:r>
      <w:r w:rsidR="00130BC8">
        <w:t xml:space="preserve"> (n = 2,671)</w:t>
      </w:r>
      <w:r w:rsidR="00657F84">
        <w:t xml:space="preserve">, and around 45 per cent </w:t>
      </w:r>
      <w:r w:rsidR="00FE31FC">
        <w:t xml:space="preserve">(n = </w:t>
      </w:r>
      <w:r w:rsidR="00130BC8">
        <w:t xml:space="preserve">2,578) </w:t>
      </w:r>
      <w:r w:rsidR="00657F84">
        <w:t xml:space="preserve">increased their education and skills score. </w:t>
      </w:r>
    </w:p>
    <w:p w14:paraId="6E859FA2" w14:textId="42F5E6EA" w:rsidR="00BE5A6C" w:rsidRDefault="00BE5A6C" w:rsidP="00BE5A6C">
      <w:pPr>
        <w:pStyle w:val="Caption"/>
      </w:pPr>
      <w:bookmarkStart w:id="54" w:name="_Ref216794533"/>
      <w:r>
        <w:lastRenderedPageBreak/>
        <w:t xml:space="preserve">Figure </w:t>
      </w:r>
      <w:r>
        <w:fldChar w:fldCharType="begin"/>
      </w:r>
      <w:r>
        <w:instrText xml:space="preserve"> SEQ Figure \* ARABIC </w:instrText>
      </w:r>
      <w:r>
        <w:fldChar w:fldCharType="separate"/>
      </w:r>
      <w:r w:rsidR="00B666D1">
        <w:rPr>
          <w:noProof/>
        </w:rPr>
        <w:t>7</w:t>
      </w:r>
      <w:r>
        <w:fldChar w:fldCharType="end"/>
      </w:r>
      <w:bookmarkEnd w:id="54"/>
      <w:r>
        <w:t xml:space="preserve"> | Proportion of participants that increased their score by key outcome</w:t>
      </w:r>
    </w:p>
    <w:p w14:paraId="5AB9EDCA" w14:textId="3DBAE411" w:rsidR="00BE5A6C" w:rsidRDefault="00BE5A6C" w:rsidP="009C2DF7">
      <w:r w:rsidRPr="00BE5A6C">
        <w:rPr>
          <w:noProof/>
        </w:rPr>
        <w:drawing>
          <wp:inline distT="0" distB="0" distL="0" distR="0" wp14:anchorId="45CC22DD" wp14:editId="5A86C4FD">
            <wp:extent cx="5832475" cy="2937510"/>
            <wp:effectExtent l="0" t="0" r="0" b="0"/>
            <wp:docPr id="481" name="Picture 480" descr="Figure 7: Bar chart showing the proportion of participants reporting positive outcomes across four domains. Community participation and networks had the highest proportion of participants reporting improvement (55.3%), followed by mental health, wellbeing and self-care (49.0%), employment (48.2%), and education and skills training (44.9%), indicating positive outcomes were reported across all measured areas.">
              <a:extLst xmlns:a="http://schemas.openxmlformats.org/drawingml/2006/main">
                <a:ext uri="{FF2B5EF4-FFF2-40B4-BE49-F238E27FC236}">
                  <a16:creationId xmlns:a16="http://schemas.microsoft.com/office/drawing/2014/main" id="{06CD4CC4-34F5-105C-AAF1-087246DA8A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Picture 480" descr="Figure 7: Bar chart showing the proportion of participants reporting positive outcomes across four domains. Community participation and networks had the highest proportion of participants reporting improvement (55.3%), followed by mental health, wellbeing and self-care (49.0%), employment (48.2%), and education and skills training (44.9%), indicating positive outcomes were reported across all measured areas.">
                      <a:extLst>
                        <a:ext uri="{FF2B5EF4-FFF2-40B4-BE49-F238E27FC236}">
                          <a16:creationId xmlns:a16="http://schemas.microsoft.com/office/drawing/2014/main" id="{06CD4CC4-34F5-105C-AAF1-087246DA8ADB}"/>
                        </a:ext>
                      </a:extLst>
                    </pic:cNvPr>
                    <pic:cNvPicPr>
                      <a:picLocks noChangeAspect="1"/>
                    </pic:cNvPicPr>
                  </pic:nvPicPr>
                  <pic:blipFill>
                    <a:blip r:embed="rId37"/>
                    <a:stretch>
                      <a:fillRect/>
                    </a:stretch>
                  </pic:blipFill>
                  <pic:spPr>
                    <a:xfrm>
                      <a:off x="0" y="0"/>
                      <a:ext cx="5832475" cy="2937510"/>
                    </a:xfrm>
                    <a:prstGeom prst="rect">
                      <a:avLst/>
                    </a:prstGeom>
                  </pic:spPr>
                </pic:pic>
              </a:graphicData>
            </a:graphic>
          </wp:inline>
        </w:drawing>
      </w:r>
    </w:p>
    <w:p w14:paraId="3F1D39C1" w14:textId="77777777" w:rsidR="002E0CD2" w:rsidRPr="004C5DBB" w:rsidRDefault="002E0CD2" w:rsidP="002E0CD2">
      <w:r>
        <w:t>Source: extract from DSS data release published 31/10/2025</w:t>
      </w:r>
    </w:p>
    <w:p w14:paraId="3A326F95" w14:textId="1E88ECCA" w:rsidR="00024A51" w:rsidRDefault="00024A51" w:rsidP="009C2DF7">
      <w:r>
        <w:t xml:space="preserve">The outcomes were relatively similar across the four target cohorts, with significant decreases in the number of participants with very low outcome scores (1 or 2) over the course of participating in their </w:t>
      </w:r>
      <w:r w:rsidR="00932CCE">
        <w:t>project</w:t>
      </w:r>
      <w:r>
        <w:t xml:space="preserve">. </w:t>
      </w:r>
      <w:r w:rsidR="00A13B08">
        <w:t xml:space="preserve">An employment SCORE of 1 or 2 means the individual is unemployed </w:t>
      </w:r>
      <w:r w:rsidR="008569AB">
        <w:t>or only in short</w:t>
      </w:r>
      <w:r w:rsidR="005F4D54">
        <w:t>-</w:t>
      </w:r>
      <w:r w:rsidR="008569AB">
        <w:t xml:space="preserve">term work. </w:t>
      </w:r>
      <w:r>
        <w:t>Across most outcomes approximately 25-40</w:t>
      </w:r>
      <w:r w:rsidR="00FD7280" w:rsidRPr="4AF1E856">
        <w:rPr>
          <w:lang w:val="en-US"/>
        </w:rPr>
        <w:t xml:space="preserve"> per cent</w:t>
      </w:r>
      <w:r>
        <w:t xml:space="preserve"> of participants </w:t>
      </w:r>
      <w:r w:rsidR="00A558B7">
        <w:t xml:space="preserve">(n = 9,902) </w:t>
      </w:r>
      <w:r>
        <w:t>began the pro</w:t>
      </w:r>
      <w:r w:rsidR="00C85BE7">
        <w:t>ject</w:t>
      </w:r>
      <w:r>
        <w:t xml:space="preserve"> with a SCORE of 1 or 2, while only around 10</w:t>
      </w:r>
      <w:r w:rsidR="00FD7280" w:rsidRPr="4AF1E856">
        <w:rPr>
          <w:lang w:val="en-US"/>
        </w:rPr>
        <w:t xml:space="preserve"> per cent</w:t>
      </w:r>
      <w:r>
        <w:t xml:space="preserve"> of participants </w:t>
      </w:r>
      <w:r w:rsidR="00A558B7">
        <w:t xml:space="preserve">(n = 9,902) </w:t>
      </w:r>
      <w:r>
        <w:t>had a SCORE of 1 or 2 by the end of the pro</w:t>
      </w:r>
      <w:r w:rsidR="006D7AF5">
        <w:t>ject</w:t>
      </w:r>
      <w:r>
        <w:t xml:space="preserve">. A change in DEX score from 1-2 to 3 or higher represents a very substantial life change for participants. For example, under the community participation and network outcome, moving from feeling “very isolated” or “fairly isolated” to “somewhat connected” means individuals are no longer completely cut off from their communities and have begun establishing meaningful relationships. Similarly, in employment, progressing from “no work” </w:t>
      </w:r>
      <w:r w:rsidR="00B15060">
        <w:t xml:space="preserve">(SCORE 1) </w:t>
      </w:r>
      <w:r>
        <w:t xml:space="preserve">to “sometimes I have work and my ability to find work is improving” </w:t>
      </w:r>
      <w:r w:rsidR="00B15060">
        <w:t xml:space="preserve">(SCORE 3) </w:t>
      </w:r>
      <w:r>
        <w:t xml:space="preserve">reflects a critical shift toward meaningful economic participation and the significant benefits that brings people. </w:t>
      </w:r>
    </w:p>
    <w:p w14:paraId="7683E682" w14:textId="3CA516F1" w:rsidR="00695812" w:rsidRDefault="004C2BB2" w:rsidP="009C2DF7">
      <w:pPr>
        <w:pStyle w:val="Heading5"/>
      </w:pPr>
      <w:r>
        <w:t>The SARC</w:t>
      </w:r>
      <w:r w:rsidR="00B45F07">
        <w:t xml:space="preserve"> – </w:t>
      </w:r>
      <w:r>
        <w:t xml:space="preserve">IC </w:t>
      </w:r>
      <w:r w:rsidR="003D7121">
        <w:t xml:space="preserve">Activity </w:t>
      </w:r>
      <w:r>
        <w:t xml:space="preserve">has </w:t>
      </w:r>
      <w:r w:rsidR="00261BB2">
        <w:t xml:space="preserve">improved mental health outcomes for </w:t>
      </w:r>
      <w:r w:rsidR="008A6391">
        <w:t xml:space="preserve">large proportions of participants across </w:t>
      </w:r>
      <w:r w:rsidR="00261BB2">
        <w:t>all target groups</w:t>
      </w:r>
      <w:r w:rsidR="00695812">
        <w:t xml:space="preserve"> </w:t>
      </w:r>
    </w:p>
    <w:p w14:paraId="073BD624" w14:textId="77777777" w:rsidR="002071A3" w:rsidRDefault="005C550D" w:rsidP="009C2DF7">
      <w:r>
        <w:t xml:space="preserve">Projects </w:t>
      </w:r>
      <w:r w:rsidR="009C2DF7">
        <w:t>funded through SARC</w:t>
      </w:r>
      <w:r w:rsidR="00B45F07">
        <w:t xml:space="preserve"> – </w:t>
      </w:r>
      <w:r w:rsidR="009C2DF7">
        <w:t>IC</w:t>
      </w:r>
      <w:r w:rsidR="002420B3">
        <w:t xml:space="preserve"> </w:t>
      </w:r>
      <w:r w:rsidR="009C2DF7">
        <w:t xml:space="preserve">were associated with </w:t>
      </w:r>
      <w:r w:rsidR="00554E09">
        <w:t>improved</w:t>
      </w:r>
      <w:r w:rsidR="009C2DF7">
        <w:t xml:space="preserve"> outcomes for large proportions of participants in target groups. Significant improvements </w:t>
      </w:r>
      <w:r w:rsidR="005C2150">
        <w:t xml:space="preserve">in the mental health outcome </w:t>
      </w:r>
      <w:r w:rsidR="009C2DF7">
        <w:t xml:space="preserve">were observed </w:t>
      </w:r>
      <w:r w:rsidR="005C2150">
        <w:t>(</w:t>
      </w:r>
      <w:r w:rsidR="00133CE2">
        <w:fldChar w:fldCharType="begin" w:fldLock="1"/>
      </w:r>
      <w:r w:rsidR="00133CE2">
        <w:instrText xml:space="preserve"> REF _Ref216346592 \h </w:instrText>
      </w:r>
      <w:r w:rsidR="00133CE2">
        <w:fldChar w:fldCharType="separate"/>
      </w:r>
      <w:r w:rsidR="00133CE2">
        <w:t xml:space="preserve">Figure </w:t>
      </w:r>
      <w:r w:rsidR="00133CE2">
        <w:rPr>
          <w:noProof/>
        </w:rPr>
        <w:t>8</w:t>
      </w:r>
      <w:r w:rsidR="00133CE2">
        <w:fldChar w:fldCharType="end"/>
      </w:r>
      <w:r w:rsidR="00C40DAE">
        <w:t xml:space="preserve"> overleaf</w:t>
      </w:r>
      <w:r w:rsidR="005C2150">
        <w:t xml:space="preserve">) </w:t>
      </w:r>
      <w:r w:rsidR="009C2DF7">
        <w:t xml:space="preserve">for </w:t>
      </w:r>
      <w:r w:rsidR="005C2150">
        <w:t xml:space="preserve">women at risk of disadvantage and, unemployed people, and </w:t>
      </w:r>
      <w:r w:rsidR="009C2DF7">
        <w:t>12- to 18-year-olds</w:t>
      </w:r>
      <w:r w:rsidR="003C5735">
        <w:t xml:space="preserve">, with </w:t>
      </w:r>
      <w:r w:rsidR="00DE0E1B">
        <w:t>55</w:t>
      </w:r>
      <w:r w:rsidR="00FD7280">
        <w:rPr>
          <w:lang w:val="en-US"/>
        </w:rPr>
        <w:t xml:space="preserve"> per cent</w:t>
      </w:r>
      <w:r w:rsidR="00DE0E1B">
        <w:t xml:space="preserve"> </w:t>
      </w:r>
      <w:r w:rsidR="00981BFC">
        <w:t xml:space="preserve">(n = </w:t>
      </w:r>
      <w:r w:rsidR="004821C5">
        <w:t>738</w:t>
      </w:r>
      <w:r w:rsidR="00981BFC">
        <w:t xml:space="preserve">), </w:t>
      </w:r>
      <w:r w:rsidR="00DE0E1B">
        <w:t>51</w:t>
      </w:r>
      <w:r w:rsidR="00FD7280">
        <w:rPr>
          <w:lang w:val="en-US"/>
        </w:rPr>
        <w:t xml:space="preserve"> per cent</w:t>
      </w:r>
      <w:r w:rsidR="00DE0E1B">
        <w:t xml:space="preserve"> </w:t>
      </w:r>
      <w:r w:rsidR="00981BFC">
        <w:t xml:space="preserve">(n = </w:t>
      </w:r>
      <w:r w:rsidR="002335AA">
        <w:t>831</w:t>
      </w:r>
      <w:r w:rsidR="009C1601">
        <w:t xml:space="preserve">), and 49 per cent (n = </w:t>
      </w:r>
      <w:r w:rsidR="00423A4D">
        <w:t>231</w:t>
      </w:r>
      <w:r w:rsidR="009C1601">
        <w:t xml:space="preserve">) </w:t>
      </w:r>
      <w:r w:rsidR="00DE0E1B">
        <w:t>of participants</w:t>
      </w:r>
      <w:r w:rsidR="009C1601">
        <w:t>, respectively,</w:t>
      </w:r>
      <w:r w:rsidR="00DE0E1B">
        <w:t xml:space="preserve"> recording improved outcomes respectively</w:t>
      </w:r>
      <w:r w:rsidR="005C2150">
        <w:t xml:space="preserve">. </w:t>
      </w:r>
      <w:r w:rsidR="009E57AE">
        <w:t xml:space="preserve">A smaller </w:t>
      </w:r>
      <w:r w:rsidR="00860E57">
        <w:t>but still significant</w:t>
      </w:r>
      <w:r w:rsidR="009E57AE">
        <w:t xml:space="preserve"> proportion</w:t>
      </w:r>
      <w:r w:rsidR="00860E57">
        <w:t xml:space="preserve"> (42</w:t>
      </w:r>
      <w:r w:rsidR="00FD7280">
        <w:rPr>
          <w:lang w:val="en-US"/>
        </w:rPr>
        <w:t xml:space="preserve"> per cent</w:t>
      </w:r>
      <w:r w:rsidR="00531AE6">
        <w:rPr>
          <w:lang w:val="en-US"/>
        </w:rPr>
        <w:t xml:space="preserve">, n = </w:t>
      </w:r>
      <w:r w:rsidR="00E30D98">
        <w:rPr>
          <w:lang w:val="en-US"/>
        </w:rPr>
        <w:t>871</w:t>
      </w:r>
      <w:r w:rsidR="00860E57">
        <w:t>)</w:t>
      </w:r>
      <w:r w:rsidR="009E57AE">
        <w:t xml:space="preserve"> of p</w:t>
      </w:r>
      <w:r w:rsidR="005C2150">
        <w:t>eople</w:t>
      </w:r>
      <w:r w:rsidR="009C2DF7">
        <w:t xml:space="preserve"> with </w:t>
      </w:r>
      <w:r w:rsidR="005C2150">
        <w:t xml:space="preserve">a disability </w:t>
      </w:r>
      <w:r w:rsidR="009E57AE">
        <w:t>improved</w:t>
      </w:r>
      <w:r w:rsidR="005C2150">
        <w:t xml:space="preserve"> their score. The SARC</w:t>
      </w:r>
      <w:r w:rsidR="000B3933">
        <w:t xml:space="preserve"> – </w:t>
      </w:r>
      <w:r w:rsidR="002420B3">
        <w:t xml:space="preserve">IC </w:t>
      </w:r>
      <w:r w:rsidR="00FF6A23">
        <w:t>Activity</w:t>
      </w:r>
      <w:r w:rsidR="005C2150">
        <w:t xml:space="preserve"> </w:t>
      </w:r>
      <w:r w:rsidR="009E57AE">
        <w:t>appears to be</w:t>
      </w:r>
      <w:r w:rsidR="005C2150">
        <w:t xml:space="preserve"> effective at helping to protect and improve the mental health of participants across most target groups, however there is an opportunity to further examine how </w:t>
      </w:r>
      <w:r w:rsidR="00635D27">
        <w:t>SARC – IC</w:t>
      </w:r>
      <w:r w:rsidR="005C2150">
        <w:t xml:space="preserve"> could be better tailored to address the needs</w:t>
      </w:r>
      <w:r w:rsidR="00D35FE4">
        <w:t xml:space="preserve"> of </w:t>
      </w:r>
      <w:r w:rsidR="009C2DF7">
        <w:t xml:space="preserve">participants with </w:t>
      </w:r>
      <w:r w:rsidR="005C2150">
        <w:t xml:space="preserve">a disability. </w:t>
      </w:r>
    </w:p>
    <w:p w14:paraId="52EC1EAB" w14:textId="77777777" w:rsidR="009270B4" w:rsidRPr="009270B4" w:rsidRDefault="009270B4" w:rsidP="009C2DF7">
      <w:pPr>
        <w:rPr>
          <w:sz w:val="14"/>
          <w:szCs w:val="14"/>
        </w:rPr>
      </w:pPr>
    </w:p>
    <w:tbl>
      <w:tblPr>
        <w:tblStyle w:val="TableGrid"/>
        <w:tblW w:w="0" w:type="auto"/>
        <w:tblLook w:val="04A0" w:firstRow="1" w:lastRow="0" w:firstColumn="1" w:lastColumn="0" w:noHBand="0" w:noVBand="1"/>
      </w:tblPr>
      <w:tblGrid>
        <w:gridCol w:w="9175"/>
      </w:tblGrid>
      <w:tr w:rsidR="00F57784" w14:paraId="4418F0F4" w14:textId="77777777" w:rsidTr="00F57784">
        <w:tc>
          <w:tcPr>
            <w:tcW w:w="9175" w:type="dxa"/>
            <w:tcBorders>
              <w:top w:val="nil"/>
              <w:left w:val="nil"/>
              <w:bottom w:val="nil"/>
              <w:right w:val="nil"/>
            </w:tcBorders>
            <w:shd w:val="clear" w:color="auto" w:fill="D9D9D9" w:themeFill="background1" w:themeFillShade="D9"/>
          </w:tcPr>
          <w:p w14:paraId="22FB97EF" w14:textId="77777777" w:rsidR="00F57784" w:rsidRDefault="00F57784" w:rsidP="00F57784">
            <w:pPr>
              <w:spacing w:after="0"/>
              <w:jc w:val="center"/>
              <w:rPr>
                <w:rFonts w:asciiTheme="majorHAnsi" w:hAnsiTheme="majorHAnsi" w:cstheme="majorBidi"/>
                <w:i/>
                <w:iCs/>
                <w:color w:val="00264D" w:themeColor="background2"/>
              </w:rPr>
            </w:pPr>
          </w:p>
          <w:p w14:paraId="4FA5C1B2" w14:textId="4EC2D1E8" w:rsidR="00F57784"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 xml:space="preserve">"I now feel empowered, because of that program. Has given meaning to my life, have suffered severe depression and was very lonely; gave me confidence that I belong to a community. </w:t>
            </w:r>
          </w:p>
          <w:p w14:paraId="2504B124" w14:textId="77777777" w:rsidR="00F57784" w:rsidRPr="008C340D"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I suffer from anxiety ... it has made it a safe space to meet new people and not feel judged or out of place - just really welcoming and open</w:t>
            </w:r>
            <w:r>
              <w:rPr>
                <w:rFonts w:asciiTheme="majorHAnsi" w:hAnsiTheme="majorHAnsi" w:cstheme="majorBidi"/>
                <w:i/>
                <w:iCs/>
                <w:color w:val="00264D" w:themeColor="background2"/>
              </w:rPr>
              <w:t>.</w:t>
            </w:r>
            <w:r w:rsidRPr="00333D09">
              <w:rPr>
                <w:rFonts w:asciiTheme="majorHAnsi" w:hAnsiTheme="majorHAnsi" w:cstheme="majorBidi"/>
                <w:i/>
                <w:iCs/>
                <w:color w:val="00264D" w:themeColor="background2"/>
              </w:rPr>
              <w:t>"</w:t>
            </w:r>
          </w:p>
          <w:p w14:paraId="45861679" w14:textId="77777777" w:rsidR="00F57784" w:rsidRDefault="00F57784" w:rsidP="009C2DF7"/>
        </w:tc>
      </w:tr>
    </w:tbl>
    <w:p w14:paraId="09B2322D" w14:textId="2177D562" w:rsidR="009C2DF7" w:rsidRDefault="009C2DF7" w:rsidP="009C2DF7"/>
    <w:p w14:paraId="26E2DF4C" w14:textId="02D778C6" w:rsidR="005C2150" w:rsidRDefault="00C07409" w:rsidP="005C2150">
      <w:pPr>
        <w:pStyle w:val="Caption"/>
      </w:pPr>
      <w:bookmarkStart w:id="55" w:name="figure_8"/>
      <w:bookmarkStart w:id="56" w:name="_Ref216346592"/>
      <w:bookmarkEnd w:id="55"/>
      <w:r>
        <w:t xml:space="preserve">Figure </w:t>
      </w:r>
      <w:r>
        <w:fldChar w:fldCharType="begin"/>
      </w:r>
      <w:r>
        <w:instrText xml:space="preserve"> SEQ Figure \* ARABIC </w:instrText>
      </w:r>
      <w:r>
        <w:fldChar w:fldCharType="separate"/>
      </w:r>
      <w:r w:rsidR="00B666D1">
        <w:rPr>
          <w:noProof/>
        </w:rPr>
        <w:t>8</w:t>
      </w:r>
      <w:r>
        <w:fldChar w:fldCharType="end"/>
      </w:r>
      <w:bookmarkEnd w:id="56"/>
      <w:r w:rsidR="006D553D">
        <w:t xml:space="preserve"> </w:t>
      </w:r>
      <w:r w:rsidR="005C2150">
        <w:t xml:space="preserve">| </w:t>
      </w:r>
      <w:r w:rsidR="00614DB5">
        <w:t>M</w:t>
      </w:r>
      <w:r w:rsidR="005C2150">
        <w:t>ental health, wellbeing, and self-care scores, by target group</w:t>
      </w:r>
      <w:r w:rsidR="00614DB5">
        <w:t xml:space="preserve"> and period </w:t>
      </w:r>
    </w:p>
    <w:p w14:paraId="29B48626" w14:textId="0CFC7CF7" w:rsidR="00D132DB" w:rsidRDefault="00151419" w:rsidP="00D132DB">
      <w:r>
        <w:rPr>
          <w:noProof/>
        </w:rPr>
        <w:drawing>
          <wp:inline distT="0" distB="0" distL="0" distR="0" wp14:anchorId="4D52B68B" wp14:editId="09CF38FB">
            <wp:extent cx="5695950" cy="5385262"/>
            <wp:effectExtent l="0" t="0" r="0" b="6350"/>
            <wp:docPr id="278305574" name="Picture 12" descr="Figure 8: Figure showing Mental health, wellbeing, and self-care scores, by target group and period. Figure description at Appendix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05574" name="Picture 12" descr="Figure 8: Figure showing Mental health, wellbeing, and self-care scores, by target group and period. Figure description at Appendix 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698745" cy="5387904"/>
                    </a:xfrm>
                    <a:prstGeom prst="rect">
                      <a:avLst/>
                    </a:prstGeom>
                  </pic:spPr>
                </pic:pic>
              </a:graphicData>
            </a:graphic>
          </wp:inline>
        </w:drawing>
      </w:r>
    </w:p>
    <w:p w14:paraId="45856E49" w14:textId="5C43E948" w:rsidR="006D3381" w:rsidRPr="00D132DB" w:rsidRDefault="006D3381" w:rsidP="00D132DB">
      <w:hyperlink w:anchor="_Figure_8_description" w:history="1">
        <w:r w:rsidRPr="006D3381">
          <w:rPr>
            <w:rStyle w:val="Hyperlink"/>
          </w:rPr>
          <w:t>Figure 8 full description</w:t>
        </w:r>
      </w:hyperlink>
    </w:p>
    <w:p w14:paraId="3178D6C4" w14:textId="77777777" w:rsidR="002E0CD2" w:rsidRPr="004C5DBB" w:rsidRDefault="002E0CD2" w:rsidP="002E0CD2">
      <w:r>
        <w:t>Source: extract from DSS data release published 31/10/2025</w:t>
      </w:r>
    </w:p>
    <w:tbl>
      <w:tblPr>
        <w:tblStyle w:val="NOUS"/>
        <w:tblW w:w="0" w:type="auto"/>
        <w:tblBorders>
          <w:bottom w:val="none" w:sz="0" w:space="0" w:color="auto"/>
          <w:right w:val="single" w:sz="18" w:space="0" w:color="FF3A40" w:themeColor="accent1"/>
          <w:insideH w:val="none" w:sz="0" w:space="0" w:color="auto"/>
        </w:tblBorders>
        <w:tblLook w:val="04A0" w:firstRow="1" w:lastRow="0" w:firstColumn="1" w:lastColumn="0" w:noHBand="0" w:noVBand="1"/>
      </w:tblPr>
      <w:tblGrid>
        <w:gridCol w:w="9185"/>
      </w:tblGrid>
      <w:tr w:rsidR="006F1DAE" w14:paraId="4DE13787" w14:textId="77777777" w:rsidTr="00C87F6C">
        <w:trPr>
          <w:cnfStyle w:val="100000000000" w:firstRow="1" w:lastRow="0" w:firstColumn="0" w:lastColumn="0" w:oddVBand="0" w:evenVBand="0" w:oddHBand="0" w:evenHBand="0" w:firstRowFirstColumn="0" w:firstRowLastColumn="0" w:lastRowFirstColumn="0" w:lastRowLastColumn="0"/>
        </w:trPr>
        <w:tc>
          <w:tcPr>
            <w:tcW w:w="9185" w:type="dxa"/>
          </w:tcPr>
          <w:p w14:paraId="1E195BBE" w14:textId="439EE587" w:rsidR="005C175C" w:rsidRPr="008D1384" w:rsidRDefault="005C175C">
            <w:pPr>
              <w:pStyle w:val="TableNheader"/>
              <w:ind w:left="196" w:right="148"/>
              <w:rPr>
                <w:sz w:val="19"/>
                <w:szCs w:val="19"/>
              </w:rPr>
            </w:pPr>
            <w:r w:rsidRPr="008D1384">
              <w:rPr>
                <w:sz w:val="19"/>
                <w:szCs w:val="19"/>
              </w:rPr>
              <w:t xml:space="preserve">Case study | Improving mental health  </w:t>
            </w:r>
          </w:p>
        </w:tc>
      </w:tr>
      <w:tr w:rsidR="009B30ED" w14:paraId="52663076" w14:textId="77777777" w:rsidTr="00C87F6C">
        <w:tc>
          <w:tcPr>
            <w:tcW w:w="9185" w:type="dxa"/>
            <w:tcBorders>
              <w:right w:val="nil"/>
            </w:tcBorders>
            <w:shd w:val="clear" w:color="auto" w:fill="F2F2F2" w:themeFill="background1" w:themeFillShade="F2"/>
          </w:tcPr>
          <w:p w14:paraId="24D9CBA5" w14:textId="1472A314" w:rsidR="005C175C" w:rsidRPr="008D1384" w:rsidRDefault="5C3D8351" w:rsidP="00812596">
            <w:pPr>
              <w:pStyle w:val="TableNText"/>
              <w:ind w:left="196" w:right="148"/>
              <w:rPr>
                <w:sz w:val="18"/>
                <w:szCs w:val="18"/>
              </w:rPr>
            </w:pPr>
            <w:r w:rsidRPr="008D1384">
              <w:rPr>
                <w:noProof/>
                <w:sz w:val="18"/>
                <w:szCs w:val="18"/>
              </w:rPr>
              <w:t xml:space="preserve">A </w:t>
            </w:r>
            <w:r w:rsidR="65E68CA4" w:rsidRPr="008D1384">
              <w:rPr>
                <w:noProof/>
                <w:sz w:val="18"/>
                <w:szCs w:val="18"/>
              </w:rPr>
              <w:t>SARC – IC funded</w:t>
            </w:r>
            <w:r w:rsidRPr="008D1384">
              <w:rPr>
                <w:noProof/>
                <w:sz w:val="18"/>
                <w:szCs w:val="18"/>
              </w:rPr>
              <w:t xml:space="preserve"> </w:t>
            </w:r>
            <w:r w:rsidR="00640FF7" w:rsidRPr="008D1384">
              <w:rPr>
                <w:noProof/>
                <w:sz w:val="18"/>
                <w:szCs w:val="18"/>
              </w:rPr>
              <w:t xml:space="preserve">project </w:t>
            </w:r>
            <w:r w:rsidR="7B8242E1" w:rsidRPr="008D1384">
              <w:rPr>
                <w:noProof/>
                <w:sz w:val="18"/>
                <w:szCs w:val="18"/>
              </w:rPr>
              <w:t xml:space="preserve">aimed at improving wellbeing </w:t>
            </w:r>
            <w:r w:rsidR="45450EBB" w:rsidRPr="008D1384">
              <w:rPr>
                <w:noProof/>
                <w:sz w:val="18"/>
                <w:szCs w:val="18"/>
              </w:rPr>
              <w:t xml:space="preserve">and mental health </w:t>
            </w:r>
            <w:r w:rsidR="7B8242E1" w:rsidRPr="008D1384">
              <w:rPr>
                <w:noProof/>
                <w:sz w:val="18"/>
                <w:szCs w:val="18"/>
              </w:rPr>
              <w:t xml:space="preserve">outcomes for people with mental health </w:t>
            </w:r>
            <w:r w:rsidR="34948811" w:rsidRPr="008D1384">
              <w:rPr>
                <w:noProof/>
                <w:sz w:val="18"/>
                <w:szCs w:val="18"/>
              </w:rPr>
              <w:t>conditions</w:t>
            </w:r>
            <w:r w:rsidR="6EC1EDBA" w:rsidRPr="008D1384">
              <w:rPr>
                <w:noProof/>
                <w:sz w:val="18"/>
                <w:szCs w:val="18"/>
              </w:rPr>
              <w:t xml:space="preserve"> in regional areas</w:t>
            </w:r>
            <w:r w:rsidRPr="008D1384">
              <w:rPr>
                <w:noProof/>
                <w:sz w:val="18"/>
                <w:szCs w:val="18"/>
              </w:rPr>
              <w:t xml:space="preserve"> was </w:t>
            </w:r>
            <w:r w:rsidR="4F84518F" w:rsidRPr="008D1384">
              <w:rPr>
                <w:noProof/>
                <w:sz w:val="18"/>
                <w:szCs w:val="18"/>
              </w:rPr>
              <w:t xml:space="preserve">designed to use animal therapy to </w:t>
            </w:r>
            <w:r w:rsidR="2B3D6C27" w:rsidRPr="008D1384">
              <w:rPr>
                <w:noProof/>
                <w:sz w:val="18"/>
                <w:szCs w:val="18"/>
              </w:rPr>
              <w:t xml:space="preserve">support </w:t>
            </w:r>
            <w:r w:rsidR="4F84518F" w:rsidRPr="008D1384">
              <w:rPr>
                <w:noProof/>
                <w:sz w:val="18"/>
                <w:szCs w:val="18"/>
              </w:rPr>
              <w:t xml:space="preserve">participants </w:t>
            </w:r>
            <w:r w:rsidR="231862BA" w:rsidRPr="008D1384">
              <w:rPr>
                <w:noProof/>
                <w:sz w:val="18"/>
                <w:szCs w:val="18"/>
              </w:rPr>
              <w:t xml:space="preserve">experiencing severe mental health difficulties. </w:t>
            </w:r>
            <w:r w:rsidR="4E6BFD48" w:rsidRPr="008D1384">
              <w:rPr>
                <w:noProof/>
                <w:sz w:val="18"/>
                <w:szCs w:val="18"/>
              </w:rPr>
              <w:t xml:space="preserve">The service ran a short structured </w:t>
            </w:r>
            <w:r w:rsidR="00640FF7" w:rsidRPr="008D1384">
              <w:rPr>
                <w:noProof/>
                <w:sz w:val="18"/>
                <w:szCs w:val="18"/>
              </w:rPr>
              <w:t>service</w:t>
            </w:r>
            <w:r w:rsidR="4E6BFD48" w:rsidRPr="008D1384">
              <w:rPr>
                <w:noProof/>
                <w:sz w:val="18"/>
                <w:szCs w:val="18"/>
              </w:rPr>
              <w:t xml:space="preserve"> for participants </w:t>
            </w:r>
            <w:r w:rsidR="24D4E238" w:rsidRPr="008D1384">
              <w:rPr>
                <w:noProof/>
                <w:sz w:val="18"/>
                <w:szCs w:val="18"/>
              </w:rPr>
              <w:t xml:space="preserve">to provide them with </w:t>
            </w:r>
            <w:r w:rsidR="43111072" w:rsidRPr="008D1384">
              <w:rPr>
                <w:noProof/>
                <w:sz w:val="18"/>
                <w:szCs w:val="18"/>
              </w:rPr>
              <w:t>connections to animals and people</w:t>
            </w:r>
            <w:r w:rsidR="0E5AD99A" w:rsidRPr="008D1384">
              <w:rPr>
                <w:noProof/>
                <w:sz w:val="18"/>
                <w:szCs w:val="18"/>
              </w:rPr>
              <w:t>,</w:t>
            </w:r>
            <w:r w:rsidR="45450EBB" w:rsidRPr="008D1384">
              <w:rPr>
                <w:noProof/>
                <w:sz w:val="18"/>
                <w:szCs w:val="18"/>
              </w:rPr>
              <w:t xml:space="preserve"> and a</w:t>
            </w:r>
            <w:r w:rsidR="4E6BFD48" w:rsidRPr="008D1384">
              <w:rPr>
                <w:noProof/>
                <w:sz w:val="18"/>
                <w:szCs w:val="18"/>
              </w:rPr>
              <w:t xml:space="preserve"> sense of purpose</w:t>
            </w:r>
            <w:r w:rsidR="45450EBB" w:rsidRPr="008D1384">
              <w:rPr>
                <w:noProof/>
                <w:sz w:val="18"/>
                <w:szCs w:val="18"/>
              </w:rPr>
              <w:t>.</w:t>
            </w:r>
            <w:r w:rsidR="17FB5DC0" w:rsidRPr="008D1384">
              <w:rPr>
                <w:noProof/>
                <w:sz w:val="18"/>
                <w:szCs w:val="18"/>
              </w:rPr>
              <w:t xml:space="preserve"> </w:t>
            </w:r>
            <w:r w:rsidR="45450EBB" w:rsidRPr="008D1384">
              <w:rPr>
                <w:noProof/>
                <w:sz w:val="18"/>
                <w:szCs w:val="18"/>
              </w:rPr>
              <w:t>M</w:t>
            </w:r>
            <w:r w:rsidR="0671838D" w:rsidRPr="008D1384">
              <w:rPr>
                <w:noProof/>
                <w:sz w:val="18"/>
                <w:szCs w:val="18"/>
              </w:rPr>
              <w:t xml:space="preserve">any </w:t>
            </w:r>
            <w:r w:rsidR="003C3F64" w:rsidRPr="008D1384">
              <w:rPr>
                <w:noProof/>
                <w:sz w:val="18"/>
                <w:szCs w:val="18"/>
              </w:rPr>
              <w:t>participants</w:t>
            </w:r>
            <w:r w:rsidR="0671838D" w:rsidRPr="008D1384">
              <w:rPr>
                <w:noProof/>
                <w:sz w:val="18"/>
                <w:szCs w:val="18"/>
              </w:rPr>
              <w:t xml:space="preserve"> report</w:t>
            </w:r>
            <w:r w:rsidR="45450EBB" w:rsidRPr="008D1384">
              <w:rPr>
                <w:noProof/>
                <w:sz w:val="18"/>
                <w:szCs w:val="18"/>
              </w:rPr>
              <w:t>ed</w:t>
            </w:r>
            <w:r w:rsidR="0671838D" w:rsidRPr="008D1384">
              <w:rPr>
                <w:noProof/>
                <w:sz w:val="18"/>
                <w:szCs w:val="18"/>
              </w:rPr>
              <w:t xml:space="preserve"> that attending the pro</w:t>
            </w:r>
            <w:r w:rsidR="00635D27" w:rsidRPr="008D1384">
              <w:rPr>
                <w:noProof/>
                <w:sz w:val="18"/>
                <w:szCs w:val="18"/>
              </w:rPr>
              <w:t>ject activities</w:t>
            </w:r>
            <w:r w:rsidR="0671838D" w:rsidRPr="008D1384">
              <w:rPr>
                <w:noProof/>
                <w:sz w:val="18"/>
                <w:szCs w:val="18"/>
              </w:rPr>
              <w:t xml:space="preserve"> </w:t>
            </w:r>
            <w:r w:rsidR="21B3F704" w:rsidRPr="008D1384">
              <w:rPr>
                <w:noProof/>
                <w:sz w:val="18"/>
                <w:szCs w:val="18"/>
              </w:rPr>
              <w:t>helped them build confidenc</w:t>
            </w:r>
            <w:r w:rsidR="09FBB3A2" w:rsidRPr="008D1384">
              <w:rPr>
                <w:noProof/>
                <w:sz w:val="18"/>
                <w:szCs w:val="18"/>
              </w:rPr>
              <w:t>e and overcome trauma, with some participants returning as volunteers after the pro</w:t>
            </w:r>
            <w:r w:rsidR="00377992" w:rsidRPr="008D1384">
              <w:rPr>
                <w:noProof/>
                <w:sz w:val="18"/>
                <w:szCs w:val="18"/>
              </w:rPr>
              <w:t>ject</w:t>
            </w:r>
            <w:r w:rsidR="09FBB3A2" w:rsidRPr="008D1384">
              <w:rPr>
                <w:noProof/>
                <w:sz w:val="18"/>
                <w:szCs w:val="18"/>
              </w:rPr>
              <w:t xml:space="preserve"> finished. </w:t>
            </w:r>
            <w:r w:rsidR="45450EBB" w:rsidRPr="008D1384">
              <w:rPr>
                <w:noProof/>
                <w:sz w:val="18"/>
                <w:szCs w:val="18"/>
              </w:rPr>
              <w:t>An e</w:t>
            </w:r>
            <w:r w:rsidR="0E83E698" w:rsidRPr="008D1384">
              <w:rPr>
                <w:noProof/>
                <w:sz w:val="18"/>
                <w:szCs w:val="18"/>
              </w:rPr>
              <w:t>valuat</w:t>
            </w:r>
            <w:r w:rsidR="45450EBB" w:rsidRPr="008D1384">
              <w:rPr>
                <w:noProof/>
                <w:sz w:val="18"/>
                <w:szCs w:val="18"/>
              </w:rPr>
              <w:t>i</w:t>
            </w:r>
            <w:r w:rsidR="0E83E698" w:rsidRPr="008D1384">
              <w:rPr>
                <w:noProof/>
                <w:sz w:val="18"/>
                <w:szCs w:val="18"/>
              </w:rPr>
              <w:t>on of the pro</w:t>
            </w:r>
            <w:r w:rsidR="00640FF7" w:rsidRPr="008D1384">
              <w:rPr>
                <w:noProof/>
                <w:sz w:val="18"/>
                <w:szCs w:val="18"/>
              </w:rPr>
              <w:t>ject</w:t>
            </w:r>
            <w:r w:rsidR="0E83E698" w:rsidRPr="008D1384">
              <w:rPr>
                <w:noProof/>
                <w:sz w:val="18"/>
                <w:szCs w:val="18"/>
              </w:rPr>
              <w:t xml:space="preserve"> found that the vast majority of participants had significant and sustained improvements in their mental health and wellbeing as a result of attending the pro</w:t>
            </w:r>
            <w:r w:rsidR="006A3ACC" w:rsidRPr="008D1384">
              <w:rPr>
                <w:noProof/>
                <w:sz w:val="18"/>
                <w:szCs w:val="18"/>
              </w:rPr>
              <w:t>ject</w:t>
            </w:r>
            <w:r w:rsidR="0E83E698" w:rsidRPr="008D1384">
              <w:rPr>
                <w:noProof/>
                <w:sz w:val="18"/>
                <w:szCs w:val="18"/>
              </w:rPr>
              <w:t xml:space="preserve">. </w:t>
            </w:r>
          </w:p>
        </w:tc>
      </w:tr>
    </w:tbl>
    <w:p w14:paraId="7B5BFEFF" w14:textId="6920C6D7" w:rsidR="00C44B8A" w:rsidRDefault="00C44B8A" w:rsidP="00C44B8A">
      <w:pPr>
        <w:pStyle w:val="Heading5"/>
      </w:pPr>
      <w:r>
        <w:lastRenderedPageBreak/>
        <w:t>The SARC</w:t>
      </w:r>
      <w:r w:rsidR="00B07AC6">
        <w:t xml:space="preserve"> – </w:t>
      </w:r>
      <w:r>
        <w:t>IC</w:t>
      </w:r>
      <w:r w:rsidR="00935D56">
        <w:t xml:space="preserve"> Activity</w:t>
      </w:r>
      <w:r>
        <w:t xml:space="preserve"> has improved employment scores</w:t>
      </w:r>
      <w:r w:rsidR="004471AE">
        <w:t xml:space="preserve"> </w:t>
      </w:r>
      <w:r w:rsidR="00FB5ADA">
        <w:t xml:space="preserve">of </w:t>
      </w:r>
      <w:r w:rsidR="001F1F1B">
        <w:t>many</w:t>
      </w:r>
      <w:r>
        <w:t xml:space="preserve"> participants across all target groups </w:t>
      </w:r>
    </w:p>
    <w:p w14:paraId="74F7E1D9" w14:textId="5B939227" w:rsidR="00744285" w:rsidRDefault="00723A00" w:rsidP="005C2150">
      <w:r>
        <w:t xml:space="preserve">Participants engaging with </w:t>
      </w:r>
      <w:r w:rsidR="00A2465F">
        <w:t>SARC</w:t>
      </w:r>
      <w:r w:rsidR="00B07AC6">
        <w:t xml:space="preserve"> – </w:t>
      </w:r>
      <w:r w:rsidR="00A2465F">
        <w:t xml:space="preserve">IC funded </w:t>
      </w:r>
      <w:r w:rsidR="00E8338C">
        <w:t xml:space="preserve">projects </w:t>
      </w:r>
      <w:r w:rsidR="00A2465F">
        <w:t xml:space="preserve">began with very low employment rates, </w:t>
      </w:r>
      <w:r w:rsidR="00724B36">
        <w:t>51</w:t>
      </w:r>
      <w:r w:rsidR="00976E76">
        <w:t xml:space="preserve"> per cent</w:t>
      </w:r>
      <w:r w:rsidR="00724B36">
        <w:t xml:space="preserve"> of </w:t>
      </w:r>
      <w:r w:rsidR="005F54FD">
        <w:t>employment</w:t>
      </w:r>
      <w:r w:rsidR="00724B36">
        <w:t xml:space="preserve"> pre</w:t>
      </w:r>
      <w:r w:rsidR="00935D56">
        <w:t>-</w:t>
      </w:r>
      <w:r w:rsidR="00724B36">
        <w:t xml:space="preserve">SCOREs were a 1 or 2 showing the participant was unemployed or underemployed. </w:t>
      </w:r>
      <w:r w:rsidR="00DF7F10">
        <w:t xml:space="preserve">Employment outcomes for all target cohorts significantly increased over the course of engaging with </w:t>
      </w:r>
      <w:r w:rsidR="00E8338C">
        <w:t>SARC – IC projects</w:t>
      </w:r>
      <w:r w:rsidR="00121E8C">
        <w:t>.</w:t>
      </w:r>
    </w:p>
    <w:p w14:paraId="29BC1F32" w14:textId="77777777" w:rsidR="002071A3" w:rsidRDefault="00EC624A" w:rsidP="005C2150">
      <w:r>
        <w:t>Young people (12-18)</w:t>
      </w:r>
      <w:r w:rsidR="00F7702A">
        <w:t xml:space="preserve"> saw significant benefits from </w:t>
      </w:r>
      <w:r w:rsidR="00B07AC6">
        <w:t xml:space="preserve">SARC – IC </w:t>
      </w:r>
      <w:r w:rsidR="00F7702A">
        <w:t xml:space="preserve">with over 60 per cent </w:t>
      </w:r>
      <w:r w:rsidR="00C57F92">
        <w:t xml:space="preserve">(n = </w:t>
      </w:r>
      <w:r w:rsidR="00AE1391">
        <w:t>s</w:t>
      </w:r>
      <w:r w:rsidR="00AE1391" w:rsidRPr="00AE1391">
        <w:rPr>
          <w:i/>
          <w:iCs/>
        </w:rPr>
        <w:t>uppressed</w:t>
      </w:r>
      <w:r w:rsidR="00C57F92">
        <w:t xml:space="preserve">) </w:t>
      </w:r>
      <w:r w:rsidR="0013003F">
        <w:t xml:space="preserve">of </w:t>
      </w:r>
      <w:r w:rsidR="001E56FE">
        <w:t xml:space="preserve">participants </w:t>
      </w:r>
      <w:r w:rsidR="00E800FE">
        <w:t xml:space="preserve">with SCORES recorded </w:t>
      </w:r>
      <w:r w:rsidR="00F7702A">
        <w:t>increasing their employment score</w:t>
      </w:r>
      <w:r w:rsidR="00121E8C">
        <w:t xml:space="preserve">, and </w:t>
      </w:r>
      <w:r w:rsidR="00826F6D">
        <w:t xml:space="preserve">only </w:t>
      </w:r>
      <w:r w:rsidR="00BC62F5">
        <w:t xml:space="preserve">18 per cent </w:t>
      </w:r>
      <w:r w:rsidR="00C57F92">
        <w:t xml:space="preserve">(n = </w:t>
      </w:r>
      <w:r w:rsidR="00E66355">
        <w:t>s</w:t>
      </w:r>
      <w:r w:rsidR="00E66355" w:rsidRPr="00AE1391">
        <w:rPr>
          <w:i/>
          <w:iCs/>
        </w:rPr>
        <w:t>uppressed</w:t>
      </w:r>
      <w:r w:rsidR="00C57F92">
        <w:t xml:space="preserve">) </w:t>
      </w:r>
      <w:r w:rsidR="00BC62F5">
        <w:t>of participants recording a post</w:t>
      </w:r>
      <w:r w:rsidR="00353545">
        <w:t xml:space="preserve"> </w:t>
      </w:r>
      <w:r w:rsidR="00BC62F5">
        <w:t xml:space="preserve">SCORE of 1 or 2 (compared </w:t>
      </w:r>
      <w:r w:rsidR="004A1F77">
        <w:t>with</w:t>
      </w:r>
      <w:r w:rsidR="00BC62F5">
        <w:t xml:space="preserve"> </w:t>
      </w:r>
      <w:r w:rsidR="00B30D53">
        <w:t>67</w:t>
      </w:r>
      <w:r w:rsidR="00976E76">
        <w:t xml:space="preserve"> </w:t>
      </w:r>
      <w:r w:rsidR="0002634F">
        <w:t>per cent</w:t>
      </w:r>
      <w:r w:rsidR="00B30D53">
        <w:t xml:space="preserve"> pre</w:t>
      </w:r>
      <w:r w:rsidR="00895568">
        <w:t xml:space="preserve"> </w:t>
      </w:r>
      <w:r w:rsidR="00B30D53">
        <w:t>SCORE</w:t>
      </w:r>
      <w:r w:rsidR="00C57F92">
        <w:t xml:space="preserve">, n = </w:t>
      </w:r>
      <w:r w:rsidR="00E66355">
        <w:t>s</w:t>
      </w:r>
      <w:r w:rsidR="00E66355" w:rsidRPr="00AE1391">
        <w:rPr>
          <w:i/>
          <w:iCs/>
        </w:rPr>
        <w:t>uppressed</w:t>
      </w:r>
      <w:r w:rsidR="00B30D53">
        <w:t>)</w:t>
      </w:r>
      <w:r w:rsidR="00F7702A">
        <w:t xml:space="preserve">. </w:t>
      </w:r>
      <w:r w:rsidR="00DF4BD4">
        <w:t xml:space="preserve">It should be noted that some young people in this category started with a low employment SCORE </w:t>
      </w:r>
      <w:r w:rsidR="002A3D8E">
        <w:t xml:space="preserve">because they were not yet seeking employment rather than because they could not find work. </w:t>
      </w:r>
      <w:r w:rsidR="00F7702A">
        <w:t>Unemployed people and women at risk of disadvantage also saw around half of participants increas</w:t>
      </w:r>
      <w:r w:rsidR="00BE4236">
        <w:t>e their scores</w:t>
      </w:r>
      <w:r w:rsidR="00F7702A">
        <w:t xml:space="preserve">. People with a disability saw a smaller proportion increase their scores but a larger proportion than other groups </w:t>
      </w:r>
      <w:r w:rsidR="00DD052C">
        <w:t>recorded</w:t>
      </w:r>
      <w:r w:rsidR="00F7702A">
        <w:t xml:space="preserve"> no change. </w:t>
      </w:r>
      <w:r w:rsidR="005C2150">
        <w:t xml:space="preserve">The employment outcome saw very low rates of </w:t>
      </w:r>
      <w:r w:rsidR="00372429">
        <w:t>participants</w:t>
      </w:r>
      <w:r w:rsidR="005C2150">
        <w:t xml:space="preserve"> decreasing their score over the </w:t>
      </w:r>
      <w:r w:rsidR="005652FA">
        <w:t>course of the project</w:t>
      </w:r>
      <w:r w:rsidR="005C2150">
        <w:t xml:space="preserve">, as in </w:t>
      </w:r>
      <w:r w:rsidR="007B5FE0">
        <w:fldChar w:fldCharType="begin" w:fldLock="1"/>
      </w:r>
      <w:r w:rsidR="007B5FE0">
        <w:instrText xml:space="preserve"> REF _Ref216346597 \h </w:instrText>
      </w:r>
      <w:r w:rsidR="007B5FE0">
        <w:fldChar w:fldCharType="separate"/>
      </w:r>
      <w:r w:rsidR="007B5FE0">
        <w:t xml:space="preserve">Figure </w:t>
      </w:r>
      <w:r w:rsidR="007B5FE0">
        <w:rPr>
          <w:noProof/>
        </w:rPr>
        <w:t>9</w:t>
      </w:r>
      <w:r w:rsidR="007B5FE0">
        <w:fldChar w:fldCharType="end"/>
      </w:r>
      <w:r w:rsidR="007B5FE0">
        <w:t xml:space="preserve"> overleaf</w:t>
      </w:r>
      <w:r w:rsidR="005C2150">
        <w:t>. Ultimately</w:t>
      </w:r>
      <w:r w:rsidR="00FB33E2">
        <w:t xml:space="preserve"> this s</w:t>
      </w:r>
      <w:r w:rsidR="00FC22D8">
        <w:t>uggests</w:t>
      </w:r>
      <w:r w:rsidR="005C2150">
        <w:t xml:space="preserve"> the </w:t>
      </w:r>
      <w:r w:rsidR="00B07AC6">
        <w:t xml:space="preserve">SARC – IC </w:t>
      </w:r>
      <w:r w:rsidR="00DE3824">
        <w:t xml:space="preserve">Activity </w:t>
      </w:r>
      <w:r w:rsidR="005C2150">
        <w:t>is effective at improving employment outcomes and protecting participants from backsliding</w:t>
      </w:r>
      <w:r w:rsidR="00FB33E2">
        <w:t xml:space="preserve"> given almost no scores </w:t>
      </w:r>
      <w:r w:rsidR="00F27EDF">
        <w:t>went backwards while individuals were engaged with the project</w:t>
      </w:r>
      <w:r w:rsidR="00FC22D8">
        <w:t xml:space="preserve">, although </w:t>
      </w:r>
      <w:r w:rsidR="00A82AEB">
        <w:t>these changes cannot necessarily be fully attributed to their participation in the project</w:t>
      </w:r>
      <w:r w:rsidR="005C2150">
        <w:t xml:space="preserve">. </w:t>
      </w:r>
      <w:r w:rsidR="0002284E">
        <w:t>These results</w:t>
      </w:r>
      <w:r w:rsidR="00825056">
        <w:t xml:space="preserve"> align to </w:t>
      </w:r>
      <w:r w:rsidR="0002284E">
        <w:t xml:space="preserve">anecdotal </w:t>
      </w:r>
      <w:r w:rsidR="00825056">
        <w:t xml:space="preserve">feedback received from grant recipients and </w:t>
      </w:r>
      <w:r w:rsidR="003C3F64">
        <w:t>participants</w:t>
      </w:r>
      <w:r w:rsidR="00286237">
        <w:t xml:space="preserve">, </w:t>
      </w:r>
      <w:r w:rsidR="0002284E">
        <w:t>who reported the pro</w:t>
      </w:r>
      <w:r w:rsidR="00FB1A7F">
        <w:t>ject</w:t>
      </w:r>
      <w:r w:rsidR="0002284E">
        <w:t xml:space="preserve">s were useful in helping them build practical skills that helped them gain employment, and in some instances directly linked them </w:t>
      </w:r>
      <w:r w:rsidR="00094047">
        <w:t>into</w:t>
      </w:r>
      <w:r w:rsidR="0002284E">
        <w:t xml:space="preserve"> future employers. </w:t>
      </w:r>
      <w:r w:rsidR="003C3F64">
        <w:t>Participants</w:t>
      </w:r>
      <w:r w:rsidR="00A33C53">
        <w:t xml:space="preserve"> noted that </w:t>
      </w:r>
      <w:r w:rsidR="001413B6">
        <w:t xml:space="preserve">organisations which ran practical skills building </w:t>
      </w:r>
      <w:r w:rsidR="00EF6343">
        <w:t xml:space="preserve">projects </w:t>
      </w:r>
      <w:r w:rsidR="001413B6">
        <w:t xml:space="preserve">and/or which had strong links to other community organisations and employers were most effective as they </w:t>
      </w:r>
      <w:r w:rsidR="007F1C36">
        <w:t>created</w:t>
      </w:r>
      <w:r w:rsidR="001413B6">
        <w:t xml:space="preserve"> clear pathways to employment </w:t>
      </w:r>
      <w:r w:rsidR="007F1C36">
        <w:t xml:space="preserve">from participation. </w:t>
      </w:r>
    </w:p>
    <w:p w14:paraId="01710697" w14:textId="77777777" w:rsidR="009270B4" w:rsidRPr="009270B4" w:rsidRDefault="009270B4" w:rsidP="005C2150">
      <w:pPr>
        <w:rPr>
          <w:sz w:val="14"/>
          <w:szCs w:val="14"/>
        </w:rPr>
      </w:pPr>
    </w:p>
    <w:tbl>
      <w:tblPr>
        <w:tblStyle w:val="TableGrid"/>
        <w:tblW w:w="0" w:type="auto"/>
        <w:tblLook w:val="04A0" w:firstRow="1" w:lastRow="0" w:firstColumn="1" w:lastColumn="0" w:noHBand="0" w:noVBand="1"/>
      </w:tblPr>
      <w:tblGrid>
        <w:gridCol w:w="9175"/>
      </w:tblGrid>
      <w:tr w:rsidR="00F57784" w14:paraId="64FF3292" w14:textId="77777777" w:rsidTr="00F57784">
        <w:tc>
          <w:tcPr>
            <w:tcW w:w="9175" w:type="dxa"/>
            <w:tcBorders>
              <w:top w:val="nil"/>
              <w:left w:val="nil"/>
              <w:bottom w:val="nil"/>
              <w:right w:val="nil"/>
            </w:tcBorders>
            <w:shd w:val="clear" w:color="auto" w:fill="D9D9D9" w:themeFill="background1" w:themeFillShade="D9"/>
          </w:tcPr>
          <w:p w14:paraId="5767CCF9" w14:textId="77777777" w:rsidR="00F57784" w:rsidRDefault="00F57784" w:rsidP="00F57784">
            <w:pPr>
              <w:spacing w:after="0"/>
              <w:jc w:val="center"/>
              <w:rPr>
                <w:rFonts w:asciiTheme="majorHAnsi" w:hAnsiTheme="majorHAnsi" w:cstheme="majorBidi"/>
                <w:i/>
                <w:iCs/>
                <w:color w:val="00264D" w:themeColor="background2"/>
              </w:rPr>
            </w:pPr>
          </w:p>
          <w:p w14:paraId="658E8A67" w14:textId="2A8F52CA" w:rsidR="00F57784" w:rsidRPr="008C340D" w:rsidRDefault="00F57784" w:rsidP="00F57784">
            <w:pPr>
              <w:spacing w:after="0"/>
              <w:jc w:val="center"/>
              <w:rPr>
                <w:rFonts w:asciiTheme="majorHAnsi" w:hAnsiTheme="majorHAnsi" w:cstheme="majorBidi"/>
                <w:i/>
                <w:iCs/>
                <w:color w:val="00264D" w:themeColor="background2"/>
              </w:rPr>
            </w:pPr>
            <w:r w:rsidRPr="00333D09">
              <w:rPr>
                <w:rFonts w:asciiTheme="majorHAnsi" w:hAnsiTheme="majorHAnsi" w:cstheme="majorBidi"/>
                <w:i/>
                <w:iCs/>
                <w:color w:val="00264D" w:themeColor="background2"/>
              </w:rPr>
              <w:t>"The difference in me is incredible, starting applying for work and building confidence, just feel myself again</w:t>
            </w:r>
            <w:r>
              <w:rPr>
                <w:rFonts w:asciiTheme="majorHAnsi" w:hAnsiTheme="majorHAnsi" w:cstheme="majorBidi"/>
                <w:i/>
                <w:iCs/>
                <w:color w:val="00264D" w:themeColor="background2"/>
              </w:rPr>
              <w:t>.</w:t>
            </w:r>
            <w:r w:rsidRPr="00333D09">
              <w:rPr>
                <w:rFonts w:asciiTheme="majorHAnsi" w:hAnsiTheme="majorHAnsi" w:cstheme="majorBidi"/>
                <w:i/>
                <w:iCs/>
                <w:color w:val="00264D" w:themeColor="background2"/>
              </w:rPr>
              <w:t>"</w:t>
            </w:r>
          </w:p>
          <w:p w14:paraId="362C8536" w14:textId="77777777" w:rsidR="00F57784" w:rsidRDefault="00F57784" w:rsidP="005C2150"/>
        </w:tc>
      </w:tr>
    </w:tbl>
    <w:p w14:paraId="482DBB10" w14:textId="77777777" w:rsidR="00F57784" w:rsidRDefault="00F57784" w:rsidP="005C2150"/>
    <w:p w14:paraId="6DACF668" w14:textId="79DE832E" w:rsidR="00F30167" w:rsidRDefault="00F30167" w:rsidP="005C2150"/>
    <w:p w14:paraId="02B55994" w14:textId="03157C28" w:rsidR="005C2150" w:rsidRDefault="00581393" w:rsidP="005C2150">
      <w:pPr>
        <w:pStyle w:val="Caption"/>
      </w:pPr>
      <w:bookmarkStart w:id="57" w:name="figure_9"/>
      <w:bookmarkStart w:id="58" w:name="_Ref216346597"/>
      <w:bookmarkEnd w:id="57"/>
      <w:r>
        <w:lastRenderedPageBreak/>
        <w:t xml:space="preserve">Figure </w:t>
      </w:r>
      <w:r>
        <w:fldChar w:fldCharType="begin"/>
      </w:r>
      <w:r>
        <w:instrText xml:space="preserve"> SEQ Figure \* ARABIC </w:instrText>
      </w:r>
      <w:r>
        <w:fldChar w:fldCharType="separate"/>
      </w:r>
      <w:r w:rsidR="00B666D1">
        <w:rPr>
          <w:noProof/>
        </w:rPr>
        <w:t>9</w:t>
      </w:r>
      <w:r>
        <w:fldChar w:fldCharType="end"/>
      </w:r>
      <w:bookmarkEnd w:id="58"/>
      <w:r w:rsidR="006D553D">
        <w:t xml:space="preserve"> </w:t>
      </w:r>
      <w:r w:rsidR="005C2150">
        <w:t xml:space="preserve">| </w:t>
      </w:r>
      <w:r w:rsidR="00614DB5">
        <w:t>E</w:t>
      </w:r>
      <w:r w:rsidR="005C2150">
        <w:t>mployment scores, by target group</w:t>
      </w:r>
      <w:r w:rsidR="00614DB5">
        <w:t xml:space="preserve"> and period </w:t>
      </w:r>
    </w:p>
    <w:p w14:paraId="023A278F" w14:textId="615ED384" w:rsidR="005C2150" w:rsidRDefault="00BF1082" w:rsidP="005C2150">
      <w:r>
        <w:rPr>
          <w:noProof/>
        </w:rPr>
        <w:drawing>
          <wp:inline distT="0" distB="0" distL="0" distR="0" wp14:anchorId="316FB7D6" wp14:editId="1A06C36F">
            <wp:extent cx="5744859" cy="5419725"/>
            <wp:effectExtent l="0" t="0" r="8255" b="0"/>
            <wp:docPr id="1522499487" name="Picture 11" descr="Figure 9: Shows employment scores by target group and period. Figure description at Appendix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99487" name="Picture 11" descr="Figure 9: Shows employment scores by target group and period. Figure description at Appendix G.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48953" cy="5423587"/>
                    </a:xfrm>
                    <a:prstGeom prst="rect">
                      <a:avLst/>
                    </a:prstGeom>
                    <a:noFill/>
                  </pic:spPr>
                </pic:pic>
              </a:graphicData>
            </a:graphic>
          </wp:inline>
        </w:drawing>
      </w:r>
      <w:r w:rsidR="006D3381">
        <w:br/>
      </w:r>
      <w:hyperlink w:anchor="_Figure_9_description" w:history="1">
        <w:r w:rsidR="006D3381" w:rsidRPr="006D3381">
          <w:rPr>
            <w:rStyle w:val="Hyperlink"/>
          </w:rPr>
          <w:t>Figure 9 full description</w:t>
        </w:r>
      </w:hyperlink>
    </w:p>
    <w:p w14:paraId="40CE3CF2" w14:textId="77777777" w:rsidR="002E0CD2" w:rsidRPr="004C5DBB" w:rsidRDefault="002E0CD2" w:rsidP="002E0CD2">
      <w:r>
        <w:t>Source: extract from DSS data release published 31/10/2025</w:t>
      </w:r>
    </w:p>
    <w:tbl>
      <w:tblPr>
        <w:tblStyle w:val="NOUS"/>
        <w:tblW w:w="0" w:type="auto"/>
        <w:tblBorders>
          <w:bottom w:val="none" w:sz="0" w:space="0" w:color="auto"/>
          <w:right w:val="single" w:sz="18" w:space="0" w:color="FF3A40" w:themeColor="accent1"/>
          <w:insideH w:val="none" w:sz="0" w:space="0" w:color="auto"/>
        </w:tblBorders>
        <w:tblLook w:val="04A0" w:firstRow="1" w:lastRow="0" w:firstColumn="1" w:lastColumn="0" w:noHBand="0" w:noVBand="1"/>
      </w:tblPr>
      <w:tblGrid>
        <w:gridCol w:w="9185"/>
      </w:tblGrid>
      <w:tr w:rsidR="006371A6" w14:paraId="319956B3" w14:textId="77777777" w:rsidTr="006371A6">
        <w:trPr>
          <w:cnfStyle w:val="100000000000" w:firstRow="1" w:lastRow="0" w:firstColumn="0" w:lastColumn="0" w:oddVBand="0" w:evenVBand="0" w:oddHBand="0" w:evenHBand="0" w:firstRowFirstColumn="0" w:firstRowLastColumn="0" w:lastRowFirstColumn="0" w:lastRowLastColumn="0"/>
        </w:trPr>
        <w:tc>
          <w:tcPr>
            <w:tcW w:w="9185" w:type="dxa"/>
          </w:tcPr>
          <w:p w14:paraId="44BD6A07" w14:textId="78B97344" w:rsidR="005C175C" w:rsidRPr="008D1384" w:rsidRDefault="005C175C">
            <w:pPr>
              <w:pStyle w:val="TableNheader"/>
              <w:ind w:left="196" w:right="148"/>
              <w:rPr>
                <w:sz w:val="19"/>
                <w:szCs w:val="19"/>
              </w:rPr>
            </w:pPr>
            <w:r w:rsidRPr="008D1384">
              <w:rPr>
                <w:sz w:val="19"/>
                <w:szCs w:val="19"/>
              </w:rPr>
              <w:t xml:space="preserve">Case study | Improving employment outcomes   </w:t>
            </w:r>
          </w:p>
        </w:tc>
      </w:tr>
      <w:tr w:rsidR="00F614D5" w14:paraId="288B69A0" w14:textId="77777777" w:rsidTr="4AF1E856">
        <w:tc>
          <w:tcPr>
            <w:tcW w:w="9185" w:type="dxa"/>
            <w:shd w:val="clear" w:color="auto" w:fill="F2F2F2" w:themeFill="background1" w:themeFillShade="F2"/>
          </w:tcPr>
          <w:p w14:paraId="2B8C3DA0" w14:textId="79AD3381" w:rsidR="005C175C" w:rsidRPr="008D1384" w:rsidRDefault="05BEAF97" w:rsidP="4AF1E856">
            <w:pPr>
              <w:pStyle w:val="TableNText"/>
              <w:ind w:left="196" w:right="148"/>
              <w:rPr>
                <w:noProof/>
                <w:sz w:val="18"/>
                <w:szCs w:val="18"/>
              </w:rPr>
            </w:pPr>
            <w:r w:rsidRPr="008D1384">
              <w:rPr>
                <w:noProof/>
                <w:sz w:val="18"/>
                <w:szCs w:val="18"/>
              </w:rPr>
              <w:t>A SARC</w:t>
            </w:r>
            <w:r w:rsidR="006C45D7" w:rsidRPr="008D1384">
              <w:rPr>
                <w:noProof/>
                <w:sz w:val="18"/>
                <w:szCs w:val="18"/>
              </w:rPr>
              <w:t xml:space="preserve"> </w:t>
            </w:r>
            <w:r w:rsidR="000671CD" w:rsidRPr="008D1384">
              <w:rPr>
                <w:noProof/>
                <w:sz w:val="18"/>
                <w:szCs w:val="18"/>
              </w:rPr>
              <w:t>–</w:t>
            </w:r>
            <w:r w:rsidR="006C45D7" w:rsidRPr="008D1384">
              <w:rPr>
                <w:noProof/>
                <w:sz w:val="18"/>
                <w:szCs w:val="18"/>
              </w:rPr>
              <w:t xml:space="preserve"> </w:t>
            </w:r>
            <w:r w:rsidRPr="008D1384">
              <w:rPr>
                <w:noProof/>
                <w:sz w:val="18"/>
                <w:szCs w:val="18"/>
              </w:rPr>
              <w:t>IC funded pro</w:t>
            </w:r>
            <w:r w:rsidR="0062713D" w:rsidRPr="008D1384">
              <w:rPr>
                <w:noProof/>
                <w:sz w:val="18"/>
                <w:szCs w:val="18"/>
              </w:rPr>
              <w:t>ject</w:t>
            </w:r>
            <w:r w:rsidRPr="008D1384">
              <w:rPr>
                <w:noProof/>
                <w:sz w:val="18"/>
                <w:szCs w:val="18"/>
              </w:rPr>
              <w:t xml:space="preserve"> in </w:t>
            </w:r>
            <w:r w:rsidR="4991CF73" w:rsidRPr="008D1384">
              <w:rPr>
                <w:noProof/>
                <w:sz w:val="18"/>
                <w:szCs w:val="18"/>
              </w:rPr>
              <w:t>a rural community focused on increasing employment for vulnerable women</w:t>
            </w:r>
            <w:r w:rsidR="5706605B" w:rsidRPr="008D1384">
              <w:rPr>
                <w:noProof/>
                <w:sz w:val="18"/>
                <w:szCs w:val="18"/>
              </w:rPr>
              <w:t xml:space="preserve"> by helping them build </w:t>
            </w:r>
            <w:r w:rsidR="00083B05" w:rsidRPr="008D1384">
              <w:rPr>
                <w:noProof/>
                <w:sz w:val="18"/>
                <w:szCs w:val="18"/>
              </w:rPr>
              <w:t xml:space="preserve">the </w:t>
            </w:r>
            <w:r w:rsidR="5706605B" w:rsidRPr="008D1384">
              <w:rPr>
                <w:noProof/>
                <w:sz w:val="18"/>
                <w:szCs w:val="18"/>
              </w:rPr>
              <w:t>skills that were required for jobs in the local community.</w:t>
            </w:r>
            <w:r w:rsidR="4E6F9F01" w:rsidRPr="008D1384">
              <w:rPr>
                <w:noProof/>
                <w:sz w:val="18"/>
                <w:szCs w:val="18"/>
              </w:rPr>
              <w:t xml:space="preserve"> The </w:t>
            </w:r>
            <w:r w:rsidR="0062713D" w:rsidRPr="008D1384">
              <w:rPr>
                <w:noProof/>
                <w:sz w:val="18"/>
                <w:szCs w:val="18"/>
              </w:rPr>
              <w:t xml:space="preserve">project </w:t>
            </w:r>
            <w:r w:rsidR="4E6F9F01" w:rsidRPr="008D1384">
              <w:rPr>
                <w:noProof/>
                <w:sz w:val="18"/>
                <w:szCs w:val="18"/>
              </w:rPr>
              <w:t>worked with the women to build their skills and get them work ready, and then linked them directly to jobs in the local community</w:t>
            </w:r>
            <w:r w:rsidR="0070444F" w:rsidRPr="008D1384">
              <w:rPr>
                <w:noProof/>
                <w:sz w:val="18"/>
                <w:szCs w:val="18"/>
              </w:rPr>
              <w:t>.</w:t>
            </w:r>
            <w:r w:rsidR="166B5E16" w:rsidRPr="008D1384">
              <w:rPr>
                <w:noProof/>
                <w:sz w:val="18"/>
                <w:szCs w:val="18"/>
              </w:rPr>
              <w:t xml:space="preserve"> </w:t>
            </w:r>
            <w:r w:rsidR="0070444F" w:rsidRPr="008D1384">
              <w:rPr>
                <w:noProof/>
                <w:sz w:val="18"/>
                <w:szCs w:val="18"/>
              </w:rPr>
              <w:t>T</w:t>
            </w:r>
            <w:r w:rsidR="166B5E16" w:rsidRPr="008D1384">
              <w:rPr>
                <w:noProof/>
                <w:sz w:val="18"/>
                <w:szCs w:val="18"/>
              </w:rPr>
              <w:t>his was beneficial as it helped more than 50 women secure employment whilst also filling gaps in the workforce in a regional community.</w:t>
            </w:r>
          </w:p>
          <w:p w14:paraId="3E24E5A9" w14:textId="77777777" w:rsidR="005C175C" w:rsidRDefault="005C175C">
            <w:pPr>
              <w:pStyle w:val="TableNText"/>
              <w:ind w:left="196" w:right="148"/>
            </w:pPr>
          </w:p>
        </w:tc>
      </w:tr>
    </w:tbl>
    <w:p w14:paraId="2AD4E762" w14:textId="77777777" w:rsidR="005C175C" w:rsidRDefault="005C175C" w:rsidP="00564620"/>
    <w:p w14:paraId="37885FC9" w14:textId="18FF5944" w:rsidR="001F1F1B" w:rsidRDefault="001F1F1B" w:rsidP="001F1F1B">
      <w:pPr>
        <w:pStyle w:val="Heading5"/>
      </w:pPr>
      <w:r>
        <w:t xml:space="preserve">The </w:t>
      </w:r>
      <w:r w:rsidR="00B07AC6">
        <w:t xml:space="preserve">SARC – IC </w:t>
      </w:r>
      <w:r w:rsidR="0062713D">
        <w:t xml:space="preserve">Activity </w:t>
      </w:r>
      <w:r>
        <w:t xml:space="preserve">has improved community participation scores for a majority of participants in all target groups </w:t>
      </w:r>
    </w:p>
    <w:p w14:paraId="643A970D" w14:textId="439B0146" w:rsidR="005B1B75" w:rsidRDefault="005C2150" w:rsidP="005C2150">
      <w:r>
        <w:t>All target groups had strong improvements in their community participation and networks outcome (</w:t>
      </w:r>
      <w:r w:rsidR="00D1085E">
        <w:fldChar w:fldCharType="begin" w:fldLock="1"/>
      </w:r>
      <w:r w:rsidR="00D1085E">
        <w:instrText xml:space="preserve"> REF _Ref220507645 \h </w:instrText>
      </w:r>
      <w:r w:rsidR="00D1085E">
        <w:fldChar w:fldCharType="separate"/>
      </w:r>
      <w:r w:rsidR="00D1085E">
        <w:t xml:space="preserve">Figure </w:t>
      </w:r>
      <w:r w:rsidR="00D1085E">
        <w:rPr>
          <w:noProof/>
        </w:rPr>
        <w:t>10</w:t>
      </w:r>
      <w:r w:rsidR="00D1085E">
        <w:fldChar w:fldCharType="end"/>
      </w:r>
      <w:r w:rsidR="00D1085E">
        <w:t xml:space="preserve"> overleaf</w:t>
      </w:r>
      <w:r>
        <w:t>)</w:t>
      </w:r>
      <w:r w:rsidR="00287639">
        <w:t>, with more than 50</w:t>
      </w:r>
      <w:r w:rsidR="00094047">
        <w:t xml:space="preserve"> per cent</w:t>
      </w:r>
      <w:r w:rsidR="00287639">
        <w:t xml:space="preserve"> of participants </w:t>
      </w:r>
      <w:r w:rsidR="004A69F5">
        <w:t xml:space="preserve">(who had SCORE data) </w:t>
      </w:r>
      <w:r w:rsidR="00287639">
        <w:t xml:space="preserve">in each cohort improving their </w:t>
      </w:r>
      <w:r w:rsidR="00FC6A67">
        <w:t xml:space="preserve">outcome over the course of the </w:t>
      </w:r>
      <w:r w:rsidR="0062713D">
        <w:t>project</w:t>
      </w:r>
      <w:r>
        <w:t xml:space="preserve">. Around </w:t>
      </w:r>
      <w:r w:rsidR="001D012E">
        <w:t>three</w:t>
      </w:r>
      <w:r>
        <w:t xml:space="preserve"> in </w:t>
      </w:r>
      <w:r w:rsidR="001D012E">
        <w:t>five</w:t>
      </w:r>
      <w:r>
        <w:t xml:space="preserve"> participants in the</w:t>
      </w:r>
      <w:r w:rsidR="0062713D">
        <w:t xml:space="preserve"> </w:t>
      </w:r>
      <w:r w:rsidR="00B15060">
        <w:t>young people</w:t>
      </w:r>
      <w:r>
        <w:t xml:space="preserve"> and </w:t>
      </w:r>
      <w:r>
        <w:lastRenderedPageBreak/>
        <w:t>unemployed people target groups saw an improvement in their score. All target groups had 5 per cent or fewer participants decrease their score. Both people with a disability</w:t>
      </w:r>
      <w:r w:rsidR="00104B5D">
        <w:t xml:space="preserve"> (n = </w:t>
      </w:r>
      <w:r w:rsidR="00A828C7">
        <w:t>1,007</w:t>
      </w:r>
      <w:r w:rsidR="00104B5D">
        <w:t>)</w:t>
      </w:r>
      <w:r>
        <w:t xml:space="preserve"> and women at risk of disadvantage </w:t>
      </w:r>
      <w:r w:rsidR="00104B5D">
        <w:t xml:space="preserve">(n = </w:t>
      </w:r>
      <w:r w:rsidR="00C007B3">
        <w:t>395</w:t>
      </w:r>
      <w:r w:rsidR="00C26D5E">
        <w:t>)</w:t>
      </w:r>
      <w:r>
        <w:t xml:space="preserve"> saw around a 50 per cent rate of score increases</w:t>
      </w:r>
      <w:r w:rsidR="00BE4AB8">
        <w:t>, meaning that after they accessed the SARC</w:t>
      </w:r>
      <w:r w:rsidR="00D108CE">
        <w:t xml:space="preserve"> </w:t>
      </w:r>
      <w:r w:rsidR="00046451">
        <w:t>–</w:t>
      </w:r>
      <w:r w:rsidR="00D108CE">
        <w:t xml:space="preserve"> </w:t>
      </w:r>
      <w:r w:rsidR="00BE4AB8">
        <w:t xml:space="preserve">IC project </w:t>
      </w:r>
      <w:r w:rsidR="00973612">
        <w:t>they felt more connected to their community</w:t>
      </w:r>
      <w:r>
        <w:t xml:space="preserve">. The nature of the </w:t>
      </w:r>
      <w:r w:rsidR="00B07AC6">
        <w:t xml:space="preserve">SARC – IC </w:t>
      </w:r>
      <w:r w:rsidR="00176267">
        <w:t xml:space="preserve">Activity </w:t>
      </w:r>
      <w:r w:rsidR="00295C1E">
        <w:t>appears</w:t>
      </w:r>
      <w:r>
        <w:t xml:space="preserve"> to be effective at increasing community engagement and building stronger networks for its participants.</w:t>
      </w:r>
      <w:r w:rsidR="00A62146">
        <w:t xml:space="preserve"> </w:t>
      </w:r>
      <w:r w:rsidR="00BB55FE">
        <w:t xml:space="preserve">This aligns strongly with anecdotal feedback provided by </w:t>
      </w:r>
      <w:r w:rsidR="003C3F64">
        <w:t>participants</w:t>
      </w:r>
      <w:r w:rsidR="00BB55FE">
        <w:t xml:space="preserve"> </w:t>
      </w:r>
      <w:r w:rsidR="00A64B31">
        <w:t xml:space="preserve">that building community engagement and confidence was the key outcome they had taken away from the </w:t>
      </w:r>
      <w:r w:rsidR="00797848">
        <w:t>project</w:t>
      </w:r>
      <w:r w:rsidR="00A64B31">
        <w:t xml:space="preserve">. More detail </w:t>
      </w:r>
      <w:r w:rsidR="00BD159F">
        <w:t xml:space="preserve">on </w:t>
      </w:r>
      <w:r w:rsidR="003D451D">
        <w:t>the impact of increas</w:t>
      </w:r>
      <w:r w:rsidR="00011AAB">
        <w:t xml:space="preserve">ing community participation </w:t>
      </w:r>
      <w:r w:rsidR="009C48C5">
        <w:t>is</w:t>
      </w:r>
      <w:r w:rsidR="00011AAB">
        <w:t xml:space="preserve"> set out in section </w:t>
      </w:r>
      <w:r>
        <w:fldChar w:fldCharType="begin" w:fldLock="1"/>
      </w:r>
      <w:r>
        <w:instrText xml:space="preserve"> REF _Ref216788461 \n \h </w:instrText>
      </w:r>
      <w:r>
        <w:fldChar w:fldCharType="separate"/>
      </w:r>
      <w:r w:rsidR="00011AAB">
        <w:t>5.2.8</w:t>
      </w:r>
      <w:r>
        <w:fldChar w:fldCharType="end"/>
      </w:r>
      <w:r w:rsidR="00011AAB">
        <w:t>.</w:t>
      </w:r>
      <w:r w:rsidR="00F30167">
        <w:t xml:space="preserve"> </w:t>
      </w:r>
    </w:p>
    <w:p w14:paraId="4FEDEDFB" w14:textId="55C46F1D" w:rsidR="005C2150" w:rsidRDefault="006D553D" w:rsidP="006D553D">
      <w:pPr>
        <w:pStyle w:val="Caption"/>
      </w:pPr>
      <w:bookmarkStart w:id="59" w:name="figure_10"/>
      <w:bookmarkStart w:id="60" w:name="_Ref220507645"/>
      <w:bookmarkEnd w:id="59"/>
      <w:r>
        <w:t xml:space="preserve">Figure </w:t>
      </w:r>
      <w:r>
        <w:fldChar w:fldCharType="begin"/>
      </w:r>
      <w:r>
        <w:instrText xml:space="preserve"> SEQ Figure \* ARABIC </w:instrText>
      </w:r>
      <w:r>
        <w:fldChar w:fldCharType="separate"/>
      </w:r>
      <w:r w:rsidR="00B666D1">
        <w:rPr>
          <w:noProof/>
        </w:rPr>
        <w:t>10</w:t>
      </w:r>
      <w:r>
        <w:fldChar w:fldCharType="end"/>
      </w:r>
      <w:bookmarkEnd w:id="60"/>
      <w:r>
        <w:t xml:space="preserve"> </w:t>
      </w:r>
      <w:r w:rsidR="00614DB5">
        <w:t>| C</w:t>
      </w:r>
      <w:r w:rsidR="005C2150">
        <w:t>ommunity participation and networks scores</w:t>
      </w:r>
      <w:r w:rsidR="005C2150" w:rsidRPr="00C471C5">
        <w:t>, by target group</w:t>
      </w:r>
      <w:r w:rsidR="00614DB5">
        <w:t xml:space="preserve"> and period </w:t>
      </w:r>
    </w:p>
    <w:p w14:paraId="75CF9D60" w14:textId="5D4C6513" w:rsidR="005C2150" w:rsidRDefault="00446AE2" w:rsidP="00AA3789">
      <w:r>
        <w:rPr>
          <w:noProof/>
        </w:rPr>
        <w:drawing>
          <wp:inline distT="0" distB="0" distL="0" distR="0" wp14:anchorId="5CD7C249" wp14:editId="2C4F858B">
            <wp:extent cx="5700395" cy="5139985"/>
            <wp:effectExtent l="0" t="0" r="0" b="3810"/>
            <wp:docPr id="2100629061" name="Picture 13" descr="Figure 10: Shows community participation and networks scores, by target group and period. Figure description at Appendix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29061" name="Picture 13" descr="Figure 10: Shows community participation and networks scores, by target group and period. Figure description at Appendix G.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8907" cy="5156677"/>
                    </a:xfrm>
                    <a:prstGeom prst="rect">
                      <a:avLst/>
                    </a:prstGeom>
                    <a:noFill/>
                  </pic:spPr>
                </pic:pic>
              </a:graphicData>
            </a:graphic>
          </wp:inline>
        </w:drawing>
      </w:r>
      <w:r w:rsidR="006D3381">
        <w:br/>
      </w:r>
      <w:hyperlink w:anchor="_Figure_10_description" w:history="1">
        <w:r w:rsidR="006D3381" w:rsidRPr="006D3381">
          <w:rPr>
            <w:rStyle w:val="Hyperlink"/>
          </w:rPr>
          <w:t>Figure 10 full description</w:t>
        </w:r>
      </w:hyperlink>
    </w:p>
    <w:p w14:paraId="59D73276" w14:textId="77777777" w:rsidR="002E0CD2" w:rsidRPr="004C5DBB" w:rsidRDefault="002E0CD2" w:rsidP="002E0CD2">
      <w:r>
        <w:t>Source: extract from DSS data release published 31/10/2025</w:t>
      </w:r>
    </w:p>
    <w:tbl>
      <w:tblPr>
        <w:tblStyle w:val="NOUS"/>
        <w:tblW w:w="0" w:type="auto"/>
        <w:tblBorders>
          <w:bottom w:val="none" w:sz="0" w:space="0" w:color="auto"/>
          <w:right w:val="single" w:sz="18" w:space="0" w:color="FF3A40" w:themeColor="accent1"/>
          <w:insideH w:val="none" w:sz="0" w:space="0" w:color="auto"/>
        </w:tblBorders>
        <w:tblLook w:val="04A0" w:firstRow="1" w:lastRow="0" w:firstColumn="1" w:lastColumn="0" w:noHBand="0" w:noVBand="1"/>
      </w:tblPr>
      <w:tblGrid>
        <w:gridCol w:w="9185"/>
      </w:tblGrid>
      <w:tr w:rsidR="006371A6" w14:paraId="159E1837" w14:textId="77777777" w:rsidTr="006371A6">
        <w:trPr>
          <w:cnfStyle w:val="100000000000" w:firstRow="1" w:lastRow="0" w:firstColumn="0" w:lastColumn="0" w:oddVBand="0" w:evenVBand="0" w:oddHBand="0" w:evenHBand="0" w:firstRowFirstColumn="0" w:firstRowLastColumn="0" w:lastRowFirstColumn="0" w:lastRowLastColumn="0"/>
        </w:trPr>
        <w:tc>
          <w:tcPr>
            <w:tcW w:w="9185" w:type="dxa"/>
          </w:tcPr>
          <w:p w14:paraId="37D586B8" w14:textId="77777777" w:rsidR="00524F36" w:rsidRPr="008D1384" w:rsidRDefault="00524F36">
            <w:pPr>
              <w:pStyle w:val="TableNheader"/>
              <w:ind w:left="196" w:right="148"/>
              <w:rPr>
                <w:sz w:val="19"/>
                <w:szCs w:val="19"/>
              </w:rPr>
            </w:pPr>
            <w:r w:rsidRPr="008D1384">
              <w:rPr>
                <w:sz w:val="19"/>
                <w:szCs w:val="19"/>
              </w:rPr>
              <w:t xml:space="preserve">Case study | Improving community participation </w:t>
            </w:r>
          </w:p>
        </w:tc>
      </w:tr>
      <w:tr w:rsidR="00F614D5" w14:paraId="39168D1B" w14:textId="77777777">
        <w:tc>
          <w:tcPr>
            <w:tcW w:w="9185" w:type="dxa"/>
            <w:shd w:val="clear" w:color="auto" w:fill="F2F2F2" w:themeFill="background1" w:themeFillShade="F2"/>
          </w:tcPr>
          <w:p w14:paraId="6D13A183" w14:textId="585EF7EF" w:rsidR="00524F36" w:rsidRPr="008D1384" w:rsidRDefault="00524F36">
            <w:pPr>
              <w:pStyle w:val="TableNText"/>
              <w:ind w:left="196" w:right="148"/>
              <w:rPr>
                <w:sz w:val="18"/>
                <w:szCs w:val="18"/>
              </w:rPr>
            </w:pPr>
            <w:r w:rsidRPr="008D1384">
              <w:rPr>
                <w:noProof/>
                <w:sz w:val="18"/>
                <w:szCs w:val="18"/>
              </w:rPr>
              <mc:AlternateContent>
                <mc:Choice Requires="wps">
                  <w:drawing>
                    <wp:anchor distT="0" distB="0" distL="114300" distR="114300" simplePos="0" relativeHeight="251658260" behindDoc="0" locked="0" layoutInCell="1" allowOverlap="1" wp14:anchorId="31300E3D" wp14:editId="23F837C8">
                      <wp:simplePos x="0" y="0"/>
                      <wp:positionH relativeFrom="column">
                        <wp:posOffset>5398936</wp:posOffset>
                      </wp:positionH>
                      <wp:positionV relativeFrom="paragraph">
                        <wp:posOffset>-291824</wp:posOffset>
                      </wp:positionV>
                      <wp:extent cx="252256" cy="196954"/>
                      <wp:effectExtent l="0" t="0" r="0" b="0"/>
                      <wp:wrapNone/>
                      <wp:docPr id="79880508" name="Freeform: Shape 45" descr="P578C2T15#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2256" cy="196954"/>
                              </a:xfrm>
                              <a:custGeom>
                                <a:avLst/>
                                <a:gdLst>
                                  <a:gd name="T0" fmla="*/ 188 w 188"/>
                                  <a:gd name="T1" fmla="*/ 120 h 147"/>
                                  <a:gd name="T2" fmla="*/ 187 w 188"/>
                                  <a:gd name="T3" fmla="*/ 118 h 147"/>
                                  <a:gd name="T4" fmla="*/ 187 w 188"/>
                                  <a:gd name="T5" fmla="*/ 118 h 147"/>
                                  <a:gd name="T6" fmla="*/ 151 w 188"/>
                                  <a:gd name="T7" fmla="*/ 30 h 147"/>
                                  <a:gd name="T8" fmla="*/ 151 w 188"/>
                                  <a:gd name="T9" fmla="*/ 30 h 147"/>
                                  <a:gd name="T10" fmla="*/ 147 w 188"/>
                                  <a:gd name="T11" fmla="*/ 26 h 147"/>
                                  <a:gd name="T12" fmla="*/ 97 w 188"/>
                                  <a:gd name="T13" fmla="*/ 26 h 147"/>
                                  <a:gd name="T14" fmla="*/ 97 w 188"/>
                                  <a:gd name="T15" fmla="*/ 4 h 147"/>
                                  <a:gd name="T16" fmla="*/ 94 w 188"/>
                                  <a:gd name="T17" fmla="*/ 0 h 147"/>
                                  <a:gd name="T18" fmla="*/ 90 w 188"/>
                                  <a:gd name="T19" fmla="*/ 4 h 147"/>
                                  <a:gd name="T20" fmla="*/ 90 w 188"/>
                                  <a:gd name="T21" fmla="*/ 26 h 147"/>
                                  <a:gd name="T22" fmla="*/ 40 w 188"/>
                                  <a:gd name="T23" fmla="*/ 26 h 147"/>
                                  <a:gd name="T24" fmla="*/ 37 w 188"/>
                                  <a:gd name="T25" fmla="*/ 30 h 147"/>
                                  <a:gd name="T26" fmla="*/ 37 w 188"/>
                                  <a:gd name="T27" fmla="*/ 30 h 147"/>
                                  <a:gd name="T28" fmla="*/ 0 w 188"/>
                                  <a:gd name="T29" fmla="*/ 118 h 147"/>
                                  <a:gd name="T30" fmla="*/ 0 w 188"/>
                                  <a:gd name="T31" fmla="*/ 120 h 147"/>
                                  <a:gd name="T32" fmla="*/ 0 w 188"/>
                                  <a:gd name="T33" fmla="*/ 122 h 147"/>
                                  <a:gd name="T34" fmla="*/ 40 w 188"/>
                                  <a:gd name="T35" fmla="*/ 147 h 147"/>
                                  <a:gd name="T36" fmla="*/ 80 w 188"/>
                                  <a:gd name="T37" fmla="*/ 121 h 147"/>
                                  <a:gd name="T38" fmla="*/ 80 w 188"/>
                                  <a:gd name="T39" fmla="*/ 120 h 147"/>
                                  <a:gd name="T40" fmla="*/ 80 w 188"/>
                                  <a:gd name="T41" fmla="*/ 120 h 147"/>
                                  <a:gd name="T42" fmla="*/ 80 w 188"/>
                                  <a:gd name="T43" fmla="*/ 118 h 147"/>
                                  <a:gd name="T44" fmla="*/ 80 w 188"/>
                                  <a:gd name="T45" fmla="*/ 118 h 147"/>
                                  <a:gd name="T46" fmla="*/ 45 w 188"/>
                                  <a:gd name="T47" fmla="*/ 33 h 147"/>
                                  <a:gd name="T48" fmla="*/ 143 w 188"/>
                                  <a:gd name="T49" fmla="*/ 33 h 147"/>
                                  <a:gd name="T50" fmla="*/ 107 w 188"/>
                                  <a:gd name="T51" fmla="*/ 118 h 147"/>
                                  <a:gd name="T52" fmla="*/ 107 w 188"/>
                                  <a:gd name="T53" fmla="*/ 120 h 147"/>
                                  <a:gd name="T54" fmla="*/ 108 w 188"/>
                                  <a:gd name="T55" fmla="*/ 122 h 147"/>
                                  <a:gd name="T56" fmla="*/ 147 w 188"/>
                                  <a:gd name="T57" fmla="*/ 147 h 147"/>
                                  <a:gd name="T58" fmla="*/ 187 w 188"/>
                                  <a:gd name="T59" fmla="*/ 121 h 147"/>
                                  <a:gd name="T60" fmla="*/ 187 w 188"/>
                                  <a:gd name="T61" fmla="*/ 120 h 147"/>
                                  <a:gd name="T62" fmla="*/ 188 w 188"/>
                                  <a:gd name="T63" fmla="*/ 120 h 147"/>
                                  <a:gd name="T64" fmla="*/ 40 w 188"/>
                                  <a:gd name="T65" fmla="*/ 141 h 147"/>
                                  <a:gd name="T66" fmla="*/ 8 w 188"/>
                                  <a:gd name="T67" fmla="*/ 123 h 147"/>
                                  <a:gd name="T68" fmla="*/ 72 w 188"/>
                                  <a:gd name="T69" fmla="*/ 123 h 147"/>
                                  <a:gd name="T70" fmla="*/ 40 w 188"/>
                                  <a:gd name="T71" fmla="*/ 141 h 147"/>
                                  <a:gd name="T72" fmla="*/ 8 w 188"/>
                                  <a:gd name="T73" fmla="*/ 117 h 147"/>
                                  <a:gd name="T74" fmla="*/ 40 w 188"/>
                                  <a:gd name="T75" fmla="*/ 38 h 147"/>
                                  <a:gd name="T76" fmla="*/ 73 w 188"/>
                                  <a:gd name="T77" fmla="*/ 117 h 147"/>
                                  <a:gd name="T78" fmla="*/ 8 w 188"/>
                                  <a:gd name="T79" fmla="*/ 117 h 147"/>
                                  <a:gd name="T80" fmla="*/ 147 w 188"/>
                                  <a:gd name="T81" fmla="*/ 38 h 147"/>
                                  <a:gd name="T82" fmla="*/ 180 w 188"/>
                                  <a:gd name="T83" fmla="*/ 117 h 147"/>
                                  <a:gd name="T84" fmla="*/ 115 w 188"/>
                                  <a:gd name="T85" fmla="*/ 117 h 147"/>
                                  <a:gd name="T86" fmla="*/ 147 w 188"/>
                                  <a:gd name="T87" fmla="*/ 38 h 147"/>
                                  <a:gd name="T88" fmla="*/ 147 w 188"/>
                                  <a:gd name="T89" fmla="*/ 141 h 147"/>
                                  <a:gd name="T90" fmla="*/ 115 w 188"/>
                                  <a:gd name="T91" fmla="*/ 123 h 147"/>
                                  <a:gd name="T92" fmla="*/ 179 w 188"/>
                                  <a:gd name="T93" fmla="*/ 123 h 147"/>
                                  <a:gd name="T94" fmla="*/ 147 w 188"/>
                                  <a:gd name="T95" fmla="*/ 141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8" h="147">
                                    <a:moveTo>
                                      <a:pt x="188" y="120"/>
                                    </a:moveTo>
                                    <a:cubicBezTo>
                                      <a:pt x="188" y="119"/>
                                      <a:pt x="187" y="119"/>
                                      <a:pt x="187" y="118"/>
                                    </a:cubicBezTo>
                                    <a:cubicBezTo>
                                      <a:pt x="187" y="118"/>
                                      <a:pt x="187" y="118"/>
                                      <a:pt x="187" y="118"/>
                                    </a:cubicBezTo>
                                    <a:cubicBezTo>
                                      <a:pt x="151" y="30"/>
                                      <a:pt x="151" y="30"/>
                                      <a:pt x="151" y="30"/>
                                    </a:cubicBezTo>
                                    <a:cubicBezTo>
                                      <a:pt x="151" y="30"/>
                                      <a:pt x="151" y="30"/>
                                      <a:pt x="151" y="30"/>
                                    </a:cubicBezTo>
                                    <a:cubicBezTo>
                                      <a:pt x="151" y="28"/>
                                      <a:pt x="149" y="26"/>
                                      <a:pt x="147" y="26"/>
                                    </a:cubicBezTo>
                                    <a:cubicBezTo>
                                      <a:pt x="97" y="26"/>
                                      <a:pt x="97" y="26"/>
                                      <a:pt x="97" y="26"/>
                                    </a:cubicBezTo>
                                    <a:cubicBezTo>
                                      <a:pt x="97" y="4"/>
                                      <a:pt x="97" y="4"/>
                                      <a:pt x="97" y="4"/>
                                    </a:cubicBezTo>
                                    <a:cubicBezTo>
                                      <a:pt x="97" y="2"/>
                                      <a:pt x="96" y="0"/>
                                      <a:pt x="94" y="0"/>
                                    </a:cubicBezTo>
                                    <a:cubicBezTo>
                                      <a:pt x="92" y="0"/>
                                      <a:pt x="90" y="2"/>
                                      <a:pt x="90" y="4"/>
                                    </a:cubicBezTo>
                                    <a:cubicBezTo>
                                      <a:pt x="90" y="26"/>
                                      <a:pt x="90" y="26"/>
                                      <a:pt x="90" y="26"/>
                                    </a:cubicBezTo>
                                    <a:cubicBezTo>
                                      <a:pt x="40" y="26"/>
                                      <a:pt x="40" y="26"/>
                                      <a:pt x="40" y="26"/>
                                    </a:cubicBezTo>
                                    <a:cubicBezTo>
                                      <a:pt x="38" y="26"/>
                                      <a:pt x="37" y="28"/>
                                      <a:pt x="37" y="30"/>
                                    </a:cubicBezTo>
                                    <a:cubicBezTo>
                                      <a:pt x="37" y="30"/>
                                      <a:pt x="37" y="30"/>
                                      <a:pt x="37" y="30"/>
                                    </a:cubicBezTo>
                                    <a:cubicBezTo>
                                      <a:pt x="0" y="118"/>
                                      <a:pt x="0" y="118"/>
                                      <a:pt x="0" y="118"/>
                                    </a:cubicBezTo>
                                    <a:cubicBezTo>
                                      <a:pt x="0" y="119"/>
                                      <a:pt x="0" y="120"/>
                                      <a:pt x="0" y="120"/>
                                    </a:cubicBezTo>
                                    <a:cubicBezTo>
                                      <a:pt x="0" y="121"/>
                                      <a:pt x="0" y="121"/>
                                      <a:pt x="0" y="122"/>
                                    </a:cubicBezTo>
                                    <a:cubicBezTo>
                                      <a:pt x="1" y="123"/>
                                      <a:pt x="13" y="147"/>
                                      <a:pt x="40" y="147"/>
                                    </a:cubicBezTo>
                                    <a:cubicBezTo>
                                      <a:pt x="68" y="147"/>
                                      <a:pt x="80" y="122"/>
                                      <a:pt x="80" y="121"/>
                                    </a:cubicBezTo>
                                    <a:cubicBezTo>
                                      <a:pt x="80" y="121"/>
                                      <a:pt x="80" y="120"/>
                                      <a:pt x="80" y="120"/>
                                    </a:cubicBezTo>
                                    <a:cubicBezTo>
                                      <a:pt x="80" y="120"/>
                                      <a:pt x="80" y="120"/>
                                      <a:pt x="80" y="120"/>
                                    </a:cubicBezTo>
                                    <a:cubicBezTo>
                                      <a:pt x="80" y="119"/>
                                      <a:pt x="80" y="119"/>
                                      <a:pt x="80" y="118"/>
                                    </a:cubicBezTo>
                                    <a:cubicBezTo>
                                      <a:pt x="80" y="118"/>
                                      <a:pt x="80" y="118"/>
                                      <a:pt x="80" y="118"/>
                                    </a:cubicBezTo>
                                    <a:cubicBezTo>
                                      <a:pt x="45" y="33"/>
                                      <a:pt x="45" y="33"/>
                                      <a:pt x="45" y="33"/>
                                    </a:cubicBezTo>
                                    <a:cubicBezTo>
                                      <a:pt x="143" y="33"/>
                                      <a:pt x="143" y="33"/>
                                      <a:pt x="143" y="33"/>
                                    </a:cubicBezTo>
                                    <a:cubicBezTo>
                                      <a:pt x="107" y="118"/>
                                      <a:pt x="107" y="118"/>
                                      <a:pt x="107" y="118"/>
                                    </a:cubicBezTo>
                                    <a:cubicBezTo>
                                      <a:pt x="107" y="119"/>
                                      <a:pt x="107" y="120"/>
                                      <a:pt x="107" y="120"/>
                                    </a:cubicBezTo>
                                    <a:cubicBezTo>
                                      <a:pt x="107" y="121"/>
                                      <a:pt x="108" y="121"/>
                                      <a:pt x="108" y="122"/>
                                    </a:cubicBezTo>
                                    <a:cubicBezTo>
                                      <a:pt x="108" y="123"/>
                                      <a:pt x="120" y="147"/>
                                      <a:pt x="147" y="147"/>
                                    </a:cubicBezTo>
                                    <a:cubicBezTo>
                                      <a:pt x="175" y="147"/>
                                      <a:pt x="187" y="122"/>
                                      <a:pt x="187" y="121"/>
                                    </a:cubicBezTo>
                                    <a:cubicBezTo>
                                      <a:pt x="187" y="121"/>
                                      <a:pt x="187" y="120"/>
                                      <a:pt x="187" y="120"/>
                                    </a:cubicBezTo>
                                    <a:cubicBezTo>
                                      <a:pt x="187" y="120"/>
                                      <a:pt x="187" y="120"/>
                                      <a:pt x="188" y="120"/>
                                    </a:cubicBezTo>
                                    <a:close/>
                                    <a:moveTo>
                                      <a:pt x="40" y="141"/>
                                    </a:moveTo>
                                    <a:cubicBezTo>
                                      <a:pt x="22" y="141"/>
                                      <a:pt x="12" y="129"/>
                                      <a:pt x="8" y="123"/>
                                    </a:cubicBezTo>
                                    <a:cubicBezTo>
                                      <a:pt x="72" y="123"/>
                                      <a:pt x="72" y="123"/>
                                      <a:pt x="72" y="123"/>
                                    </a:cubicBezTo>
                                    <a:cubicBezTo>
                                      <a:pt x="68" y="129"/>
                                      <a:pt x="57" y="141"/>
                                      <a:pt x="40" y="141"/>
                                    </a:cubicBezTo>
                                    <a:close/>
                                    <a:moveTo>
                                      <a:pt x="8" y="117"/>
                                    </a:moveTo>
                                    <a:cubicBezTo>
                                      <a:pt x="40" y="38"/>
                                      <a:pt x="40" y="38"/>
                                      <a:pt x="40" y="38"/>
                                    </a:cubicBezTo>
                                    <a:cubicBezTo>
                                      <a:pt x="73" y="117"/>
                                      <a:pt x="73" y="117"/>
                                      <a:pt x="73" y="117"/>
                                    </a:cubicBezTo>
                                    <a:lnTo>
                                      <a:pt x="8" y="117"/>
                                    </a:lnTo>
                                    <a:close/>
                                    <a:moveTo>
                                      <a:pt x="147" y="38"/>
                                    </a:moveTo>
                                    <a:cubicBezTo>
                                      <a:pt x="180" y="117"/>
                                      <a:pt x="180" y="117"/>
                                      <a:pt x="180" y="117"/>
                                    </a:cubicBezTo>
                                    <a:cubicBezTo>
                                      <a:pt x="115" y="117"/>
                                      <a:pt x="115" y="117"/>
                                      <a:pt x="115" y="117"/>
                                    </a:cubicBezTo>
                                    <a:lnTo>
                                      <a:pt x="147" y="38"/>
                                    </a:lnTo>
                                    <a:close/>
                                    <a:moveTo>
                                      <a:pt x="147" y="141"/>
                                    </a:moveTo>
                                    <a:cubicBezTo>
                                      <a:pt x="129" y="141"/>
                                      <a:pt x="119" y="129"/>
                                      <a:pt x="115" y="123"/>
                                    </a:cubicBezTo>
                                    <a:cubicBezTo>
                                      <a:pt x="179" y="123"/>
                                      <a:pt x="179" y="123"/>
                                      <a:pt x="179" y="123"/>
                                    </a:cubicBezTo>
                                    <a:cubicBezTo>
                                      <a:pt x="175" y="129"/>
                                      <a:pt x="165" y="141"/>
                                      <a:pt x="147" y="141"/>
                                    </a:cubicBezTo>
                                    <a:close/>
                                  </a:path>
                                </a:pathLst>
                              </a:custGeom>
                              <a:solidFill>
                                <a:schemeClr val="accent1"/>
                              </a:solidFill>
                              <a:ln>
                                <a:noFill/>
                              </a:ln>
                            </wps:spPr>
                            <wps:bodyPr vert="horz" wrap="square" lIns="64514" tIns="32257" rIns="64514" bIns="32257" numCol="1" anchor="t" anchorCtr="0" compatLnSpc="1">
                              <a:prstTxWarp prst="textNoShape">
                                <a:avLst/>
                              </a:prstTxWarp>
                            </wps:bodyPr>
                          </wps:wsp>
                        </a:graphicData>
                      </a:graphic>
                    </wp:anchor>
                  </w:drawing>
                </mc:Choice>
                <mc:Fallback>
                  <w:pict>
                    <v:shape w14:anchorId="31D96210" id="Freeform: Shape 45" o:spid="_x0000_s1026" alt="P578C2T15#y1" style="position:absolute;margin-left:425.1pt;margin-top:-23pt;width:19.85pt;height:15.5pt;z-index:251658260;visibility:visible;mso-wrap-style:square;mso-wrap-distance-left:9pt;mso-wrap-distance-top:0;mso-wrap-distance-right:9pt;mso-wrap-distance-bottom:0;mso-position-horizontal:absolute;mso-position-horizontal-relative:text;mso-position-vertical:absolute;mso-position-vertical-relative:text;v-text-anchor:top" coordsize="188,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" path="m188,120v,-1,-1,-1,-1,-2c187,118,187,118,187,118,151,30,151,30,151,30v,,,,,c151,28,149,26,147,26v-50,,-50,,-50,c97,4,97,4,97,4,97,2,96,,94,,92,,90,2,90,4v,22,,22,,22c40,26,40,26,40,26v-2,,-3,2,-3,4c37,30,37,30,37,30,,118,,118,,118v,1,,2,,2c,121,,121,,122v1,1,13,25,40,25c68,147,80,122,80,121v,,,-1,,-1c80,120,80,120,80,120v,-1,,-1,,-2c80,118,80,118,80,118,45,33,45,33,45,33v98,,98,,98,c107,118,107,118,107,118v,1,,2,,2c107,121,108,121,108,122v,1,12,25,39,25c175,147,187,122,187,121v,,,-1,,-1c187,120,187,120,188,120xm40,141c22,141,12,129,8,123v64,,64,,64,c68,129,57,141,40,141xm8,117c40,38,40,38,40,38v33,79,33,79,33,79l8,117xm147,38v33,79,33,79,33,79c115,117,115,117,115,117l147,38xm147,141v-18,,-28,-12,-32,-18c179,123,179,123,179,123v-4,6,-14,18,-32,18xe" fillcolor="#ff3a40 [3204]" stroked="f">
                      <v:path arrowok="t" o:connecttype="custom" o:connectlocs="252256,160779;250914,158099;250914,158099;202610,40195;202610,40195;197243,34835;130153,34835;130153,5359;126128,0;120761,5359;120761,34835;53671,34835;49646,40195;49646,40195;0,158099;0,160779;0,163458;53671,196954;107343,162119;107343,160779;107343,160779;107343,158099;107343,158099;60380,44214;191876,44214;143571,158099;143571,160779;144913,163458;197243,196954;250914,162119;250914,160779;252256,160779;53671,188915;10734,164798;96609,164798;53671,188915;10734,156759;53671,50913;97950,156759;10734,156759;197243,50913;241522,156759;154306,156759;197243,50913;197243,188915;154306,164798;240180,164798;197243,188915" o:connectangles="0,0,0,0,0,0,0,0,0,0,0,0,0,0,0,0,0,0,0,0,0,0,0,0,0,0,0,0,0,0,0,0,0,0,0,0,0,0,0,0,0,0,0,0,0,0,0,0"/>
                      <o:lock v:ext="edit" aspectratio="t" verticies="t"/>
                    </v:shape>
                  </w:pict>
                </mc:Fallback>
              </mc:AlternateContent>
            </w:r>
            <w:r w:rsidRPr="008D1384">
              <w:rPr>
                <w:sz w:val="18"/>
                <w:szCs w:val="18"/>
              </w:rPr>
              <w:t xml:space="preserve">A </w:t>
            </w:r>
            <w:r w:rsidR="00E00D8C" w:rsidRPr="008D1384">
              <w:rPr>
                <w:noProof/>
                <w:sz w:val="18"/>
                <w:szCs w:val="18"/>
              </w:rPr>
              <w:t xml:space="preserve">SARC – IC funded </w:t>
            </w:r>
            <w:r w:rsidR="00EF6343" w:rsidRPr="008D1384">
              <w:rPr>
                <w:sz w:val="18"/>
                <w:szCs w:val="18"/>
              </w:rPr>
              <w:t xml:space="preserve">project </w:t>
            </w:r>
            <w:r w:rsidRPr="008D1384">
              <w:rPr>
                <w:sz w:val="18"/>
                <w:szCs w:val="18"/>
              </w:rPr>
              <w:t xml:space="preserve">in rural </w:t>
            </w:r>
            <w:r w:rsidR="007C0E48" w:rsidRPr="008D1384">
              <w:rPr>
                <w:sz w:val="18"/>
                <w:szCs w:val="18"/>
              </w:rPr>
              <w:t xml:space="preserve">areas </w:t>
            </w:r>
            <w:r w:rsidRPr="008D1384">
              <w:rPr>
                <w:sz w:val="18"/>
                <w:szCs w:val="18"/>
              </w:rPr>
              <w:t xml:space="preserve">focused on increasing </w:t>
            </w:r>
            <w:r w:rsidR="007C0E48" w:rsidRPr="008D1384">
              <w:rPr>
                <w:sz w:val="18"/>
                <w:szCs w:val="18"/>
              </w:rPr>
              <w:t xml:space="preserve">the </w:t>
            </w:r>
            <w:r w:rsidRPr="008D1384">
              <w:rPr>
                <w:sz w:val="18"/>
                <w:szCs w:val="18"/>
              </w:rPr>
              <w:t xml:space="preserve">sense of community in the </w:t>
            </w:r>
            <w:r w:rsidR="007C0E48" w:rsidRPr="008D1384">
              <w:rPr>
                <w:sz w:val="18"/>
                <w:szCs w:val="18"/>
              </w:rPr>
              <w:t xml:space="preserve">local </w:t>
            </w:r>
            <w:r w:rsidRPr="008D1384">
              <w:rPr>
                <w:sz w:val="18"/>
                <w:szCs w:val="18"/>
              </w:rPr>
              <w:t xml:space="preserve">area and </w:t>
            </w:r>
            <w:r w:rsidR="007C0E48" w:rsidRPr="008D1384">
              <w:rPr>
                <w:sz w:val="18"/>
                <w:szCs w:val="18"/>
              </w:rPr>
              <w:t>supporting</w:t>
            </w:r>
            <w:r w:rsidRPr="008D1384">
              <w:rPr>
                <w:sz w:val="18"/>
                <w:szCs w:val="18"/>
              </w:rPr>
              <w:t xml:space="preserve"> isolated residents </w:t>
            </w:r>
            <w:r w:rsidR="007C0E48" w:rsidRPr="008D1384">
              <w:rPr>
                <w:sz w:val="18"/>
                <w:szCs w:val="18"/>
              </w:rPr>
              <w:t xml:space="preserve">to </w:t>
            </w:r>
            <w:r w:rsidRPr="008D1384">
              <w:rPr>
                <w:sz w:val="18"/>
                <w:szCs w:val="18"/>
              </w:rPr>
              <w:t xml:space="preserve">build relationships and access </w:t>
            </w:r>
            <w:r w:rsidR="00A96C9B" w:rsidRPr="008D1384">
              <w:rPr>
                <w:sz w:val="18"/>
                <w:szCs w:val="18"/>
              </w:rPr>
              <w:t>relevant</w:t>
            </w:r>
            <w:r w:rsidRPr="008D1384">
              <w:rPr>
                <w:sz w:val="18"/>
                <w:szCs w:val="18"/>
              </w:rPr>
              <w:t xml:space="preserve"> services. </w:t>
            </w:r>
            <w:r w:rsidR="004B6491" w:rsidRPr="008D1384">
              <w:rPr>
                <w:sz w:val="18"/>
                <w:szCs w:val="18"/>
              </w:rPr>
              <w:t xml:space="preserve">The service </w:t>
            </w:r>
            <w:r w:rsidR="0026128E" w:rsidRPr="008D1384">
              <w:rPr>
                <w:sz w:val="18"/>
                <w:szCs w:val="18"/>
              </w:rPr>
              <w:t>ran weekly sessions with different activities. P</w:t>
            </w:r>
            <w:r w:rsidRPr="008D1384">
              <w:rPr>
                <w:sz w:val="18"/>
                <w:szCs w:val="18"/>
              </w:rPr>
              <w:t xml:space="preserve">articipants valued that the </w:t>
            </w:r>
            <w:r w:rsidR="004B6491" w:rsidRPr="008D1384">
              <w:rPr>
                <w:sz w:val="18"/>
                <w:szCs w:val="18"/>
              </w:rPr>
              <w:t xml:space="preserve">facilitators </w:t>
            </w:r>
            <w:r w:rsidRPr="008D1384">
              <w:rPr>
                <w:sz w:val="18"/>
                <w:szCs w:val="18"/>
              </w:rPr>
              <w:t>listened to what they were interested in and shaped future sessions to meet those needs, for example</w:t>
            </w:r>
            <w:r w:rsidR="00B731E1" w:rsidRPr="008D1384">
              <w:rPr>
                <w:sz w:val="18"/>
                <w:szCs w:val="18"/>
              </w:rPr>
              <w:t>,</w:t>
            </w:r>
            <w:r w:rsidRPr="008D1384">
              <w:rPr>
                <w:sz w:val="18"/>
                <w:szCs w:val="18"/>
              </w:rPr>
              <w:t xml:space="preserve"> art therapy sessions</w:t>
            </w:r>
            <w:r w:rsidR="006D6DAF" w:rsidRPr="008D1384">
              <w:rPr>
                <w:sz w:val="18"/>
                <w:szCs w:val="18"/>
              </w:rPr>
              <w:t>, financial planning</w:t>
            </w:r>
            <w:r w:rsidR="00AF3E00" w:rsidRPr="008D1384">
              <w:rPr>
                <w:sz w:val="18"/>
                <w:szCs w:val="18"/>
              </w:rPr>
              <w:t>,</w:t>
            </w:r>
            <w:r w:rsidRPr="008D1384">
              <w:rPr>
                <w:sz w:val="18"/>
                <w:szCs w:val="18"/>
              </w:rPr>
              <w:t xml:space="preserve"> and spending time in nature.  </w:t>
            </w:r>
          </w:p>
          <w:p w14:paraId="25280CE3" w14:textId="7540511F" w:rsidR="00524F36" w:rsidRPr="008D1384" w:rsidRDefault="003C3F64">
            <w:pPr>
              <w:pStyle w:val="TableNText"/>
              <w:ind w:left="196" w:right="148"/>
              <w:rPr>
                <w:sz w:val="18"/>
                <w:szCs w:val="18"/>
              </w:rPr>
            </w:pPr>
            <w:r w:rsidRPr="008D1384">
              <w:rPr>
                <w:sz w:val="18"/>
                <w:szCs w:val="18"/>
              </w:rPr>
              <w:lastRenderedPageBreak/>
              <w:t>Participants</w:t>
            </w:r>
            <w:r w:rsidR="00524F36" w:rsidRPr="008D1384">
              <w:rPr>
                <w:sz w:val="18"/>
                <w:szCs w:val="18"/>
              </w:rPr>
              <w:t xml:space="preserve"> reported ongoing benefits </w:t>
            </w:r>
            <w:r w:rsidR="008A6F85" w:rsidRPr="008D1384">
              <w:rPr>
                <w:sz w:val="18"/>
                <w:szCs w:val="18"/>
              </w:rPr>
              <w:t>f</w:t>
            </w:r>
            <w:r w:rsidR="00A86E86" w:rsidRPr="008D1384">
              <w:rPr>
                <w:sz w:val="18"/>
                <w:szCs w:val="18"/>
              </w:rPr>
              <w:t>o</w:t>
            </w:r>
            <w:r w:rsidR="008A6F85" w:rsidRPr="008D1384">
              <w:rPr>
                <w:sz w:val="18"/>
                <w:szCs w:val="18"/>
              </w:rPr>
              <w:t>r</w:t>
            </w:r>
            <w:r w:rsidR="00A86E86" w:rsidRPr="008D1384">
              <w:rPr>
                <w:sz w:val="18"/>
                <w:szCs w:val="18"/>
              </w:rPr>
              <w:t xml:space="preserve"> their mental health and wellbeing during and</w:t>
            </w:r>
            <w:r w:rsidR="00524F36" w:rsidRPr="008D1384">
              <w:rPr>
                <w:sz w:val="18"/>
                <w:szCs w:val="18"/>
              </w:rPr>
              <w:t xml:space="preserve"> after the </w:t>
            </w:r>
            <w:r w:rsidR="007634C5" w:rsidRPr="008D1384">
              <w:rPr>
                <w:sz w:val="18"/>
                <w:szCs w:val="18"/>
              </w:rPr>
              <w:t xml:space="preserve">project </w:t>
            </w:r>
            <w:r w:rsidR="003F492F" w:rsidRPr="008D1384">
              <w:rPr>
                <w:sz w:val="18"/>
                <w:szCs w:val="18"/>
              </w:rPr>
              <w:t xml:space="preserve">due to the </w:t>
            </w:r>
            <w:r w:rsidR="00524F36" w:rsidRPr="008D1384">
              <w:rPr>
                <w:sz w:val="18"/>
                <w:szCs w:val="18"/>
              </w:rPr>
              <w:t xml:space="preserve">relationships </w:t>
            </w:r>
            <w:r w:rsidR="003F492F" w:rsidRPr="008D1384">
              <w:rPr>
                <w:sz w:val="18"/>
                <w:szCs w:val="18"/>
              </w:rPr>
              <w:t xml:space="preserve">developed through </w:t>
            </w:r>
            <w:r w:rsidR="00524F36" w:rsidRPr="008D1384">
              <w:rPr>
                <w:sz w:val="18"/>
                <w:szCs w:val="18"/>
              </w:rPr>
              <w:t xml:space="preserve">attending the </w:t>
            </w:r>
            <w:r w:rsidR="007634C5" w:rsidRPr="008D1384">
              <w:rPr>
                <w:sz w:val="18"/>
                <w:szCs w:val="18"/>
              </w:rPr>
              <w:t>project</w:t>
            </w:r>
            <w:r w:rsidR="00524F36" w:rsidRPr="008D1384">
              <w:rPr>
                <w:sz w:val="18"/>
                <w:szCs w:val="18"/>
              </w:rPr>
              <w:t xml:space="preserve">. </w:t>
            </w:r>
          </w:p>
          <w:p w14:paraId="1DC8BD65" w14:textId="1B30AB92" w:rsidR="00524F36" w:rsidRDefault="00524F36" w:rsidP="007E1369">
            <w:pPr>
              <w:pStyle w:val="TableNText"/>
              <w:ind w:left="196" w:right="148"/>
            </w:pPr>
            <w:r w:rsidRPr="00D035F5">
              <w:rPr>
                <w:i/>
                <w:iCs/>
              </w:rPr>
              <w:t>“It helped me connect and meet more people</w:t>
            </w:r>
            <w:r w:rsidR="00CE1FD0">
              <w:rPr>
                <w:i/>
                <w:iCs/>
              </w:rPr>
              <w:t>.</w:t>
            </w:r>
            <w:r w:rsidRPr="00D035F5">
              <w:rPr>
                <w:i/>
                <w:iCs/>
              </w:rPr>
              <w:t xml:space="preserve">” </w:t>
            </w:r>
          </w:p>
        </w:tc>
      </w:tr>
    </w:tbl>
    <w:p w14:paraId="737B32E8" w14:textId="0F7768A2" w:rsidR="001F1F1B" w:rsidRDefault="001F1F1B" w:rsidP="005C2150">
      <w:pPr>
        <w:pStyle w:val="Heading5"/>
      </w:pPr>
      <w:r>
        <w:lastRenderedPageBreak/>
        <w:t xml:space="preserve">The </w:t>
      </w:r>
      <w:r w:rsidR="00B07AC6">
        <w:t xml:space="preserve">SARC – IC </w:t>
      </w:r>
      <w:r w:rsidR="00FF6A23">
        <w:t xml:space="preserve">Activity </w:t>
      </w:r>
      <w:r>
        <w:t xml:space="preserve">has improved education outcomes for many participants across target groups </w:t>
      </w:r>
    </w:p>
    <w:p w14:paraId="38D568C8" w14:textId="78F49EB1" w:rsidR="005C2150" w:rsidRDefault="005C2150" w:rsidP="005C2150">
      <w:r>
        <w:t xml:space="preserve">Education skills did not see as strong </w:t>
      </w:r>
      <w:r w:rsidR="00C41E85">
        <w:t>an</w:t>
      </w:r>
      <w:r>
        <w:t xml:space="preserve"> improvement across all target groups compared with other outcomes, as can be seen in </w:t>
      </w:r>
      <w:r w:rsidR="00325204">
        <w:fldChar w:fldCharType="begin" w:fldLock="1"/>
      </w:r>
      <w:r w:rsidR="00325204">
        <w:instrText xml:space="preserve"> REF _Ref220507774 \h </w:instrText>
      </w:r>
      <w:r w:rsidR="00325204">
        <w:fldChar w:fldCharType="separate"/>
      </w:r>
      <w:r w:rsidR="00325204">
        <w:t xml:space="preserve">Figure </w:t>
      </w:r>
      <w:r w:rsidR="00325204" w:rsidRPr="4AF1E856">
        <w:rPr>
          <w:noProof/>
        </w:rPr>
        <w:t>11</w:t>
      </w:r>
      <w:r w:rsidR="00325204">
        <w:fldChar w:fldCharType="end"/>
      </w:r>
      <w:r w:rsidR="00325204">
        <w:t xml:space="preserve"> below</w:t>
      </w:r>
      <w:r>
        <w:t xml:space="preserve">. </w:t>
      </w:r>
      <w:r w:rsidR="0026531C">
        <w:t xml:space="preserve">This is not unexpected, as </w:t>
      </w:r>
      <w:r w:rsidR="00823B68">
        <w:t xml:space="preserve">it would not have been a target for </w:t>
      </w:r>
      <w:r w:rsidR="00992E7B">
        <w:t xml:space="preserve">many </w:t>
      </w:r>
      <w:r w:rsidR="002B007F">
        <w:t>projects</w:t>
      </w:r>
      <w:r w:rsidR="00992E7B">
        <w:t xml:space="preserve"> unless they were aimed at young people (or in some cases vulnerable women). </w:t>
      </w:r>
      <w:r w:rsidR="00447E7F">
        <w:t>F</w:t>
      </w:r>
      <w:r>
        <w:t xml:space="preserve">or those who would presumably benefit most, </w:t>
      </w:r>
      <w:r w:rsidR="00582E3B">
        <w:t xml:space="preserve">young people </w:t>
      </w:r>
      <w:r w:rsidR="007552EB">
        <w:t xml:space="preserve">(n = </w:t>
      </w:r>
      <w:r w:rsidR="00D632CB">
        <w:t>321</w:t>
      </w:r>
      <w:r w:rsidR="007552EB">
        <w:t xml:space="preserve">) </w:t>
      </w:r>
      <w:r>
        <w:t>and women at risk of disadvantage</w:t>
      </w:r>
      <w:r w:rsidR="007552EB">
        <w:t xml:space="preserve"> (n = </w:t>
      </w:r>
      <w:r w:rsidR="00DA007B">
        <w:t>698</w:t>
      </w:r>
      <w:r w:rsidR="007552EB">
        <w:t>)</w:t>
      </w:r>
      <w:r>
        <w:t xml:space="preserve">, </w:t>
      </w:r>
      <w:r w:rsidR="00E33486">
        <w:t>SARC – IC</w:t>
      </w:r>
      <w:r>
        <w:t xml:space="preserve"> improved scores for around 50 per cent of participants. </w:t>
      </w:r>
      <w:r w:rsidR="00563C2A">
        <w:t xml:space="preserve">The total number of young people with a pre and post SCORE for education was also higher than </w:t>
      </w:r>
      <w:r w:rsidR="00064C2C">
        <w:t>other SCORE categories</w:t>
      </w:r>
      <w:r w:rsidR="00323BA8">
        <w:t>,</w:t>
      </w:r>
      <w:r w:rsidR="00064C2C">
        <w:t xml:space="preserve"> suggesting that education (alongside community participation) was the key intended outcome of most </w:t>
      </w:r>
      <w:r w:rsidR="002B007F">
        <w:t>projects</w:t>
      </w:r>
      <w:r w:rsidR="00064C2C">
        <w:t xml:space="preserve"> designed for young people. </w:t>
      </w:r>
      <w:r>
        <w:t xml:space="preserve">People with a disability and unemployed people only saw around </w:t>
      </w:r>
      <w:r w:rsidR="00323BA8">
        <w:t>a</w:t>
      </w:r>
      <w:r>
        <w:t xml:space="preserve"> 40 per cent increase </w:t>
      </w:r>
      <w:r w:rsidR="0085483C">
        <w:t>in</w:t>
      </w:r>
      <w:r>
        <w:t xml:space="preserve"> their scores, most likely due to different focuses </w:t>
      </w:r>
      <w:r w:rsidR="009A55A9">
        <w:t>within</w:t>
      </w:r>
      <w:r>
        <w:t xml:space="preserve"> those </w:t>
      </w:r>
      <w:r w:rsidR="002B007F">
        <w:t>projects</w:t>
      </w:r>
      <w:r>
        <w:t>.</w:t>
      </w:r>
      <w:r w:rsidR="00F65692">
        <w:t xml:space="preserve"> </w:t>
      </w:r>
      <w:r w:rsidR="00C76151">
        <w:t xml:space="preserve">Grant recipients and </w:t>
      </w:r>
      <w:r w:rsidR="003C3F64">
        <w:t>participants</w:t>
      </w:r>
      <w:r w:rsidR="00C76151">
        <w:t xml:space="preserve"> interviewed noted that the pro</w:t>
      </w:r>
      <w:r w:rsidR="00E33486">
        <w:t>ject</w:t>
      </w:r>
      <w:r w:rsidR="00C76151">
        <w:t>s for young people were effective in increasing educational en</w:t>
      </w:r>
      <w:r w:rsidR="00E95D96">
        <w:t>gagement because it helped students understand the skills they buil</w:t>
      </w:r>
      <w:r w:rsidR="00C10F9A">
        <w:t>t</w:t>
      </w:r>
      <w:r w:rsidR="00E95D96">
        <w:t xml:space="preserve"> outside of school </w:t>
      </w:r>
      <w:r w:rsidR="00911BB5">
        <w:t>could</w:t>
      </w:r>
      <w:r w:rsidR="00E95D96">
        <w:t xml:space="preserve"> be valuable in their adult life</w:t>
      </w:r>
      <w:r w:rsidR="00B73EAE">
        <w:t xml:space="preserve"> and helped them identify things they were passionate abou</w:t>
      </w:r>
      <w:r w:rsidR="00771E78">
        <w:t>t</w:t>
      </w:r>
      <w:r w:rsidR="00193770">
        <w:t>,</w:t>
      </w:r>
      <w:r w:rsidR="00771E78">
        <w:t xml:space="preserve"> which gave them a direction and purpose </w:t>
      </w:r>
      <w:r w:rsidR="00B006EC">
        <w:t xml:space="preserve">when engaging with school. </w:t>
      </w:r>
    </w:p>
    <w:p w14:paraId="6E2192B3" w14:textId="31F4C4A0" w:rsidR="005C2150" w:rsidRDefault="006D553D" w:rsidP="006D553D">
      <w:pPr>
        <w:pStyle w:val="Caption"/>
      </w:pPr>
      <w:bookmarkStart w:id="61" w:name="figure_11"/>
      <w:bookmarkStart w:id="62" w:name="_Ref220507774"/>
      <w:bookmarkEnd w:id="61"/>
      <w:r>
        <w:lastRenderedPageBreak/>
        <w:t xml:space="preserve">Figure </w:t>
      </w:r>
      <w:r>
        <w:fldChar w:fldCharType="begin"/>
      </w:r>
      <w:r>
        <w:instrText xml:space="preserve"> SEQ Figure \* ARABIC </w:instrText>
      </w:r>
      <w:r>
        <w:fldChar w:fldCharType="separate"/>
      </w:r>
      <w:r w:rsidR="00B666D1">
        <w:rPr>
          <w:noProof/>
        </w:rPr>
        <w:t>11</w:t>
      </w:r>
      <w:r>
        <w:fldChar w:fldCharType="end"/>
      </w:r>
      <w:bookmarkEnd w:id="62"/>
      <w:r>
        <w:t xml:space="preserve"> </w:t>
      </w:r>
      <w:r w:rsidR="005C2150">
        <w:t xml:space="preserve">| </w:t>
      </w:r>
      <w:r w:rsidR="00614DB5">
        <w:t>Education</w:t>
      </w:r>
      <w:r w:rsidR="005C2150">
        <w:t xml:space="preserve"> and skills training scores, by target group</w:t>
      </w:r>
      <w:r w:rsidR="00614DB5">
        <w:t xml:space="preserve"> and period </w:t>
      </w:r>
    </w:p>
    <w:p w14:paraId="1905D943" w14:textId="62870F72" w:rsidR="005C2150" w:rsidRDefault="00A4067C" w:rsidP="008E3D3B">
      <w:r>
        <w:rPr>
          <w:noProof/>
        </w:rPr>
        <w:drawing>
          <wp:inline distT="0" distB="0" distL="0" distR="0" wp14:anchorId="36D20D5D" wp14:editId="62FFC902">
            <wp:extent cx="5818909" cy="5493698"/>
            <wp:effectExtent l="0" t="0" r="0" b="0"/>
            <wp:docPr id="1058791403" name="Picture 10" descr="Figure 11: Shows education and skills training scores, by target group and period  Figure description at Appendix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91403" name="Picture 10" descr="Figure 11: Shows education and skills training scores, by target group and period  Figure description at Appendix G.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45679" cy="5518972"/>
                    </a:xfrm>
                    <a:prstGeom prst="rect">
                      <a:avLst/>
                    </a:prstGeom>
                    <a:noFill/>
                  </pic:spPr>
                </pic:pic>
              </a:graphicData>
            </a:graphic>
          </wp:inline>
        </w:drawing>
      </w:r>
    </w:p>
    <w:p w14:paraId="16876650" w14:textId="1C7C4A6A" w:rsidR="006D3381" w:rsidRDefault="006D3381" w:rsidP="008E3D3B">
      <w:hyperlink w:anchor="_Figure_11_description" w:history="1">
        <w:r w:rsidRPr="006D3381">
          <w:rPr>
            <w:rStyle w:val="Hyperlink"/>
          </w:rPr>
          <w:t>Figure 11 full description</w:t>
        </w:r>
      </w:hyperlink>
    </w:p>
    <w:p w14:paraId="33FD7B0E" w14:textId="77777777" w:rsidR="002E0CD2" w:rsidRPr="004C5DBB" w:rsidRDefault="002E0CD2" w:rsidP="002E0CD2">
      <w:r>
        <w:t>Source: extract from DSS data release published 31/10/2025</w:t>
      </w:r>
    </w:p>
    <w:tbl>
      <w:tblPr>
        <w:tblStyle w:val="NOUS"/>
        <w:tblW w:w="0" w:type="auto"/>
        <w:tblBorders>
          <w:bottom w:val="none" w:sz="0" w:space="0" w:color="auto"/>
          <w:right w:val="single" w:sz="18" w:space="0" w:color="FF3A40" w:themeColor="accent1"/>
          <w:insideH w:val="none" w:sz="0" w:space="0" w:color="auto"/>
        </w:tblBorders>
        <w:tblLook w:val="04A0" w:firstRow="1" w:lastRow="0" w:firstColumn="1" w:lastColumn="0" w:noHBand="0" w:noVBand="1"/>
      </w:tblPr>
      <w:tblGrid>
        <w:gridCol w:w="9185"/>
      </w:tblGrid>
      <w:tr w:rsidR="006371A6" w14:paraId="27440CB6" w14:textId="77777777" w:rsidTr="006371A6">
        <w:trPr>
          <w:cnfStyle w:val="100000000000" w:firstRow="1" w:lastRow="0" w:firstColumn="0" w:lastColumn="0" w:oddVBand="0" w:evenVBand="0" w:oddHBand="0" w:evenHBand="0" w:firstRowFirstColumn="0" w:firstRowLastColumn="0" w:lastRowFirstColumn="0" w:lastRowLastColumn="0"/>
        </w:trPr>
        <w:tc>
          <w:tcPr>
            <w:tcW w:w="9185" w:type="dxa"/>
          </w:tcPr>
          <w:p w14:paraId="5F2B9D72" w14:textId="6CF3F897" w:rsidR="005C175C" w:rsidRPr="008D1384" w:rsidRDefault="005C175C">
            <w:pPr>
              <w:pStyle w:val="TableNheader"/>
              <w:ind w:left="196" w:right="148"/>
              <w:rPr>
                <w:sz w:val="19"/>
                <w:szCs w:val="19"/>
              </w:rPr>
            </w:pPr>
            <w:r w:rsidRPr="008D1384">
              <w:rPr>
                <w:sz w:val="19"/>
                <w:szCs w:val="19"/>
              </w:rPr>
              <w:t xml:space="preserve">Case study | Improving educational outcomes   </w:t>
            </w:r>
          </w:p>
        </w:tc>
      </w:tr>
      <w:tr w:rsidR="00F614D5" w14:paraId="59DF8E51" w14:textId="77777777">
        <w:tc>
          <w:tcPr>
            <w:tcW w:w="9185" w:type="dxa"/>
            <w:shd w:val="clear" w:color="auto" w:fill="F2F2F2" w:themeFill="background1" w:themeFillShade="F2"/>
          </w:tcPr>
          <w:p w14:paraId="78A863FA" w14:textId="6B1352F0" w:rsidR="005C175C" w:rsidRPr="008D1384" w:rsidRDefault="00463094">
            <w:pPr>
              <w:pStyle w:val="TableNText"/>
              <w:ind w:left="196" w:right="148"/>
              <w:rPr>
                <w:noProof/>
                <w:sz w:val="18"/>
                <w:szCs w:val="18"/>
              </w:rPr>
            </w:pPr>
            <w:r w:rsidRPr="008D1384">
              <w:rPr>
                <w:noProof/>
                <w:sz w:val="18"/>
                <w:szCs w:val="18"/>
              </w:rPr>
              <w:t xml:space="preserve">A </w:t>
            </w:r>
            <w:r w:rsidR="00586647" w:rsidRPr="008D1384">
              <w:rPr>
                <w:noProof/>
                <w:sz w:val="18"/>
                <w:szCs w:val="18"/>
              </w:rPr>
              <w:t>SARC – IC funded</w:t>
            </w:r>
            <w:r w:rsidRPr="008D1384">
              <w:rPr>
                <w:noProof/>
                <w:sz w:val="18"/>
                <w:szCs w:val="18"/>
              </w:rPr>
              <w:t xml:space="preserve"> </w:t>
            </w:r>
            <w:r w:rsidR="00EF6343" w:rsidRPr="008D1384">
              <w:rPr>
                <w:noProof/>
                <w:sz w:val="18"/>
                <w:szCs w:val="18"/>
              </w:rPr>
              <w:t xml:space="preserve">project </w:t>
            </w:r>
            <w:r w:rsidRPr="008D1384">
              <w:rPr>
                <w:noProof/>
                <w:sz w:val="18"/>
                <w:szCs w:val="18"/>
              </w:rPr>
              <w:t xml:space="preserve">focused on </w:t>
            </w:r>
            <w:r w:rsidR="006A2FA7" w:rsidRPr="008D1384">
              <w:rPr>
                <w:noProof/>
                <w:sz w:val="18"/>
                <w:szCs w:val="18"/>
              </w:rPr>
              <w:t xml:space="preserve">supporting young people who were at risk of disengaging from </w:t>
            </w:r>
            <w:r w:rsidR="00AA753D" w:rsidRPr="008D1384">
              <w:rPr>
                <w:noProof/>
                <w:sz w:val="18"/>
                <w:szCs w:val="18"/>
              </w:rPr>
              <w:t xml:space="preserve">school </w:t>
            </w:r>
            <w:r w:rsidR="004A3DCA" w:rsidRPr="008D1384">
              <w:rPr>
                <w:noProof/>
                <w:sz w:val="18"/>
                <w:szCs w:val="18"/>
              </w:rPr>
              <w:t>by</w:t>
            </w:r>
            <w:r w:rsidR="00586647" w:rsidRPr="008D1384">
              <w:rPr>
                <w:noProof/>
                <w:sz w:val="18"/>
                <w:szCs w:val="18"/>
              </w:rPr>
              <w:t xml:space="preserve"> </w:t>
            </w:r>
            <w:r w:rsidR="0053228B" w:rsidRPr="008D1384">
              <w:rPr>
                <w:noProof/>
                <w:sz w:val="18"/>
                <w:szCs w:val="18"/>
              </w:rPr>
              <w:t>providing practical training in skills</w:t>
            </w:r>
            <w:r w:rsidR="00AA753D" w:rsidRPr="008D1384">
              <w:rPr>
                <w:noProof/>
                <w:sz w:val="18"/>
                <w:szCs w:val="18"/>
              </w:rPr>
              <w:t xml:space="preserve"> they could take forward into employment, whil</w:t>
            </w:r>
            <w:r w:rsidR="00B73632" w:rsidRPr="008D1384">
              <w:rPr>
                <w:noProof/>
                <w:sz w:val="18"/>
                <w:szCs w:val="18"/>
              </w:rPr>
              <w:t>e</w:t>
            </w:r>
            <w:r w:rsidR="00AA753D" w:rsidRPr="008D1384">
              <w:rPr>
                <w:noProof/>
                <w:sz w:val="18"/>
                <w:szCs w:val="18"/>
              </w:rPr>
              <w:t xml:space="preserve"> encouraging them to stay at school. </w:t>
            </w:r>
            <w:r w:rsidR="00277D46" w:rsidRPr="008D1384">
              <w:rPr>
                <w:noProof/>
                <w:sz w:val="18"/>
                <w:szCs w:val="18"/>
              </w:rPr>
              <w:t>The service ran a structured term</w:t>
            </w:r>
            <w:r w:rsidR="00B13EC9" w:rsidRPr="008D1384">
              <w:rPr>
                <w:noProof/>
                <w:sz w:val="18"/>
                <w:szCs w:val="18"/>
              </w:rPr>
              <w:t>-</w:t>
            </w:r>
            <w:r w:rsidR="00277D46" w:rsidRPr="008D1384">
              <w:rPr>
                <w:noProof/>
                <w:sz w:val="18"/>
                <w:szCs w:val="18"/>
              </w:rPr>
              <w:t>long pro</w:t>
            </w:r>
            <w:r w:rsidR="00F552BB" w:rsidRPr="008D1384">
              <w:rPr>
                <w:noProof/>
                <w:sz w:val="18"/>
                <w:szCs w:val="18"/>
              </w:rPr>
              <w:t>ject</w:t>
            </w:r>
            <w:r w:rsidR="00277D46" w:rsidRPr="008D1384">
              <w:rPr>
                <w:noProof/>
                <w:sz w:val="18"/>
                <w:szCs w:val="18"/>
              </w:rPr>
              <w:t xml:space="preserve"> for a </w:t>
            </w:r>
            <w:r w:rsidR="00404B38" w:rsidRPr="008D1384">
              <w:rPr>
                <w:noProof/>
                <w:sz w:val="18"/>
                <w:szCs w:val="18"/>
              </w:rPr>
              <w:t>small group of students</w:t>
            </w:r>
            <w:r w:rsidR="004A3DCA" w:rsidRPr="008D1384">
              <w:rPr>
                <w:noProof/>
                <w:sz w:val="18"/>
                <w:szCs w:val="18"/>
              </w:rPr>
              <w:t>,</w:t>
            </w:r>
            <w:r w:rsidR="00404B38" w:rsidRPr="008D1384">
              <w:rPr>
                <w:noProof/>
                <w:sz w:val="18"/>
                <w:szCs w:val="18"/>
              </w:rPr>
              <w:t xml:space="preserve"> </w:t>
            </w:r>
            <w:r w:rsidR="003326F9" w:rsidRPr="008D1384">
              <w:rPr>
                <w:noProof/>
                <w:sz w:val="18"/>
                <w:szCs w:val="18"/>
              </w:rPr>
              <w:t xml:space="preserve">where they were </w:t>
            </w:r>
            <w:r w:rsidR="00C6665B" w:rsidRPr="008D1384">
              <w:rPr>
                <w:noProof/>
                <w:sz w:val="18"/>
                <w:szCs w:val="18"/>
              </w:rPr>
              <w:t>supported</w:t>
            </w:r>
            <w:r w:rsidR="003326F9" w:rsidRPr="008D1384">
              <w:rPr>
                <w:noProof/>
                <w:sz w:val="18"/>
                <w:szCs w:val="18"/>
              </w:rPr>
              <w:t xml:space="preserve"> to identify skills </w:t>
            </w:r>
            <w:r w:rsidR="002A2FB8" w:rsidRPr="008D1384">
              <w:rPr>
                <w:noProof/>
                <w:sz w:val="18"/>
                <w:szCs w:val="18"/>
              </w:rPr>
              <w:t xml:space="preserve">that </w:t>
            </w:r>
            <w:r w:rsidR="003326F9" w:rsidRPr="008D1384">
              <w:rPr>
                <w:noProof/>
                <w:sz w:val="18"/>
                <w:szCs w:val="18"/>
              </w:rPr>
              <w:t xml:space="preserve">they were passionate about and </w:t>
            </w:r>
            <w:r w:rsidR="00012B2C" w:rsidRPr="008D1384">
              <w:rPr>
                <w:noProof/>
                <w:sz w:val="18"/>
                <w:szCs w:val="18"/>
              </w:rPr>
              <w:t>to build those skills</w:t>
            </w:r>
            <w:r w:rsidR="001D75C8" w:rsidRPr="008D1384">
              <w:rPr>
                <w:noProof/>
                <w:sz w:val="18"/>
                <w:szCs w:val="18"/>
              </w:rPr>
              <w:t xml:space="preserve">, </w:t>
            </w:r>
            <w:r w:rsidR="00012B2C" w:rsidRPr="008D1384">
              <w:rPr>
                <w:noProof/>
                <w:sz w:val="18"/>
                <w:szCs w:val="18"/>
              </w:rPr>
              <w:t xml:space="preserve">and </w:t>
            </w:r>
            <w:r w:rsidR="001D75C8" w:rsidRPr="008D1384">
              <w:rPr>
                <w:noProof/>
                <w:sz w:val="18"/>
                <w:szCs w:val="18"/>
              </w:rPr>
              <w:t xml:space="preserve">to </w:t>
            </w:r>
            <w:r w:rsidR="00012B2C" w:rsidRPr="008D1384">
              <w:rPr>
                <w:noProof/>
                <w:sz w:val="18"/>
                <w:szCs w:val="18"/>
              </w:rPr>
              <w:t xml:space="preserve">identify how they could translate </w:t>
            </w:r>
            <w:r w:rsidR="001D75C8" w:rsidRPr="008D1384">
              <w:rPr>
                <w:noProof/>
                <w:sz w:val="18"/>
                <w:szCs w:val="18"/>
              </w:rPr>
              <w:t>th</w:t>
            </w:r>
            <w:r w:rsidR="00EB7651" w:rsidRPr="008D1384">
              <w:rPr>
                <w:noProof/>
                <w:sz w:val="18"/>
                <w:szCs w:val="18"/>
              </w:rPr>
              <w:t>o</w:t>
            </w:r>
            <w:r w:rsidR="001D75C8" w:rsidRPr="008D1384">
              <w:rPr>
                <w:noProof/>
                <w:sz w:val="18"/>
                <w:szCs w:val="18"/>
              </w:rPr>
              <w:t>se skills</w:t>
            </w:r>
            <w:r w:rsidR="00573C46" w:rsidRPr="008D1384">
              <w:rPr>
                <w:noProof/>
                <w:sz w:val="18"/>
                <w:szCs w:val="18"/>
              </w:rPr>
              <w:t xml:space="preserve"> </w:t>
            </w:r>
            <w:r w:rsidR="00012B2C" w:rsidRPr="008D1384">
              <w:rPr>
                <w:noProof/>
                <w:sz w:val="18"/>
                <w:szCs w:val="18"/>
              </w:rPr>
              <w:t xml:space="preserve">into a job in the future. </w:t>
            </w:r>
          </w:p>
          <w:p w14:paraId="6268645F" w14:textId="071B2265" w:rsidR="005C175C" w:rsidRDefault="005E2D39" w:rsidP="00DA14C1">
            <w:pPr>
              <w:pStyle w:val="TableNText"/>
              <w:ind w:left="196" w:right="148"/>
            </w:pPr>
            <w:r w:rsidRPr="008D1384">
              <w:rPr>
                <w:sz w:val="18"/>
                <w:szCs w:val="18"/>
              </w:rPr>
              <w:t xml:space="preserve">The service found </w:t>
            </w:r>
            <w:r w:rsidR="00210EB3" w:rsidRPr="008D1384">
              <w:rPr>
                <w:sz w:val="18"/>
                <w:szCs w:val="18"/>
              </w:rPr>
              <w:t>that</w:t>
            </w:r>
            <w:r w:rsidRPr="008D1384">
              <w:rPr>
                <w:sz w:val="18"/>
                <w:szCs w:val="18"/>
              </w:rPr>
              <w:t xml:space="preserve"> th</w:t>
            </w:r>
            <w:r w:rsidR="008D275A" w:rsidRPr="008D1384">
              <w:rPr>
                <w:sz w:val="18"/>
                <w:szCs w:val="18"/>
              </w:rPr>
              <w:t xml:space="preserve">e majority of </w:t>
            </w:r>
            <w:r w:rsidR="00EB0563" w:rsidRPr="008D1384">
              <w:rPr>
                <w:sz w:val="18"/>
                <w:szCs w:val="18"/>
              </w:rPr>
              <w:t>participants were more engaged at school after attending the pro</w:t>
            </w:r>
            <w:r w:rsidR="00045DAE" w:rsidRPr="008D1384">
              <w:rPr>
                <w:sz w:val="18"/>
                <w:szCs w:val="18"/>
              </w:rPr>
              <w:t>ject</w:t>
            </w:r>
            <w:r w:rsidR="00EB0563" w:rsidRPr="008D1384">
              <w:rPr>
                <w:sz w:val="18"/>
                <w:szCs w:val="18"/>
              </w:rPr>
              <w:t xml:space="preserve">. </w:t>
            </w:r>
            <w:r w:rsidR="00F62326" w:rsidRPr="008D1384">
              <w:rPr>
                <w:sz w:val="18"/>
                <w:szCs w:val="18"/>
              </w:rPr>
              <w:t xml:space="preserve">These improved outcomes were due to a range of reasons. </w:t>
            </w:r>
            <w:r w:rsidR="00EB0563" w:rsidRPr="008D1384">
              <w:rPr>
                <w:sz w:val="18"/>
                <w:szCs w:val="18"/>
              </w:rPr>
              <w:t>Some participants attributed th</w:t>
            </w:r>
            <w:r w:rsidR="00400BD6" w:rsidRPr="008D1384">
              <w:rPr>
                <w:sz w:val="18"/>
                <w:szCs w:val="18"/>
              </w:rPr>
              <w:t xml:space="preserve">eir increased attendance </w:t>
            </w:r>
            <w:r w:rsidR="00EB0563" w:rsidRPr="008D1384">
              <w:rPr>
                <w:sz w:val="18"/>
                <w:szCs w:val="18"/>
              </w:rPr>
              <w:t>to the pro</w:t>
            </w:r>
            <w:r w:rsidR="00704A93" w:rsidRPr="008D1384">
              <w:rPr>
                <w:sz w:val="18"/>
                <w:szCs w:val="18"/>
              </w:rPr>
              <w:t>ject</w:t>
            </w:r>
            <w:r w:rsidR="00593C66" w:rsidRPr="008D1384">
              <w:rPr>
                <w:sz w:val="18"/>
                <w:szCs w:val="18"/>
              </w:rPr>
              <w:t xml:space="preserve">’s support </w:t>
            </w:r>
            <w:r w:rsidR="00F03AEE" w:rsidRPr="008D1384">
              <w:rPr>
                <w:sz w:val="18"/>
                <w:szCs w:val="18"/>
              </w:rPr>
              <w:t>in</w:t>
            </w:r>
            <w:r w:rsidR="00593C66" w:rsidRPr="008D1384">
              <w:rPr>
                <w:sz w:val="18"/>
                <w:szCs w:val="18"/>
              </w:rPr>
              <w:t xml:space="preserve"> help</w:t>
            </w:r>
            <w:r w:rsidR="00F03AEE" w:rsidRPr="008D1384">
              <w:rPr>
                <w:sz w:val="18"/>
                <w:szCs w:val="18"/>
              </w:rPr>
              <w:t>ing</w:t>
            </w:r>
            <w:r w:rsidR="00593C66" w:rsidRPr="008D1384">
              <w:rPr>
                <w:sz w:val="18"/>
                <w:szCs w:val="18"/>
              </w:rPr>
              <w:t xml:space="preserve"> them</w:t>
            </w:r>
            <w:r w:rsidR="00EB0563" w:rsidRPr="008D1384">
              <w:rPr>
                <w:sz w:val="18"/>
                <w:szCs w:val="18"/>
              </w:rPr>
              <w:t xml:space="preserve"> work out what they wanted to do with their life, and </w:t>
            </w:r>
            <w:r w:rsidR="00B71C4B" w:rsidRPr="008D1384">
              <w:rPr>
                <w:sz w:val="18"/>
                <w:szCs w:val="18"/>
              </w:rPr>
              <w:t xml:space="preserve">the value that attending school would provide </w:t>
            </w:r>
            <w:r w:rsidR="002E2B5D" w:rsidRPr="008D1384">
              <w:rPr>
                <w:sz w:val="18"/>
                <w:szCs w:val="18"/>
              </w:rPr>
              <w:t>in achieving</w:t>
            </w:r>
            <w:r w:rsidR="00B71C4B" w:rsidRPr="008D1384">
              <w:rPr>
                <w:sz w:val="18"/>
                <w:szCs w:val="18"/>
              </w:rPr>
              <w:t xml:space="preserve"> this</w:t>
            </w:r>
            <w:r w:rsidR="009F28BE" w:rsidRPr="008D1384">
              <w:rPr>
                <w:sz w:val="18"/>
                <w:szCs w:val="18"/>
              </w:rPr>
              <w:t xml:space="preserve">. Other participants </w:t>
            </w:r>
            <w:r w:rsidR="005A7231" w:rsidRPr="008D1384">
              <w:rPr>
                <w:sz w:val="18"/>
                <w:szCs w:val="18"/>
              </w:rPr>
              <w:t>noted that the pro</w:t>
            </w:r>
            <w:r w:rsidR="000E55EC" w:rsidRPr="008D1384">
              <w:rPr>
                <w:sz w:val="18"/>
                <w:szCs w:val="18"/>
              </w:rPr>
              <w:t>ject</w:t>
            </w:r>
            <w:r w:rsidR="005A7231" w:rsidRPr="008D1384">
              <w:rPr>
                <w:sz w:val="18"/>
                <w:szCs w:val="18"/>
              </w:rPr>
              <w:t xml:space="preserve"> had helped them build their social network and improved their wellbeing, which helped </w:t>
            </w:r>
            <w:r w:rsidR="001E2381" w:rsidRPr="008D1384">
              <w:rPr>
                <w:sz w:val="18"/>
                <w:szCs w:val="18"/>
              </w:rPr>
              <w:t xml:space="preserve">make </w:t>
            </w:r>
            <w:r w:rsidR="005A7231" w:rsidRPr="008D1384">
              <w:rPr>
                <w:sz w:val="18"/>
                <w:szCs w:val="18"/>
              </w:rPr>
              <w:t>attending school feel more manageable.</w:t>
            </w:r>
            <w:r w:rsidR="005A7231">
              <w:t xml:space="preserve"> </w:t>
            </w:r>
          </w:p>
        </w:tc>
      </w:tr>
    </w:tbl>
    <w:p w14:paraId="32953DA8" w14:textId="01BDEB72" w:rsidR="00250883" w:rsidRPr="00277646" w:rsidRDefault="15A52A2D" w:rsidP="00250883">
      <w:pPr>
        <w:pStyle w:val="Heading5"/>
      </w:pPr>
      <w:r>
        <w:lastRenderedPageBreak/>
        <w:t xml:space="preserve">A very small number of </w:t>
      </w:r>
      <w:r w:rsidR="2FC98507">
        <w:t>participants saw their</w:t>
      </w:r>
      <w:r w:rsidR="2883D9A2">
        <w:t xml:space="preserve"> outcomes </w:t>
      </w:r>
      <w:r w:rsidR="00582E3B">
        <w:t>decrease</w:t>
      </w:r>
      <w:r w:rsidR="605C6E30">
        <w:t xml:space="preserve"> over the pro</w:t>
      </w:r>
      <w:r w:rsidR="00C0115B">
        <w:t>ject</w:t>
      </w:r>
      <w:r>
        <w:t xml:space="preserve"> </w:t>
      </w:r>
    </w:p>
    <w:p w14:paraId="226B22AF" w14:textId="38801FEC" w:rsidR="00250883" w:rsidRDefault="00250883" w:rsidP="00250883">
      <w:pPr>
        <w:rPr>
          <w:lang w:eastAsia="en-AU"/>
        </w:rPr>
      </w:pPr>
      <w:r>
        <w:rPr>
          <w:lang w:eastAsia="en-AU"/>
        </w:rPr>
        <w:t xml:space="preserve">While most participants saw positive results, a very small number had their scores fall. The proportion of participants </w:t>
      </w:r>
      <w:r w:rsidR="0077777D">
        <w:rPr>
          <w:lang w:eastAsia="en-AU"/>
        </w:rPr>
        <w:t>who</w:t>
      </w:r>
      <w:r>
        <w:rPr>
          <w:lang w:eastAsia="en-AU"/>
        </w:rPr>
        <w:t xml:space="preserve"> had lower scores after the pro</w:t>
      </w:r>
      <w:r w:rsidR="00C0115B">
        <w:rPr>
          <w:lang w:eastAsia="en-AU"/>
        </w:rPr>
        <w:t>ject</w:t>
      </w:r>
      <w:r>
        <w:rPr>
          <w:lang w:eastAsia="en-AU"/>
        </w:rPr>
        <w:t xml:space="preserve"> ranged from around 2 per cent </w:t>
      </w:r>
      <w:r w:rsidR="00E92440">
        <w:rPr>
          <w:lang w:eastAsia="en-AU"/>
        </w:rPr>
        <w:t xml:space="preserve">(n = </w:t>
      </w:r>
      <w:r w:rsidR="00A44315">
        <w:rPr>
          <w:i/>
          <w:iCs/>
          <w:lang w:eastAsia="en-AU"/>
        </w:rPr>
        <w:t>s</w:t>
      </w:r>
      <w:r w:rsidR="00A44315" w:rsidRPr="00AE1391">
        <w:rPr>
          <w:i/>
        </w:rPr>
        <w:t>uppressed</w:t>
      </w:r>
      <w:r w:rsidR="00E92440">
        <w:rPr>
          <w:lang w:eastAsia="en-AU"/>
        </w:rPr>
        <w:t>)</w:t>
      </w:r>
      <w:r>
        <w:rPr>
          <w:lang w:eastAsia="en-AU"/>
        </w:rPr>
        <w:t xml:space="preserve"> for young people </w:t>
      </w:r>
      <w:r w:rsidR="000034BB">
        <w:rPr>
          <w:lang w:eastAsia="en-AU"/>
        </w:rPr>
        <w:t>i</w:t>
      </w:r>
      <w:r>
        <w:rPr>
          <w:lang w:eastAsia="en-AU"/>
        </w:rPr>
        <w:t xml:space="preserve">n employment to 9 per cent </w:t>
      </w:r>
      <w:r w:rsidR="00E92440">
        <w:rPr>
          <w:lang w:eastAsia="en-AU"/>
        </w:rPr>
        <w:t>(</w:t>
      </w:r>
      <w:r w:rsidR="00E92440">
        <w:t xml:space="preserve">n = </w:t>
      </w:r>
      <w:r w:rsidR="004837C3">
        <w:t>732</w:t>
      </w:r>
      <w:r w:rsidR="00E92440">
        <w:rPr>
          <w:lang w:eastAsia="en-AU"/>
        </w:rPr>
        <w:t xml:space="preserve">) </w:t>
      </w:r>
      <w:r>
        <w:rPr>
          <w:lang w:eastAsia="en-AU"/>
        </w:rPr>
        <w:t xml:space="preserve">for unemployed people in education and skills training. There are multiple potential reasons for this decline. Many grant recipients and </w:t>
      </w:r>
      <w:r w:rsidR="003C3F64">
        <w:rPr>
          <w:lang w:eastAsia="en-AU"/>
        </w:rPr>
        <w:t>participants</w:t>
      </w:r>
      <w:r>
        <w:rPr>
          <w:lang w:eastAsia="en-AU"/>
        </w:rPr>
        <w:t xml:space="preserve"> highlighted that many people initially engaging with pro</w:t>
      </w:r>
      <w:r w:rsidR="00206E82">
        <w:rPr>
          <w:lang w:eastAsia="en-AU"/>
        </w:rPr>
        <w:t>jects</w:t>
      </w:r>
      <w:r>
        <w:rPr>
          <w:lang w:eastAsia="en-AU"/>
        </w:rPr>
        <w:t xml:space="preserve"> were hesitant to fully open up about their </w:t>
      </w:r>
      <w:r w:rsidR="00301D89">
        <w:rPr>
          <w:lang w:eastAsia="en-AU"/>
        </w:rPr>
        <w:t>circumstances but</w:t>
      </w:r>
      <w:r>
        <w:rPr>
          <w:lang w:eastAsia="en-AU"/>
        </w:rPr>
        <w:t xml:space="preserve"> became more willing to share as they built a relationship and trust with the provider. In these cases</w:t>
      </w:r>
      <w:r w:rsidR="0079072B">
        <w:rPr>
          <w:lang w:eastAsia="en-AU"/>
        </w:rPr>
        <w:t>,</w:t>
      </w:r>
      <w:r>
        <w:rPr>
          <w:lang w:eastAsia="en-AU"/>
        </w:rPr>
        <w:t xml:space="preserve"> the actual circumstances of the user may well not have declined, but by the time the grant recipient was recording post </w:t>
      </w:r>
      <w:r w:rsidR="00891A66">
        <w:rPr>
          <w:lang w:eastAsia="en-AU"/>
        </w:rPr>
        <w:t>SCORE</w:t>
      </w:r>
      <w:r w:rsidR="00CA36DE">
        <w:rPr>
          <w:lang w:eastAsia="en-AU"/>
        </w:rPr>
        <w:t>s</w:t>
      </w:r>
      <w:r w:rsidR="00445AEB">
        <w:rPr>
          <w:lang w:eastAsia="en-AU"/>
        </w:rPr>
        <w:t>,</w:t>
      </w:r>
      <w:r>
        <w:rPr>
          <w:lang w:eastAsia="en-AU"/>
        </w:rPr>
        <w:t xml:space="preserve"> they would have had a clearer picture of the individual’s circumstance</w:t>
      </w:r>
      <w:r w:rsidR="00445AEB">
        <w:rPr>
          <w:lang w:eastAsia="en-AU"/>
        </w:rPr>
        <w:t>s,</w:t>
      </w:r>
      <w:r>
        <w:rPr>
          <w:lang w:eastAsia="en-AU"/>
        </w:rPr>
        <w:t xml:space="preserve"> which could have resulted in a lower score. </w:t>
      </w:r>
    </w:p>
    <w:p w14:paraId="031E6673" w14:textId="7ABB1966" w:rsidR="00250883" w:rsidRPr="00C5535D" w:rsidRDefault="00250883" w:rsidP="00250883">
      <w:pPr>
        <w:rPr>
          <w:lang w:eastAsia="en-AU"/>
        </w:rPr>
      </w:pPr>
      <w:r w:rsidRPr="35608556">
        <w:rPr>
          <w:lang w:eastAsia="en-AU"/>
        </w:rPr>
        <w:t>The decline does suggest that for some individuals, pr</w:t>
      </w:r>
      <w:r w:rsidR="0076080D">
        <w:rPr>
          <w:lang w:eastAsia="en-AU"/>
        </w:rPr>
        <w:t>oject</w:t>
      </w:r>
      <w:r w:rsidRPr="35608556">
        <w:rPr>
          <w:lang w:eastAsia="en-AU"/>
        </w:rPr>
        <w:t xml:space="preserve"> engagement may not have met their needs or external factors hindered progress. The remaining participants saw no change in their </w:t>
      </w:r>
      <w:r w:rsidR="00303B8B" w:rsidRPr="35608556">
        <w:rPr>
          <w:lang w:eastAsia="en-AU"/>
        </w:rPr>
        <w:t>pre and</w:t>
      </w:r>
      <w:r w:rsidRPr="35608556">
        <w:rPr>
          <w:lang w:eastAsia="en-AU"/>
        </w:rPr>
        <w:t xml:space="preserve"> post</w:t>
      </w:r>
      <w:r w:rsidR="006E740B" w:rsidRPr="35608556">
        <w:rPr>
          <w:lang w:eastAsia="en-AU"/>
        </w:rPr>
        <w:t xml:space="preserve"> </w:t>
      </w:r>
      <w:r w:rsidRPr="35608556">
        <w:rPr>
          <w:lang w:eastAsia="en-AU"/>
        </w:rPr>
        <w:t xml:space="preserve">program scores. This is not </w:t>
      </w:r>
      <w:r w:rsidR="00A666BC" w:rsidRPr="35608556">
        <w:rPr>
          <w:lang w:eastAsia="en-AU"/>
        </w:rPr>
        <w:t>necessarily</w:t>
      </w:r>
      <w:r w:rsidRPr="35608556">
        <w:rPr>
          <w:lang w:eastAsia="en-AU"/>
        </w:rPr>
        <w:t xml:space="preserve"> a negative outcome because the SARC</w:t>
      </w:r>
      <w:r w:rsidR="00A6649E" w:rsidRPr="35608556">
        <w:rPr>
          <w:lang w:eastAsia="en-AU"/>
        </w:rPr>
        <w:t xml:space="preserve"> – </w:t>
      </w:r>
      <w:r w:rsidRPr="35608556">
        <w:rPr>
          <w:lang w:eastAsia="en-AU"/>
        </w:rPr>
        <w:t xml:space="preserve">IC </w:t>
      </w:r>
      <w:r w:rsidR="00FF6A23">
        <w:rPr>
          <w:lang w:eastAsia="en-AU"/>
        </w:rPr>
        <w:t>projects</w:t>
      </w:r>
      <w:r w:rsidR="00FF6A23" w:rsidRPr="35608556">
        <w:rPr>
          <w:lang w:eastAsia="en-AU"/>
        </w:rPr>
        <w:t xml:space="preserve"> </w:t>
      </w:r>
      <w:r w:rsidR="00A666BC" w:rsidRPr="35608556">
        <w:rPr>
          <w:lang w:eastAsia="en-AU"/>
        </w:rPr>
        <w:t xml:space="preserve">may have </w:t>
      </w:r>
      <w:r w:rsidRPr="35608556">
        <w:rPr>
          <w:lang w:eastAsia="en-AU"/>
        </w:rPr>
        <w:t xml:space="preserve">helped these people maintain their scores despite potentially facing significant challenges. Due to the nature of constructing the target groups, where participants needed only one low score to qualify, the results include people who started with a high score, like a 4 or 5, </w:t>
      </w:r>
      <w:r w:rsidR="00A666BC" w:rsidRPr="35608556">
        <w:rPr>
          <w:lang w:eastAsia="en-AU"/>
        </w:rPr>
        <w:t xml:space="preserve">in some outcomes </w:t>
      </w:r>
      <w:r w:rsidRPr="35608556">
        <w:rPr>
          <w:lang w:eastAsia="en-AU"/>
        </w:rPr>
        <w:t>that they maintained during the pro</w:t>
      </w:r>
      <w:r w:rsidR="00565810">
        <w:rPr>
          <w:lang w:eastAsia="en-AU"/>
        </w:rPr>
        <w:t>ject</w:t>
      </w:r>
      <w:r w:rsidRPr="35608556">
        <w:rPr>
          <w:lang w:eastAsia="en-AU"/>
        </w:rPr>
        <w:t xml:space="preserve">. Around 90 per cent </w:t>
      </w:r>
      <w:r w:rsidR="002A7964">
        <w:rPr>
          <w:lang w:eastAsia="en-AU"/>
        </w:rPr>
        <w:t xml:space="preserve">(n = </w:t>
      </w:r>
      <w:r w:rsidR="009B30ED">
        <w:rPr>
          <w:lang w:eastAsia="en-AU"/>
        </w:rPr>
        <w:t>9,902</w:t>
      </w:r>
      <w:r w:rsidR="002A7964">
        <w:rPr>
          <w:lang w:eastAsia="en-AU"/>
        </w:rPr>
        <w:t>)</w:t>
      </w:r>
      <w:r w:rsidRPr="35608556">
        <w:rPr>
          <w:lang w:eastAsia="en-AU"/>
        </w:rPr>
        <w:t xml:space="preserve"> of people with a score of 5 maintained it throughout the pro</w:t>
      </w:r>
      <w:r w:rsidR="00565810">
        <w:rPr>
          <w:lang w:eastAsia="en-AU"/>
        </w:rPr>
        <w:t>ject</w:t>
      </w:r>
      <w:r w:rsidRPr="35608556">
        <w:rPr>
          <w:lang w:eastAsia="en-AU"/>
        </w:rPr>
        <w:t xml:space="preserve">, and 91 per cent </w:t>
      </w:r>
      <w:r w:rsidR="002A7964">
        <w:rPr>
          <w:lang w:eastAsia="en-AU"/>
        </w:rPr>
        <w:t xml:space="preserve">(n = </w:t>
      </w:r>
      <w:r w:rsidR="009B30ED">
        <w:rPr>
          <w:lang w:eastAsia="en-AU"/>
        </w:rPr>
        <w:t>9,902</w:t>
      </w:r>
      <w:r w:rsidR="002A7964">
        <w:rPr>
          <w:lang w:eastAsia="en-AU"/>
        </w:rPr>
        <w:t xml:space="preserve">) </w:t>
      </w:r>
      <w:r w:rsidRPr="35608556">
        <w:rPr>
          <w:lang w:eastAsia="en-AU"/>
        </w:rPr>
        <w:t xml:space="preserve">of people with a 4 maintained or increased their score. </w:t>
      </w:r>
    </w:p>
    <w:p w14:paraId="404CF935" w14:textId="23E93175" w:rsidR="00250883" w:rsidRPr="00D94037" w:rsidRDefault="004E7E6A" w:rsidP="00250883">
      <w:pPr>
        <w:rPr>
          <w:lang w:eastAsia="en-AU"/>
        </w:rPr>
      </w:pPr>
      <w:r>
        <w:rPr>
          <w:lang w:eastAsia="en-AU"/>
        </w:rPr>
        <w:t>Participants</w:t>
      </w:r>
      <w:r w:rsidR="00250883">
        <w:rPr>
          <w:lang w:eastAsia="en-AU"/>
        </w:rPr>
        <w:t xml:space="preserve"> across many of the cohorts, especially women, were very vulnerable and required complex support to meet their needs. A number of </w:t>
      </w:r>
      <w:r>
        <w:rPr>
          <w:lang w:eastAsia="en-AU"/>
        </w:rPr>
        <w:t>providers</w:t>
      </w:r>
      <w:r w:rsidR="00250883">
        <w:rPr>
          <w:lang w:eastAsia="en-AU"/>
        </w:rPr>
        <w:t xml:space="preserve"> </w:t>
      </w:r>
      <w:r w:rsidR="008C53B4">
        <w:rPr>
          <w:lang w:eastAsia="en-AU"/>
        </w:rPr>
        <w:t xml:space="preserve">who </w:t>
      </w:r>
      <w:r w:rsidR="00250883">
        <w:rPr>
          <w:lang w:eastAsia="en-AU"/>
        </w:rPr>
        <w:t xml:space="preserve">focused on supporting these particularly vulnerable groups found that they </w:t>
      </w:r>
      <w:r w:rsidR="00783602">
        <w:rPr>
          <w:lang w:eastAsia="en-AU"/>
        </w:rPr>
        <w:t>could not</w:t>
      </w:r>
      <w:r w:rsidR="00250883">
        <w:rPr>
          <w:lang w:eastAsia="en-AU"/>
        </w:rPr>
        <w:t xml:space="preserve"> achieve their original pro</w:t>
      </w:r>
      <w:r w:rsidR="008E633C">
        <w:rPr>
          <w:lang w:eastAsia="en-AU"/>
        </w:rPr>
        <w:t>ject</w:t>
      </w:r>
      <w:r w:rsidR="00250883">
        <w:rPr>
          <w:lang w:eastAsia="en-AU"/>
        </w:rPr>
        <w:t xml:space="preserve"> objective of helping women (or others) access their service to find employment. Instead, the </w:t>
      </w:r>
      <w:r>
        <w:rPr>
          <w:lang w:eastAsia="en-AU"/>
        </w:rPr>
        <w:t>providers</w:t>
      </w:r>
      <w:r w:rsidR="00250883">
        <w:rPr>
          <w:lang w:eastAsia="en-AU"/>
        </w:rPr>
        <w:t xml:space="preserve"> </w:t>
      </w:r>
      <w:r w:rsidR="004E671B">
        <w:rPr>
          <w:lang w:eastAsia="en-AU"/>
        </w:rPr>
        <w:t>that</w:t>
      </w:r>
      <w:r w:rsidR="00250883">
        <w:rPr>
          <w:lang w:eastAsia="en-AU"/>
        </w:rPr>
        <w:t xml:space="preserve"> were most effective for these cohorts helped to provide mentoring, build confidence, and address the underlying need</w:t>
      </w:r>
      <w:r w:rsidR="009F7537">
        <w:rPr>
          <w:lang w:eastAsia="en-AU"/>
        </w:rPr>
        <w:t>s</w:t>
      </w:r>
      <w:r w:rsidR="00250883">
        <w:rPr>
          <w:lang w:eastAsia="en-AU"/>
        </w:rPr>
        <w:t xml:space="preserve"> </w:t>
      </w:r>
      <w:r w:rsidR="00EF42BD">
        <w:rPr>
          <w:lang w:eastAsia="en-AU"/>
        </w:rPr>
        <w:t>that</w:t>
      </w:r>
      <w:r w:rsidR="00250883">
        <w:rPr>
          <w:lang w:eastAsia="en-AU"/>
        </w:rPr>
        <w:t xml:space="preserve"> needed to be addressed first</w:t>
      </w:r>
      <w:r w:rsidR="009F7537">
        <w:rPr>
          <w:lang w:eastAsia="en-AU"/>
        </w:rPr>
        <w:t>,</w:t>
      </w:r>
      <w:r w:rsidR="00250883">
        <w:rPr>
          <w:lang w:eastAsia="en-AU"/>
        </w:rPr>
        <w:t xml:space="preserve"> such as homelessness and domestic violence. Other organisations were able to provide more specific supports, for example funding and support to pass drug dependency tests to regain a driving licence, without which the service user believe</w:t>
      </w:r>
      <w:r w:rsidR="008C2AA7">
        <w:rPr>
          <w:lang w:eastAsia="en-AU"/>
        </w:rPr>
        <w:t>d</w:t>
      </w:r>
      <w:r w:rsidR="00250883">
        <w:rPr>
          <w:lang w:eastAsia="en-AU"/>
        </w:rPr>
        <w:t xml:space="preserve"> they </w:t>
      </w:r>
      <w:r w:rsidR="00250883" w:rsidRPr="00585438">
        <w:rPr>
          <w:i/>
          <w:iCs/>
          <w:lang w:eastAsia="en-AU"/>
        </w:rPr>
        <w:t>‘would never have been able to get the job [I got].’</w:t>
      </w:r>
      <w:r w:rsidR="00250883">
        <w:rPr>
          <w:lang w:eastAsia="en-AU"/>
        </w:rPr>
        <w:t xml:space="preserve"> </w:t>
      </w:r>
    </w:p>
    <w:p w14:paraId="0D69E57A" w14:textId="249A8D8B" w:rsidR="00250883" w:rsidRDefault="00DB6475" w:rsidP="00250883">
      <w:pPr>
        <w:pStyle w:val="Heading3"/>
      </w:pPr>
      <w:bookmarkStart w:id="63" w:name="_Ref216788461"/>
      <w:bookmarkStart w:id="64" w:name="_Toc240883566"/>
      <w:r>
        <w:t xml:space="preserve">Building community </w:t>
      </w:r>
      <w:r w:rsidR="00386684">
        <w:t>helped to increase</w:t>
      </w:r>
      <w:r>
        <w:t xml:space="preserve"> </w:t>
      </w:r>
      <w:r w:rsidR="00386684">
        <w:t>social and economic engagement</w:t>
      </w:r>
      <w:bookmarkEnd w:id="63"/>
      <w:bookmarkEnd w:id="64"/>
      <w:r w:rsidR="00386684">
        <w:t xml:space="preserve"> </w:t>
      </w:r>
    </w:p>
    <w:p w14:paraId="576E3A42" w14:textId="31057BD6" w:rsidR="009C2DF7" w:rsidRDefault="009C2DF7" w:rsidP="009C2DF7">
      <w:pPr>
        <w:pStyle w:val="Heading5"/>
      </w:pPr>
      <w:r>
        <w:t xml:space="preserve">The most significant outcomes of </w:t>
      </w:r>
      <w:r w:rsidR="0034199A">
        <w:t>SARC – IC</w:t>
      </w:r>
      <w:r>
        <w:t xml:space="preserve"> were building confidence and community that reduced social isolation </w:t>
      </w:r>
    </w:p>
    <w:p w14:paraId="624AB3C2" w14:textId="77777777" w:rsidR="002071A3" w:rsidRDefault="009C2DF7" w:rsidP="009C2DF7">
      <w:r>
        <w:t xml:space="preserve">Before engaging in a program funded by </w:t>
      </w:r>
      <w:r w:rsidR="00B07AC6">
        <w:t xml:space="preserve">SARC – IC </w:t>
      </w:r>
      <w:r>
        <w:t xml:space="preserve">many </w:t>
      </w:r>
      <w:r w:rsidR="003C3F64">
        <w:t>participants</w:t>
      </w:r>
      <w:r>
        <w:t xml:space="preserve"> were extremely isolated</w:t>
      </w:r>
      <w:r w:rsidR="004A45CD">
        <w:t>,</w:t>
      </w:r>
      <w:r>
        <w:t xml:space="preserve"> with limited interactions outside the house, and the pro</w:t>
      </w:r>
      <w:r w:rsidR="0034199A">
        <w:t>ject</w:t>
      </w:r>
      <w:r>
        <w:t xml:space="preserve">s helped them start engaging with the community. </w:t>
      </w:r>
      <w:r w:rsidR="003C3F64">
        <w:t>Participants</w:t>
      </w:r>
      <w:r>
        <w:t xml:space="preserve"> interviewed reported how beneficial finding this community, often for the first time or for the first time after an extended period of isolation, was for their mental health, confidence</w:t>
      </w:r>
      <w:r w:rsidR="00E60585">
        <w:t>,</w:t>
      </w:r>
      <w:r>
        <w:t xml:space="preserve"> and </w:t>
      </w:r>
      <w:r w:rsidR="00FD25D8">
        <w:t>for</w:t>
      </w:r>
      <w:r w:rsidR="00C2734C">
        <w:t xml:space="preserve"> </w:t>
      </w:r>
      <w:r>
        <w:t xml:space="preserve">improving other aspects of their life. </w:t>
      </w:r>
      <w:r w:rsidR="00F95D73">
        <w:t xml:space="preserve">DEX outcomes data </w:t>
      </w:r>
      <w:r w:rsidR="00083C54">
        <w:t>reinforce</w:t>
      </w:r>
      <w:r w:rsidR="005C68FC">
        <w:t>d</w:t>
      </w:r>
      <w:r w:rsidR="00083C54">
        <w:t xml:space="preserve"> this narrative; 31</w:t>
      </w:r>
      <w:r w:rsidR="00FD7280">
        <w:rPr>
          <w:lang w:val="en-US"/>
        </w:rPr>
        <w:t xml:space="preserve"> per cent</w:t>
      </w:r>
      <w:r w:rsidR="00083C54">
        <w:t xml:space="preserve"> </w:t>
      </w:r>
      <w:r w:rsidR="00E10129">
        <w:t xml:space="preserve">(n = 9,902) </w:t>
      </w:r>
      <w:r w:rsidR="00083C54">
        <w:t>of users with pre and post</w:t>
      </w:r>
      <w:r w:rsidR="002F098B">
        <w:t xml:space="preserve"> </w:t>
      </w:r>
      <w:r w:rsidR="00083C54">
        <w:t>SCOREs had a community participation SCORE of 1 or 2 before they accessed the pro</w:t>
      </w:r>
      <w:r w:rsidR="0034199A">
        <w:t>ject</w:t>
      </w:r>
      <w:r w:rsidR="00083C54">
        <w:t xml:space="preserve">, </w:t>
      </w:r>
      <w:r w:rsidR="00BF6E6A">
        <w:t xml:space="preserve">and </w:t>
      </w:r>
      <w:r w:rsidR="00083C54">
        <w:t xml:space="preserve">this number dropped to only </w:t>
      </w:r>
      <w:r w:rsidR="006F1DAE">
        <w:t>5</w:t>
      </w:r>
      <w:r w:rsidR="00FD7280">
        <w:rPr>
          <w:lang w:val="en-US"/>
        </w:rPr>
        <w:t xml:space="preserve"> per cent</w:t>
      </w:r>
      <w:r w:rsidR="00083C54">
        <w:t xml:space="preserve"> </w:t>
      </w:r>
      <w:r w:rsidR="00E10129">
        <w:t xml:space="preserve">(n = 9,902) </w:t>
      </w:r>
      <w:r w:rsidR="00083C54">
        <w:t>after participating in the pro</w:t>
      </w:r>
      <w:r w:rsidR="00B9469F">
        <w:t>ject</w:t>
      </w:r>
      <w:r w:rsidR="00EE44C5">
        <w:t>,</w:t>
      </w:r>
      <w:r w:rsidR="00083C54">
        <w:t xml:space="preserve"> suggesting a significant reduction in isolation. </w:t>
      </w:r>
      <w:r>
        <w:t xml:space="preserve">This benefit was seen strongly across all four target cohorts, with similar reflections on the importance of community for mental health and wellbeing. </w:t>
      </w:r>
    </w:p>
    <w:p w14:paraId="41F78F89" w14:textId="77777777" w:rsidR="009270B4" w:rsidRPr="009270B4" w:rsidRDefault="009270B4" w:rsidP="009C2DF7">
      <w:pPr>
        <w:rPr>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175"/>
      </w:tblGrid>
      <w:tr w:rsidR="00F57784" w14:paraId="477C24AD" w14:textId="77777777" w:rsidTr="00F57784">
        <w:tc>
          <w:tcPr>
            <w:tcW w:w="9175" w:type="dxa"/>
            <w:shd w:val="clear" w:color="auto" w:fill="D9D9D9" w:themeFill="background1" w:themeFillShade="D9"/>
          </w:tcPr>
          <w:p w14:paraId="17F5725A" w14:textId="77777777" w:rsidR="00F57784" w:rsidRDefault="00F57784" w:rsidP="00F57784">
            <w:pPr>
              <w:spacing w:after="0"/>
              <w:jc w:val="center"/>
              <w:rPr>
                <w:rFonts w:asciiTheme="majorHAnsi" w:hAnsiTheme="majorHAnsi" w:cstheme="majorBidi"/>
                <w:i/>
                <w:iCs/>
                <w:color w:val="00264D" w:themeColor="background2"/>
              </w:rPr>
            </w:pPr>
          </w:p>
          <w:p w14:paraId="6C3F52B3" w14:textId="72CF5B7B" w:rsidR="00F57784" w:rsidRDefault="00F57784" w:rsidP="00F57784">
            <w:pPr>
              <w:spacing w:after="0"/>
              <w:jc w:val="center"/>
              <w:rPr>
                <w:rFonts w:asciiTheme="majorHAnsi" w:hAnsiTheme="majorHAnsi" w:cstheme="majorBidi"/>
                <w:i/>
                <w:iCs/>
                <w:color w:val="00264D" w:themeColor="background2"/>
              </w:rPr>
            </w:pPr>
            <w:r w:rsidRPr="00582785">
              <w:rPr>
                <w:rFonts w:asciiTheme="majorHAnsi" w:hAnsiTheme="majorHAnsi" w:cstheme="majorBidi"/>
                <w:i/>
                <w:iCs/>
                <w:color w:val="00264D" w:themeColor="background2"/>
              </w:rPr>
              <w:t>"She was amazing, she helped me understand how common my situation was and what I needed to do.</w:t>
            </w:r>
          </w:p>
          <w:p w14:paraId="54548819" w14:textId="77777777" w:rsidR="00F57784" w:rsidRDefault="00F57784" w:rsidP="00F57784">
            <w:pPr>
              <w:spacing w:after="0"/>
              <w:jc w:val="center"/>
              <w:rPr>
                <w:rFonts w:asciiTheme="majorHAnsi" w:hAnsiTheme="majorHAnsi" w:cstheme="majorBidi"/>
                <w:i/>
                <w:iCs/>
                <w:color w:val="00264D" w:themeColor="background2"/>
              </w:rPr>
            </w:pPr>
            <w:r w:rsidRPr="00582785">
              <w:rPr>
                <w:rFonts w:asciiTheme="majorHAnsi" w:hAnsiTheme="majorHAnsi" w:cstheme="majorBidi"/>
                <w:i/>
                <w:iCs/>
                <w:color w:val="00264D" w:themeColor="background2"/>
              </w:rPr>
              <w:t xml:space="preserve"> It opened up accessibility for people that tend not to have the ability to get support. </w:t>
            </w:r>
          </w:p>
          <w:p w14:paraId="49F616A6" w14:textId="77777777" w:rsidR="00F57784" w:rsidRPr="008C340D" w:rsidRDefault="00F57784" w:rsidP="00F57784">
            <w:pPr>
              <w:spacing w:after="0"/>
              <w:jc w:val="center"/>
              <w:rPr>
                <w:rFonts w:asciiTheme="majorHAnsi" w:hAnsiTheme="majorHAnsi" w:cstheme="majorBidi"/>
                <w:i/>
                <w:iCs/>
                <w:color w:val="00264D" w:themeColor="background2"/>
              </w:rPr>
            </w:pPr>
            <w:r w:rsidRPr="00582785">
              <w:rPr>
                <w:rFonts w:asciiTheme="majorHAnsi" w:hAnsiTheme="majorHAnsi" w:cstheme="majorBidi"/>
                <w:i/>
                <w:iCs/>
                <w:color w:val="00264D" w:themeColor="background2"/>
              </w:rPr>
              <w:t>It has just opened up so many doors for us</w:t>
            </w:r>
            <w:r>
              <w:rPr>
                <w:rFonts w:asciiTheme="majorHAnsi" w:hAnsiTheme="majorHAnsi" w:cstheme="majorBidi"/>
                <w:i/>
                <w:iCs/>
                <w:color w:val="00264D" w:themeColor="background2"/>
              </w:rPr>
              <w:t>.</w:t>
            </w:r>
            <w:r w:rsidRPr="00582785">
              <w:rPr>
                <w:rFonts w:asciiTheme="majorHAnsi" w:hAnsiTheme="majorHAnsi" w:cstheme="majorBidi"/>
                <w:i/>
                <w:iCs/>
                <w:color w:val="00264D" w:themeColor="background2"/>
              </w:rPr>
              <w:t>"</w:t>
            </w:r>
          </w:p>
          <w:p w14:paraId="5E0A2D63" w14:textId="19F3A67A" w:rsidR="00F57784" w:rsidRDefault="00F57784" w:rsidP="009C2DF7"/>
        </w:tc>
      </w:tr>
    </w:tbl>
    <w:p w14:paraId="4F6C0206" w14:textId="77777777" w:rsidR="00F57784" w:rsidRDefault="00F57784" w:rsidP="009C2DF7"/>
    <w:p w14:paraId="229A6B68" w14:textId="09A9BAB2" w:rsidR="009C2DF7" w:rsidRDefault="009C2DF7" w:rsidP="009C2DF7">
      <w:r>
        <w:lastRenderedPageBreak/>
        <w:t xml:space="preserve">For many </w:t>
      </w:r>
      <w:r w:rsidR="003C3F64">
        <w:t>participants</w:t>
      </w:r>
      <w:r>
        <w:t xml:space="preserve">, especially vulnerable women and people with a disability, it was the first time they had found a community of people who had been through similar experiences and had similar perspectives. This created a sense of psychological safety that allowed </w:t>
      </w:r>
      <w:r w:rsidR="003C3F64">
        <w:t>participants</w:t>
      </w:r>
      <w:r>
        <w:t xml:space="preserve"> to come out of their shell and connect with others both inside and outside the pro</w:t>
      </w:r>
      <w:r w:rsidR="00686857">
        <w:t>ject</w:t>
      </w:r>
      <w:r>
        <w:t xml:space="preserve"> they had accessed. For </w:t>
      </w:r>
      <w:r w:rsidR="003C3F64">
        <w:t>participants</w:t>
      </w:r>
      <w:r>
        <w:t xml:space="preserve"> with</w:t>
      </w:r>
      <w:r w:rsidR="004A2ADC">
        <w:t xml:space="preserve"> lived</w:t>
      </w:r>
      <w:r>
        <w:t xml:space="preserve"> experience of trauma, engaging with peers or facilitators who had been through a similar experience reduced isolation and created an opportunity to formally and informally support each other through both grief and practical processes like navigating the legal system. Even for pro</w:t>
      </w:r>
      <w:r w:rsidR="00686857">
        <w:t>ject</w:t>
      </w:r>
      <w:r>
        <w:t xml:space="preserve">s </w:t>
      </w:r>
      <w:r w:rsidR="006C234C">
        <w:t>which</w:t>
      </w:r>
      <w:r>
        <w:t xml:space="preserve"> have ended, </w:t>
      </w:r>
      <w:r w:rsidR="003C3F64">
        <w:t>participants</w:t>
      </w:r>
      <w:r>
        <w:t xml:space="preserve"> </w:t>
      </w:r>
      <w:r w:rsidR="006A0BE5">
        <w:t>from</w:t>
      </w:r>
      <w:r>
        <w:t xml:space="preserve"> some programs noted that they still have enduring contact and friendships with other participants, and that having someone they can message and talk to has been critical to supporting their mental health and wellbeing over the long</w:t>
      </w:r>
      <w:r w:rsidR="002D3DE0">
        <w:t>-</w:t>
      </w:r>
      <w:r>
        <w:t>term</w:t>
      </w:r>
      <w:r w:rsidR="00CC0290">
        <w:t>,</w:t>
      </w:r>
      <w:r>
        <w:t xml:space="preserve"> as they have a community they can tap into when things get tough. </w:t>
      </w:r>
    </w:p>
    <w:p w14:paraId="3AD2BFE5" w14:textId="42188258" w:rsidR="002071A3" w:rsidRDefault="009C2DF7" w:rsidP="009C2DF7">
      <w:r>
        <w:t xml:space="preserve">An important part of this sense of community was helping participants build their confidence and embrace their personality and interests. </w:t>
      </w:r>
      <w:r w:rsidR="003437D1">
        <w:t>Projects</w:t>
      </w:r>
      <w:r>
        <w:t xml:space="preserve"> took different approaches to achieving this, including using peer facilitators to create psychological safety, and delivering a range of activities to allow participants to explore different areas of interest. This also came through strongly in feedback from young people who participated in </w:t>
      </w:r>
      <w:r w:rsidR="002C7B5A">
        <w:t>projects</w:t>
      </w:r>
      <w:r w:rsidR="00AC5B93">
        <w:t>,</w:t>
      </w:r>
      <w:r w:rsidR="002C7B5A">
        <w:t xml:space="preserve"> </w:t>
      </w:r>
      <w:r>
        <w:t xml:space="preserve">where one of the key benefits was </w:t>
      </w:r>
      <w:r w:rsidR="00E850EB">
        <w:t xml:space="preserve">that </w:t>
      </w:r>
      <w:r>
        <w:t>the pro</w:t>
      </w:r>
      <w:r w:rsidR="00BA50D0">
        <w:t>ject</w:t>
      </w:r>
      <w:r>
        <w:t xml:space="preserve"> helped them explore their interests and identify things they could pursue into the future. </w:t>
      </w:r>
    </w:p>
    <w:p w14:paraId="2C1E1087" w14:textId="77777777" w:rsidR="009270B4" w:rsidRPr="009270B4" w:rsidRDefault="009270B4" w:rsidP="009C2DF7">
      <w:pPr>
        <w:rPr>
          <w:sz w:val="14"/>
          <w:szCs w:val="14"/>
        </w:rPr>
      </w:pPr>
    </w:p>
    <w:tbl>
      <w:tblPr>
        <w:tblStyle w:val="TableGrid"/>
        <w:tblW w:w="0" w:type="auto"/>
        <w:tblLook w:val="04A0" w:firstRow="1" w:lastRow="0" w:firstColumn="1" w:lastColumn="0" w:noHBand="0" w:noVBand="1"/>
      </w:tblPr>
      <w:tblGrid>
        <w:gridCol w:w="9175"/>
      </w:tblGrid>
      <w:tr w:rsidR="00F57784" w14:paraId="26D0A386" w14:textId="77777777" w:rsidTr="00F57784">
        <w:tc>
          <w:tcPr>
            <w:tcW w:w="9175" w:type="dxa"/>
            <w:tcBorders>
              <w:top w:val="nil"/>
              <w:left w:val="nil"/>
              <w:bottom w:val="nil"/>
              <w:right w:val="nil"/>
            </w:tcBorders>
            <w:shd w:val="clear" w:color="auto" w:fill="D9D9D9" w:themeFill="background1" w:themeFillShade="D9"/>
          </w:tcPr>
          <w:p w14:paraId="7EB3E8F2" w14:textId="77777777" w:rsidR="00F57784" w:rsidRDefault="00F57784" w:rsidP="00F57784">
            <w:pPr>
              <w:spacing w:after="0"/>
              <w:jc w:val="center"/>
              <w:rPr>
                <w:rFonts w:asciiTheme="majorHAnsi" w:hAnsiTheme="majorHAnsi" w:cstheme="majorBidi"/>
                <w:i/>
                <w:iCs/>
                <w:color w:val="00264D" w:themeColor="background2"/>
              </w:rPr>
            </w:pPr>
          </w:p>
          <w:p w14:paraId="5C4A7282" w14:textId="7DD565EB" w:rsidR="00F57784" w:rsidRPr="008C340D" w:rsidRDefault="00F57784" w:rsidP="00F57784">
            <w:pPr>
              <w:spacing w:after="0"/>
              <w:jc w:val="center"/>
              <w:rPr>
                <w:rFonts w:asciiTheme="majorHAnsi" w:hAnsiTheme="majorHAnsi" w:cstheme="majorBidi"/>
                <w:i/>
                <w:iCs/>
                <w:color w:val="00264D" w:themeColor="background2"/>
              </w:rPr>
            </w:pPr>
            <w:r w:rsidRPr="00582785">
              <w:rPr>
                <w:rFonts w:asciiTheme="majorHAnsi" w:hAnsiTheme="majorHAnsi" w:cstheme="majorBidi"/>
                <w:i/>
                <w:iCs/>
                <w:color w:val="00264D" w:themeColor="background2"/>
              </w:rPr>
              <w:t>"Just getting to know each other because one of the benefits of it is form a support network and each of us has the ability to help and support others</w:t>
            </w:r>
            <w:r>
              <w:rPr>
                <w:rFonts w:asciiTheme="majorHAnsi" w:hAnsiTheme="majorHAnsi" w:cstheme="majorBidi"/>
                <w:i/>
                <w:iCs/>
                <w:color w:val="00264D" w:themeColor="background2"/>
              </w:rPr>
              <w:t>.</w:t>
            </w:r>
            <w:r w:rsidRPr="00582785">
              <w:rPr>
                <w:rFonts w:asciiTheme="majorHAnsi" w:hAnsiTheme="majorHAnsi" w:cstheme="majorBidi"/>
                <w:i/>
                <w:iCs/>
                <w:color w:val="00264D" w:themeColor="background2"/>
              </w:rPr>
              <w:t>"</w:t>
            </w:r>
          </w:p>
          <w:p w14:paraId="637F5444" w14:textId="77777777" w:rsidR="00F57784" w:rsidRDefault="00F57784" w:rsidP="009C2DF7"/>
        </w:tc>
      </w:tr>
    </w:tbl>
    <w:p w14:paraId="29113668" w14:textId="141A85BA" w:rsidR="009C2DF7" w:rsidRPr="007917BE" w:rsidRDefault="002F7657" w:rsidP="009C2DF7">
      <w:pPr>
        <w:pStyle w:val="Heading5"/>
      </w:pPr>
      <w:r>
        <w:t>Pro</w:t>
      </w:r>
      <w:r w:rsidR="00686857">
        <w:t>ject</w:t>
      </w:r>
      <w:r>
        <w:t xml:space="preserve"> participation</w:t>
      </w:r>
      <w:r w:rsidR="009C2DF7">
        <w:t xml:space="preserve"> was often an important first step for </w:t>
      </w:r>
      <w:r w:rsidR="003C3F64">
        <w:t>participants</w:t>
      </w:r>
      <w:r w:rsidR="009C2DF7">
        <w:t xml:space="preserve"> to build the skills and confidence they needed to access other services </w:t>
      </w:r>
    </w:p>
    <w:p w14:paraId="14610C93" w14:textId="3CC170F8" w:rsidR="009C2DF7" w:rsidRDefault="453B038F" w:rsidP="009C2DF7">
      <w:r>
        <w:t xml:space="preserve">A key benefit of increased community participation was that </w:t>
      </w:r>
      <w:r w:rsidR="28688BC3">
        <w:t xml:space="preserve">it </w:t>
      </w:r>
      <w:r>
        <w:t xml:space="preserve">helped </w:t>
      </w:r>
      <w:r w:rsidR="00274CB1">
        <w:t>prepare</w:t>
      </w:r>
      <w:r>
        <w:t xml:space="preserve"> participants to access other services and increase their engagement. Improving lifelong outcomes is a journey, and it can be difficult for traditional support services to reach individuals who are disengaged from the community. One of the key benefits of this </w:t>
      </w:r>
      <w:r w:rsidR="00686857">
        <w:t>Activity</w:t>
      </w:r>
      <w:r>
        <w:t xml:space="preserve"> was that it provided the targeted link that helped isolated people </w:t>
      </w:r>
      <w:r w:rsidR="00CD3A8E">
        <w:t xml:space="preserve">who were </w:t>
      </w:r>
      <w:r>
        <w:t xml:space="preserve">not accessing other services connect back into the community, which helped reduce their isolation and created the opportunity to refer them to other services. Grant recipients interviewed repeatedly reinforced that one of the most important outcomes they saw among their participants </w:t>
      </w:r>
      <w:r w:rsidR="000A6881">
        <w:t>was</w:t>
      </w:r>
      <w:r>
        <w:t xml:space="preserve"> that they had the skills and confidence to begin participating in the community and economy more broadly. </w:t>
      </w:r>
    </w:p>
    <w:p w14:paraId="49077236" w14:textId="77777777" w:rsidR="002071A3" w:rsidRDefault="009C2DF7" w:rsidP="009C2DF7">
      <w:r>
        <w:t xml:space="preserve">Some services also helped to create these linkages directly, introducing their users to other programs and services so that participants knew what was available and had an easy way of accessing </w:t>
      </w:r>
      <w:r w:rsidR="000934DC">
        <w:t>those</w:t>
      </w:r>
      <w:r>
        <w:t xml:space="preserve"> services. The intensity of these supports varied, </w:t>
      </w:r>
      <w:r w:rsidR="00AC0F4B">
        <w:t xml:space="preserve">and </w:t>
      </w:r>
      <w:r>
        <w:t>some grant recipients</w:t>
      </w:r>
      <w:r w:rsidR="004B557F">
        <w:t>,</w:t>
      </w:r>
      <w:r>
        <w:t xml:space="preserve"> especially those supporting very vulnerable women, found that many </w:t>
      </w:r>
      <w:r w:rsidR="00BD53D0">
        <w:t>parti</w:t>
      </w:r>
      <w:r w:rsidR="00B3401E">
        <w:t>cipants</w:t>
      </w:r>
      <w:r>
        <w:t xml:space="preserve"> were not having enough of their basic needs met to be ready to engage in employment or education</w:t>
      </w:r>
      <w:r w:rsidR="00375F17">
        <w:t>,</w:t>
      </w:r>
      <w:r>
        <w:t xml:space="preserve"> and so their focus became helping </w:t>
      </w:r>
      <w:r w:rsidR="00A52174">
        <w:t xml:space="preserve">to </w:t>
      </w:r>
      <w:r>
        <w:t>increase confidence and start building skills so that participants would be ready for employment/education rather than helping them access it right away.</w:t>
      </w:r>
      <w:r w:rsidR="00513DBC">
        <w:t xml:space="preserve"> </w:t>
      </w:r>
    </w:p>
    <w:p w14:paraId="1FB8DBC6" w14:textId="77777777" w:rsidR="009270B4" w:rsidRPr="009270B4" w:rsidRDefault="009270B4" w:rsidP="009C2DF7">
      <w:pPr>
        <w:rPr>
          <w:sz w:val="14"/>
          <w:szCs w:val="14"/>
        </w:rPr>
      </w:pPr>
    </w:p>
    <w:tbl>
      <w:tblPr>
        <w:tblStyle w:val="TableGrid"/>
        <w:tblW w:w="0" w:type="auto"/>
        <w:tblLook w:val="04A0" w:firstRow="1" w:lastRow="0" w:firstColumn="1" w:lastColumn="0" w:noHBand="0" w:noVBand="1"/>
      </w:tblPr>
      <w:tblGrid>
        <w:gridCol w:w="9175"/>
      </w:tblGrid>
      <w:tr w:rsidR="00F57784" w14:paraId="08B47484" w14:textId="77777777" w:rsidTr="00F57784">
        <w:tc>
          <w:tcPr>
            <w:tcW w:w="9175" w:type="dxa"/>
            <w:tcBorders>
              <w:top w:val="nil"/>
              <w:left w:val="nil"/>
              <w:bottom w:val="nil"/>
              <w:right w:val="nil"/>
            </w:tcBorders>
            <w:shd w:val="clear" w:color="auto" w:fill="D9D9D9" w:themeFill="background1" w:themeFillShade="D9"/>
          </w:tcPr>
          <w:p w14:paraId="4D4BF7F5" w14:textId="77777777" w:rsidR="00F57784" w:rsidRDefault="00F57784" w:rsidP="00F57784">
            <w:pPr>
              <w:spacing w:after="0"/>
              <w:jc w:val="center"/>
              <w:rPr>
                <w:rFonts w:asciiTheme="majorHAnsi" w:hAnsiTheme="majorHAnsi" w:cstheme="majorBidi"/>
                <w:i/>
                <w:iCs/>
                <w:color w:val="00264D" w:themeColor="background2"/>
              </w:rPr>
            </w:pPr>
          </w:p>
          <w:p w14:paraId="42E00F92" w14:textId="23C8114A" w:rsidR="00F57784" w:rsidRDefault="00F57784" w:rsidP="00F57784">
            <w:pPr>
              <w:spacing w:after="0"/>
              <w:jc w:val="center"/>
              <w:rPr>
                <w:rFonts w:asciiTheme="majorHAnsi" w:hAnsiTheme="majorHAnsi" w:cstheme="majorBidi"/>
                <w:i/>
                <w:iCs/>
                <w:color w:val="00264D" w:themeColor="background2"/>
              </w:rPr>
            </w:pPr>
            <w:r w:rsidRPr="00797400">
              <w:rPr>
                <w:rFonts w:asciiTheme="majorHAnsi" w:hAnsiTheme="majorHAnsi" w:cstheme="majorBidi"/>
                <w:i/>
                <w:iCs/>
                <w:color w:val="00264D" w:themeColor="background2"/>
              </w:rPr>
              <w:t xml:space="preserve">"They felt confident in their identity and how they express themselves. </w:t>
            </w:r>
          </w:p>
          <w:p w14:paraId="28C23539" w14:textId="77777777" w:rsidR="00F57784" w:rsidRDefault="00F57784" w:rsidP="00F57784">
            <w:pPr>
              <w:spacing w:after="0"/>
              <w:jc w:val="center"/>
              <w:rPr>
                <w:rFonts w:asciiTheme="majorHAnsi" w:hAnsiTheme="majorHAnsi" w:cstheme="majorBidi"/>
                <w:i/>
                <w:iCs/>
                <w:color w:val="00264D" w:themeColor="background2"/>
              </w:rPr>
            </w:pPr>
            <w:r w:rsidRPr="00797400">
              <w:rPr>
                <w:rFonts w:asciiTheme="majorHAnsi" w:hAnsiTheme="majorHAnsi" w:cstheme="majorBidi"/>
                <w:i/>
                <w:iCs/>
                <w:color w:val="00264D" w:themeColor="background2"/>
              </w:rPr>
              <w:t xml:space="preserve">Being able to advocate for who they are. </w:t>
            </w:r>
          </w:p>
          <w:p w14:paraId="3D8095BD" w14:textId="77777777" w:rsidR="00F57784" w:rsidRDefault="00F57784" w:rsidP="00F57784">
            <w:pPr>
              <w:spacing w:after="0"/>
              <w:jc w:val="center"/>
              <w:rPr>
                <w:rFonts w:asciiTheme="majorHAnsi" w:hAnsiTheme="majorHAnsi" w:cstheme="majorBidi"/>
                <w:i/>
                <w:iCs/>
                <w:color w:val="00264D" w:themeColor="background2"/>
              </w:rPr>
            </w:pPr>
            <w:r w:rsidRPr="00797400">
              <w:rPr>
                <w:rFonts w:asciiTheme="majorHAnsi" w:hAnsiTheme="majorHAnsi" w:cstheme="majorBidi"/>
                <w:i/>
                <w:iCs/>
                <w:color w:val="00264D" w:themeColor="background2"/>
              </w:rPr>
              <w:t xml:space="preserve">They have a feeling of connection and belonging they have never had before. </w:t>
            </w:r>
          </w:p>
          <w:p w14:paraId="08FD38D3" w14:textId="77777777" w:rsidR="00F57784" w:rsidRPr="008C340D" w:rsidRDefault="00F57784" w:rsidP="00F57784">
            <w:pPr>
              <w:spacing w:after="0"/>
              <w:jc w:val="center"/>
              <w:rPr>
                <w:rFonts w:asciiTheme="majorHAnsi" w:hAnsiTheme="majorHAnsi" w:cstheme="majorBidi"/>
                <w:i/>
                <w:iCs/>
                <w:color w:val="00264D" w:themeColor="background2"/>
              </w:rPr>
            </w:pPr>
            <w:r w:rsidRPr="00797400">
              <w:rPr>
                <w:rFonts w:asciiTheme="majorHAnsi" w:hAnsiTheme="majorHAnsi" w:cstheme="majorBidi"/>
                <w:i/>
                <w:iCs/>
                <w:color w:val="00264D" w:themeColor="background2"/>
              </w:rPr>
              <w:t>It is nice to not be the weird one in the room, and feel they can speak freely and not be judged for that."</w:t>
            </w:r>
          </w:p>
          <w:p w14:paraId="03C070CF" w14:textId="77777777" w:rsidR="00F57784" w:rsidRDefault="00F57784" w:rsidP="009C2DF7"/>
        </w:tc>
      </w:tr>
    </w:tbl>
    <w:p w14:paraId="3FD9B08F" w14:textId="77777777" w:rsidR="00F57784" w:rsidRDefault="00F57784" w:rsidP="009C2DF7"/>
    <w:p w14:paraId="7497DB25" w14:textId="77777777" w:rsidR="002071A3" w:rsidRDefault="009C2DF7" w:rsidP="009C2DF7">
      <w:pPr>
        <w:rPr>
          <w:noProof/>
        </w:rPr>
      </w:pPr>
      <w:r>
        <w:rPr>
          <w:lang w:eastAsia="en-AU"/>
        </w:rPr>
        <w:lastRenderedPageBreak/>
        <w:t xml:space="preserve">Grant recipients </w:t>
      </w:r>
      <w:r w:rsidR="008218F2">
        <w:rPr>
          <w:lang w:eastAsia="en-AU"/>
        </w:rPr>
        <w:t>who</w:t>
      </w:r>
      <w:r>
        <w:rPr>
          <w:lang w:eastAsia="en-AU"/>
        </w:rPr>
        <w:t xml:space="preserve"> were focused on helping their users find employment were most effective when their training or pro</w:t>
      </w:r>
      <w:r w:rsidR="0032540B">
        <w:rPr>
          <w:lang w:eastAsia="en-AU"/>
        </w:rPr>
        <w:t>ject</w:t>
      </w:r>
      <w:r>
        <w:rPr>
          <w:lang w:eastAsia="en-AU"/>
        </w:rPr>
        <w:t xml:space="preserve"> had a direct pathway into employment or volunteering</w:t>
      </w:r>
      <w:r w:rsidR="008218F2">
        <w:rPr>
          <w:lang w:eastAsia="en-AU"/>
        </w:rPr>
        <w:t>,</w:t>
      </w:r>
      <w:r>
        <w:rPr>
          <w:lang w:eastAsia="en-AU"/>
        </w:rPr>
        <w:t xml:space="preserve"> as it provided an immediate opportunity to apply skills and build experience. This approach also ensured that there were opportunities available in the community that matched the skills being built. Organisations took different approaches; some directly employed </w:t>
      </w:r>
      <w:r w:rsidR="003C3F64">
        <w:rPr>
          <w:lang w:eastAsia="en-AU"/>
        </w:rPr>
        <w:t>participants</w:t>
      </w:r>
      <w:r>
        <w:rPr>
          <w:lang w:eastAsia="en-AU"/>
        </w:rPr>
        <w:t xml:space="preserve"> or provided volunteering opportunities, whilst others set up formal partnerships with local businesses.</w:t>
      </w:r>
      <w:r w:rsidR="002071A3" w:rsidRPr="002071A3">
        <w:rPr>
          <w:noProof/>
        </w:rPr>
        <w:t xml:space="preserve"> </w:t>
      </w:r>
    </w:p>
    <w:p w14:paraId="0D509C38" w14:textId="77777777" w:rsidR="009270B4" w:rsidRPr="009270B4" w:rsidRDefault="009270B4" w:rsidP="009C2DF7">
      <w:pPr>
        <w:rPr>
          <w:noProof/>
          <w:sz w:val="14"/>
          <w:szCs w:val="14"/>
        </w:rPr>
      </w:pPr>
    </w:p>
    <w:tbl>
      <w:tblPr>
        <w:tblStyle w:val="TableGrid"/>
        <w:tblW w:w="0" w:type="auto"/>
        <w:tblLook w:val="04A0" w:firstRow="1" w:lastRow="0" w:firstColumn="1" w:lastColumn="0" w:noHBand="0" w:noVBand="1"/>
      </w:tblPr>
      <w:tblGrid>
        <w:gridCol w:w="9175"/>
      </w:tblGrid>
      <w:tr w:rsidR="00F57784" w14:paraId="754A4B2F" w14:textId="77777777" w:rsidTr="00F57784">
        <w:tc>
          <w:tcPr>
            <w:tcW w:w="9175" w:type="dxa"/>
            <w:tcBorders>
              <w:top w:val="nil"/>
              <w:left w:val="nil"/>
              <w:bottom w:val="nil"/>
              <w:right w:val="nil"/>
            </w:tcBorders>
            <w:shd w:val="clear" w:color="auto" w:fill="D9D9D9" w:themeFill="background1" w:themeFillShade="D9"/>
          </w:tcPr>
          <w:p w14:paraId="432AE58B" w14:textId="77777777" w:rsidR="00F57784" w:rsidRDefault="00F57784" w:rsidP="00F57784">
            <w:pPr>
              <w:spacing w:after="0"/>
              <w:jc w:val="center"/>
              <w:rPr>
                <w:rFonts w:asciiTheme="majorHAnsi" w:hAnsiTheme="majorHAnsi" w:cstheme="majorBidi"/>
                <w:i/>
                <w:iCs/>
                <w:color w:val="00264D" w:themeColor="background2"/>
              </w:rPr>
            </w:pPr>
          </w:p>
          <w:p w14:paraId="7476EC66" w14:textId="365A5991" w:rsidR="00F57784" w:rsidRPr="008C340D" w:rsidRDefault="00F57784" w:rsidP="00F57784">
            <w:pPr>
              <w:spacing w:after="0"/>
              <w:jc w:val="center"/>
              <w:rPr>
                <w:rFonts w:asciiTheme="majorHAnsi" w:hAnsiTheme="majorHAnsi" w:cstheme="majorBidi"/>
                <w:i/>
                <w:iCs/>
                <w:color w:val="00264D" w:themeColor="background2"/>
              </w:rPr>
            </w:pPr>
            <w:r w:rsidRPr="001015A6">
              <w:rPr>
                <w:rFonts w:asciiTheme="majorHAnsi" w:hAnsiTheme="majorHAnsi" w:cstheme="majorBidi"/>
                <w:i/>
                <w:iCs/>
                <w:color w:val="00264D" w:themeColor="background2"/>
              </w:rPr>
              <w:t>"Equipped them with the tools to remove their own barriers to participation</w:t>
            </w:r>
            <w:r>
              <w:rPr>
                <w:rFonts w:asciiTheme="majorHAnsi" w:hAnsiTheme="majorHAnsi" w:cstheme="majorBidi"/>
                <w:i/>
                <w:iCs/>
                <w:color w:val="00264D" w:themeColor="background2"/>
              </w:rPr>
              <w:t>.</w:t>
            </w:r>
            <w:r w:rsidRPr="001015A6">
              <w:rPr>
                <w:rFonts w:asciiTheme="majorHAnsi" w:hAnsiTheme="majorHAnsi" w:cstheme="majorBidi"/>
                <w:i/>
                <w:iCs/>
                <w:color w:val="00264D" w:themeColor="background2"/>
              </w:rPr>
              <w:t>"</w:t>
            </w:r>
          </w:p>
          <w:p w14:paraId="01109C56" w14:textId="77777777" w:rsidR="00F57784" w:rsidRDefault="00F57784" w:rsidP="009C2DF7">
            <w:pPr>
              <w:rPr>
                <w:noProof/>
              </w:rPr>
            </w:pPr>
          </w:p>
        </w:tc>
      </w:tr>
    </w:tbl>
    <w:p w14:paraId="1121E25F" w14:textId="77777777" w:rsidR="00F57784" w:rsidRPr="009270B4" w:rsidRDefault="00F57784" w:rsidP="009C2DF7">
      <w:pPr>
        <w:rPr>
          <w:noProof/>
          <w:sz w:val="14"/>
          <w:szCs w:val="14"/>
        </w:rPr>
      </w:pPr>
    </w:p>
    <w:p w14:paraId="7BDBB69E" w14:textId="234CC06C" w:rsidR="00386684" w:rsidRDefault="00386684" w:rsidP="00386684">
      <w:pPr>
        <w:pStyle w:val="Heading3"/>
      </w:pPr>
      <w:bookmarkStart w:id="65" w:name="_Toc240883567"/>
      <w:r>
        <w:t>Sustainability of outcomes</w:t>
      </w:r>
      <w:bookmarkEnd w:id="65"/>
    </w:p>
    <w:p w14:paraId="351C1272" w14:textId="3EB55B4F" w:rsidR="00DC6343" w:rsidRDefault="00DC6343" w:rsidP="009C2DF7">
      <w:pPr>
        <w:pStyle w:val="Heading5"/>
      </w:pPr>
      <w:r>
        <w:t>Most pro</w:t>
      </w:r>
      <w:r w:rsidR="00BA50D0">
        <w:t>jects</w:t>
      </w:r>
      <w:r>
        <w:t xml:space="preserve"> </w:t>
      </w:r>
      <w:r w:rsidR="00AC62FA">
        <w:t>could not</w:t>
      </w:r>
      <w:r>
        <w:t xml:space="preserve"> continue, </w:t>
      </w:r>
      <w:r w:rsidR="00641F20">
        <w:t xml:space="preserve">eroding trust with community </w:t>
      </w:r>
      <w:r w:rsidR="00601765">
        <w:t>and</w:t>
      </w:r>
      <w:r w:rsidR="00641F20">
        <w:t xml:space="preserve"> limiting long</w:t>
      </w:r>
      <w:r w:rsidR="002D3DE0">
        <w:t>-</w:t>
      </w:r>
      <w:r w:rsidR="00641F20">
        <w:t>term outcomes</w:t>
      </w:r>
    </w:p>
    <w:p w14:paraId="0E18A18A" w14:textId="03E46797" w:rsidR="00601765" w:rsidRDefault="47A84E90" w:rsidP="00601765">
      <w:pPr>
        <w:rPr>
          <w:lang w:eastAsia="en-AU"/>
        </w:rPr>
      </w:pPr>
      <w:r w:rsidRPr="18629A85">
        <w:rPr>
          <w:lang w:eastAsia="en-AU"/>
        </w:rPr>
        <w:t xml:space="preserve">As outlined in section </w:t>
      </w:r>
      <w:r w:rsidR="55786FB0" w:rsidRPr="18629A85">
        <w:rPr>
          <w:lang w:eastAsia="en-AU"/>
        </w:rPr>
        <w:t>5.2.5</w:t>
      </w:r>
      <w:r w:rsidRPr="18629A85">
        <w:rPr>
          <w:lang w:eastAsia="en-AU"/>
        </w:rPr>
        <w:t>, the vast majority of pro</w:t>
      </w:r>
      <w:r w:rsidR="00BA50D0">
        <w:rPr>
          <w:lang w:eastAsia="en-AU"/>
        </w:rPr>
        <w:t>jects</w:t>
      </w:r>
      <w:r w:rsidRPr="18629A85">
        <w:rPr>
          <w:lang w:eastAsia="en-AU"/>
        </w:rPr>
        <w:t xml:space="preserve"> funded through </w:t>
      </w:r>
      <w:r w:rsidR="5A631DA5" w:rsidRPr="18629A85">
        <w:rPr>
          <w:lang w:eastAsia="en-AU"/>
        </w:rPr>
        <w:t>SARC</w:t>
      </w:r>
      <w:r w:rsidR="5A631DA5">
        <w:t xml:space="preserve"> – </w:t>
      </w:r>
      <w:r w:rsidR="5A631DA5" w:rsidRPr="18629A85">
        <w:rPr>
          <w:lang w:eastAsia="en-AU"/>
        </w:rPr>
        <w:t xml:space="preserve">IC </w:t>
      </w:r>
      <w:r w:rsidRPr="18629A85">
        <w:rPr>
          <w:lang w:eastAsia="en-AU"/>
        </w:rPr>
        <w:t xml:space="preserve">have not </w:t>
      </w:r>
      <w:r w:rsidR="30942A5C" w:rsidRPr="18629A85">
        <w:rPr>
          <w:lang w:eastAsia="en-AU"/>
        </w:rPr>
        <w:t xml:space="preserve">been able to secure </w:t>
      </w:r>
      <w:r w:rsidR="00DF7515">
        <w:rPr>
          <w:lang w:eastAsia="en-AU"/>
        </w:rPr>
        <w:t>long</w:t>
      </w:r>
      <w:r w:rsidR="002D3DE0">
        <w:rPr>
          <w:lang w:eastAsia="en-AU"/>
        </w:rPr>
        <w:t>-</w:t>
      </w:r>
      <w:r w:rsidR="00DF7515">
        <w:rPr>
          <w:lang w:eastAsia="en-AU"/>
        </w:rPr>
        <w:t>term</w:t>
      </w:r>
      <w:r w:rsidR="30942A5C" w:rsidRPr="18629A85">
        <w:rPr>
          <w:lang w:eastAsia="en-AU"/>
        </w:rPr>
        <w:t xml:space="preserve"> funding and so have ceased operations. </w:t>
      </w:r>
      <w:r w:rsidR="1AE5DD8E" w:rsidRPr="18629A85">
        <w:rPr>
          <w:lang w:eastAsia="en-AU"/>
        </w:rPr>
        <w:t xml:space="preserve">Some </w:t>
      </w:r>
      <w:r w:rsidR="003C3F64">
        <w:rPr>
          <w:lang w:eastAsia="en-AU"/>
        </w:rPr>
        <w:t>participants</w:t>
      </w:r>
      <w:r w:rsidR="153928A7" w:rsidRPr="18629A85">
        <w:rPr>
          <w:lang w:eastAsia="en-AU"/>
        </w:rPr>
        <w:t xml:space="preserve"> </w:t>
      </w:r>
      <w:r w:rsidR="66A3B39A" w:rsidRPr="18629A85">
        <w:rPr>
          <w:lang w:eastAsia="en-AU"/>
        </w:rPr>
        <w:t>noted the negative impact that wrapping up the pro</w:t>
      </w:r>
      <w:r w:rsidR="00253E24">
        <w:rPr>
          <w:lang w:eastAsia="en-AU"/>
        </w:rPr>
        <w:t>ject</w:t>
      </w:r>
      <w:r w:rsidR="66A3B39A" w:rsidRPr="18629A85">
        <w:rPr>
          <w:lang w:eastAsia="en-AU"/>
        </w:rPr>
        <w:t xml:space="preserve"> had</w:t>
      </w:r>
      <w:r w:rsidR="07003C4E" w:rsidRPr="18629A85">
        <w:rPr>
          <w:lang w:eastAsia="en-AU"/>
        </w:rPr>
        <w:t xml:space="preserve">, </w:t>
      </w:r>
      <w:r w:rsidR="0B221780" w:rsidRPr="18629A85">
        <w:rPr>
          <w:lang w:eastAsia="en-AU"/>
        </w:rPr>
        <w:t>reporting some decline in their mental health and wellbeing since the pro</w:t>
      </w:r>
      <w:r w:rsidR="00253E24">
        <w:rPr>
          <w:lang w:eastAsia="en-AU"/>
        </w:rPr>
        <w:t>ject</w:t>
      </w:r>
      <w:r w:rsidR="0B221780" w:rsidRPr="18629A85">
        <w:rPr>
          <w:lang w:eastAsia="en-AU"/>
        </w:rPr>
        <w:t xml:space="preserve"> ended</w:t>
      </w:r>
      <w:r w:rsidR="03A1FC2E" w:rsidRPr="18629A85">
        <w:rPr>
          <w:lang w:eastAsia="en-AU"/>
        </w:rPr>
        <w:t>,</w:t>
      </w:r>
      <w:r w:rsidR="07003C4E" w:rsidRPr="18629A85">
        <w:rPr>
          <w:lang w:eastAsia="en-AU"/>
        </w:rPr>
        <w:t xml:space="preserve"> and </w:t>
      </w:r>
      <w:r w:rsidR="2B28731B" w:rsidRPr="18629A85">
        <w:rPr>
          <w:lang w:eastAsia="en-AU"/>
        </w:rPr>
        <w:t>worrying about people who would need the service and not be able to access it</w:t>
      </w:r>
      <w:r w:rsidR="0B221780" w:rsidRPr="18629A85">
        <w:rPr>
          <w:lang w:eastAsia="en-AU"/>
        </w:rPr>
        <w:t xml:space="preserve">. </w:t>
      </w:r>
      <w:r w:rsidR="144EF4F3" w:rsidRPr="18629A85">
        <w:rPr>
          <w:lang w:eastAsia="en-AU"/>
        </w:rPr>
        <w:t>Some grant recipients also noted that running a pro</w:t>
      </w:r>
      <w:r w:rsidR="00C01D7C">
        <w:rPr>
          <w:lang w:eastAsia="en-AU"/>
        </w:rPr>
        <w:t>ject</w:t>
      </w:r>
      <w:r w:rsidR="144EF4F3" w:rsidRPr="18629A85">
        <w:rPr>
          <w:lang w:eastAsia="en-AU"/>
        </w:rPr>
        <w:t xml:space="preserve"> with a new community for such a short period of time had eroded</w:t>
      </w:r>
      <w:r w:rsidR="00BE4AB8">
        <w:rPr>
          <w:lang w:eastAsia="en-AU"/>
        </w:rPr>
        <w:t xml:space="preserve"> the community’s trust </w:t>
      </w:r>
      <w:r w:rsidR="004F6FD4">
        <w:rPr>
          <w:lang w:eastAsia="en-AU"/>
        </w:rPr>
        <w:t>in</w:t>
      </w:r>
      <w:r w:rsidR="00BE4AB8">
        <w:rPr>
          <w:lang w:eastAsia="en-AU"/>
        </w:rPr>
        <w:t xml:space="preserve"> the grant recipient</w:t>
      </w:r>
      <w:r w:rsidR="144EF4F3" w:rsidRPr="18629A85">
        <w:rPr>
          <w:lang w:eastAsia="en-AU"/>
        </w:rPr>
        <w:t xml:space="preserve"> and other service providers who had referred </w:t>
      </w:r>
      <w:r w:rsidR="000B3838">
        <w:rPr>
          <w:lang w:eastAsia="en-AU"/>
        </w:rPr>
        <w:t xml:space="preserve">people </w:t>
      </w:r>
      <w:r w:rsidR="144EF4F3" w:rsidRPr="18629A85">
        <w:rPr>
          <w:lang w:eastAsia="en-AU"/>
        </w:rPr>
        <w:t xml:space="preserve">into their service. </w:t>
      </w:r>
    </w:p>
    <w:p w14:paraId="5B3BE335" w14:textId="77777777" w:rsidR="009270B4" w:rsidRPr="009270B4" w:rsidRDefault="009270B4" w:rsidP="00601765">
      <w:pPr>
        <w:rPr>
          <w:sz w:val="14"/>
          <w:szCs w:val="14"/>
          <w:lang w:eastAsia="en-AU"/>
        </w:rPr>
      </w:pPr>
    </w:p>
    <w:tbl>
      <w:tblPr>
        <w:tblStyle w:val="TableGrid"/>
        <w:tblW w:w="0" w:type="auto"/>
        <w:tblLook w:val="04A0" w:firstRow="1" w:lastRow="0" w:firstColumn="1" w:lastColumn="0" w:noHBand="0" w:noVBand="1"/>
      </w:tblPr>
      <w:tblGrid>
        <w:gridCol w:w="9175"/>
      </w:tblGrid>
      <w:tr w:rsidR="00F57784" w14:paraId="355B592D" w14:textId="77777777" w:rsidTr="00F57784">
        <w:tc>
          <w:tcPr>
            <w:tcW w:w="9175" w:type="dxa"/>
            <w:tcBorders>
              <w:top w:val="nil"/>
              <w:left w:val="nil"/>
              <w:bottom w:val="nil"/>
              <w:right w:val="nil"/>
            </w:tcBorders>
            <w:shd w:val="clear" w:color="auto" w:fill="D9D9D9" w:themeFill="background1" w:themeFillShade="D9"/>
          </w:tcPr>
          <w:p w14:paraId="45E4B1C4" w14:textId="77777777" w:rsidR="00F57784" w:rsidRDefault="00F57784" w:rsidP="00F57784">
            <w:pPr>
              <w:spacing w:after="0"/>
              <w:jc w:val="center"/>
              <w:rPr>
                <w:rFonts w:asciiTheme="majorHAnsi" w:hAnsiTheme="majorHAnsi" w:cstheme="majorBidi"/>
                <w:i/>
                <w:iCs/>
                <w:color w:val="00264D" w:themeColor="background2"/>
              </w:rPr>
            </w:pPr>
          </w:p>
          <w:p w14:paraId="7E9DBFC4" w14:textId="6A6BD559" w:rsidR="00F57784" w:rsidRPr="008C340D" w:rsidRDefault="00F57784" w:rsidP="00F57784">
            <w:pPr>
              <w:spacing w:after="0"/>
              <w:jc w:val="center"/>
              <w:rPr>
                <w:rFonts w:asciiTheme="majorHAnsi" w:hAnsiTheme="majorHAnsi" w:cstheme="majorBidi"/>
                <w:i/>
                <w:iCs/>
                <w:color w:val="00264D" w:themeColor="background2"/>
              </w:rPr>
            </w:pPr>
            <w:r w:rsidRPr="001015A6">
              <w:rPr>
                <w:rFonts w:asciiTheme="majorHAnsi" w:hAnsiTheme="majorHAnsi" w:cstheme="majorBidi"/>
                <w:i/>
                <w:iCs/>
                <w:color w:val="00264D" w:themeColor="background2"/>
              </w:rPr>
              <w:t>"Endings can be hard for some people, can build someone up for it for so long but when something ends always that want for it continue</w:t>
            </w:r>
            <w:r>
              <w:rPr>
                <w:rFonts w:asciiTheme="majorHAnsi" w:hAnsiTheme="majorHAnsi" w:cstheme="majorBidi"/>
                <w:i/>
                <w:iCs/>
                <w:color w:val="00264D" w:themeColor="background2"/>
              </w:rPr>
              <w:t>.</w:t>
            </w:r>
            <w:r w:rsidRPr="001015A6">
              <w:rPr>
                <w:rFonts w:asciiTheme="majorHAnsi" w:hAnsiTheme="majorHAnsi" w:cstheme="majorBidi"/>
                <w:i/>
                <w:iCs/>
                <w:color w:val="00264D" w:themeColor="background2"/>
              </w:rPr>
              <w:t>"</w:t>
            </w:r>
          </w:p>
          <w:p w14:paraId="450D96B4" w14:textId="77777777" w:rsidR="00F57784" w:rsidRDefault="00F57784" w:rsidP="00601765">
            <w:pPr>
              <w:rPr>
                <w:lang w:eastAsia="en-AU"/>
              </w:rPr>
            </w:pPr>
          </w:p>
        </w:tc>
      </w:tr>
    </w:tbl>
    <w:p w14:paraId="3EF5B5EA" w14:textId="77777777" w:rsidR="00F57784" w:rsidRPr="009270B4" w:rsidRDefault="00F57784" w:rsidP="00601765">
      <w:pPr>
        <w:rPr>
          <w:sz w:val="14"/>
          <w:szCs w:val="14"/>
          <w:lang w:eastAsia="en-AU"/>
        </w:rPr>
      </w:pPr>
    </w:p>
    <w:p w14:paraId="5E85E5FB" w14:textId="313CFCBB" w:rsidR="007E37E7" w:rsidRPr="00601765" w:rsidRDefault="007E37E7" w:rsidP="00601765">
      <w:pPr>
        <w:rPr>
          <w:lang w:eastAsia="en-AU"/>
        </w:rPr>
      </w:pPr>
      <w:r>
        <w:rPr>
          <w:lang w:eastAsia="en-AU"/>
        </w:rPr>
        <w:t>The impacts o</w:t>
      </w:r>
      <w:r w:rsidR="000C4E7A">
        <w:rPr>
          <w:lang w:eastAsia="en-AU"/>
        </w:rPr>
        <w:t>f</w:t>
      </w:r>
      <w:r>
        <w:rPr>
          <w:lang w:eastAsia="en-AU"/>
        </w:rPr>
        <w:t xml:space="preserve"> funding ending were not uniform across </w:t>
      </w:r>
      <w:r w:rsidR="004F2115">
        <w:rPr>
          <w:lang w:eastAsia="en-AU"/>
        </w:rPr>
        <w:t xml:space="preserve">types of programs funded. </w:t>
      </w:r>
      <w:r w:rsidR="001E0773">
        <w:rPr>
          <w:lang w:eastAsia="en-AU"/>
        </w:rPr>
        <w:t xml:space="preserve">Services </w:t>
      </w:r>
      <w:r w:rsidR="00D71CA0">
        <w:rPr>
          <w:lang w:eastAsia="en-AU"/>
        </w:rPr>
        <w:t>that</w:t>
      </w:r>
      <w:r w:rsidR="001E0773">
        <w:rPr>
          <w:lang w:eastAsia="en-AU"/>
        </w:rPr>
        <w:t xml:space="preserve"> offered short</w:t>
      </w:r>
      <w:r w:rsidR="005F241F">
        <w:rPr>
          <w:lang w:eastAsia="en-AU"/>
        </w:rPr>
        <w:t>-</w:t>
      </w:r>
      <w:r w:rsidR="001E0773">
        <w:rPr>
          <w:lang w:eastAsia="en-AU"/>
        </w:rPr>
        <w:t>term structured pro</w:t>
      </w:r>
      <w:r w:rsidR="002B007F">
        <w:rPr>
          <w:lang w:eastAsia="en-AU"/>
        </w:rPr>
        <w:t>jects</w:t>
      </w:r>
      <w:r w:rsidR="001E0773">
        <w:rPr>
          <w:lang w:eastAsia="en-AU"/>
        </w:rPr>
        <w:t xml:space="preserve"> tended to see more sustainable impacts for individuals who were able to participate in their full program</w:t>
      </w:r>
      <w:r w:rsidR="006720D4">
        <w:rPr>
          <w:lang w:eastAsia="en-AU"/>
        </w:rPr>
        <w:t>,</w:t>
      </w:r>
      <w:r w:rsidR="001E0773">
        <w:rPr>
          <w:lang w:eastAsia="en-AU"/>
        </w:rPr>
        <w:t xml:space="preserve"> as it was not designed for them to have contact with participants. Alternatively,</w:t>
      </w:r>
      <w:r w:rsidR="005F241F">
        <w:rPr>
          <w:lang w:eastAsia="en-AU"/>
        </w:rPr>
        <w:t xml:space="preserve"> </w:t>
      </w:r>
      <w:r w:rsidR="001E0773">
        <w:rPr>
          <w:lang w:eastAsia="en-AU"/>
        </w:rPr>
        <w:t xml:space="preserve">peer support groups and </w:t>
      </w:r>
      <w:r w:rsidR="007E21DE">
        <w:rPr>
          <w:lang w:eastAsia="en-AU"/>
        </w:rPr>
        <w:t xml:space="preserve">other support services </w:t>
      </w:r>
      <w:r w:rsidR="00195BE5">
        <w:rPr>
          <w:lang w:eastAsia="en-AU"/>
        </w:rPr>
        <w:t>tended to have more ongoing participants</w:t>
      </w:r>
      <w:r w:rsidR="005736D7">
        <w:rPr>
          <w:lang w:eastAsia="en-AU"/>
        </w:rPr>
        <w:t>,</w:t>
      </w:r>
      <w:r w:rsidR="00195BE5">
        <w:rPr>
          <w:lang w:eastAsia="en-AU"/>
        </w:rPr>
        <w:t xml:space="preserve"> or those most </w:t>
      </w:r>
      <w:r w:rsidR="00026D76">
        <w:rPr>
          <w:lang w:eastAsia="en-AU"/>
        </w:rPr>
        <w:t>in</w:t>
      </w:r>
      <w:r w:rsidR="00195BE5">
        <w:rPr>
          <w:lang w:eastAsia="en-AU"/>
        </w:rPr>
        <w:t xml:space="preserve"> need</w:t>
      </w:r>
      <w:r w:rsidR="005736D7">
        <w:rPr>
          <w:lang w:eastAsia="en-AU"/>
        </w:rPr>
        <w:t>,</w:t>
      </w:r>
      <w:r w:rsidR="00195BE5">
        <w:rPr>
          <w:lang w:eastAsia="en-AU"/>
        </w:rPr>
        <w:t xml:space="preserve"> dropping into the service at different points</w:t>
      </w:r>
      <w:r w:rsidR="00160704">
        <w:rPr>
          <w:lang w:eastAsia="en-AU"/>
        </w:rPr>
        <w:t>. Users of these services noticed the loss of the service more</w:t>
      </w:r>
      <w:r w:rsidR="00A14541">
        <w:rPr>
          <w:lang w:eastAsia="en-AU"/>
        </w:rPr>
        <w:t>, especially when the service had not invested the time in helping them find and mo</w:t>
      </w:r>
      <w:r w:rsidR="006339BF">
        <w:rPr>
          <w:lang w:eastAsia="en-AU"/>
        </w:rPr>
        <w:t>ve</w:t>
      </w:r>
      <w:r w:rsidR="00A14541">
        <w:rPr>
          <w:lang w:eastAsia="en-AU"/>
        </w:rPr>
        <w:t xml:space="preserve"> into other programs before the pro</w:t>
      </w:r>
      <w:r w:rsidR="00C01D7C">
        <w:rPr>
          <w:lang w:eastAsia="en-AU"/>
        </w:rPr>
        <w:t>ject</w:t>
      </w:r>
      <w:r w:rsidR="00A14541">
        <w:rPr>
          <w:lang w:eastAsia="en-AU"/>
        </w:rPr>
        <w:t xml:space="preserve"> ended. </w:t>
      </w:r>
    </w:p>
    <w:p w14:paraId="5A53CE47" w14:textId="6B99BFE8" w:rsidR="005B02B5" w:rsidRDefault="000C6150" w:rsidP="009C2DF7">
      <w:pPr>
        <w:pStyle w:val="Heading5"/>
      </w:pPr>
      <w:r>
        <w:t xml:space="preserve">The sustainability of outcomes </w:t>
      </w:r>
      <w:r w:rsidR="00B44FBD">
        <w:t>was highly dependent on the structure of each pro</w:t>
      </w:r>
      <w:r w:rsidR="00216832">
        <w:t>ject</w:t>
      </w:r>
      <w:r w:rsidR="00B44FBD">
        <w:t xml:space="preserve"> </w:t>
      </w:r>
    </w:p>
    <w:p w14:paraId="24BEE787" w14:textId="0A2AD5E2" w:rsidR="009C2DF7" w:rsidRDefault="00C80AAD" w:rsidP="009C2DF7">
      <w:pPr>
        <w:rPr>
          <w:lang w:eastAsia="en-AU"/>
        </w:rPr>
      </w:pPr>
      <w:r>
        <w:rPr>
          <w:lang w:eastAsia="en-AU"/>
        </w:rPr>
        <w:t xml:space="preserve">The majority of grant recipients have not been able to continue </w:t>
      </w:r>
      <w:r w:rsidR="007335D4">
        <w:rPr>
          <w:lang w:eastAsia="en-AU"/>
        </w:rPr>
        <w:t>running</w:t>
      </w:r>
      <w:r>
        <w:rPr>
          <w:lang w:eastAsia="en-AU"/>
        </w:rPr>
        <w:t xml:space="preserve"> the </w:t>
      </w:r>
      <w:r w:rsidR="00BC3043">
        <w:rPr>
          <w:lang w:eastAsia="en-AU"/>
        </w:rPr>
        <w:t xml:space="preserve">project </w:t>
      </w:r>
      <w:r w:rsidR="00C612A7">
        <w:rPr>
          <w:lang w:eastAsia="en-AU"/>
        </w:rPr>
        <w:t>that</w:t>
      </w:r>
      <w:r>
        <w:rPr>
          <w:lang w:eastAsia="en-AU"/>
        </w:rPr>
        <w:t xml:space="preserve"> was funded through </w:t>
      </w:r>
      <w:r w:rsidR="00B07AC6">
        <w:rPr>
          <w:lang w:eastAsia="en-AU"/>
        </w:rPr>
        <w:t>SARC</w:t>
      </w:r>
      <w:r w:rsidR="00B07AC6">
        <w:t xml:space="preserve"> – </w:t>
      </w:r>
      <w:r w:rsidR="00B07AC6">
        <w:rPr>
          <w:lang w:eastAsia="en-AU"/>
        </w:rPr>
        <w:t xml:space="preserve">IC </w:t>
      </w:r>
      <w:r>
        <w:rPr>
          <w:lang w:eastAsia="en-AU"/>
        </w:rPr>
        <w:t xml:space="preserve">once the </w:t>
      </w:r>
      <w:r w:rsidR="002C1D49">
        <w:rPr>
          <w:lang w:eastAsia="en-AU"/>
        </w:rPr>
        <w:t xml:space="preserve">funding </w:t>
      </w:r>
      <w:r>
        <w:rPr>
          <w:lang w:eastAsia="en-AU"/>
        </w:rPr>
        <w:t xml:space="preserve">ended. </w:t>
      </w:r>
      <w:r w:rsidR="00B57C7C">
        <w:rPr>
          <w:lang w:eastAsia="en-AU"/>
        </w:rPr>
        <w:t xml:space="preserve">For </w:t>
      </w:r>
      <w:r w:rsidR="00BC3043">
        <w:rPr>
          <w:lang w:eastAsia="en-AU"/>
        </w:rPr>
        <w:t xml:space="preserve">projects </w:t>
      </w:r>
      <w:r w:rsidR="00530BA1">
        <w:rPr>
          <w:lang w:eastAsia="en-AU"/>
        </w:rPr>
        <w:t>that</w:t>
      </w:r>
      <w:r w:rsidR="00082589">
        <w:rPr>
          <w:lang w:eastAsia="en-AU"/>
        </w:rPr>
        <w:t xml:space="preserve"> were structured to have a set length, for example</w:t>
      </w:r>
      <w:r w:rsidR="00530BA1">
        <w:rPr>
          <w:lang w:eastAsia="en-AU"/>
        </w:rPr>
        <w:t>,</w:t>
      </w:r>
      <w:r w:rsidR="00082589">
        <w:rPr>
          <w:lang w:eastAsia="en-AU"/>
        </w:rPr>
        <w:t xml:space="preserve"> a participant would take part in a structured </w:t>
      </w:r>
      <w:r w:rsidR="00C22FE1">
        <w:rPr>
          <w:lang w:eastAsia="en-AU"/>
        </w:rPr>
        <w:t>eight</w:t>
      </w:r>
      <w:r w:rsidR="00082589">
        <w:rPr>
          <w:lang w:eastAsia="en-AU"/>
        </w:rPr>
        <w:t xml:space="preserve">-week program, </w:t>
      </w:r>
      <w:r w:rsidR="00EB6CE3">
        <w:rPr>
          <w:lang w:eastAsia="en-AU"/>
        </w:rPr>
        <w:t xml:space="preserve">ending funding </w:t>
      </w:r>
      <w:r w:rsidR="00D96311">
        <w:rPr>
          <w:lang w:eastAsia="en-AU"/>
        </w:rPr>
        <w:t>did</w:t>
      </w:r>
      <w:r w:rsidR="00EB6CE3">
        <w:rPr>
          <w:lang w:eastAsia="en-AU"/>
        </w:rPr>
        <w:t xml:space="preserve"> not impact their </w:t>
      </w:r>
      <w:r w:rsidR="00990759">
        <w:rPr>
          <w:lang w:eastAsia="en-AU"/>
        </w:rPr>
        <w:t>ongoing outcomes</w:t>
      </w:r>
      <w:r w:rsidR="008B3FF3">
        <w:rPr>
          <w:lang w:eastAsia="en-AU"/>
        </w:rPr>
        <w:t>,</w:t>
      </w:r>
      <w:r w:rsidR="00990759">
        <w:rPr>
          <w:lang w:eastAsia="en-AU"/>
        </w:rPr>
        <w:t xml:space="preserve"> as they were able to benefit from full participation in the </w:t>
      </w:r>
      <w:r w:rsidR="000871AB">
        <w:rPr>
          <w:lang w:eastAsia="en-AU"/>
        </w:rPr>
        <w:t>project</w:t>
      </w:r>
      <w:r w:rsidR="00990759">
        <w:rPr>
          <w:lang w:eastAsia="en-AU"/>
        </w:rPr>
        <w:t xml:space="preserve">. </w:t>
      </w:r>
      <w:r w:rsidR="002B6788">
        <w:rPr>
          <w:lang w:eastAsia="en-AU"/>
        </w:rPr>
        <w:t xml:space="preserve">Projects </w:t>
      </w:r>
      <w:r w:rsidR="00366CF2">
        <w:rPr>
          <w:lang w:eastAsia="en-AU"/>
        </w:rPr>
        <w:t>that</w:t>
      </w:r>
      <w:r w:rsidR="0022489F">
        <w:rPr>
          <w:lang w:eastAsia="en-AU"/>
        </w:rPr>
        <w:t xml:space="preserve"> used this structure tended to focus on a more defined outcome, for example </w:t>
      </w:r>
      <w:r w:rsidR="0092032B">
        <w:rPr>
          <w:lang w:eastAsia="en-AU"/>
        </w:rPr>
        <w:t xml:space="preserve">supporting skills building and employment, as compared to services focused on helping </w:t>
      </w:r>
      <w:r w:rsidR="003E72E8">
        <w:rPr>
          <w:lang w:eastAsia="en-AU"/>
        </w:rPr>
        <w:t xml:space="preserve">to </w:t>
      </w:r>
      <w:r w:rsidR="0092032B">
        <w:rPr>
          <w:lang w:eastAsia="en-AU"/>
        </w:rPr>
        <w:t xml:space="preserve">build community </w:t>
      </w:r>
      <w:r w:rsidR="00DA49D3">
        <w:rPr>
          <w:lang w:eastAsia="en-AU"/>
        </w:rPr>
        <w:t xml:space="preserve">and social participation. For </w:t>
      </w:r>
      <w:r w:rsidR="002B6788">
        <w:rPr>
          <w:lang w:eastAsia="en-AU"/>
        </w:rPr>
        <w:t xml:space="preserve">projects </w:t>
      </w:r>
      <w:r w:rsidR="003B7083">
        <w:rPr>
          <w:lang w:eastAsia="en-AU"/>
        </w:rPr>
        <w:t xml:space="preserve">run as  groups, for example </w:t>
      </w:r>
      <w:r w:rsidR="00AC1454">
        <w:rPr>
          <w:lang w:eastAsia="en-AU"/>
        </w:rPr>
        <w:t xml:space="preserve">weekly support groups, </w:t>
      </w:r>
      <w:r w:rsidR="009C2CF5">
        <w:rPr>
          <w:lang w:eastAsia="en-AU"/>
        </w:rPr>
        <w:t>participants reinforced that they had benefited greatly from the pro</w:t>
      </w:r>
      <w:r w:rsidR="00255C60">
        <w:rPr>
          <w:lang w:eastAsia="en-AU"/>
        </w:rPr>
        <w:t>ject</w:t>
      </w:r>
      <w:r w:rsidR="009C2CF5">
        <w:rPr>
          <w:lang w:eastAsia="en-AU"/>
        </w:rPr>
        <w:t>. However, they also highlighted th</w:t>
      </w:r>
      <w:r w:rsidR="00E8361B">
        <w:rPr>
          <w:lang w:eastAsia="en-AU"/>
        </w:rPr>
        <w:t xml:space="preserve">e loss they felt from the </w:t>
      </w:r>
      <w:r w:rsidR="00381138">
        <w:rPr>
          <w:lang w:eastAsia="en-AU"/>
        </w:rPr>
        <w:t xml:space="preserve">service </w:t>
      </w:r>
      <w:r w:rsidR="00E8361B">
        <w:rPr>
          <w:lang w:eastAsia="en-AU"/>
        </w:rPr>
        <w:t>being taken away</w:t>
      </w:r>
      <w:r w:rsidR="00BA43BC">
        <w:rPr>
          <w:lang w:eastAsia="en-AU"/>
        </w:rPr>
        <w:t xml:space="preserve">, with a small number of </w:t>
      </w:r>
      <w:r w:rsidR="003C3F64">
        <w:rPr>
          <w:lang w:eastAsia="en-AU"/>
        </w:rPr>
        <w:t>participants</w:t>
      </w:r>
      <w:r w:rsidR="00BA43BC">
        <w:rPr>
          <w:lang w:eastAsia="en-AU"/>
        </w:rPr>
        <w:t xml:space="preserve"> noting that their wellbeing had decreased since the funding stopped. </w:t>
      </w:r>
      <w:r w:rsidR="003C3F64">
        <w:rPr>
          <w:lang w:eastAsia="en-AU"/>
        </w:rPr>
        <w:t>Participants</w:t>
      </w:r>
      <w:r w:rsidR="00825027">
        <w:rPr>
          <w:lang w:eastAsia="en-AU"/>
        </w:rPr>
        <w:t xml:space="preserve"> from all types of </w:t>
      </w:r>
      <w:r w:rsidR="00381138">
        <w:rPr>
          <w:lang w:eastAsia="en-AU"/>
        </w:rPr>
        <w:t xml:space="preserve">projects </w:t>
      </w:r>
      <w:r w:rsidR="00D93969">
        <w:rPr>
          <w:lang w:eastAsia="en-AU"/>
        </w:rPr>
        <w:t>that</w:t>
      </w:r>
      <w:r w:rsidR="00825027">
        <w:rPr>
          <w:lang w:eastAsia="en-AU"/>
        </w:rPr>
        <w:t xml:space="preserve"> had ended expressed </w:t>
      </w:r>
      <w:r w:rsidR="002711B3">
        <w:rPr>
          <w:lang w:eastAsia="en-AU"/>
        </w:rPr>
        <w:t xml:space="preserve">that </w:t>
      </w:r>
      <w:r w:rsidR="00E81A2F">
        <w:rPr>
          <w:lang w:eastAsia="en-AU"/>
        </w:rPr>
        <w:t xml:space="preserve">they felt lucky they had the opportunity to access the </w:t>
      </w:r>
      <w:r w:rsidR="00381138">
        <w:rPr>
          <w:lang w:eastAsia="en-AU"/>
        </w:rPr>
        <w:t xml:space="preserve">service </w:t>
      </w:r>
      <w:r w:rsidR="00E81A2F">
        <w:rPr>
          <w:lang w:eastAsia="en-AU"/>
        </w:rPr>
        <w:t>but worried for</w:t>
      </w:r>
      <w:r w:rsidR="00892CC9">
        <w:rPr>
          <w:lang w:eastAsia="en-AU"/>
        </w:rPr>
        <w:t xml:space="preserve"> similar</w:t>
      </w:r>
      <w:r w:rsidR="00E81A2F">
        <w:rPr>
          <w:lang w:eastAsia="en-AU"/>
        </w:rPr>
        <w:t xml:space="preserve"> </w:t>
      </w:r>
      <w:r w:rsidR="00892CC9">
        <w:rPr>
          <w:lang w:eastAsia="en-AU"/>
        </w:rPr>
        <w:t>people who would need it in the future and not have access to it.</w:t>
      </w:r>
    </w:p>
    <w:p w14:paraId="7EE7E8F6" w14:textId="09831F7B" w:rsidR="002773DE" w:rsidRDefault="00164B85" w:rsidP="00164B85">
      <w:pPr>
        <w:pStyle w:val="Heading5"/>
      </w:pPr>
      <w:r>
        <w:lastRenderedPageBreak/>
        <w:t xml:space="preserve">The </w:t>
      </w:r>
      <w:r w:rsidR="00D443D7">
        <w:t xml:space="preserve">funding helped organisations build their workforce capability and capacity, but these changes </w:t>
      </w:r>
      <w:r w:rsidR="003756AF">
        <w:t xml:space="preserve">were difficult to sustain if they </w:t>
      </w:r>
      <w:r w:rsidR="00947314">
        <w:t>could not source additional funding after the</w:t>
      </w:r>
      <w:r w:rsidR="003756AF">
        <w:t xml:space="preserve"> grant ended </w:t>
      </w:r>
    </w:p>
    <w:p w14:paraId="16940BD4" w14:textId="58DCAEDD" w:rsidR="003756AF" w:rsidRPr="003756AF" w:rsidRDefault="00320FD0" w:rsidP="003756AF">
      <w:pPr>
        <w:rPr>
          <w:lang w:eastAsia="en-AU"/>
        </w:rPr>
      </w:pPr>
      <w:r>
        <w:rPr>
          <w:lang w:eastAsia="en-AU"/>
        </w:rPr>
        <w:t xml:space="preserve">One of the intended benefits of </w:t>
      </w:r>
      <w:r w:rsidR="00381138">
        <w:rPr>
          <w:lang w:eastAsia="en-AU"/>
        </w:rPr>
        <w:t xml:space="preserve">SARC – IC </w:t>
      </w:r>
      <w:r>
        <w:rPr>
          <w:lang w:eastAsia="en-AU"/>
        </w:rPr>
        <w:t xml:space="preserve">was to help boost the capacity and capability of the community sector workforce, and support organisations to </w:t>
      </w:r>
      <w:r w:rsidR="002F0FC6">
        <w:rPr>
          <w:lang w:eastAsia="en-AU"/>
        </w:rPr>
        <w:t xml:space="preserve">begin working in new spaces. The short funding term, combined with limited opportunities for </w:t>
      </w:r>
      <w:r w:rsidR="00DF7515">
        <w:rPr>
          <w:lang w:eastAsia="en-AU"/>
        </w:rPr>
        <w:t>long</w:t>
      </w:r>
      <w:r w:rsidR="007F1D24">
        <w:rPr>
          <w:lang w:eastAsia="en-AU"/>
        </w:rPr>
        <w:t>-</w:t>
      </w:r>
      <w:r w:rsidR="00DF7515">
        <w:rPr>
          <w:lang w:eastAsia="en-AU"/>
        </w:rPr>
        <w:t>term</w:t>
      </w:r>
      <w:r w:rsidR="002F0FC6">
        <w:rPr>
          <w:lang w:eastAsia="en-AU"/>
        </w:rPr>
        <w:t xml:space="preserve"> funding, mean</w:t>
      </w:r>
      <w:r w:rsidR="005E0D74">
        <w:rPr>
          <w:lang w:eastAsia="en-AU"/>
        </w:rPr>
        <w:t>t</w:t>
      </w:r>
      <w:r w:rsidR="002F0FC6">
        <w:rPr>
          <w:lang w:eastAsia="en-AU"/>
        </w:rPr>
        <w:t xml:space="preserve"> that whilst grant recipients built temporary capability</w:t>
      </w:r>
      <w:r w:rsidR="00C72004">
        <w:rPr>
          <w:lang w:eastAsia="en-AU"/>
        </w:rPr>
        <w:t>,</w:t>
      </w:r>
      <w:r w:rsidR="002F0FC6">
        <w:rPr>
          <w:lang w:eastAsia="en-AU"/>
        </w:rPr>
        <w:t xml:space="preserve"> most were unable to carry this forward into the future. This significantly limit</w:t>
      </w:r>
      <w:r w:rsidR="009C1C30">
        <w:rPr>
          <w:lang w:eastAsia="en-AU"/>
        </w:rPr>
        <w:t>ed</w:t>
      </w:r>
      <w:r w:rsidR="002F0FC6">
        <w:rPr>
          <w:lang w:eastAsia="en-AU"/>
        </w:rPr>
        <w:t xml:space="preserve"> the benefit </w:t>
      </w:r>
      <w:r w:rsidR="003D1CCA">
        <w:rPr>
          <w:lang w:eastAsia="en-AU"/>
        </w:rPr>
        <w:t>for community organisations</w:t>
      </w:r>
      <w:r w:rsidR="00404400">
        <w:rPr>
          <w:lang w:eastAsia="en-AU"/>
        </w:rPr>
        <w:t xml:space="preserve">, because it meant </w:t>
      </w:r>
      <w:r w:rsidR="002443B4">
        <w:rPr>
          <w:lang w:eastAsia="en-AU"/>
        </w:rPr>
        <w:t xml:space="preserve">that </w:t>
      </w:r>
      <w:r w:rsidR="00404400">
        <w:rPr>
          <w:lang w:eastAsia="en-AU"/>
        </w:rPr>
        <w:t>at the end of the funding</w:t>
      </w:r>
      <w:r w:rsidR="00A4087A">
        <w:rPr>
          <w:lang w:eastAsia="en-AU"/>
        </w:rPr>
        <w:t>,</w:t>
      </w:r>
      <w:r w:rsidR="00404400">
        <w:rPr>
          <w:lang w:eastAsia="en-AU"/>
        </w:rPr>
        <w:t xml:space="preserve"> they lost access to staff who had buil</w:t>
      </w:r>
      <w:r w:rsidR="00E92D6F">
        <w:rPr>
          <w:lang w:eastAsia="en-AU"/>
        </w:rPr>
        <w:t>t</w:t>
      </w:r>
      <w:r w:rsidR="00404400">
        <w:rPr>
          <w:lang w:eastAsia="en-AU"/>
        </w:rPr>
        <w:t xml:space="preserve"> </w:t>
      </w:r>
      <w:r w:rsidR="00DA1B0A">
        <w:rPr>
          <w:lang w:eastAsia="en-AU"/>
        </w:rPr>
        <w:t>institutional</w:t>
      </w:r>
      <w:r w:rsidR="00404400">
        <w:rPr>
          <w:lang w:eastAsia="en-AU"/>
        </w:rPr>
        <w:t xml:space="preserve"> knowledge and relationships</w:t>
      </w:r>
      <w:r w:rsidR="00DA1B0A">
        <w:rPr>
          <w:lang w:eastAsia="en-AU"/>
        </w:rPr>
        <w:t xml:space="preserve">. </w:t>
      </w:r>
    </w:p>
    <w:p w14:paraId="2D900E94" w14:textId="12CD4CB5" w:rsidR="00B74B7A" w:rsidRDefault="00321EF0" w:rsidP="00E32FB4">
      <w:pPr>
        <w:rPr>
          <w:lang w:eastAsia="en-AU"/>
        </w:rPr>
      </w:pPr>
      <w:r>
        <w:rPr>
          <w:lang w:eastAsia="en-AU"/>
        </w:rPr>
        <w:t xml:space="preserve">There were some ongoing benefits </w:t>
      </w:r>
      <w:r w:rsidR="0079284C">
        <w:rPr>
          <w:lang w:eastAsia="en-AU"/>
        </w:rPr>
        <w:t>for community organisations</w:t>
      </w:r>
      <w:r w:rsidR="001B2FEC">
        <w:rPr>
          <w:lang w:eastAsia="en-AU"/>
        </w:rPr>
        <w:t xml:space="preserve">, </w:t>
      </w:r>
      <w:r w:rsidR="00CB18D3">
        <w:rPr>
          <w:lang w:eastAsia="en-AU"/>
        </w:rPr>
        <w:t xml:space="preserve">especially for those who were able to secure additional funding, </w:t>
      </w:r>
      <w:r w:rsidR="001B2FEC">
        <w:rPr>
          <w:lang w:eastAsia="en-AU"/>
        </w:rPr>
        <w:t xml:space="preserve">with </w:t>
      </w:r>
      <w:r w:rsidR="00470F27">
        <w:rPr>
          <w:lang w:eastAsia="en-AU"/>
        </w:rPr>
        <w:t xml:space="preserve">organisations </w:t>
      </w:r>
      <w:r w:rsidR="00994ECD">
        <w:rPr>
          <w:lang w:eastAsia="en-AU"/>
        </w:rPr>
        <w:t>gaining</w:t>
      </w:r>
      <w:r w:rsidR="00470F27">
        <w:rPr>
          <w:lang w:eastAsia="en-AU"/>
        </w:rPr>
        <w:t xml:space="preserve"> the opportunity to build a greater understanding of </w:t>
      </w:r>
      <w:r w:rsidR="00432BD5">
        <w:rPr>
          <w:lang w:eastAsia="en-AU"/>
        </w:rPr>
        <w:t xml:space="preserve">the needs of different groups and what types of service models worked. This was incredibly valuable for </w:t>
      </w:r>
      <w:r w:rsidR="0005497E">
        <w:rPr>
          <w:lang w:eastAsia="en-AU"/>
        </w:rPr>
        <w:t>organisations</w:t>
      </w:r>
      <w:r w:rsidR="00432BD5">
        <w:rPr>
          <w:lang w:eastAsia="en-AU"/>
        </w:rPr>
        <w:t xml:space="preserve"> </w:t>
      </w:r>
      <w:r w:rsidR="004407DD">
        <w:rPr>
          <w:lang w:eastAsia="en-AU"/>
        </w:rPr>
        <w:t>that</w:t>
      </w:r>
      <w:r w:rsidR="00432BD5">
        <w:rPr>
          <w:lang w:eastAsia="en-AU"/>
        </w:rPr>
        <w:t xml:space="preserve"> could secure additional funding</w:t>
      </w:r>
      <w:r w:rsidR="0005497E">
        <w:rPr>
          <w:lang w:eastAsia="en-AU"/>
        </w:rPr>
        <w:t>.</w:t>
      </w:r>
      <w:r w:rsidR="00432BD5">
        <w:rPr>
          <w:lang w:eastAsia="en-AU"/>
        </w:rPr>
        <w:t xml:space="preserve"> </w:t>
      </w:r>
    </w:p>
    <w:p w14:paraId="588AF548" w14:textId="53DE5798" w:rsidR="00F805B6" w:rsidRDefault="00786876">
      <w:pPr>
        <w:spacing w:after="160"/>
        <w:rPr>
          <w:lang w:eastAsia="en-AU"/>
        </w:rPr>
      </w:pPr>
      <w:r>
        <w:rPr>
          <w:lang w:eastAsia="en-AU"/>
        </w:rPr>
        <w:br w:type="page"/>
      </w:r>
    </w:p>
    <w:p w14:paraId="351BD946" w14:textId="7ED6DDE7" w:rsidR="00C05D26" w:rsidRDefault="00C05D26" w:rsidP="004A2034">
      <w:pPr>
        <w:pStyle w:val="Heading2"/>
      </w:pPr>
      <w:bookmarkStart w:id="66" w:name="_Toc240883568"/>
      <w:bookmarkStart w:id="67" w:name="_Ref216800438"/>
      <w:r w:rsidRPr="00127747">
        <w:lastRenderedPageBreak/>
        <w:t xml:space="preserve">Cost-effectiveness </w:t>
      </w:r>
      <w:r w:rsidR="00673153">
        <w:t>and</w:t>
      </w:r>
      <w:r>
        <w:t xml:space="preserve"> cost-efficiency</w:t>
      </w:r>
      <w:bookmarkEnd w:id="66"/>
      <w:r>
        <w:t xml:space="preserve"> </w:t>
      </w:r>
      <w:bookmarkEnd w:id="67"/>
    </w:p>
    <w:tbl>
      <w:tblPr>
        <w:tblStyle w:val="NOUSSideHeader1"/>
        <w:tblW w:w="9050" w:type="dxa"/>
        <w:tblLook w:val="0400" w:firstRow="0" w:lastRow="0" w:firstColumn="0" w:lastColumn="0" w:noHBand="0" w:noVBand="1"/>
      </w:tblPr>
      <w:tblGrid>
        <w:gridCol w:w="9050"/>
      </w:tblGrid>
      <w:tr w:rsidR="003416A6" w:rsidRPr="00823F52" w14:paraId="281305AC" w14:textId="77777777">
        <w:trPr>
          <w:cnfStyle w:val="000000100000" w:firstRow="0" w:lastRow="0" w:firstColumn="0" w:lastColumn="0" w:oddVBand="0" w:evenVBand="0" w:oddHBand="1" w:evenHBand="0" w:firstRowFirstColumn="0" w:firstRowLastColumn="0" w:lastRowFirstColumn="0" w:lastRowLastColumn="0"/>
          <w:trHeight w:val="666"/>
        </w:trPr>
        <w:tc>
          <w:tcPr>
            <w:tcW w:w="9050" w:type="dxa"/>
            <w:tcBorders>
              <w:top w:val="single" w:sz="8" w:space="0" w:color="00264D" w:themeColor="background2"/>
              <w:bottom w:val="single" w:sz="8" w:space="0" w:color="00264D" w:themeColor="background2"/>
            </w:tcBorders>
          </w:tcPr>
          <w:p w14:paraId="313AC939" w14:textId="421FDEC9" w:rsidR="009B57B3" w:rsidRPr="009270B4" w:rsidRDefault="009B57B3">
            <w:pPr>
              <w:spacing w:before="120" w:line="259" w:lineRule="auto"/>
              <w:rPr>
                <w:rFonts w:ascii="Segoe UI Semilight" w:hAnsi="Segoe UI Semilight" w:cs="Segoe UI Semilight"/>
                <w:color w:val="00264D" w:themeColor="background2"/>
                <w:szCs w:val="19"/>
              </w:rPr>
            </w:pPr>
            <w:r w:rsidRPr="009270B4">
              <w:rPr>
                <w:rFonts w:ascii="Segoe UI Semilight" w:hAnsi="Segoe UI Semilight" w:cs="Segoe UI Semilight"/>
                <w:color w:val="00264D" w:themeColor="background2"/>
                <w:szCs w:val="19"/>
              </w:rPr>
              <w:t xml:space="preserve">This section outlines findings relating to the cost-effectiveness and </w:t>
            </w:r>
            <w:r w:rsidR="00CF6F76" w:rsidRPr="009270B4">
              <w:rPr>
                <w:rFonts w:ascii="Segoe UI Semilight" w:hAnsi="Segoe UI Semilight" w:cs="Segoe UI Semilight"/>
                <w:color w:val="00264D" w:themeColor="background2"/>
                <w:szCs w:val="19"/>
              </w:rPr>
              <w:t>cost-</w:t>
            </w:r>
            <w:r w:rsidR="00AF2A35" w:rsidRPr="009270B4">
              <w:rPr>
                <w:rFonts w:ascii="Segoe UI Semilight" w:hAnsi="Segoe UI Semilight" w:cs="Segoe UI Semilight"/>
                <w:color w:val="00264D" w:themeColor="background2"/>
                <w:szCs w:val="19"/>
              </w:rPr>
              <w:t>efficien</w:t>
            </w:r>
            <w:r w:rsidR="00CF6F76" w:rsidRPr="009270B4">
              <w:rPr>
                <w:rFonts w:ascii="Segoe UI Semilight" w:hAnsi="Segoe UI Semilight" w:cs="Segoe UI Semilight"/>
                <w:color w:val="00264D" w:themeColor="background2"/>
                <w:szCs w:val="19"/>
              </w:rPr>
              <w:t>cy</w:t>
            </w:r>
            <w:r w:rsidRPr="009270B4">
              <w:rPr>
                <w:rFonts w:ascii="Segoe UI Semilight" w:hAnsi="Segoe UI Semilight" w:cs="Segoe UI Semilight"/>
                <w:color w:val="00264D" w:themeColor="background2"/>
                <w:szCs w:val="19"/>
              </w:rPr>
              <w:t xml:space="preserve"> of the SARC – IC </w:t>
            </w:r>
            <w:r w:rsidR="00FF6A23" w:rsidRPr="009270B4">
              <w:rPr>
                <w:rFonts w:ascii="Segoe UI Semilight" w:hAnsi="Segoe UI Semilight" w:cs="Segoe UI Semilight"/>
                <w:color w:val="00264D" w:themeColor="background2"/>
                <w:szCs w:val="19"/>
              </w:rPr>
              <w:t xml:space="preserve">Activity </w:t>
            </w:r>
            <w:r w:rsidRPr="009270B4">
              <w:rPr>
                <w:rFonts w:ascii="Segoe UI Semilight" w:hAnsi="Segoe UI Semilight" w:cs="Segoe UI Semilight"/>
                <w:color w:val="00264D" w:themeColor="background2"/>
                <w:szCs w:val="19"/>
              </w:rPr>
              <w:t>(KEQ 4).</w:t>
            </w:r>
          </w:p>
          <w:p w14:paraId="3E5398A0" w14:textId="116B4A26" w:rsidR="009B57B3" w:rsidRPr="00B467BD" w:rsidRDefault="009B57B3" w:rsidP="008F7F81">
            <w:pPr>
              <w:pStyle w:val="TableNBullet"/>
              <w:rPr>
                <w:sz w:val="16"/>
                <w:szCs w:val="16"/>
              </w:rPr>
            </w:pPr>
            <w:r w:rsidRPr="009270B4">
              <w:rPr>
                <w:sz w:val="19"/>
              </w:rPr>
              <w:t xml:space="preserve">KEQ </w:t>
            </w:r>
            <w:r w:rsidR="00AF2A35" w:rsidRPr="009270B4">
              <w:rPr>
                <w:sz w:val="19"/>
              </w:rPr>
              <w:t>4</w:t>
            </w:r>
            <w:r w:rsidRPr="009270B4">
              <w:rPr>
                <w:sz w:val="19"/>
              </w:rPr>
              <w:t xml:space="preserve">: </w:t>
            </w:r>
            <w:r w:rsidR="00AF2A35" w:rsidRPr="009270B4">
              <w:rPr>
                <w:rFonts w:asciiTheme="majorHAnsi" w:hAnsiTheme="majorHAnsi" w:cstheme="majorHAnsi"/>
                <w:sz w:val="19"/>
              </w:rPr>
              <w:t>How cost effective</w:t>
            </w:r>
            <w:r w:rsidR="00AF2A35" w:rsidRPr="009270B4">
              <w:rPr>
                <w:sz w:val="19"/>
              </w:rPr>
              <w:t xml:space="preserve"> is </w:t>
            </w:r>
            <w:r w:rsidR="00976EAB" w:rsidRPr="009270B4">
              <w:rPr>
                <w:sz w:val="19"/>
              </w:rPr>
              <w:t>SARC – IC</w:t>
            </w:r>
            <w:r w:rsidR="00AF2A35" w:rsidRPr="009270B4">
              <w:rPr>
                <w:sz w:val="19"/>
              </w:rPr>
              <w:t xml:space="preserve"> considering expected outcomes and benefits?</w:t>
            </w:r>
          </w:p>
        </w:tc>
      </w:tr>
    </w:tbl>
    <w:p w14:paraId="1FA436EA" w14:textId="77777777" w:rsidR="009B57B3" w:rsidRPr="009B57B3" w:rsidRDefault="009B57B3" w:rsidP="009B57B3">
      <w:pPr>
        <w:rPr>
          <w:lang w:eastAsia="en-AU"/>
        </w:rPr>
      </w:pPr>
    </w:p>
    <w:tbl>
      <w:tblPr>
        <w:tblStyle w:val="Style1"/>
        <w:tblpPr w:leftFromText="181" w:rightFromText="181" w:bottomFromText="142" w:vertAnchor="text" w:tblpY="1"/>
        <w:tblOverlap w:val="never"/>
        <w:tblW w:w="4950" w:type="pct"/>
        <w:tblLook w:val="04A0" w:firstRow="1" w:lastRow="0" w:firstColumn="1" w:lastColumn="0" w:noHBand="0" w:noVBand="1"/>
      </w:tblPr>
      <w:tblGrid>
        <w:gridCol w:w="9093"/>
      </w:tblGrid>
      <w:tr w:rsidR="00F614D5" w14:paraId="62D1012E" w14:textId="77777777" w:rsidTr="00942ED0">
        <w:trPr>
          <w:trHeight w:val="565"/>
        </w:trPr>
        <w:tc>
          <w:tcPr>
            <w:tcW w:w="9093" w:type="dxa"/>
            <w:shd w:val="clear" w:color="auto" w:fill="00264D" w:themeFill="background2"/>
          </w:tcPr>
          <w:p w14:paraId="0D6B2758" w14:textId="77777777" w:rsidR="00942ED0" w:rsidRPr="001F4F37" w:rsidRDefault="00942ED0" w:rsidP="00942ED0">
            <w:pPr>
              <w:spacing w:before="120"/>
              <w:ind w:left="312" w:right="204"/>
              <w:rPr>
                <w:rFonts w:asciiTheme="majorHAnsi" w:hAnsiTheme="majorHAnsi" w:cstheme="majorHAnsi"/>
                <w:sz w:val="22"/>
                <w:szCs w:val="28"/>
                <w:lang w:eastAsia="en-AU"/>
              </w:rPr>
            </w:pPr>
            <w:r w:rsidRPr="00C43631">
              <w:rPr>
                <w:rFonts w:asciiTheme="majorHAnsi" w:hAnsiTheme="majorHAnsi" w:cstheme="majorHAnsi"/>
                <w:noProof/>
                <w:color w:val="FFFFFF" w:themeColor="background1"/>
                <w:sz w:val="22"/>
                <w:szCs w:val="28"/>
                <w:lang w:eastAsia="en-AU"/>
              </w:rPr>
              <w:drawing>
                <wp:anchor distT="0" distB="0" distL="114300" distR="114300" simplePos="0" relativeHeight="251658262" behindDoc="0" locked="0" layoutInCell="1" allowOverlap="1" wp14:anchorId="3A8E4D8C" wp14:editId="5BB19A4F">
                  <wp:simplePos x="0" y="0"/>
                  <wp:positionH relativeFrom="column">
                    <wp:posOffset>5324475</wp:posOffset>
                  </wp:positionH>
                  <wp:positionV relativeFrom="paragraph">
                    <wp:posOffset>78740</wp:posOffset>
                  </wp:positionV>
                  <wp:extent cx="243840" cy="213360"/>
                  <wp:effectExtent l="0" t="0" r="3810" b="0"/>
                  <wp:wrapNone/>
                  <wp:docPr id="924925020" name="Picture 29" descr="P622C1T1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25020" name="Picture 29" descr="P622C1T18#y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pic:spPr>
                      </pic:pic>
                    </a:graphicData>
                  </a:graphic>
                </wp:anchor>
              </w:drawing>
            </w:r>
            <w:r w:rsidRPr="00C43631">
              <w:rPr>
                <w:rFonts w:asciiTheme="majorHAnsi" w:hAnsiTheme="majorHAnsi" w:cstheme="majorHAnsi"/>
                <w:color w:val="FFFFFF" w:themeColor="background1"/>
                <w:sz w:val="22"/>
                <w:szCs w:val="28"/>
                <w:lang w:eastAsia="en-AU"/>
              </w:rPr>
              <w:t>KEY FINDINGS</w:t>
            </w:r>
          </w:p>
        </w:tc>
      </w:tr>
      <w:tr w:rsidR="00F614D5" w14:paraId="0601D7BD" w14:textId="77777777" w:rsidTr="00942ED0">
        <w:tc>
          <w:tcPr>
            <w:tcW w:w="9093" w:type="dxa"/>
            <w:shd w:val="clear" w:color="auto" w:fill="FF3A40" w:themeFill="accent1"/>
          </w:tcPr>
          <w:p w14:paraId="072733FB" w14:textId="47DC61B6" w:rsidR="00942ED0" w:rsidRPr="00C43631" w:rsidRDefault="00942ED0" w:rsidP="00942ED0">
            <w:pPr>
              <w:spacing w:before="40" w:after="40"/>
              <w:ind w:left="313" w:right="202"/>
              <w:rPr>
                <w:rFonts w:asciiTheme="majorHAnsi" w:hAnsiTheme="majorHAnsi" w:cstheme="majorHAnsi"/>
                <w:color w:val="FFFFFF" w:themeColor="background1"/>
                <w:lang w:eastAsia="en-AU"/>
              </w:rPr>
            </w:pPr>
            <w:r w:rsidRPr="00334612">
              <w:rPr>
                <w:rFonts w:asciiTheme="majorHAnsi" w:hAnsiTheme="majorHAnsi" w:cstheme="majorHAnsi"/>
                <w:color w:val="FFFFFF" w:themeColor="background1"/>
                <w:lang w:eastAsia="en-AU"/>
              </w:rPr>
              <w:t xml:space="preserve">KEQ </w:t>
            </w:r>
            <w:r w:rsidR="00412C18">
              <w:rPr>
                <w:rFonts w:asciiTheme="majorHAnsi" w:hAnsiTheme="majorHAnsi" w:cstheme="majorHAnsi"/>
                <w:color w:val="FFFFFF" w:themeColor="background1"/>
                <w:lang w:eastAsia="en-AU"/>
              </w:rPr>
              <w:t>4</w:t>
            </w:r>
            <w:r w:rsidRPr="00334612">
              <w:rPr>
                <w:rFonts w:asciiTheme="majorHAnsi" w:hAnsiTheme="majorHAnsi" w:cstheme="majorHAnsi"/>
                <w:color w:val="FFFFFF" w:themeColor="background1"/>
                <w:lang w:eastAsia="en-AU"/>
              </w:rPr>
              <w:t xml:space="preserve"> |</w:t>
            </w:r>
            <w:r w:rsidR="00412C18">
              <w:rPr>
                <w:rFonts w:asciiTheme="majorHAnsi" w:hAnsiTheme="majorHAnsi" w:cstheme="majorHAnsi"/>
                <w:color w:val="FFFFFF" w:themeColor="background1"/>
                <w:lang w:eastAsia="en-AU"/>
              </w:rPr>
              <w:t xml:space="preserve"> </w:t>
            </w:r>
            <w:r w:rsidR="00412C18" w:rsidRPr="00C43631">
              <w:rPr>
                <w:rFonts w:asciiTheme="majorHAnsi" w:hAnsiTheme="majorHAnsi" w:cstheme="majorHAnsi"/>
                <w:color w:val="FFFFFF" w:themeColor="background1"/>
                <w:lang w:eastAsia="en-AU"/>
              </w:rPr>
              <w:t xml:space="preserve">How cost effective is </w:t>
            </w:r>
            <w:r w:rsidR="00976EAB">
              <w:rPr>
                <w:rFonts w:asciiTheme="majorHAnsi" w:hAnsiTheme="majorHAnsi" w:cstheme="majorHAnsi"/>
                <w:color w:val="FFFFFF" w:themeColor="background1"/>
                <w:lang w:eastAsia="en-AU"/>
              </w:rPr>
              <w:t>SARC – IC</w:t>
            </w:r>
            <w:r w:rsidR="00412C18" w:rsidRPr="00C43631">
              <w:rPr>
                <w:rFonts w:asciiTheme="majorHAnsi" w:hAnsiTheme="majorHAnsi" w:cstheme="majorHAnsi"/>
                <w:color w:val="FFFFFF" w:themeColor="background1"/>
                <w:lang w:eastAsia="en-AU"/>
              </w:rPr>
              <w:t xml:space="preserve"> considering expected outcomes and benefits?</w:t>
            </w:r>
          </w:p>
        </w:tc>
      </w:tr>
      <w:tr w:rsidR="00F614D5" w14:paraId="1A369211" w14:textId="77777777" w:rsidTr="00942ED0">
        <w:tc>
          <w:tcPr>
            <w:tcW w:w="9093" w:type="dxa"/>
          </w:tcPr>
          <w:p w14:paraId="0FBE1FF1" w14:textId="3369DB64" w:rsidR="00942ED0" w:rsidRPr="00417815" w:rsidRDefault="00942ED0" w:rsidP="00942ED0">
            <w:pPr>
              <w:spacing w:before="240"/>
              <w:ind w:left="313"/>
              <w:rPr>
                <w:rFonts w:asciiTheme="minorHAnsi" w:hAnsiTheme="minorHAnsi" w:cstheme="minorHAnsi"/>
                <w:color w:val="00264D" w:themeColor="background2"/>
                <w:lang w:eastAsia="en-AU"/>
              </w:rPr>
            </w:pPr>
            <w:r w:rsidRPr="00417815">
              <w:rPr>
                <w:rFonts w:asciiTheme="majorHAnsi" w:hAnsiTheme="majorHAnsi" w:cstheme="majorHAnsi"/>
                <w:noProof/>
                <w:color w:val="00264D" w:themeColor="background2"/>
                <w:lang w:eastAsia="en-AU"/>
              </w:rPr>
              <mc:AlternateContent>
                <mc:Choice Requires="wpg">
                  <w:drawing>
                    <wp:anchor distT="0" distB="0" distL="114300" distR="114300" simplePos="0" relativeHeight="251658263" behindDoc="0" locked="0" layoutInCell="1" allowOverlap="1" wp14:anchorId="78D32E4E" wp14:editId="18EFF1E8">
                      <wp:simplePos x="0" y="0"/>
                      <wp:positionH relativeFrom="column">
                        <wp:posOffset>18530</wp:posOffset>
                      </wp:positionH>
                      <wp:positionV relativeFrom="paragraph">
                        <wp:posOffset>35271</wp:posOffset>
                      </wp:positionV>
                      <wp:extent cx="119269" cy="1782619"/>
                      <wp:effectExtent l="0" t="0" r="0" b="27305"/>
                      <wp:wrapNone/>
                      <wp:docPr id="1906000948"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9269" cy="1782619"/>
                                <a:chOff x="5331" y="0"/>
                                <a:chExt cx="119269" cy="1782619"/>
                              </a:xfrm>
                            </wpg:grpSpPr>
                            <wps:wsp>
                              <wps:cNvPr id="536168019" name="Straight Connector 8"/>
                              <wps:cNvCnPr/>
                              <wps:spPr>
                                <a:xfrm>
                                  <a:off x="66882" y="0"/>
                                  <a:ext cx="0" cy="1782619"/>
                                </a:xfrm>
                                <a:prstGeom prst="line">
                                  <a:avLst/>
                                </a:prstGeom>
                                <a:ln w="12700" cap="rnd">
                                  <a:solidFill>
                                    <a:schemeClr val="bg2"/>
                                  </a:solidFill>
                                </a:ln>
                              </wps:spPr>
                              <wps:style>
                                <a:lnRef idx="1">
                                  <a:schemeClr val="accent1"/>
                                </a:lnRef>
                                <a:fillRef idx="0">
                                  <a:schemeClr val="accent1"/>
                                </a:fillRef>
                                <a:effectRef idx="0">
                                  <a:schemeClr val="accent1"/>
                                </a:effectRef>
                                <a:fontRef idx="minor">
                                  <a:schemeClr val="tx1"/>
                                </a:fontRef>
                              </wps:style>
                              <wps:bodyPr/>
                            </wps:wsp>
                            <wps:wsp>
                              <wps:cNvPr id="589328390" name="Oval 9"/>
                              <wps:cNvSpPr/>
                              <wps:spPr>
                                <a:xfrm>
                                  <a:off x="5331" y="152983"/>
                                  <a:ext cx="119269" cy="119269"/>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0AEA11B" id="Group 10" o:spid="_x0000_s1026" alt="&quot;&quot;" style="position:absolute;margin-left:1.45pt;margin-top:2.8pt;width:9.4pt;height:140.35pt;z-index:251658263;mso-height-relative:margin" coordorigin="53" coordsize="1192,17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">
                      <v:line id="Straight Connector 8" o:spid="_x0000_s1027" style="position:absolute;visibility:visible;mso-wrap-style:square" from="668,0" to="668,17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" strokecolor="#00264d [3214]" strokeweight="1pt">
                        <v:stroke endcap="round"/>
                      </v:line>
                      <v:oval id="Oval 9" o:spid="_x0000_s1028" style="position:absolute;left:53;top:1529;width:1193;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" fillcolor="#ff3a40 [3204]" stroked="f" strokeweight="2pt"/>
                    </v:group>
                  </w:pict>
                </mc:Fallback>
              </mc:AlternateContent>
            </w:r>
            <w:r w:rsidR="00FD4AAD">
              <w:rPr>
                <w:rFonts w:asciiTheme="majorHAnsi" w:hAnsiTheme="majorHAnsi" w:cstheme="majorHAnsi"/>
                <w:color w:val="00264D" w:themeColor="background2"/>
                <w:lang w:eastAsia="en-AU"/>
              </w:rPr>
              <w:t xml:space="preserve">6.4.1 </w:t>
            </w:r>
            <w:r w:rsidR="00C43631">
              <w:rPr>
                <w:rFonts w:asciiTheme="majorHAnsi" w:hAnsiTheme="majorHAnsi" w:cstheme="majorHAnsi"/>
                <w:color w:val="00264D" w:themeColor="background2"/>
                <w:lang w:eastAsia="en-AU"/>
              </w:rPr>
              <w:t xml:space="preserve">The SARC – IC </w:t>
            </w:r>
            <w:r w:rsidR="00381138">
              <w:rPr>
                <w:rFonts w:asciiTheme="majorHAnsi" w:hAnsiTheme="majorHAnsi" w:cstheme="majorHAnsi"/>
                <w:color w:val="00264D" w:themeColor="background2"/>
                <w:lang w:eastAsia="en-AU"/>
              </w:rPr>
              <w:t xml:space="preserve">Activity </w:t>
            </w:r>
            <w:r w:rsidR="00C43631">
              <w:rPr>
                <w:rFonts w:asciiTheme="majorHAnsi" w:hAnsiTheme="majorHAnsi" w:cstheme="majorHAnsi"/>
                <w:color w:val="00264D" w:themeColor="background2"/>
                <w:lang w:eastAsia="en-AU"/>
              </w:rPr>
              <w:t xml:space="preserve">is relatively cost efficient at delivering services </w:t>
            </w:r>
            <w:r w:rsidR="00AE41EF">
              <w:rPr>
                <w:rFonts w:asciiTheme="majorHAnsi" w:hAnsiTheme="majorHAnsi" w:cstheme="majorHAnsi"/>
                <w:color w:val="00264D" w:themeColor="background2"/>
                <w:lang w:eastAsia="en-AU"/>
              </w:rPr>
              <w:t>through</w:t>
            </w:r>
            <w:r w:rsidR="00C43631">
              <w:rPr>
                <w:rFonts w:asciiTheme="majorHAnsi" w:hAnsiTheme="majorHAnsi" w:cstheme="majorHAnsi"/>
                <w:color w:val="00264D" w:themeColor="background2"/>
                <w:lang w:eastAsia="en-AU"/>
              </w:rPr>
              <w:t xml:space="preserve"> a broad range of</w:t>
            </w:r>
            <w:r w:rsidR="00AE41EF">
              <w:rPr>
                <w:rFonts w:asciiTheme="majorHAnsi" w:hAnsiTheme="majorHAnsi" w:cstheme="majorHAnsi"/>
                <w:color w:val="00264D" w:themeColor="background2"/>
                <w:lang w:eastAsia="en-AU"/>
              </w:rPr>
              <w:t xml:space="preserve"> providers and </w:t>
            </w:r>
            <w:r w:rsidR="009F2053">
              <w:rPr>
                <w:rFonts w:asciiTheme="majorHAnsi" w:hAnsiTheme="majorHAnsi" w:cstheme="majorHAnsi"/>
                <w:color w:val="00264D" w:themeColor="background2"/>
                <w:lang w:eastAsia="en-AU"/>
              </w:rPr>
              <w:t>to a broad range of participants</w:t>
            </w:r>
            <w:r w:rsidRPr="00417815">
              <w:rPr>
                <w:rFonts w:asciiTheme="majorHAnsi" w:hAnsiTheme="majorHAnsi" w:cstheme="majorHAnsi"/>
                <w:color w:val="00264D" w:themeColor="background2"/>
                <w:lang w:eastAsia="en-AU"/>
              </w:rPr>
              <w:t xml:space="preserve"> </w:t>
            </w:r>
          </w:p>
          <w:p w14:paraId="703D4982" w14:textId="4D35D511" w:rsidR="00D53A55" w:rsidRDefault="00E47B3D" w:rsidP="00942ED0">
            <w:pPr>
              <w:pStyle w:val="Bullet"/>
              <w:ind w:left="738"/>
              <w:rPr>
                <w:color w:val="00264D" w:themeColor="background2"/>
              </w:rPr>
            </w:pPr>
            <w:r>
              <w:rPr>
                <w:color w:val="00264D" w:themeColor="background2"/>
              </w:rPr>
              <w:t xml:space="preserve">The weighted average cost per participant under </w:t>
            </w:r>
            <w:r w:rsidR="00411D45">
              <w:rPr>
                <w:color w:val="00264D" w:themeColor="background2"/>
              </w:rPr>
              <w:t xml:space="preserve">SARC – IC </w:t>
            </w:r>
            <w:r>
              <w:rPr>
                <w:color w:val="00264D" w:themeColor="background2"/>
              </w:rPr>
              <w:t xml:space="preserve">is $5,019, which </w:t>
            </w:r>
            <w:r w:rsidR="007D151E">
              <w:rPr>
                <w:color w:val="00264D" w:themeColor="background2"/>
              </w:rPr>
              <w:t>compares favourably with</w:t>
            </w:r>
            <w:r w:rsidR="0039248F">
              <w:rPr>
                <w:color w:val="00264D" w:themeColor="background2"/>
              </w:rPr>
              <w:t xml:space="preserve"> the cost per participant values available to compare among</w:t>
            </w:r>
            <w:r w:rsidR="007D151E">
              <w:rPr>
                <w:color w:val="00264D" w:themeColor="background2"/>
              </w:rPr>
              <w:t xml:space="preserve"> similar programs</w:t>
            </w:r>
            <w:r w:rsidR="00025E14">
              <w:rPr>
                <w:color w:val="00264D" w:themeColor="background2"/>
              </w:rPr>
              <w:t>.</w:t>
            </w:r>
          </w:p>
          <w:p w14:paraId="0BDC0F76" w14:textId="534D9925" w:rsidR="00942ED0" w:rsidRPr="00417815" w:rsidRDefault="0039248F" w:rsidP="00942ED0">
            <w:pPr>
              <w:pStyle w:val="Bullet"/>
              <w:ind w:left="738"/>
              <w:rPr>
                <w:color w:val="00264D" w:themeColor="background2"/>
              </w:rPr>
            </w:pPr>
            <w:r>
              <w:rPr>
                <w:color w:val="00264D" w:themeColor="background2"/>
              </w:rPr>
              <w:t>In general, it costs around $10,000 per improved</w:t>
            </w:r>
            <w:r w:rsidR="0094140F">
              <w:rPr>
                <w:color w:val="00264D" w:themeColor="background2"/>
              </w:rPr>
              <w:t xml:space="preserve"> SCORE point across all providers and participants. </w:t>
            </w:r>
          </w:p>
          <w:p w14:paraId="731C27FA" w14:textId="4B9CFAB1" w:rsidR="00942ED0" w:rsidRPr="00942ED0" w:rsidRDefault="00150D46" w:rsidP="009D7872">
            <w:pPr>
              <w:pStyle w:val="Bullet"/>
              <w:ind w:left="738"/>
              <w:rPr>
                <w:rFonts w:asciiTheme="minorHAnsi" w:hAnsiTheme="minorHAnsi" w:cstheme="minorBidi"/>
                <w:color w:val="00264D" w:themeColor="background2"/>
              </w:rPr>
            </w:pPr>
            <w:r w:rsidRPr="009D7872">
              <w:rPr>
                <w:color w:val="00264D" w:themeColor="background2"/>
              </w:rPr>
              <w:t xml:space="preserve">Based on the available data, noting the </w:t>
            </w:r>
            <w:r w:rsidR="0013555C" w:rsidRPr="009D7872">
              <w:rPr>
                <w:color w:val="00264D" w:themeColor="background2"/>
              </w:rPr>
              <w:t>limitations, medium</w:t>
            </w:r>
            <w:r w:rsidR="001B2287">
              <w:rPr>
                <w:color w:val="00264D" w:themeColor="background2"/>
              </w:rPr>
              <w:t>-</w:t>
            </w:r>
            <w:r w:rsidR="0013555C" w:rsidRPr="009D7872">
              <w:rPr>
                <w:color w:val="00264D" w:themeColor="background2"/>
              </w:rPr>
              <w:t xml:space="preserve">sized providers (those with between 25 and 100 participants) </w:t>
            </w:r>
            <w:r w:rsidR="009D7872" w:rsidRPr="009D7872">
              <w:rPr>
                <w:color w:val="00264D" w:themeColor="background2"/>
              </w:rPr>
              <w:t xml:space="preserve">generally achieve the most cost-effective outcomes. </w:t>
            </w:r>
            <w:r w:rsidR="009D7872" w:rsidRPr="561401AC">
              <w:rPr>
                <w:color w:val="00264D" w:themeColor="background2"/>
              </w:rPr>
              <w:t xml:space="preserve">They </w:t>
            </w:r>
            <w:r w:rsidR="3DBF259C" w:rsidRPr="561401AC">
              <w:rPr>
                <w:color w:val="00264D" w:themeColor="background2"/>
              </w:rPr>
              <w:t>can</w:t>
            </w:r>
            <w:r w:rsidR="009D7872" w:rsidRPr="009D7872">
              <w:rPr>
                <w:color w:val="00264D" w:themeColor="background2"/>
              </w:rPr>
              <w:t xml:space="preserve"> benefit from economies of scale but still provide relatively well tailored support to their participants.</w:t>
            </w:r>
          </w:p>
        </w:tc>
      </w:tr>
    </w:tbl>
    <w:p w14:paraId="54C8CAD1" w14:textId="08686604" w:rsidR="00FD4AAD" w:rsidRDefault="00FD4AAD" w:rsidP="00FD4AAD">
      <w:pPr>
        <w:pStyle w:val="Heading3"/>
      </w:pPr>
      <w:bookmarkStart w:id="68" w:name="_Toc240883569"/>
      <w:r>
        <w:t>T</w:t>
      </w:r>
      <w:r w:rsidRPr="00FD4AAD">
        <w:t>he SARC – IC Activity is relatively cost efficient at delivering services through a broad range of providers and to a broad range of participants</w:t>
      </w:r>
      <w:bookmarkEnd w:id="68"/>
    </w:p>
    <w:p w14:paraId="14A2471D" w14:textId="4376766A" w:rsidR="006640EF" w:rsidRDefault="007A7461" w:rsidP="008649DC">
      <w:pPr>
        <w:pStyle w:val="Bullet"/>
        <w:numPr>
          <w:ilvl w:val="0"/>
          <w:numId w:val="0"/>
        </w:numPr>
      </w:pPr>
      <w:r w:rsidRPr="007A7461">
        <w:t xml:space="preserve">This section examines the economic efficiency of organisations </w:t>
      </w:r>
      <w:r w:rsidR="00AE74E1">
        <w:t xml:space="preserve">participating in the </w:t>
      </w:r>
      <w:r w:rsidR="0035152F">
        <w:t xml:space="preserve">SARC – IC </w:t>
      </w:r>
      <w:r w:rsidR="007B54EE">
        <w:t xml:space="preserve">Activity </w:t>
      </w:r>
      <w:r w:rsidRPr="007A7461">
        <w:t xml:space="preserve">by comparing the resources invested with the outcomes achieved. The analysis uses grant financial records and participant outcome data to provide a standardised comparison of </w:t>
      </w:r>
      <w:r>
        <w:t>program</w:t>
      </w:r>
      <w:r w:rsidRPr="007A7461">
        <w:t xml:space="preserve"> performance.</w:t>
      </w:r>
    </w:p>
    <w:p w14:paraId="0F8336CC" w14:textId="305310BD" w:rsidR="00F40321" w:rsidRDefault="0035152F" w:rsidP="00F40321">
      <w:pPr>
        <w:pStyle w:val="Heading5"/>
      </w:pPr>
      <w:r>
        <w:t xml:space="preserve">SARC – IC </w:t>
      </w:r>
      <w:r w:rsidR="00F40321">
        <w:t xml:space="preserve">is relatively cost efficient compared to other similar programs </w:t>
      </w:r>
    </w:p>
    <w:p w14:paraId="39644ED8" w14:textId="0396F385" w:rsidR="00765040" w:rsidRDefault="00F40321" w:rsidP="00F40321">
      <w:pPr>
        <w:spacing w:after="160"/>
      </w:pPr>
      <w:r>
        <w:t xml:space="preserve">The </w:t>
      </w:r>
      <w:r w:rsidR="0035152F">
        <w:t>SARC – IC</w:t>
      </w:r>
      <w:r w:rsidR="00381138">
        <w:t xml:space="preserve"> Activity</w:t>
      </w:r>
      <w:r>
        <w:t xml:space="preserve"> is relatively cost-efficient to </w:t>
      </w:r>
      <w:r w:rsidR="00E149DF">
        <w:t>operate</w:t>
      </w:r>
      <w:r>
        <w:t xml:space="preserve">. </w:t>
      </w:r>
      <w:r w:rsidR="00381138">
        <w:t>SARC – IC</w:t>
      </w:r>
      <w:r>
        <w:t xml:space="preserve"> has a weighted-average cost per participant of $5,019. This compares favourably with similar programs (</w:t>
      </w:r>
      <w:r w:rsidR="00894B72">
        <w:fldChar w:fldCharType="begin" w:fldLock="1"/>
      </w:r>
      <w:r w:rsidR="00894B72">
        <w:instrText xml:space="preserve"> REF _Ref216959457 \h </w:instrText>
      </w:r>
      <w:r w:rsidR="00894B72">
        <w:fldChar w:fldCharType="separate"/>
      </w:r>
      <w:r w:rsidR="00894B72">
        <w:t xml:space="preserve">Table </w:t>
      </w:r>
      <w:r w:rsidR="00894B72">
        <w:rPr>
          <w:noProof/>
        </w:rPr>
        <w:t>6</w:t>
      </w:r>
      <w:r w:rsidR="00894B72">
        <w:fldChar w:fldCharType="end"/>
      </w:r>
      <w:r>
        <w:t>)</w:t>
      </w:r>
      <w:r w:rsidR="003D75A1">
        <w:t xml:space="preserve">, noting that there is a substantial range of cost efficiency for some of these programs. It is not unexpected that </w:t>
      </w:r>
      <w:r w:rsidR="00A5117B">
        <w:t>SARC</w:t>
      </w:r>
      <w:r w:rsidR="00087F87">
        <w:t xml:space="preserve"> – </w:t>
      </w:r>
      <w:r w:rsidR="00A5117B">
        <w:t xml:space="preserve">IC would be at the upper end of the cost efficiency spectrum given set up costs for new </w:t>
      </w:r>
      <w:r w:rsidR="00A264F6">
        <w:t>short-term</w:t>
      </w:r>
      <w:r w:rsidR="00A5117B">
        <w:t xml:space="preserve"> pro</w:t>
      </w:r>
      <w:r w:rsidR="005E281D">
        <w:t>jects</w:t>
      </w:r>
      <w:r w:rsidR="00A5117B">
        <w:t xml:space="preserve"> are likely to make many pro</w:t>
      </w:r>
      <w:r w:rsidR="005E281D">
        <w:t>ject</w:t>
      </w:r>
      <w:r w:rsidR="00A5117B">
        <w:t xml:space="preserve">s expensive to run in the beginning. </w:t>
      </w:r>
    </w:p>
    <w:p w14:paraId="3CAC46C9" w14:textId="5BC87E14" w:rsidR="00F40321" w:rsidRDefault="00F40321" w:rsidP="00F40321">
      <w:pPr>
        <w:pStyle w:val="Caption"/>
      </w:pPr>
      <w:bookmarkStart w:id="69" w:name="_Ref216959457"/>
      <w:r>
        <w:t xml:space="preserve">Table </w:t>
      </w:r>
      <w:r>
        <w:fldChar w:fldCharType="begin"/>
      </w:r>
      <w:r>
        <w:instrText xml:space="preserve"> SEQ Table \* ARABIC </w:instrText>
      </w:r>
      <w:r>
        <w:fldChar w:fldCharType="separate"/>
      </w:r>
      <w:r w:rsidR="00B666D1">
        <w:rPr>
          <w:noProof/>
        </w:rPr>
        <w:t>7</w:t>
      </w:r>
      <w:r>
        <w:fldChar w:fldCharType="end"/>
      </w:r>
      <w:bookmarkEnd w:id="69"/>
      <w:r w:rsidRPr="002862F2">
        <w:t xml:space="preserve"> | Cost-</w:t>
      </w:r>
      <w:r>
        <w:t xml:space="preserve">efficiency </w:t>
      </w:r>
      <w:r w:rsidRPr="002862F2">
        <w:t>of similar programs</w:t>
      </w:r>
    </w:p>
    <w:tbl>
      <w:tblPr>
        <w:tblStyle w:val="NOUS"/>
        <w:tblpPr w:leftFromText="181" w:rightFromText="181" w:bottomFromText="142" w:vertAnchor="text" w:tblpY="1"/>
        <w:tblOverlap w:val="never"/>
        <w:tblW w:w="0" w:type="auto"/>
        <w:tblLook w:val="04A0" w:firstRow="1" w:lastRow="0" w:firstColumn="1" w:lastColumn="0" w:noHBand="0" w:noVBand="1"/>
      </w:tblPr>
      <w:tblGrid>
        <w:gridCol w:w="1985"/>
        <w:gridCol w:w="5245"/>
        <w:gridCol w:w="1955"/>
      </w:tblGrid>
      <w:tr w:rsidR="006F1DAE" w14:paraId="6FFA7D7D" w14:textId="77777777">
        <w:trPr>
          <w:cnfStyle w:val="100000000000" w:firstRow="1" w:lastRow="0" w:firstColumn="0" w:lastColumn="0" w:oddVBand="0" w:evenVBand="0" w:oddHBand="0" w:evenHBand="0" w:firstRowFirstColumn="0" w:firstRowLastColumn="0" w:lastRowFirstColumn="0" w:lastRowLastColumn="0"/>
        </w:trPr>
        <w:tc>
          <w:tcPr>
            <w:tcW w:w="1985" w:type="dxa"/>
          </w:tcPr>
          <w:p w14:paraId="382466B6" w14:textId="77777777" w:rsidR="00F40321" w:rsidRDefault="00F40321" w:rsidP="003F11D4">
            <w:pPr>
              <w:pStyle w:val="TableNheader"/>
            </w:pPr>
            <w:r>
              <w:t>Program</w:t>
            </w:r>
          </w:p>
        </w:tc>
        <w:tc>
          <w:tcPr>
            <w:tcW w:w="5245" w:type="dxa"/>
          </w:tcPr>
          <w:p w14:paraId="678517DA" w14:textId="77777777" w:rsidR="00F40321" w:rsidRDefault="00F40321" w:rsidP="003F11D4">
            <w:pPr>
              <w:pStyle w:val="TableNheader"/>
            </w:pPr>
            <w:r>
              <w:t>Aim</w:t>
            </w:r>
          </w:p>
        </w:tc>
        <w:tc>
          <w:tcPr>
            <w:tcW w:w="1955" w:type="dxa"/>
          </w:tcPr>
          <w:p w14:paraId="77F0E7D3" w14:textId="5F6D7C12" w:rsidR="00F40321" w:rsidRDefault="00F40321" w:rsidP="003F11D4">
            <w:pPr>
              <w:pStyle w:val="TableNheader"/>
            </w:pPr>
            <w:r>
              <w:t>Cost</w:t>
            </w:r>
            <w:r w:rsidR="00802767">
              <w:t xml:space="preserve"> per </w:t>
            </w:r>
            <w:r>
              <w:t>participant</w:t>
            </w:r>
          </w:p>
        </w:tc>
      </w:tr>
      <w:tr w:rsidR="006F1DAE" w14:paraId="396D11C6" w14:textId="77777777">
        <w:tc>
          <w:tcPr>
            <w:tcW w:w="1985" w:type="dxa"/>
          </w:tcPr>
          <w:p w14:paraId="77AD1DB7" w14:textId="77777777" w:rsidR="00F40321" w:rsidRDefault="00F40321">
            <w:pPr>
              <w:spacing w:after="160" w:line="259" w:lineRule="auto"/>
            </w:pPr>
            <w:r w:rsidRPr="007C47B3">
              <w:t>Homeless Youth Assistance Program</w:t>
            </w:r>
          </w:p>
        </w:tc>
        <w:tc>
          <w:tcPr>
            <w:tcW w:w="5245" w:type="dxa"/>
          </w:tcPr>
          <w:p w14:paraId="4759F8AE" w14:textId="16CA5383" w:rsidR="00F40321" w:rsidRDefault="00F40321">
            <w:pPr>
              <w:spacing w:after="160" w:line="259" w:lineRule="auto"/>
            </w:pPr>
            <w:r>
              <w:t>Designed to address a gap in the delivery of homelessness services to unaccompanied children under 16 years</w:t>
            </w:r>
            <w:r w:rsidR="009F508E">
              <w:t>.</w:t>
            </w:r>
          </w:p>
        </w:tc>
        <w:tc>
          <w:tcPr>
            <w:tcW w:w="1955" w:type="dxa"/>
          </w:tcPr>
          <w:p w14:paraId="61A60725" w14:textId="051714AC" w:rsidR="00F40321" w:rsidRDefault="00F40321">
            <w:pPr>
              <w:spacing w:after="160" w:line="259" w:lineRule="auto"/>
            </w:pPr>
            <w:r>
              <w:t>$1,215 - $34,169</w:t>
            </w:r>
            <w:r w:rsidR="002B29BE">
              <w:rPr>
                <w:rFonts w:ascii="ZWAdobeF" w:hAnsi="ZWAdobeF" w:cs="ZWAdobeF"/>
                <w:sz w:val="2"/>
                <w:szCs w:val="2"/>
              </w:rPr>
              <w:t>54F</w:t>
            </w:r>
            <w:r>
              <w:rPr>
                <w:rStyle w:val="FootnoteReference"/>
              </w:rPr>
              <w:footnoteReference w:id="59"/>
            </w:r>
          </w:p>
        </w:tc>
      </w:tr>
      <w:tr w:rsidR="006F1DAE" w14:paraId="56C97F6B" w14:textId="77777777">
        <w:tc>
          <w:tcPr>
            <w:tcW w:w="1985" w:type="dxa"/>
          </w:tcPr>
          <w:p w14:paraId="284FB205" w14:textId="77777777" w:rsidR="00F40321" w:rsidRDefault="00F40321">
            <w:pPr>
              <w:spacing w:after="160" w:line="259" w:lineRule="auto"/>
            </w:pPr>
            <w:r w:rsidRPr="00B8233C">
              <w:lastRenderedPageBreak/>
              <w:t>Skills for Education and Employment</w:t>
            </w:r>
          </w:p>
        </w:tc>
        <w:tc>
          <w:tcPr>
            <w:tcW w:w="5245" w:type="dxa"/>
          </w:tcPr>
          <w:p w14:paraId="146D4289" w14:textId="77777777" w:rsidR="00F40321" w:rsidRDefault="00F40321">
            <w:pPr>
              <w:spacing w:after="160" w:line="259" w:lineRule="auto"/>
            </w:pPr>
            <w:r w:rsidRPr="00005E91">
              <w:t>An Australian Government program that delivers free language, literacy, numeracy and digital skills training to eligible Australians to support workers and vulnerable Australians to gain secure employment choices.</w:t>
            </w:r>
          </w:p>
        </w:tc>
        <w:tc>
          <w:tcPr>
            <w:tcW w:w="1955" w:type="dxa"/>
          </w:tcPr>
          <w:p w14:paraId="3E9E37A5" w14:textId="6180B305" w:rsidR="00F40321" w:rsidRDefault="00F40321">
            <w:pPr>
              <w:spacing w:after="160" w:line="259" w:lineRule="auto"/>
            </w:pPr>
            <w:r>
              <w:t>$4,206</w:t>
            </w:r>
            <w:r w:rsidR="002B29BE">
              <w:rPr>
                <w:rFonts w:ascii="ZWAdobeF" w:hAnsi="ZWAdobeF" w:cs="ZWAdobeF"/>
                <w:sz w:val="2"/>
                <w:szCs w:val="2"/>
              </w:rPr>
              <w:t>55F</w:t>
            </w:r>
            <w:r>
              <w:rPr>
                <w:rStyle w:val="FootnoteReference"/>
              </w:rPr>
              <w:footnoteReference w:id="60"/>
            </w:r>
          </w:p>
        </w:tc>
      </w:tr>
      <w:tr w:rsidR="006F1DAE" w14:paraId="4187E156" w14:textId="77777777">
        <w:tc>
          <w:tcPr>
            <w:tcW w:w="1985" w:type="dxa"/>
          </w:tcPr>
          <w:p w14:paraId="0B2A1AD8" w14:textId="77777777" w:rsidR="00F40321" w:rsidRDefault="00F40321">
            <w:pPr>
              <w:spacing w:after="160" w:line="259" w:lineRule="auto"/>
            </w:pPr>
            <w:r>
              <w:t>Reconnect</w:t>
            </w:r>
          </w:p>
        </w:tc>
        <w:tc>
          <w:tcPr>
            <w:tcW w:w="5245" w:type="dxa"/>
          </w:tcPr>
          <w:p w14:paraId="69548451" w14:textId="3674368A" w:rsidR="00F40321" w:rsidRDefault="00F40321">
            <w:pPr>
              <w:spacing w:after="160" w:line="259" w:lineRule="auto"/>
            </w:pPr>
            <w:r w:rsidRPr="00005E91">
              <w:t>Early intervention to prevent youth homelessness and disengagement</w:t>
            </w:r>
            <w:r w:rsidR="00071379">
              <w:t>.</w:t>
            </w:r>
            <w:r w:rsidRPr="00005E91">
              <w:t xml:space="preserve"> Provides counselling, family mediation, and practical support to at-risk youth and families, aiming to keep young people in a stable home and connected to school or work.</w:t>
            </w:r>
          </w:p>
        </w:tc>
        <w:tc>
          <w:tcPr>
            <w:tcW w:w="1955" w:type="dxa"/>
          </w:tcPr>
          <w:p w14:paraId="6A650BF0" w14:textId="2160AAEC" w:rsidR="00F40321" w:rsidRDefault="00F40321">
            <w:pPr>
              <w:spacing w:after="160" w:line="259" w:lineRule="auto"/>
            </w:pPr>
            <w:r>
              <w:t>$2,175</w:t>
            </w:r>
            <w:r w:rsidR="002B29BE">
              <w:rPr>
                <w:rFonts w:ascii="ZWAdobeF" w:hAnsi="ZWAdobeF" w:cs="ZWAdobeF"/>
                <w:sz w:val="2"/>
                <w:szCs w:val="2"/>
              </w:rPr>
              <w:t>56F</w:t>
            </w:r>
            <w:r>
              <w:rPr>
                <w:rStyle w:val="FootnoteReference"/>
              </w:rPr>
              <w:footnoteReference w:id="61"/>
            </w:r>
          </w:p>
        </w:tc>
      </w:tr>
      <w:tr w:rsidR="006F1DAE" w14:paraId="6C6A4BA6" w14:textId="77777777">
        <w:tc>
          <w:tcPr>
            <w:tcW w:w="1985" w:type="dxa"/>
          </w:tcPr>
          <w:p w14:paraId="14DC7058" w14:textId="77777777" w:rsidR="00F40321" w:rsidRDefault="00F40321">
            <w:pPr>
              <w:spacing w:after="160" w:line="259" w:lineRule="auto"/>
            </w:pPr>
            <w:r>
              <w:t>Skilling Queenslanders for Work</w:t>
            </w:r>
          </w:p>
        </w:tc>
        <w:tc>
          <w:tcPr>
            <w:tcW w:w="5245" w:type="dxa"/>
          </w:tcPr>
          <w:p w14:paraId="67CE9A1C" w14:textId="200940A3" w:rsidR="00F40321" w:rsidRDefault="00F40321">
            <w:pPr>
              <w:spacing w:after="160" w:line="259" w:lineRule="auto"/>
            </w:pPr>
            <w:r>
              <w:t>Funds</w:t>
            </w:r>
            <w:r w:rsidRPr="00C20AD0">
              <w:t xml:space="preserve"> NGOs,</w:t>
            </w:r>
            <w:r>
              <w:t xml:space="preserve"> RTOs, peak bodies, community organisations</w:t>
            </w:r>
            <w:r w:rsidR="00643D88">
              <w:t xml:space="preserve"> and</w:t>
            </w:r>
            <w:r w:rsidRPr="00C20AD0">
              <w:t xml:space="preserve"> councils</w:t>
            </w:r>
            <w:r>
              <w:t xml:space="preserve"> </w:t>
            </w:r>
            <w:r w:rsidRPr="00C20AD0">
              <w:t>to run training courses, paid work placements (traineeships), and job prep programs that address barriers and lead to jobs</w:t>
            </w:r>
            <w:r>
              <w:t>.</w:t>
            </w:r>
          </w:p>
        </w:tc>
        <w:tc>
          <w:tcPr>
            <w:tcW w:w="1955" w:type="dxa"/>
          </w:tcPr>
          <w:p w14:paraId="7BFB2293" w14:textId="1489ECFD" w:rsidR="00F40321" w:rsidRDefault="00F40321">
            <w:pPr>
              <w:spacing w:after="160" w:line="259" w:lineRule="auto"/>
            </w:pPr>
            <w:r>
              <w:t>$880 - $10,800</w:t>
            </w:r>
            <w:r w:rsidR="002B29BE">
              <w:rPr>
                <w:rFonts w:ascii="ZWAdobeF" w:hAnsi="ZWAdobeF" w:cs="ZWAdobeF"/>
                <w:sz w:val="2"/>
                <w:szCs w:val="2"/>
              </w:rPr>
              <w:t>57F</w:t>
            </w:r>
            <w:r>
              <w:rPr>
                <w:rStyle w:val="FootnoteReference"/>
              </w:rPr>
              <w:footnoteReference w:id="62"/>
            </w:r>
          </w:p>
        </w:tc>
      </w:tr>
    </w:tbl>
    <w:p w14:paraId="6F14E432" w14:textId="18411595" w:rsidR="00F40321" w:rsidRDefault="00F40321" w:rsidP="008649DC">
      <w:pPr>
        <w:pStyle w:val="Bullet"/>
        <w:numPr>
          <w:ilvl w:val="0"/>
          <w:numId w:val="0"/>
        </w:numPr>
      </w:pPr>
      <w:r>
        <w:t xml:space="preserve">If the Department is able to improve the collection of longitudinal data on the outcomes of participants in </w:t>
      </w:r>
      <w:r w:rsidR="0035152F">
        <w:t xml:space="preserve">SARC – IC </w:t>
      </w:r>
      <w:r>
        <w:t>it would be well-placed to consider undertaking a full cost benefit analysis to deepen the evidence base surrounding SARC</w:t>
      </w:r>
      <w:r w:rsidR="004D4108">
        <w:t xml:space="preserve"> – </w:t>
      </w:r>
      <w:r>
        <w:t>IC.</w:t>
      </w:r>
    </w:p>
    <w:p w14:paraId="179FF3A5" w14:textId="551C992A" w:rsidR="00E802F1" w:rsidRPr="00E802F1" w:rsidRDefault="008237C8" w:rsidP="00E802F1">
      <w:pPr>
        <w:pStyle w:val="Heading5"/>
      </w:pPr>
      <w:r>
        <w:t xml:space="preserve">The cost of providing </w:t>
      </w:r>
      <w:r w:rsidR="00925A09">
        <w:t xml:space="preserve">the </w:t>
      </w:r>
      <w:r w:rsidR="0035152F">
        <w:t xml:space="preserve">SARC – IC </w:t>
      </w:r>
      <w:r w:rsidR="00381138">
        <w:t xml:space="preserve">Activity </w:t>
      </w:r>
      <w:r w:rsidR="00925A09">
        <w:t xml:space="preserve">to participants </w:t>
      </w:r>
      <w:r>
        <w:t xml:space="preserve">is </w:t>
      </w:r>
      <w:r w:rsidR="006250F8">
        <w:t xml:space="preserve">largely </w:t>
      </w:r>
      <w:r w:rsidR="004435AF">
        <w:t>similar</w:t>
      </w:r>
      <w:r w:rsidR="006250F8">
        <w:t xml:space="preserve"> across providers</w:t>
      </w:r>
      <w:r w:rsidR="004435AF">
        <w:t xml:space="preserve"> of the same size</w:t>
      </w:r>
    </w:p>
    <w:p w14:paraId="6E52B5C3" w14:textId="08E28AAA" w:rsidR="00E802F1" w:rsidRDefault="00E802F1" w:rsidP="00E802F1">
      <w:r>
        <w:t>To enable a consistent comparison across organisations</w:t>
      </w:r>
      <w:r w:rsidR="00A455A8">
        <w:t>,</w:t>
      </w:r>
      <w:r>
        <w:t xml:space="preserve"> total </w:t>
      </w:r>
      <w:r w:rsidR="0044402A">
        <w:t>grants</w:t>
      </w:r>
      <w:r>
        <w:t xml:space="preserve"> </w:t>
      </w:r>
      <w:r w:rsidR="0044402A">
        <w:t>were aggregated at the organisation level</w:t>
      </w:r>
      <w:r w:rsidR="003B48D2">
        <w:t xml:space="preserve"> from </w:t>
      </w:r>
      <w:r w:rsidR="00672CAC">
        <w:t>2022</w:t>
      </w:r>
      <w:r w:rsidR="004B62DE">
        <w:t>–</w:t>
      </w:r>
      <w:r w:rsidR="003B48D2">
        <w:t>2</w:t>
      </w:r>
      <w:r w:rsidR="00672CAC">
        <w:t>3</w:t>
      </w:r>
      <w:r w:rsidR="003B48D2">
        <w:t xml:space="preserve"> to </w:t>
      </w:r>
      <w:r w:rsidR="00672CAC">
        <w:t>2024</w:t>
      </w:r>
      <w:r w:rsidR="004B62DE">
        <w:t>–</w:t>
      </w:r>
      <w:r w:rsidR="00672CAC">
        <w:t>25</w:t>
      </w:r>
      <w:r w:rsidR="00EF7ECA">
        <w:t xml:space="preserve"> </w:t>
      </w:r>
      <w:r w:rsidR="00047068">
        <w:t>and calculated per participant</w:t>
      </w:r>
      <w:r>
        <w:t xml:space="preserve">. </w:t>
      </w:r>
      <w:r w:rsidR="00807269">
        <w:t>Since 2022</w:t>
      </w:r>
      <w:r w:rsidR="004B62DE">
        <w:t>–</w:t>
      </w:r>
      <w:r w:rsidR="00807269">
        <w:t>23</w:t>
      </w:r>
      <w:r w:rsidR="00CE2EE6">
        <w:t>,</w:t>
      </w:r>
      <w:r w:rsidR="00807269">
        <w:t xml:space="preserve"> </w:t>
      </w:r>
      <w:r w:rsidR="00F90620">
        <w:t>144</w:t>
      </w:r>
      <w:r w:rsidR="00D6255F">
        <w:t xml:space="preserve"> grants have been made to individual organisations with a total value of </w:t>
      </w:r>
      <w:r w:rsidR="00585B14">
        <w:t>$83.2 million.</w:t>
      </w:r>
      <w:r w:rsidR="002B29BE">
        <w:rPr>
          <w:rFonts w:ascii="ZWAdobeF" w:hAnsi="ZWAdobeF" w:cs="ZWAdobeF"/>
          <w:sz w:val="2"/>
          <w:szCs w:val="2"/>
        </w:rPr>
        <w:t>58F</w:t>
      </w:r>
      <w:r w:rsidR="00FC4A23">
        <w:rPr>
          <w:rStyle w:val="FootnoteReference"/>
        </w:rPr>
        <w:footnoteReference w:id="63"/>
      </w:r>
      <w:r w:rsidR="00585B14">
        <w:t xml:space="preserve"> Due to outcomes data limitations, as discussed in </w:t>
      </w:r>
      <w:r w:rsidR="00AC2803">
        <w:t>S</w:t>
      </w:r>
      <w:r w:rsidR="00585B14">
        <w:t xml:space="preserve">ection </w:t>
      </w:r>
      <w:r w:rsidR="00585B14">
        <w:fldChar w:fldCharType="begin" w:fldLock="1"/>
      </w:r>
      <w:r w:rsidR="00585B14">
        <w:instrText xml:space="preserve"> REF _Ref216698253 \n \h </w:instrText>
      </w:r>
      <w:r w:rsidR="00585B14">
        <w:fldChar w:fldCharType="separate"/>
      </w:r>
      <w:r w:rsidR="000755B7">
        <w:t>4.2</w:t>
      </w:r>
      <w:r w:rsidR="00585B14">
        <w:fldChar w:fldCharType="end"/>
      </w:r>
      <w:r w:rsidR="00585B14">
        <w:t xml:space="preserve">, the cost-effectiveness analysis is only able to consider </w:t>
      </w:r>
      <w:r w:rsidR="00044807">
        <w:t xml:space="preserve">75 organisations </w:t>
      </w:r>
      <w:r w:rsidR="00F35734">
        <w:t>that</w:t>
      </w:r>
      <w:r w:rsidR="00FF3E4E">
        <w:t xml:space="preserve"> have received a combined $32.5 million in grants.</w:t>
      </w:r>
      <w:r w:rsidR="002B29BE">
        <w:rPr>
          <w:rFonts w:ascii="ZWAdobeF" w:hAnsi="ZWAdobeF" w:cs="ZWAdobeF"/>
          <w:sz w:val="2"/>
          <w:szCs w:val="2"/>
        </w:rPr>
        <w:t>59F</w:t>
      </w:r>
      <w:r w:rsidR="00137E61">
        <w:rPr>
          <w:rStyle w:val="FootnoteReference"/>
        </w:rPr>
        <w:footnoteReference w:id="64"/>
      </w:r>
      <w:r w:rsidR="00585B14">
        <w:t xml:space="preserve"> </w:t>
      </w:r>
      <w:r>
        <w:t>This approach</w:t>
      </w:r>
      <w:r w:rsidR="00FF3E4E">
        <w:t xml:space="preserve">, while only examining a subset of all participating organisations, produces a standard estimate of cost-effectiveness </w:t>
      </w:r>
      <w:r w:rsidR="00E8770F">
        <w:t xml:space="preserve">which allows for </w:t>
      </w:r>
      <w:r w:rsidR="00FA1FFE">
        <w:t xml:space="preserve">a general </w:t>
      </w:r>
      <w:r w:rsidR="00E74DCD">
        <w:t xml:space="preserve">comparison of organisations. </w:t>
      </w:r>
    </w:p>
    <w:p w14:paraId="5874D70D" w14:textId="15357956" w:rsidR="00E21B6F" w:rsidRDefault="002C385B" w:rsidP="00E802F1">
      <w:r>
        <w:t>T</w:t>
      </w:r>
      <w:r w:rsidR="00DE5871">
        <w:t xml:space="preserve">here is a strong relationship between the number of participants and the cost per participant of delivering the </w:t>
      </w:r>
      <w:r w:rsidR="0035152F">
        <w:t xml:space="preserve">SARC – IC </w:t>
      </w:r>
      <w:r w:rsidR="00FF6A23">
        <w:t>Activity</w:t>
      </w:r>
      <w:r w:rsidR="002712E2">
        <w:t xml:space="preserve">. </w:t>
      </w:r>
      <w:r w:rsidR="00145896">
        <w:fldChar w:fldCharType="begin" w:fldLock="1"/>
      </w:r>
      <w:r w:rsidR="00145896">
        <w:instrText xml:space="preserve"> REF _Ref220509222 \h </w:instrText>
      </w:r>
      <w:r w:rsidR="00145896">
        <w:fldChar w:fldCharType="separate"/>
      </w:r>
      <w:r w:rsidR="00145896">
        <w:t xml:space="preserve">Figure </w:t>
      </w:r>
      <w:r w:rsidR="00145896">
        <w:rPr>
          <w:noProof/>
        </w:rPr>
        <w:t>12</w:t>
      </w:r>
      <w:r w:rsidR="00145896">
        <w:fldChar w:fldCharType="end"/>
      </w:r>
      <w:r w:rsidR="00145896">
        <w:t xml:space="preserve"> </w:t>
      </w:r>
      <w:r w:rsidR="00EE6E9F">
        <w:t>overleaf</w:t>
      </w:r>
      <w:r w:rsidR="00933AA5">
        <w:t xml:space="preserve"> presents the</w:t>
      </w:r>
      <w:r w:rsidR="00DC5386">
        <w:t xml:space="preserve"> cost per participants and total number of participants </w:t>
      </w:r>
      <w:r w:rsidR="007E6894">
        <w:t>fo</w:t>
      </w:r>
      <w:r w:rsidR="0055163E">
        <w:t xml:space="preserve">r each provider. The </w:t>
      </w:r>
      <w:r w:rsidR="002712E2">
        <w:t>variable grant amounts available to providers ensures that</w:t>
      </w:r>
      <w:r w:rsidR="007A2B18">
        <w:t>,</w:t>
      </w:r>
      <w:r w:rsidR="002712E2">
        <w:t xml:space="preserve"> in general</w:t>
      </w:r>
      <w:r w:rsidR="007A2B18">
        <w:t>,</w:t>
      </w:r>
      <w:r w:rsidR="002712E2">
        <w:t xml:space="preserve"> the cost of providing </w:t>
      </w:r>
      <w:r w:rsidR="00976EAB">
        <w:t>SARC – IC</w:t>
      </w:r>
      <w:r w:rsidR="002712E2">
        <w:t xml:space="preserve"> is</w:t>
      </w:r>
      <w:r w:rsidR="000B6DEF">
        <w:t xml:space="preserve"> around $10,000 per participant or less</w:t>
      </w:r>
      <w:r w:rsidR="006B71E1">
        <w:t xml:space="preserve">, with </w:t>
      </w:r>
      <w:r w:rsidR="00F21498">
        <w:t>two thirds of providers</w:t>
      </w:r>
      <w:r w:rsidR="006B71E1">
        <w:t xml:space="preserve"> </w:t>
      </w:r>
      <w:r w:rsidR="00B4616E">
        <w:t xml:space="preserve">falling into that range. </w:t>
      </w:r>
      <w:r w:rsidR="00787896">
        <w:t>An</w:t>
      </w:r>
      <w:r w:rsidR="003E42DE">
        <w:t>other 30 per cent of providers operate</w:t>
      </w:r>
      <w:r w:rsidR="00131CA6">
        <w:t>d</w:t>
      </w:r>
      <w:r w:rsidR="003E42DE">
        <w:t xml:space="preserve"> with a cost per participant of between $10,000</w:t>
      </w:r>
      <w:r w:rsidR="002B12B4">
        <w:t xml:space="preserve"> and $20,000</w:t>
      </w:r>
      <w:r w:rsidR="00557982">
        <w:t xml:space="preserve">. </w:t>
      </w:r>
      <w:r w:rsidR="0067593B">
        <w:t xml:space="preserve">Only 6 providers </w:t>
      </w:r>
      <w:r w:rsidR="00131CA6">
        <w:t>had</w:t>
      </w:r>
      <w:r w:rsidR="0067593B">
        <w:t xml:space="preserve"> a cost per participant over $20,000</w:t>
      </w:r>
      <w:r w:rsidR="008708A3">
        <w:t>. For this subset</w:t>
      </w:r>
      <w:r>
        <w:t xml:space="preserve"> it is not clear </w:t>
      </w:r>
      <w:r w:rsidR="005E6578">
        <w:t xml:space="preserve">why the cost per participant is </w:t>
      </w:r>
      <w:r w:rsidR="00E21B6F">
        <w:t>significantly higher, several possibilities exist:</w:t>
      </w:r>
    </w:p>
    <w:p w14:paraId="28007B96" w14:textId="6534BD1B" w:rsidR="00E21B6F" w:rsidRDefault="00933AA5" w:rsidP="00756A4F">
      <w:pPr>
        <w:pStyle w:val="Listnumbered"/>
        <w:numPr>
          <w:ilvl w:val="0"/>
          <w:numId w:val="26"/>
        </w:numPr>
      </w:pPr>
      <w:r>
        <w:t>t</w:t>
      </w:r>
      <w:r w:rsidR="002C385B">
        <w:t>he</w:t>
      </w:r>
      <w:r w:rsidR="00B77F66">
        <w:t xml:space="preserve"> provider offer</w:t>
      </w:r>
      <w:r w:rsidR="00E441CE">
        <w:t>ed</w:t>
      </w:r>
      <w:r w:rsidR="00B77F66">
        <w:t xml:space="preserve"> more </w:t>
      </w:r>
      <w:r w:rsidR="0069424B">
        <w:t>intensive</w:t>
      </w:r>
      <w:r w:rsidR="00746B3E">
        <w:t xml:space="preserve"> services</w:t>
      </w:r>
    </w:p>
    <w:p w14:paraId="320426B9" w14:textId="090118BD" w:rsidR="00D6260F" w:rsidRDefault="00D6260F" w:rsidP="00756A4F">
      <w:pPr>
        <w:pStyle w:val="Listnumbered"/>
        <w:numPr>
          <w:ilvl w:val="0"/>
          <w:numId w:val="26"/>
        </w:numPr>
      </w:pPr>
      <w:r>
        <w:t>t</w:t>
      </w:r>
      <w:r w:rsidR="00E21B6F">
        <w:t>he provider</w:t>
      </w:r>
      <w:r w:rsidR="0069424B">
        <w:t xml:space="preserve"> failed to attract</w:t>
      </w:r>
      <w:r w:rsidR="00C367D0">
        <w:t xml:space="preserve"> the</w:t>
      </w:r>
      <w:r w:rsidR="009811F1">
        <w:t xml:space="preserve"> </w:t>
      </w:r>
      <w:r w:rsidR="00E21B6F">
        <w:t xml:space="preserve">number of participants they planned for in their grant </w:t>
      </w:r>
      <w:r>
        <w:t>application, or</w:t>
      </w:r>
    </w:p>
    <w:p w14:paraId="746C1AFF" w14:textId="68022A2D" w:rsidR="00EC398E" w:rsidRDefault="00D6260F" w:rsidP="00756A4F">
      <w:pPr>
        <w:pStyle w:val="Listnumbered"/>
        <w:numPr>
          <w:ilvl w:val="0"/>
          <w:numId w:val="26"/>
        </w:numPr>
      </w:pPr>
      <w:r>
        <w:lastRenderedPageBreak/>
        <w:t xml:space="preserve">the provider </w:t>
      </w:r>
      <w:r w:rsidR="009811F1">
        <w:t>did not enter data for all participants into DEX</w:t>
      </w:r>
      <w:r w:rsidR="00AA4019">
        <w:t>.</w:t>
      </w:r>
    </w:p>
    <w:p w14:paraId="2C6EDAD2" w14:textId="77777777" w:rsidR="0041767F" w:rsidRDefault="00D6260F" w:rsidP="0041767F">
      <w:r>
        <w:t xml:space="preserve">For most providers it is likely to be a combination of all </w:t>
      </w:r>
      <w:r w:rsidR="00F77A5A">
        <w:t>three</w:t>
      </w:r>
      <w:r>
        <w:t>.</w:t>
      </w:r>
      <w:r w:rsidR="0041767F" w:rsidRPr="0041767F">
        <w:t xml:space="preserve"> </w:t>
      </w:r>
    </w:p>
    <w:p w14:paraId="4BCF4E23" w14:textId="6874D725" w:rsidR="0041767F" w:rsidRDefault="0041767F" w:rsidP="0041767F">
      <w:r>
        <w:t xml:space="preserve">This standardisation is important because comparing only gross funding figures can be misleading. Larger organisations naturally attract higher funding levels but can achieve significant economies of scale from their larger participant numbers. This means that any cost per participant measure disadvantages smaller organisations. </w:t>
      </w:r>
      <w:r w:rsidR="000974FF">
        <w:t>It is possible</w:t>
      </w:r>
      <w:r w:rsidR="00A823EE">
        <w:t xml:space="preserve"> that</w:t>
      </w:r>
      <w:r>
        <w:t xml:space="preserve"> smaller organisations may be providing deeper engagement, more bespoke support, or targeting a more disadvantaged cohort which would generally be expected to translate to larger improvements in outcomes and to generally cost more when compared to larger organisations</w:t>
      </w:r>
      <w:r w:rsidR="000974FF">
        <w:t>, however this</w:t>
      </w:r>
      <w:r w:rsidR="0045609A">
        <w:t xml:space="preserve"> was not a clear insight from either interviews or DEX data</w:t>
      </w:r>
      <w:r>
        <w:t>.</w:t>
      </w:r>
    </w:p>
    <w:p w14:paraId="2A2A77D4" w14:textId="2B97EE4A" w:rsidR="003221C2" w:rsidRDefault="006D553D" w:rsidP="006D553D">
      <w:pPr>
        <w:pStyle w:val="Caption"/>
      </w:pPr>
      <w:bookmarkStart w:id="70" w:name="_Ref220509222"/>
      <w:r>
        <w:t xml:space="preserve">Figure </w:t>
      </w:r>
      <w:r>
        <w:fldChar w:fldCharType="begin"/>
      </w:r>
      <w:r>
        <w:instrText xml:space="preserve"> SEQ Figure \* ARABIC </w:instrText>
      </w:r>
      <w:r>
        <w:fldChar w:fldCharType="separate"/>
      </w:r>
      <w:r w:rsidR="00B666D1">
        <w:rPr>
          <w:noProof/>
        </w:rPr>
        <w:t>12</w:t>
      </w:r>
      <w:r>
        <w:fldChar w:fldCharType="end"/>
      </w:r>
      <w:bookmarkEnd w:id="70"/>
      <w:r>
        <w:t xml:space="preserve"> </w:t>
      </w:r>
      <w:r w:rsidR="003221C2">
        <w:t>| Cost per participant and the number of participants for SARC – IC providers</w:t>
      </w:r>
    </w:p>
    <w:p w14:paraId="5C47F0FD" w14:textId="1D398865" w:rsidR="00E42923" w:rsidRDefault="00EC398E" w:rsidP="00E802F1">
      <w:r w:rsidRPr="00EC398E">
        <w:rPr>
          <w:noProof/>
        </w:rPr>
        <w:drawing>
          <wp:inline distT="0" distB="0" distL="0" distR="0" wp14:anchorId="433252EC" wp14:editId="3FB5B3A9">
            <wp:extent cx="5827903" cy="3656724"/>
            <wp:effectExtent l="0" t="0" r="1905" b="1270"/>
            <wp:docPr id="1288" name="Picture 1287" descr="Figure 12: Shows a scatter plot showing the relationship between the number of participants supported by SARC-IC providers (x-axis) and cost per participant (y-axis). Each dot represents an individual provider. Costs per participant generally decrease as participant numbers increase, indicating an inverse relationship between scale and unit cost. Providers supporting fewer than 50 participants show the greatest variation in cost per participant, ranging from under $1,000 to over $35,000, with one outlier exceeding $120,000 per participant. In contrast, providers supporting more than 100 participants generally report costs below $5,000 per participant.">
              <a:extLst xmlns:a="http://schemas.openxmlformats.org/drawingml/2006/main">
                <a:ext uri="{FF2B5EF4-FFF2-40B4-BE49-F238E27FC236}">
                  <a16:creationId xmlns:a16="http://schemas.microsoft.com/office/drawing/2014/main" id="{80339114-5DCF-C72C-118B-1D1472FFA1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 name="Picture 1287" descr="Figure 12: Shows a scatter plot showing the relationship between the number of participants supported by SARC-IC providers (x-axis) and cost per participant (y-axis). Each dot represents an individual provider. Costs per participant generally decrease as participant numbers increase, indicating an inverse relationship between scale and unit cost. Providers supporting fewer than 50 participants show the greatest variation in cost per participant, ranging from under $1,000 to over $35,000, with one outlier exceeding $120,000 per participant. In contrast, providers supporting more than 100 participants generally report costs below $5,000 per participant.">
                      <a:extLst>
                        <a:ext uri="{FF2B5EF4-FFF2-40B4-BE49-F238E27FC236}">
                          <a16:creationId xmlns:a16="http://schemas.microsoft.com/office/drawing/2014/main" id="{80339114-5DCF-C72C-118B-1D1472FFA18E}"/>
                        </a:ext>
                      </a:extLst>
                    </pic:cNvPr>
                    <pic:cNvPicPr>
                      <a:picLocks noChangeAspect="1"/>
                    </pic:cNvPicPr>
                  </pic:nvPicPr>
                  <pic:blipFill>
                    <a:blip r:embed="rId42">
                      <a:extLst>
                        <a:ext uri="{96DAC541-7B7A-43D3-8B79-37D633B846F1}">
                          <asvg:svgBlip xmlns:asvg="http://schemas.microsoft.com/office/drawing/2016/SVG/main" r:embed="rId43"/>
                        </a:ext>
                      </a:extLst>
                    </a:blip>
                    <a:srcRect/>
                    <a:stretch/>
                  </pic:blipFill>
                  <pic:spPr>
                    <a:xfrm>
                      <a:off x="0" y="0"/>
                      <a:ext cx="5827903" cy="3656724"/>
                    </a:xfrm>
                    <a:prstGeom prst="rect">
                      <a:avLst/>
                    </a:prstGeom>
                  </pic:spPr>
                </pic:pic>
              </a:graphicData>
            </a:graphic>
          </wp:inline>
        </w:drawing>
      </w:r>
    </w:p>
    <w:p w14:paraId="5445AAF6" w14:textId="77777777" w:rsidR="002E0CD2" w:rsidRPr="004C5DBB" w:rsidRDefault="002E0CD2" w:rsidP="002E0CD2">
      <w:r>
        <w:t>Source: extract from DSS data release published 31/10/2025</w:t>
      </w:r>
    </w:p>
    <w:p w14:paraId="106F96F8" w14:textId="0099F817" w:rsidR="00AE366C" w:rsidRDefault="006718E5" w:rsidP="00917054">
      <w:pPr>
        <w:pStyle w:val="Heading5"/>
      </w:pPr>
      <w:r>
        <w:t>There is significant variation in the</w:t>
      </w:r>
      <w:r w:rsidR="00A656ED">
        <w:t xml:space="preserve"> cost-effectiveness of organisations driven </w:t>
      </w:r>
      <w:r w:rsidR="00D51009">
        <w:t>by differences in outcome measures</w:t>
      </w:r>
    </w:p>
    <w:p w14:paraId="7022D355" w14:textId="27B2CE3B" w:rsidR="009D5C4F" w:rsidRDefault="009D5C4F" w:rsidP="009D5C4F">
      <w:pPr>
        <w:pStyle w:val="Bullet"/>
        <w:numPr>
          <w:ilvl w:val="0"/>
          <w:numId w:val="0"/>
        </w:numPr>
      </w:pPr>
      <w:r>
        <w:t xml:space="preserve">In general, most providers under </w:t>
      </w:r>
      <w:r w:rsidR="0035152F">
        <w:t xml:space="preserve">SARC – IC </w:t>
      </w:r>
      <w:r>
        <w:t xml:space="preserve">are similarly cost-effective at delivering improvements in the outcomes of interest. </w:t>
      </w:r>
      <w:r w:rsidR="00EE14D2">
        <w:fldChar w:fldCharType="begin" w:fldLock="1"/>
      </w:r>
      <w:r w:rsidR="00EE14D2">
        <w:instrText xml:space="preserve"> REF _Ref216959892 \h </w:instrText>
      </w:r>
      <w:r w:rsidR="00EE14D2">
        <w:fldChar w:fldCharType="separate"/>
      </w:r>
      <w:r w:rsidR="00EE14D2">
        <w:t xml:space="preserve">Figure </w:t>
      </w:r>
      <w:r w:rsidR="00EE14D2">
        <w:rPr>
          <w:noProof/>
        </w:rPr>
        <w:t>13</w:t>
      </w:r>
      <w:r w:rsidR="00EE14D2">
        <w:fldChar w:fldCharType="end"/>
      </w:r>
      <w:r w:rsidR="00EE14D2">
        <w:t xml:space="preserve"> </w:t>
      </w:r>
      <w:r w:rsidR="004E197A">
        <w:t>overleaf</w:t>
      </w:r>
      <w:r>
        <w:t xml:space="preserve"> shows the cost-effectiveness of providers, as measured by the net change in points per $10,000, and grouped by the number of participants. Most providers saw an improvement in scores of between 0 and 0.5 points per $10,000, 12 providers had no net change, and 11 had a negative change in points. There were 13 providers that had improvements greater than 0.5 per $10,000, they were concentrated among providers with over 25 total participants. Ultimately, medium and large sized providers offer relatively higher cost-effectiveness due to a combination of economies of scale and higher outcomes. </w:t>
      </w:r>
    </w:p>
    <w:p w14:paraId="0312583F" w14:textId="799C295F" w:rsidR="009D5C4F" w:rsidRDefault="009D5C4F" w:rsidP="009D5C4F">
      <w:pPr>
        <w:pStyle w:val="Caption"/>
      </w:pPr>
      <w:bookmarkStart w:id="71" w:name="_Ref216959892"/>
      <w:r>
        <w:lastRenderedPageBreak/>
        <w:t xml:space="preserve">Figure </w:t>
      </w:r>
      <w:r>
        <w:fldChar w:fldCharType="begin"/>
      </w:r>
      <w:r>
        <w:instrText xml:space="preserve"> SEQ Figure \* ARABIC </w:instrText>
      </w:r>
      <w:r>
        <w:fldChar w:fldCharType="separate"/>
      </w:r>
      <w:r w:rsidR="00B666D1">
        <w:rPr>
          <w:noProof/>
        </w:rPr>
        <w:t>13</w:t>
      </w:r>
      <w:r>
        <w:fldChar w:fldCharType="end"/>
      </w:r>
      <w:bookmarkEnd w:id="71"/>
      <w:r>
        <w:t xml:space="preserve"> | Change in points per $10,000 by provider and participant numbers</w:t>
      </w:r>
    </w:p>
    <w:p w14:paraId="71D01FCE" w14:textId="77777777" w:rsidR="009D5C4F" w:rsidRDefault="009D5C4F" w:rsidP="009D5C4F">
      <w:pPr>
        <w:pStyle w:val="Bullet"/>
        <w:numPr>
          <w:ilvl w:val="0"/>
          <w:numId w:val="0"/>
        </w:numPr>
      </w:pPr>
      <w:r>
        <w:rPr>
          <w:noProof/>
        </w:rPr>
        <w:drawing>
          <wp:inline distT="0" distB="0" distL="0" distR="0" wp14:anchorId="7D3932E8" wp14:editId="4AE35D65">
            <wp:extent cx="5834380" cy="2761727"/>
            <wp:effectExtent l="0" t="0" r="0" b="635"/>
            <wp:docPr id="1757576874" name="Picture 3" descr="Figure 13: Shows a stacked horizontal bar chart showing the distribution of providers by participant size and change in points per $10,000. Most providers recorded a change between 0 and 0.5 points per $10,000 (24 providers: 3 small, 12 medium and 9 large). Eleven providers recorded no change (1 small, 7 medium and 4 large), and 11 recorded a negative change (1 small, 6 medium and 4 large). Smaller numbers of providers recorded increases above 0.5 points per $10,000, including 1 provider at 0.5 to 1, 3 providers at 1 to 1.5, 3 providers at 1.5 to 2, and 6 providers at 2 or more. Medium-sized providers (25 to 100 participants) were the most common across most chang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76874" name="Picture 3" descr="Figure 13: Shows a stacked horizontal bar chart showing the distribution of providers by participant size and change in points per $10,000. Most providers recorded a change between 0 and 0.5 points per $10,000 (24 providers: 3 small, 12 medium and 9 large). Eleven providers recorded no change (1 small, 7 medium and 4 large), and 11 recorded a negative change (1 small, 6 medium and 4 large). Smaller numbers of providers recorded increases above 0.5 points per $10,000, including 1 provider at 0.5 to 1, 3 providers at 1 to 1.5, 3 providers at 1.5 to 2, and 6 providers at 2 or more. Medium-sized providers (25 to 100 participants) were the most common across most change categories."/>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834380" cy="2761727"/>
                    </a:xfrm>
                    <a:prstGeom prst="rect">
                      <a:avLst/>
                    </a:prstGeom>
                    <a:noFill/>
                  </pic:spPr>
                </pic:pic>
              </a:graphicData>
            </a:graphic>
          </wp:inline>
        </w:drawing>
      </w:r>
    </w:p>
    <w:p w14:paraId="4B416241" w14:textId="77777777" w:rsidR="002E0CD2" w:rsidRPr="004C5DBB" w:rsidRDefault="002E0CD2" w:rsidP="002E0CD2">
      <w:r>
        <w:t>Source: extract from DSS data release published 31/10/2025</w:t>
      </w:r>
    </w:p>
    <w:p w14:paraId="65E2E284" w14:textId="0EE571C3" w:rsidR="0041767F" w:rsidRDefault="009E0067" w:rsidP="0041767F">
      <w:pPr>
        <w:pStyle w:val="Bullet"/>
        <w:numPr>
          <w:ilvl w:val="0"/>
          <w:numId w:val="0"/>
        </w:numPr>
      </w:pPr>
      <w:r>
        <w:t>The outcomes analysis showed a broad variance in the mean change in participant outcomes for providers that had</w:t>
      </w:r>
      <w:r w:rsidR="00520876">
        <w:t xml:space="preserve"> recorded pre and post</w:t>
      </w:r>
      <w:r w:rsidR="00D77EF2">
        <w:t xml:space="preserve"> </w:t>
      </w:r>
      <w:r w:rsidR="00520876">
        <w:t>program scores</w:t>
      </w:r>
      <w:r w:rsidR="009C43F9">
        <w:t xml:space="preserve">. Around </w:t>
      </w:r>
      <w:r w:rsidR="00802317">
        <w:t>2</w:t>
      </w:r>
      <w:r w:rsidR="009C43F9">
        <w:t>5 per cent of</w:t>
      </w:r>
      <w:r w:rsidR="00802317">
        <w:t xml:space="preserve"> organisations had participants</w:t>
      </w:r>
      <w:r w:rsidR="00913535">
        <w:t xml:space="preserve"> with a negative change in their score</w:t>
      </w:r>
      <w:r w:rsidR="00CC6817">
        <w:t xml:space="preserve"> after the pro</w:t>
      </w:r>
      <w:r w:rsidR="00976EAB">
        <w:t>ject</w:t>
      </w:r>
      <w:r w:rsidR="00CC6817">
        <w:t xml:space="preserve">. For </w:t>
      </w:r>
      <w:r w:rsidR="00C45E54">
        <w:t>most</w:t>
      </w:r>
      <w:r w:rsidR="00CC6817">
        <w:t xml:space="preserve"> of these organisations</w:t>
      </w:r>
      <w:r w:rsidR="00F61475">
        <w:t xml:space="preserve"> the </w:t>
      </w:r>
      <w:r w:rsidR="00C45E54">
        <w:t xml:space="preserve">reported </w:t>
      </w:r>
      <w:r w:rsidR="00F61475">
        <w:t xml:space="preserve">reduction </w:t>
      </w:r>
      <w:r w:rsidR="00C45E54">
        <w:t xml:space="preserve">in scores </w:t>
      </w:r>
      <w:r w:rsidR="00133C78">
        <w:t>was</w:t>
      </w:r>
      <w:r w:rsidR="00C45E54">
        <w:t xml:space="preserve"> </w:t>
      </w:r>
      <w:r w:rsidR="004D5825">
        <w:t>calculated based</w:t>
      </w:r>
      <w:r w:rsidR="00C45E54">
        <w:t xml:space="preserve"> </w:t>
      </w:r>
      <w:r w:rsidR="00353C1B">
        <w:t>on</w:t>
      </w:r>
      <w:r w:rsidR="004D5825">
        <w:t xml:space="preserve"> fewer than 5 participants, </w:t>
      </w:r>
      <w:r w:rsidR="00DC04FB">
        <w:t xml:space="preserve">there are only </w:t>
      </w:r>
      <w:r w:rsidR="000D5BA8">
        <w:t>four</w:t>
      </w:r>
      <w:r w:rsidR="00DC04FB">
        <w:t xml:space="preserve"> organisations that had more than 10 participants with pre and post</w:t>
      </w:r>
      <w:r w:rsidR="00D77EF2">
        <w:t xml:space="preserve"> </w:t>
      </w:r>
      <w:r w:rsidR="00DC04FB">
        <w:t xml:space="preserve">scores that </w:t>
      </w:r>
      <w:r w:rsidR="000D7525">
        <w:t xml:space="preserve">recorded </w:t>
      </w:r>
      <w:r w:rsidR="00DC04FB">
        <w:t>a decrease in average scores.</w:t>
      </w:r>
      <w:r w:rsidR="00E43EB1">
        <w:t xml:space="preserve"> </w:t>
      </w:r>
      <w:r w:rsidR="00B37131">
        <w:t>It</w:t>
      </w:r>
      <w:r w:rsidR="00E43EB1">
        <w:t xml:space="preserve"> is also the case </w:t>
      </w:r>
      <w:r w:rsidR="00B37131">
        <w:t>that</w:t>
      </w:r>
      <w:r w:rsidR="00E43EB1">
        <w:t xml:space="preserve"> the 17 per cent of providers that </w:t>
      </w:r>
      <w:r w:rsidR="00B37131">
        <w:t xml:space="preserve">reported no change, on average, in outcome scores had </w:t>
      </w:r>
      <w:r w:rsidR="007D5B03">
        <w:t xml:space="preserve">fewer than 5 </w:t>
      </w:r>
      <w:r w:rsidR="00D94DBA">
        <w:t>participants</w:t>
      </w:r>
      <w:r w:rsidR="007D5B03">
        <w:t xml:space="preserve"> </w:t>
      </w:r>
      <w:r w:rsidR="00D94DBA">
        <w:t>with pre and post</w:t>
      </w:r>
      <w:r w:rsidR="00D77EF2">
        <w:t xml:space="preserve"> </w:t>
      </w:r>
      <w:r w:rsidR="00D94DBA">
        <w:t>scores recorded</w:t>
      </w:r>
      <w:r w:rsidR="00B37131">
        <w:t>.</w:t>
      </w:r>
      <w:r w:rsidR="00B314FB">
        <w:t xml:space="preserve"> The key trend is that as organisations had more participants with pre and post</w:t>
      </w:r>
      <w:r w:rsidR="00450811">
        <w:t xml:space="preserve"> </w:t>
      </w:r>
      <w:r w:rsidR="00B314FB">
        <w:t>scores recorded</w:t>
      </w:r>
      <w:r w:rsidR="00BB084E">
        <w:t>,</w:t>
      </w:r>
      <w:r w:rsidR="00B314FB">
        <w:t xml:space="preserve"> the average change in scores</w:t>
      </w:r>
      <w:r w:rsidR="00140546">
        <w:t xml:space="preserve"> </w:t>
      </w:r>
      <w:r w:rsidR="00BB084E">
        <w:t xml:space="preserve">was </w:t>
      </w:r>
      <w:r w:rsidR="00140546">
        <w:t>most likely because of the increased sample size</w:t>
      </w:r>
      <w:r w:rsidR="00EA4374">
        <w:t>,</w:t>
      </w:r>
      <w:r w:rsidR="00140546">
        <w:t xml:space="preserve"> </w:t>
      </w:r>
      <w:r w:rsidR="00E677D0">
        <w:t>resulting in a mo</w:t>
      </w:r>
      <w:r w:rsidR="00A8661C">
        <w:t>re</w:t>
      </w:r>
      <w:r w:rsidR="00E677D0">
        <w:t xml:space="preserve"> representative sample of participant outcomes</w:t>
      </w:r>
      <w:r w:rsidR="00357BE2">
        <w:t>.</w:t>
      </w:r>
      <w:r w:rsidR="0041767F" w:rsidRPr="0041767F">
        <w:t xml:space="preserve"> </w:t>
      </w:r>
    </w:p>
    <w:p w14:paraId="4069B83B" w14:textId="30250294" w:rsidR="0041767F" w:rsidRDefault="0041767F" w:rsidP="0041767F">
      <w:pPr>
        <w:pStyle w:val="Bullet"/>
        <w:numPr>
          <w:ilvl w:val="0"/>
          <w:numId w:val="0"/>
        </w:numPr>
      </w:pPr>
      <w:r>
        <w:t xml:space="preserve">Cost-effectiveness is calculated by measuring the relationship between costs and outcomes. For the </w:t>
      </w:r>
      <w:r w:rsidR="0035152F">
        <w:t xml:space="preserve">SARC – IC </w:t>
      </w:r>
      <w:r w:rsidR="004406D4">
        <w:t>Activity</w:t>
      </w:r>
      <w:r>
        <w:t>, cost-effectiveness can be measure</w:t>
      </w:r>
      <w:r w:rsidR="000D7525">
        <w:t>d</w:t>
      </w:r>
      <w:r>
        <w:t xml:space="preserve"> by analysing the net change in points associated with participating. For example, if a participant moved from a score of 2 to 4 on employment, that is 2 additional points, and if they moved from 3 to 2 on community participation then the net change in points is 1. This net change and the cost of providing the </w:t>
      </w:r>
      <w:r w:rsidR="0035152F">
        <w:t xml:space="preserve">SARC – IC </w:t>
      </w:r>
      <w:r w:rsidR="004406D4">
        <w:t xml:space="preserve">Activity </w:t>
      </w:r>
      <w:r>
        <w:t>can be used to measure the cost-effectiveness of providers.</w:t>
      </w:r>
    </w:p>
    <w:p w14:paraId="65EB99CC" w14:textId="710FC198" w:rsidR="00E802F1" w:rsidRDefault="001F4F54" w:rsidP="008649DC">
      <w:pPr>
        <w:pStyle w:val="Bullet"/>
        <w:numPr>
          <w:ilvl w:val="0"/>
          <w:numId w:val="0"/>
        </w:numPr>
      </w:pPr>
      <w:r>
        <w:t xml:space="preserve">Looking at only the </w:t>
      </w:r>
      <w:r w:rsidR="00F442D5">
        <w:t xml:space="preserve">key outcomes of interest, </w:t>
      </w:r>
      <w:r w:rsidR="002047CB">
        <w:t>the net change in points for p</w:t>
      </w:r>
      <w:r w:rsidR="00A84DA2">
        <w:t xml:space="preserve">roviders </w:t>
      </w:r>
      <w:r w:rsidR="002047CB">
        <w:t xml:space="preserve">with participants </w:t>
      </w:r>
      <w:r w:rsidR="0028785E">
        <w:t>who</w:t>
      </w:r>
      <w:r w:rsidR="002047CB">
        <w:t xml:space="preserve"> had pre and post</w:t>
      </w:r>
      <w:r w:rsidR="00450811">
        <w:t xml:space="preserve"> </w:t>
      </w:r>
      <w:r w:rsidR="002047CB">
        <w:t xml:space="preserve">scores </w:t>
      </w:r>
      <w:r w:rsidR="00A84DA2">
        <w:t>ranged from -10</w:t>
      </w:r>
      <w:r w:rsidR="00FF773F">
        <w:t xml:space="preserve"> to 2,068</w:t>
      </w:r>
      <w:r w:rsidR="00CB5479">
        <w:t xml:space="preserve">, </w:t>
      </w:r>
      <w:r w:rsidR="00A878FA">
        <w:t xml:space="preserve">and </w:t>
      </w:r>
      <w:r w:rsidR="00CB5479">
        <w:t xml:space="preserve">normalising for </w:t>
      </w:r>
      <w:r w:rsidR="00C179A5">
        <w:t xml:space="preserve">total </w:t>
      </w:r>
      <w:r w:rsidR="00CB5479">
        <w:t>participant numbers</w:t>
      </w:r>
      <w:r w:rsidR="00CA2397">
        <w:t>,</w:t>
      </w:r>
      <w:r w:rsidR="00CB5479">
        <w:t xml:space="preserve"> the</w:t>
      </w:r>
      <w:r w:rsidR="00AC6C4E">
        <w:t xml:space="preserve"> change in points per participant range</w:t>
      </w:r>
      <w:r w:rsidR="00EC6CB3">
        <w:t>d</w:t>
      </w:r>
      <w:r w:rsidR="00AC6C4E">
        <w:t xml:space="preserve"> from</w:t>
      </w:r>
      <w:r w:rsidR="00974824">
        <w:t xml:space="preserve"> -0.</w:t>
      </w:r>
      <w:r w:rsidR="002B75FD">
        <w:t xml:space="preserve">14 to </w:t>
      </w:r>
      <w:r w:rsidR="009E650D">
        <w:t>6.9</w:t>
      </w:r>
      <w:r w:rsidR="00AC6C4E">
        <w:t>.</w:t>
      </w:r>
      <w:r w:rsidR="009440C0">
        <w:t xml:space="preserve"> </w:t>
      </w:r>
      <w:r w:rsidR="00832AAC">
        <w:t xml:space="preserve">It is important to note that these cost-effectiveness and cost-efficiency </w:t>
      </w:r>
      <w:r w:rsidR="00B32B7E">
        <w:t>measure</w:t>
      </w:r>
      <w:r w:rsidR="000D7525">
        <w:t>s</w:t>
      </w:r>
      <w:r w:rsidR="00832AAC">
        <w:t xml:space="preserve"> are relative and should </w:t>
      </w:r>
      <w:r w:rsidR="007406F3">
        <w:t xml:space="preserve">only be </w:t>
      </w:r>
      <w:r w:rsidR="00B32B7E">
        <w:t xml:space="preserve">used to </w:t>
      </w:r>
      <w:r w:rsidR="007406F3">
        <w:t>compare</w:t>
      </w:r>
      <w:r w:rsidR="00B32B7E">
        <w:t xml:space="preserve"> similar providers</w:t>
      </w:r>
      <w:r w:rsidR="00851F6F">
        <w:t>. Looking at the tightest cluster of providers</w:t>
      </w:r>
      <w:r w:rsidR="00EF0DC3">
        <w:t xml:space="preserve">, those with between 10 and 75 participants, </w:t>
      </w:r>
      <w:r w:rsidR="000410B1">
        <w:t>providers</w:t>
      </w:r>
      <w:r w:rsidR="00010273">
        <w:t xml:space="preserve"> achieve</w:t>
      </w:r>
      <w:r w:rsidR="00F75E10">
        <w:t>d</w:t>
      </w:r>
      <w:r w:rsidR="00010273">
        <w:t xml:space="preserve"> relatively similar outcomes per participant. The outliers are</w:t>
      </w:r>
      <w:r w:rsidR="00DF7BB3">
        <w:t xml:space="preserve"> explained by relatively low rates of missing </w:t>
      </w:r>
      <w:r w:rsidR="00B10239">
        <w:t xml:space="preserve">outcomes </w:t>
      </w:r>
      <w:r w:rsidR="00DF7BB3">
        <w:t xml:space="preserve">data </w:t>
      </w:r>
      <w:r w:rsidR="0041767F">
        <w:t>coupled with relatively larg</w:t>
      </w:r>
      <w:r w:rsidR="00013E53">
        <w:t>e</w:t>
      </w:r>
      <w:r w:rsidR="00D7683D">
        <w:t xml:space="preserve"> average </w:t>
      </w:r>
      <w:r w:rsidR="0041767F">
        <w:t>improvements in outcomes</w:t>
      </w:r>
      <w:r w:rsidR="00D7683D">
        <w:t>.</w:t>
      </w:r>
    </w:p>
    <w:p w14:paraId="2C43186C" w14:textId="77777777" w:rsidR="008450D4" w:rsidRPr="008450D4" w:rsidRDefault="008450D4" w:rsidP="008450D4">
      <w:pPr>
        <w:rPr>
          <w:lang w:eastAsia="en-AU"/>
        </w:rPr>
      </w:pPr>
    </w:p>
    <w:p w14:paraId="76219665" w14:textId="77777777" w:rsidR="00B81985" w:rsidRDefault="00B81985" w:rsidP="0083348A">
      <w:pPr>
        <w:pStyle w:val="Heading1"/>
      </w:pPr>
      <w:bookmarkStart w:id="72" w:name="_Ref220514684"/>
      <w:bookmarkStart w:id="73" w:name="_Toc240883570"/>
      <w:r w:rsidRPr="0083348A">
        <w:lastRenderedPageBreak/>
        <w:t>Recommendations</w:t>
      </w:r>
      <w:bookmarkEnd w:id="72"/>
      <w:bookmarkEnd w:id="73"/>
    </w:p>
    <w:p w14:paraId="10C3F19E" w14:textId="7247DFD2" w:rsidR="004A01A0" w:rsidRPr="004A01A0" w:rsidRDefault="009E432A" w:rsidP="0083348A">
      <w:pPr>
        <w:spacing w:after="0"/>
        <w:rPr>
          <w:lang w:eastAsia="en-AU"/>
        </w:rPr>
      </w:pPr>
      <w:r w:rsidRPr="009E432A">
        <w:rPr>
          <w:lang w:eastAsia="en-AU"/>
        </w:rPr>
        <w:t xml:space="preserve">This evaluation has grouped the recommendations into three options, with increasing levels of benefit and implementation risk/effort. As outlined below, it begins with incremental change within the current program, moves to things that structurally change what </w:t>
      </w:r>
      <w:r w:rsidR="00F874B4" w:rsidRPr="009E432A">
        <w:rPr>
          <w:lang w:eastAsia="en-AU"/>
        </w:rPr>
        <w:t xml:space="preserve">SARC </w:t>
      </w:r>
      <w:r w:rsidR="00F874B4">
        <w:t xml:space="preserve">– </w:t>
      </w:r>
      <w:r w:rsidR="00F874B4" w:rsidRPr="009E432A">
        <w:rPr>
          <w:lang w:eastAsia="en-AU"/>
        </w:rPr>
        <w:t xml:space="preserve">IC </w:t>
      </w:r>
      <w:r w:rsidRPr="009E432A">
        <w:rPr>
          <w:lang w:eastAsia="en-AU"/>
        </w:rPr>
        <w:t xml:space="preserve">is, </w:t>
      </w:r>
      <w:r w:rsidR="003E1600">
        <w:rPr>
          <w:lang w:eastAsia="en-AU"/>
        </w:rPr>
        <w:t xml:space="preserve">and then </w:t>
      </w:r>
      <w:r w:rsidRPr="009E432A">
        <w:rPr>
          <w:lang w:eastAsia="en-AU"/>
        </w:rPr>
        <w:t>to wholesale change for how government invests in pro</w:t>
      </w:r>
      <w:r w:rsidR="005E281D">
        <w:rPr>
          <w:lang w:eastAsia="en-AU"/>
        </w:rPr>
        <w:t>jects</w:t>
      </w:r>
      <w:r w:rsidRPr="009E432A">
        <w:rPr>
          <w:lang w:eastAsia="en-AU"/>
        </w:rPr>
        <w:t xml:space="preserve"> to achieve social and economic participation</w:t>
      </w:r>
      <w:r w:rsidR="004A01A0" w:rsidRPr="004A01A0">
        <w:rPr>
          <w:lang w:eastAsia="en-AU"/>
        </w:rPr>
        <w:t>.</w:t>
      </w:r>
    </w:p>
    <w:p w14:paraId="0379762B" w14:textId="77777777" w:rsidR="00247052" w:rsidRDefault="00247052" w:rsidP="0083348A">
      <w:pPr>
        <w:spacing w:after="0"/>
        <w:rPr>
          <w:lang w:eastAsia="en-AU"/>
        </w:rPr>
      </w:pPr>
    </w:p>
    <w:tbl>
      <w:tblPr>
        <w:tblStyle w:val="NOUS"/>
        <w:tblW w:w="0" w:type="auto"/>
        <w:tblLook w:val="04A0" w:firstRow="1" w:lastRow="0" w:firstColumn="1" w:lastColumn="0" w:noHBand="0" w:noVBand="1"/>
      </w:tblPr>
      <w:tblGrid>
        <w:gridCol w:w="9185"/>
      </w:tblGrid>
      <w:tr w:rsidR="00F614D5" w14:paraId="137CC74D" w14:textId="77777777" w:rsidTr="0008365C">
        <w:trPr>
          <w:cnfStyle w:val="100000000000" w:firstRow="1" w:lastRow="0" w:firstColumn="0" w:lastColumn="0" w:oddVBand="0" w:evenVBand="0" w:oddHBand="0" w:evenHBand="0" w:firstRowFirstColumn="0" w:firstRowLastColumn="0" w:lastRowFirstColumn="0" w:lastRowLastColumn="0"/>
        </w:trPr>
        <w:tc>
          <w:tcPr>
            <w:tcW w:w="9185" w:type="dxa"/>
            <w:tcBorders>
              <w:top w:val="nil"/>
            </w:tcBorders>
            <w:shd w:val="clear" w:color="auto" w:fill="00264D" w:themeFill="background2"/>
          </w:tcPr>
          <w:p w14:paraId="464D031A" w14:textId="65A188BC" w:rsidR="0008365C" w:rsidRPr="0008365C" w:rsidRDefault="0008365C" w:rsidP="0008365C">
            <w:pPr>
              <w:pStyle w:val="TableNheader"/>
              <w:ind w:left="338" w:right="314"/>
              <w:rPr>
                <w:color w:val="FFFFFF" w:themeColor="background1"/>
              </w:rPr>
            </w:pPr>
            <w:r w:rsidRPr="00765040">
              <w:rPr>
                <w:color w:val="FFFFFF" w:themeColor="background1"/>
                <w:sz w:val="20"/>
                <w:szCs w:val="20"/>
                <w:bdr w:val="single" w:sz="18" w:space="0" w:color="F25E21" w:themeColor="accent2"/>
                <w:shd w:val="clear" w:color="auto" w:fill="F25E21" w:themeFill="accent2"/>
              </w:rPr>
              <w:t xml:space="preserve">OPTION </w:t>
            </w:r>
            <w:r w:rsidR="00894E33" w:rsidRPr="00765040">
              <w:rPr>
                <w:color w:val="FFFFFF" w:themeColor="background1"/>
                <w:sz w:val="20"/>
                <w:szCs w:val="20"/>
                <w:bdr w:val="single" w:sz="18" w:space="0" w:color="F25E21" w:themeColor="accent2"/>
                <w:shd w:val="clear" w:color="auto" w:fill="F25E21" w:themeFill="accent2"/>
              </w:rPr>
              <w:t>1</w:t>
            </w:r>
            <w:r w:rsidR="00894E33" w:rsidRPr="00765040">
              <w:rPr>
                <w:color w:val="FFFFFF" w:themeColor="background1"/>
                <w:sz w:val="20"/>
                <w:szCs w:val="20"/>
              </w:rPr>
              <w:t xml:space="preserve"> Re</w:t>
            </w:r>
            <w:r w:rsidRPr="00765040">
              <w:rPr>
                <w:color w:val="FFFFFF" w:themeColor="background1"/>
                <w:sz w:val="20"/>
                <w:szCs w:val="20"/>
              </w:rPr>
              <w:t>-</w:t>
            </w:r>
            <w:r w:rsidRPr="0008365C">
              <w:rPr>
                <w:color w:val="FFFFFF" w:themeColor="background1"/>
                <w:sz w:val="20"/>
                <w:szCs w:val="24"/>
              </w:rPr>
              <w:t>design how government commissions services to improve social and economic participation for</w:t>
            </w:r>
            <w:r w:rsidRPr="00F33AA3">
              <w:rPr>
                <w:color w:val="FFFFFF" w:themeColor="background1"/>
                <w:sz w:val="22"/>
                <w:szCs w:val="28"/>
              </w:rPr>
              <w:t xml:space="preserve"> </w:t>
            </w:r>
            <w:r w:rsidRPr="0008365C">
              <w:rPr>
                <w:color w:val="FFFFFF" w:themeColor="background1"/>
                <w:sz w:val="20"/>
                <w:szCs w:val="24"/>
              </w:rPr>
              <w:t>vulnerable Australians</w:t>
            </w:r>
            <w:r w:rsidR="00EB0BFB">
              <w:rPr>
                <w:color w:val="FFFFFF" w:themeColor="background1"/>
                <w:sz w:val="20"/>
                <w:szCs w:val="24"/>
              </w:rPr>
              <w:t>.</w:t>
            </w:r>
          </w:p>
        </w:tc>
      </w:tr>
      <w:tr w:rsidR="00F614D5" w14:paraId="1008135B" w14:textId="77777777" w:rsidTr="00292A4E">
        <w:tc>
          <w:tcPr>
            <w:tcW w:w="9185" w:type="dxa"/>
            <w:shd w:val="clear" w:color="auto" w:fill="E6E6E1" w:themeFill="accent5"/>
          </w:tcPr>
          <w:p w14:paraId="0F223AE4" w14:textId="77777777" w:rsidR="00247052" w:rsidRPr="00765040" w:rsidRDefault="00247052" w:rsidP="0008365C">
            <w:pPr>
              <w:pStyle w:val="TableNListnumbered"/>
              <w:numPr>
                <w:ilvl w:val="0"/>
                <w:numId w:val="0"/>
              </w:numPr>
              <w:ind w:left="338" w:right="314"/>
              <w:rPr>
                <w:color w:val="F25E21" w:themeColor="accent2"/>
                <w:sz w:val="19"/>
              </w:rPr>
            </w:pPr>
            <w:r w:rsidRPr="00765040">
              <w:rPr>
                <w:rFonts w:asciiTheme="majorHAnsi" w:hAnsiTheme="majorHAnsi" w:cstheme="majorHAnsi"/>
                <w:color w:val="F25E21" w:themeColor="accent2"/>
                <w:sz w:val="19"/>
              </w:rPr>
              <w:t>Proposal</w:t>
            </w:r>
            <w:r w:rsidRPr="00765040">
              <w:rPr>
                <w:color w:val="F25E21" w:themeColor="accent2"/>
                <w:sz w:val="19"/>
              </w:rPr>
              <w:t>:</w:t>
            </w:r>
          </w:p>
          <w:p w14:paraId="5E04C2B4" w14:textId="77777777" w:rsidR="00DC46DE" w:rsidRDefault="00FA3AD8" w:rsidP="00FA3AD8">
            <w:pPr>
              <w:pStyle w:val="TableNText"/>
              <w:ind w:left="338"/>
              <w:rPr>
                <w:sz w:val="18"/>
                <w:szCs w:val="18"/>
              </w:rPr>
            </w:pPr>
            <w:r w:rsidRPr="00684DC7">
              <w:rPr>
                <w:rFonts w:asciiTheme="majorHAnsi" w:hAnsiTheme="majorHAnsi" w:cstheme="majorHAnsi"/>
                <w:sz w:val="18"/>
                <w:szCs w:val="18"/>
              </w:rPr>
              <w:t>Redesign the Department’s commissioning approach</w:t>
            </w:r>
            <w:r w:rsidRPr="00FA3AD8">
              <w:rPr>
                <w:sz w:val="18"/>
                <w:szCs w:val="18"/>
              </w:rPr>
              <w:t xml:space="preserve"> to focus on long-term, outcome-driven partnerships that improve social and economic participation for vulnerable Australians. This involves</w:t>
            </w:r>
            <w:r w:rsidR="00DC46DE">
              <w:rPr>
                <w:sz w:val="18"/>
                <w:szCs w:val="18"/>
              </w:rPr>
              <w:t>:</w:t>
            </w:r>
          </w:p>
          <w:p w14:paraId="5F1390B2" w14:textId="18FA1E69" w:rsidR="009A0E9C" w:rsidRPr="00765040" w:rsidRDefault="009A0E9C" w:rsidP="006E0620">
            <w:pPr>
              <w:pStyle w:val="TableNBullet"/>
              <w:rPr>
                <w:sz w:val="18"/>
                <w:szCs w:val="18"/>
              </w:rPr>
            </w:pPr>
            <w:r w:rsidRPr="00765040">
              <w:rPr>
                <w:sz w:val="18"/>
                <w:szCs w:val="18"/>
              </w:rPr>
              <w:t>Stop further funding rounds under SARC</w:t>
            </w:r>
            <w:r w:rsidR="00087F87" w:rsidRPr="00765040">
              <w:rPr>
                <w:sz w:val="18"/>
                <w:szCs w:val="18"/>
              </w:rPr>
              <w:t xml:space="preserve"> – </w:t>
            </w:r>
            <w:r w:rsidRPr="00765040">
              <w:rPr>
                <w:sz w:val="18"/>
                <w:szCs w:val="18"/>
              </w:rPr>
              <w:t>IC in its current form</w:t>
            </w:r>
            <w:r w:rsidR="0057631A" w:rsidRPr="00765040">
              <w:rPr>
                <w:sz w:val="18"/>
                <w:szCs w:val="18"/>
              </w:rPr>
              <w:t>.</w:t>
            </w:r>
          </w:p>
          <w:p w14:paraId="0CA2DCCD" w14:textId="16BF6E8D" w:rsidR="009A0E9C" w:rsidRPr="00765040" w:rsidRDefault="009A0E9C" w:rsidP="006E0620">
            <w:pPr>
              <w:pStyle w:val="TableNBullet"/>
              <w:rPr>
                <w:sz w:val="18"/>
                <w:szCs w:val="18"/>
              </w:rPr>
            </w:pPr>
            <w:r w:rsidRPr="00765040">
              <w:rPr>
                <w:sz w:val="18"/>
                <w:szCs w:val="18"/>
              </w:rPr>
              <w:t xml:space="preserve">Refine the </w:t>
            </w:r>
            <w:r w:rsidR="00EB0BFB" w:rsidRPr="00765040">
              <w:rPr>
                <w:sz w:val="18"/>
                <w:szCs w:val="18"/>
              </w:rPr>
              <w:t>c</w:t>
            </w:r>
            <w:r w:rsidRPr="00765040">
              <w:rPr>
                <w:sz w:val="18"/>
                <w:szCs w:val="18"/>
              </w:rPr>
              <w:t xml:space="preserve">ohorts </w:t>
            </w:r>
            <w:r w:rsidR="00FD304C" w:rsidRPr="00765040">
              <w:rPr>
                <w:sz w:val="18"/>
                <w:szCs w:val="18"/>
              </w:rPr>
              <w:t>SARC – IC</w:t>
            </w:r>
            <w:r w:rsidRPr="00765040">
              <w:rPr>
                <w:sz w:val="18"/>
                <w:szCs w:val="18"/>
              </w:rPr>
              <w:t xml:space="preserve"> is targeting to align with current priorities, reduce the breadth and address overlap. </w:t>
            </w:r>
          </w:p>
          <w:p w14:paraId="2B7BE0DB" w14:textId="4A0B35DF" w:rsidR="00B90600" w:rsidRPr="00765040" w:rsidRDefault="000F1242" w:rsidP="006E0620">
            <w:pPr>
              <w:pStyle w:val="TableNBullet"/>
              <w:rPr>
                <w:sz w:val="18"/>
                <w:szCs w:val="18"/>
              </w:rPr>
            </w:pPr>
            <w:r w:rsidRPr="00765040">
              <w:rPr>
                <w:sz w:val="18"/>
                <w:szCs w:val="18"/>
              </w:rPr>
              <w:t>Review programs outlined in</w:t>
            </w:r>
            <w:r w:rsidR="00EB0BFB" w:rsidRPr="00765040">
              <w:rPr>
                <w:sz w:val="18"/>
                <w:szCs w:val="18"/>
              </w:rPr>
              <w:t xml:space="preserve"> </w:t>
            </w:r>
            <w:r w:rsidR="00EB0BFB" w:rsidRPr="00765040">
              <w:rPr>
                <w:sz w:val="18"/>
                <w:szCs w:val="18"/>
              </w:rPr>
              <w:fldChar w:fldCharType="begin" w:fldLock="1"/>
            </w:r>
            <w:r w:rsidR="00EB0BFB" w:rsidRPr="00765040">
              <w:rPr>
                <w:sz w:val="18"/>
                <w:szCs w:val="18"/>
              </w:rPr>
              <w:instrText xml:space="preserve"> REF _Ref216884504 \r \h </w:instrText>
            </w:r>
            <w:r w:rsidR="006E0620" w:rsidRPr="00765040">
              <w:rPr>
                <w:sz w:val="18"/>
                <w:szCs w:val="18"/>
              </w:rPr>
              <w:instrText xml:space="preserve"> \* MERGEFORMAT </w:instrText>
            </w:r>
            <w:r w:rsidR="00EB0BFB" w:rsidRPr="00765040">
              <w:rPr>
                <w:sz w:val="18"/>
                <w:szCs w:val="18"/>
              </w:rPr>
            </w:r>
            <w:r w:rsidR="00EB0BFB" w:rsidRPr="00765040">
              <w:rPr>
                <w:sz w:val="18"/>
                <w:szCs w:val="18"/>
              </w:rPr>
              <w:fldChar w:fldCharType="separate"/>
            </w:r>
            <w:r w:rsidR="00EB0BFB" w:rsidRPr="00765040">
              <w:rPr>
                <w:sz w:val="18"/>
                <w:szCs w:val="18"/>
              </w:rPr>
              <w:t>Appendix D</w:t>
            </w:r>
            <w:r w:rsidR="00EB0BFB" w:rsidRPr="00765040">
              <w:rPr>
                <w:sz w:val="18"/>
                <w:szCs w:val="18"/>
              </w:rPr>
              <w:fldChar w:fldCharType="end"/>
            </w:r>
            <w:r w:rsidR="00562E91" w:rsidRPr="00765040">
              <w:rPr>
                <w:sz w:val="18"/>
                <w:szCs w:val="18"/>
              </w:rPr>
              <w:t xml:space="preserve">, and create a consolidated funding stream </w:t>
            </w:r>
            <w:r w:rsidR="0057631A" w:rsidRPr="00765040">
              <w:rPr>
                <w:sz w:val="18"/>
                <w:szCs w:val="18"/>
              </w:rPr>
              <w:t>akin</w:t>
            </w:r>
            <w:r w:rsidR="00562E91" w:rsidRPr="00765040">
              <w:rPr>
                <w:sz w:val="18"/>
                <w:szCs w:val="18"/>
              </w:rPr>
              <w:t xml:space="preserve"> to </w:t>
            </w:r>
            <w:r w:rsidR="00CF6279" w:rsidRPr="00765040">
              <w:rPr>
                <w:sz w:val="18"/>
                <w:szCs w:val="18"/>
              </w:rPr>
              <w:t>DSS</w:t>
            </w:r>
            <w:r w:rsidR="0057631A" w:rsidRPr="00765040">
              <w:rPr>
                <w:sz w:val="18"/>
                <w:szCs w:val="18"/>
              </w:rPr>
              <w:t>’</w:t>
            </w:r>
            <w:r w:rsidR="00CF6279" w:rsidRPr="00765040">
              <w:rPr>
                <w:sz w:val="18"/>
                <w:szCs w:val="18"/>
              </w:rPr>
              <w:t xml:space="preserve"> </w:t>
            </w:r>
            <w:r w:rsidR="00CF6279" w:rsidRPr="00765040">
              <w:rPr>
                <w:i/>
                <w:iCs/>
                <w:sz w:val="18"/>
                <w:szCs w:val="18"/>
              </w:rPr>
              <w:t>A new approach to programs for families and children</w:t>
            </w:r>
            <w:r w:rsidR="001C246C" w:rsidRPr="00765040">
              <w:rPr>
                <w:sz w:val="18"/>
                <w:szCs w:val="18"/>
              </w:rPr>
              <w:t>.</w:t>
            </w:r>
          </w:p>
          <w:p w14:paraId="5961AAFC" w14:textId="461CF5EB" w:rsidR="00CF6279" w:rsidRPr="00765040" w:rsidRDefault="007F11E3" w:rsidP="006E0620">
            <w:pPr>
              <w:pStyle w:val="TableNBullet"/>
              <w:rPr>
                <w:sz w:val="18"/>
                <w:szCs w:val="18"/>
              </w:rPr>
            </w:pPr>
            <w:r w:rsidRPr="00765040">
              <w:rPr>
                <w:sz w:val="18"/>
                <w:szCs w:val="18"/>
              </w:rPr>
              <w:t xml:space="preserve">Shift the role the Department plays to more of an active system steward, that uses its investment, engagement with grant recipients and data to more actively work towards the desired system outcomes. </w:t>
            </w:r>
            <w:r w:rsidR="0035788C" w:rsidRPr="00765040">
              <w:rPr>
                <w:sz w:val="18"/>
                <w:szCs w:val="18"/>
              </w:rPr>
              <w:t>This could consider the appropriate governance model for individual grants and the collective program.</w:t>
            </w:r>
          </w:p>
          <w:p w14:paraId="5EFD59AC" w14:textId="2D550F1F" w:rsidR="009A0E9C" w:rsidRPr="00765040" w:rsidRDefault="009A0E9C" w:rsidP="006E0620">
            <w:pPr>
              <w:pStyle w:val="TableNBullet"/>
              <w:rPr>
                <w:sz w:val="18"/>
                <w:szCs w:val="18"/>
              </w:rPr>
            </w:pPr>
            <w:r w:rsidRPr="00765040">
              <w:rPr>
                <w:sz w:val="18"/>
                <w:szCs w:val="18"/>
              </w:rPr>
              <w:t>The Department can provide more detailed guidance on the parts of the system it is trying to effect change in (for example it could consider</w:t>
            </w:r>
            <w:r w:rsidR="00EB0BFB" w:rsidRPr="00765040">
              <w:rPr>
                <w:sz w:val="18"/>
                <w:szCs w:val="18"/>
              </w:rPr>
              <w:t>;</w:t>
            </w:r>
            <w:r w:rsidRPr="00765040">
              <w:rPr>
                <w:sz w:val="18"/>
                <w:szCs w:val="18"/>
              </w:rPr>
              <w:t xml:space="preserve"> early intervention and prevention; direct service provision / therapeutic supports; better system integration and navigation)</w:t>
            </w:r>
            <w:r w:rsidR="001C246C" w:rsidRPr="00765040">
              <w:rPr>
                <w:sz w:val="18"/>
                <w:szCs w:val="18"/>
              </w:rPr>
              <w:t>.</w:t>
            </w:r>
          </w:p>
          <w:p w14:paraId="3865F3FA" w14:textId="6AEBDFBA" w:rsidR="009A0E9C" w:rsidRPr="00765040" w:rsidRDefault="009A0E9C" w:rsidP="006E0620">
            <w:pPr>
              <w:pStyle w:val="TableNBullet"/>
              <w:rPr>
                <w:sz w:val="18"/>
                <w:szCs w:val="18"/>
              </w:rPr>
            </w:pPr>
            <w:r w:rsidRPr="00765040">
              <w:rPr>
                <w:sz w:val="18"/>
                <w:szCs w:val="18"/>
              </w:rPr>
              <w:t>Consider the commissioning model that is appropriate for delivering these outcomes. This could be anything from relational grants, through to outcomes</w:t>
            </w:r>
            <w:r w:rsidR="00BF0220" w:rsidRPr="00765040">
              <w:rPr>
                <w:sz w:val="18"/>
                <w:szCs w:val="18"/>
              </w:rPr>
              <w:t>-</w:t>
            </w:r>
            <w:r w:rsidRPr="00765040">
              <w:rPr>
                <w:sz w:val="18"/>
                <w:szCs w:val="18"/>
              </w:rPr>
              <w:t>based funding models. The choice depends on what the Department is trying to optimise for</w:t>
            </w:r>
            <w:r w:rsidR="009820F8" w:rsidRPr="00765040">
              <w:rPr>
                <w:sz w:val="18"/>
                <w:szCs w:val="18"/>
              </w:rPr>
              <w:t xml:space="preserve"> and the scale of money invested.</w:t>
            </w:r>
          </w:p>
          <w:p w14:paraId="5D0B087A" w14:textId="03768E20" w:rsidR="009820F8" w:rsidRPr="00765040" w:rsidRDefault="009820F8" w:rsidP="006E0620">
            <w:pPr>
              <w:pStyle w:val="TableNBullet"/>
              <w:rPr>
                <w:sz w:val="18"/>
                <w:szCs w:val="18"/>
              </w:rPr>
            </w:pPr>
            <w:r w:rsidRPr="00765040">
              <w:rPr>
                <w:sz w:val="18"/>
                <w:szCs w:val="18"/>
              </w:rPr>
              <w:t xml:space="preserve">Better leverage partnerships with state and territory governments </w:t>
            </w:r>
            <w:r w:rsidR="00CD4AF9" w:rsidRPr="00765040">
              <w:rPr>
                <w:sz w:val="18"/>
                <w:szCs w:val="18"/>
              </w:rPr>
              <w:t xml:space="preserve">to increase investment and interface more systematically with </w:t>
            </w:r>
            <w:r w:rsidR="00F9649D" w:rsidRPr="00765040">
              <w:rPr>
                <w:sz w:val="18"/>
                <w:szCs w:val="18"/>
              </w:rPr>
              <w:t xml:space="preserve">other </w:t>
            </w:r>
            <w:r w:rsidR="00E27D5A" w:rsidRPr="00765040">
              <w:rPr>
                <w:sz w:val="18"/>
                <w:szCs w:val="18"/>
              </w:rPr>
              <w:t xml:space="preserve">service systems the </w:t>
            </w:r>
            <w:r w:rsidR="001C246C" w:rsidRPr="00765040">
              <w:rPr>
                <w:sz w:val="18"/>
                <w:szCs w:val="18"/>
              </w:rPr>
              <w:t>state runs. A key part of this would be increasing the visibility and role of the new program, as SARC</w:t>
            </w:r>
            <w:r w:rsidR="00DC3018" w:rsidRPr="00765040">
              <w:rPr>
                <w:sz w:val="18"/>
                <w:szCs w:val="18"/>
              </w:rPr>
              <w:t xml:space="preserve"> </w:t>
            </w:r>
            <w:r w:rsidR="00531AF1" w:rsidRPr="00765040">
              <w:rPr>
                <w:sz w:val="18"/>
                <w:szCs w:val="18"/>
              </w:rPr>
              <w:t>– IC</w:t>
            </w:r>
            <w:r w:rsidR="001C246C" w:rsidRPr="00765040">
              <w:rPr>
                <w:sz w:val="18"/>
                <w:szCs w:val="18"/>
              </w:rPr>
              <w:t xml:space="preserve"> is relatively small and not well known.</w:t>
            </w:r>
            <w:r w:rsidR="00F9649D" w:rsidRPr="00765040">
              <w:rPr>
                <w:sz w:val="18"/>
                <w:szCs w:val="18"/>
              </w:rPr>
              <w:t xml:space="preserve"> </w:t>
            </w:r>
          </w:p>
          <w:p w14:paraId="6BFFB4CA" w14:textId="6360CC5D" w:rsidR="00DC46DE" w:rsidRPr="00765040" w:rsidRDefault="00B85418" w:rsidP="006E0620">
            <w:pPr>
              <w:pStyle w:val="TableNBullet"/>
              <w:rPr>
                <w:sz w:val="18"/>
                <w:szCs w:val="18"/>
              </w:rPr>
            </w:pPr>
            <w:r w:rsidRPr="00765040">
              <w:rPr>
                <w:sz w:val="18"/>
                <w:szCs w:val="18"/>
              </w:rPr>
              <w:t>Streamline the data that is being collected and closely tie it to performance and the commissioning model</w:t>
            </w:r>
            <w:r w:rsidR="001C246C" w:rsidRPr="00765040">
              <w:rPr>
                <w:sz w:val="18"/>
                <w:szCs w:val="18"/>
              </w:rPr>
              <w:t>.</w:t>
            </w:r>
          </w:p>
          <w:p w14:paraId="7ABC0313" w14:textId="3610AB4E" w:rsidR="00247052" w:rsidRPr="00765040" w:rsidRDefault="00247052" w:rsidP="00AE1AB2">
            <w:pPr>
              <w:pStyle w:val="TableNText"/>
              <w:spacing w:before="240"/>
              <w:ind w:left="338" w:right="314"/>
              <w:rPr>
                <w:rFonts w:asciiTheme="majorHAnsi" w:hAnsiTheme="majorHAnsi" w:cstheme="majorHAnsi"/>
                <w:color w:val="F25E21" w:themeColor="accent2"/>
                <w:sz w:val="19"/>
                <w:szCs w:val="19"/>
              </w:rPr>
            </w:pPr>
            <w:r w:rsidRPr="00765040">
              <w:rPr>
                <w:rFonts w:asciiTheme="majorHAnsi" w:hAnsiTheme="majorHAnsi" w:cstheme="majorHAnsi"/>
                <w:color w:val="F25E21" w:themeColor="accent2"/>
                <w:sz w:val="19"/>
                <w:szCs w:val="19"/>
              </w:rPr>
              <w:t>Supporting evidence:</w:t>
            </w:r>
          </w:p>
          <w:p w14:paraId="0E96E33A" w14:textId="7F3EBCFE" w:rsidR="00684DC7" w:rsidRPr="00765040" w:rsidRDefault="00684DC7" w:rsidP="006E0620">
            <w:pPr>
              <w:pStyle w:val="TableNBullet"/>
              <w:rPr>
                <w:sz w:val="18"/>
                <w:szCs w:val="18"/>
              </w:rPr>
            </w:pPr>
            <w:r w:rsidRPr="00765040">
              <w:rPr>
                <w:sz w:val="18"/>
                <w:szCs w:val="18"/>
              </w:rPr>
              <w:t>The review of government policy and programs to address social and economic participation suggests SARC</w:t>
            </w:r>
            <w:r w:rsidR="00A54015" w:rsidRPr="00765040">
              <w:rPr>
                <w:sz w:val="18"/>
                <w:szCs w:val="18"/>
              </w:rPr>
              <w:t xml:space="preserve"> – </w:t>
            </w:r>
            <w:r w:rsidRPr="00765040">
              <w:rPr>
                <w:sz w:val="18"/>
                <w:szCs w:val="18"/>
              </w:rPr>
              <w:t xml:space="preserve">IC overlaps with a large number of other programs (at a national and state/territory level). </w:t>
            </w:r>
          </w:p>
          <w:p w14:paraId="4D97E86F" w14:textId="06E1AE56" w:rsidR="00684DC7" w:rsidRPr="00765040" w:rsidRDefault="00684DC7" w:rsidP="006E0620">
            <w:pPr>
              <w:pStyle w:val="TableNBullet"/>
              <w:rPr>
                <w:sz w:val="18"/>
                <w:szCs w:val="18"/>
              </w:rPr>
            </w:pPr>
            <w:r w:rsidRPr="00765040">
              <w:rPr>
                <w:sz w:val="18"/>
                <w:szCs w:val="18"/>
              </w:rPr>
              <w:t>Almost all SARC</w:t>
            </w:r>
            <w:r w:rsidR="00A54015" w:rsidRPr="00765040">
              <w:rPr>
                <w:sz w:val="18"/>
                <w:szCs w:val="18"/>
              </w:rPr>
              <w:t xml:space="preserve"> – </w:t>
            </w:r>
            <w:r w:rsidRPr="00765040">
              <w:rPr>
                <w:sz w:val="18"/>
                <w:szCs w:val="18"/>
              </w:rPr>
              <w:t>IC grant recipients were delivering other services outside of SARC</w:t>
            </w:r>
            <w:r w:rsidR="00531AF1" w:rsidRPr="00765040">
              <w:rPr>
                <w:sz w:val="18"/>
                <w:szCs w:val="18"/>
              </w:rPr>
              <w:t xml:space="preserve"> – IC</w:t>
            </w:r>
            <w:r w:rsidRPr="00765040">
              <w:rPr>
                <w:sz w:val="18"/>
                <w:szCs w:val="18"/>
              </w:rPr>
              <w:t>, often to similar client groups. This means they are having to navigate themselves a wide range of government procurements, creating duplicate administration</w:t>
            </w:r>
            <w:r w:rsidR="00EB0BFB" w:rsidRPr="00765040">
              <w:rPr>
                <w:sz w:val="18"/>
                <w:szCs w:val="18"/>
              </w:rPr>
              <w:t>.</w:t>
            </w:r>
          </w:p>
          <w:p w14:paraId="57BCC549" w14:textId="1C3EB6D9" w:rsidR="00684DC7" w:rsidRPr="00765040" w:rsidRDefault="00684DC7" w:rsidP="006E0620">
            <w:pPr>
              <w:pStyle w:val="TableNBullet"/>
              <w:rPr>
                <w:sz w:val="18"/>
                <w:szCs w:val="18"/>
              </w:rPr>
            </w:pPr>
            <w:r w:rsidRPr="00765040">
              <w:rPr>
                <w:sz w:val="18"/>
                <w:szCs w:val="18"/>
              </w:rPr>
              <w:t>The Australian Government is running a laborious process for administering a relatively small sized grant, there would be significant economies of scale if it could combine funding pools</w:t>
            </w:r>
            <w:r w:rsidR="00EB0BFB" w:rsidRPr="00765040">
              <w:rPr>
                <w:sz w:val="18"/>
                <w:szCs w:val="18"/>
              </w:rPr>
              <w:t>.</w:t>
            </w:r>
          </w:p>
          <w:p w14:paraId="7FE96EFC" w14:textId="714B82A7" w:rsidR="00684DC7" w:rsidRPr="00765040" w:rsidRDefault="00684DC7" w:rsidP="006E0620">
            <w:pPr>
              <w:pStyle w:val="TableNBullet"/>
              <w:rPr>
                <w:sz w:val="18"/>
                <w:szCs w:val="18"/>
              </w:rPr>
            </w:pPr>
            <w:r w:rsidRPr="00765040">
              <w:rPr>
                <w:sz w:val="18"/>
                <w:szCs w:val="18"/>
              </w:rPr>
              <w:t>The current grant funding arrangement is short</w:t>
            </w:r>
            <w:r w:rsidR="00F34365" w:rsidRPr="00765040">
              <w:rPr>
                <w:sz w:val="18"/>
                <w:szCs w:val="18"/>
              </w:rPr>
              <w:t>-</w:t>
            </w:r>
            <w:r w:rsidRPr="00765040">
              <w:rPr>
                <w:sz w:val="18"/>
                <w:szCs w:val="18"/>
              </w:rPr>
              <w:t>term and is not supporting providers to transition to a sustainable funding pathway, this is limiting the long</w:t>
            </w:r>
            <w:r w:rsidR="00EB0BFB" w:rsidRPr="00765040">
              <w:rPr>
                <w:sz w:val="18"/>
                <w:szCs w:val="18"/>
              </w:rPr>
              <w:t>-</w:t>
            </w:r>
            <w:r w:rsidRPr="00765040">
              <w:rPr>
                <w:sz w:val="18"/>
                <w:szCs w:val="18"/>
              </w:rPr>
              <w:t>term capacity building in the sector</w:t>
            </w:r>
            <w:r w:rsidR="00EB0BFB" w:rsidRPr="00765040">
              <w:rPr>
                <w:sz w:val="18"/>
                <w:szCs w:val="18"/>
              </w:rPr>
              <w:t>.</w:t>
            </w:r>
          </w:p>
          <w:p w14:paraId="2B91B637" w14:textId="14F446DF" w:rsidR="00247052" w:rsidRDefault="00684DC7" w:rsidP="006E0620">
            <w:pPr>
              <w:pStyle w:val="TableNBullet"/>
            </w:pPr>
            <w:r w:rsidRPr="00765040">
              <w:rPr>
                <w:sz w:val="18"/>
                <w:szCs w:val="18"/>
              </w:rPr>
              <w:t>The government could use data better to inform its commissioning decisions and follow a more relational approach</w:t>
            </w:r>
            <w:r w:rsidR="00EB0BFB" w:rsidRPr="00765040">
              <w:rPr>
                <w:sz w:val="18"/>
                <w:szCs w:val="18"/>
              </w:rPr>
              <w:t>.</w:t>
            </w:r>
          </w:p>
        </w:tc>
      </w:tr>
    </w:tbl>
    <w:p w14:paraId="09A94590" w14:textId="77777777" w:rsidR="00684DC7" w:rsidRDefault="00684DC7"/>
    <w:p w14:paraId="0917E0A2" w14:textId="77777777" w:rsidR="00265626" w:rsidRDefault="00265626">
      <w:pPr>
        <w:spacing w:after="160"/>
      </w:pPr>
      <w:r>
        <w:br w:type="page"/>
      </w:r>
    </w:p>
    <w:p w14:paraId="3705BD91" w14:textId="77777777" w:rsidR="00684DC7" w:rsidRDefault="00684DC7"/>
    <w:tbl>
      <w:tblPr>
        <w:tblStyle w:val="NOUS"/>
        <w:tblW w:w="0" w:type="auto"/>
        <w:tblLook w:val="04A0" w:firstRow="1" w:lastRow="0" w:firstColumn="1" w:lastColumn="0" w:noHBand="0" w:noVBand="1"/>
      </w:tblPr>
      <w:tblGrid>
        <w:gridCol w:w="9185"/>
      </w:tblGrid>
      <w:tr w:rsidR="00F614D5" w14:paraId="172A930E" w14:textId="77777777" w:rsidTr="1DC7E75E">
        <w:trPr>
          <w:cnfStyle w:val="100000000000" w:firstRow="1" w:lastRow="0" w:firstColumn="0" w:lastColumn="0" w:oddVBand="0" w:evenVBand="0" w:oddHBand="0" w:evenHBand="0" w:firstRowFirstColumn="0" w:firstRowLastColumn="0" w:lastRowFirstColumn="0" w:lastRowLastColumn="0"/>
        </w:trPr>
        <w:tc>
          <w:tcPr>
            <w:tcW w:w="9185" w:type="dxa"/>
            <w:tcBorders>
              <w:top w:val="nil"/>
            </w:tcBorders>
            <w:shd w:val="clear" w:color="auto" w:fill="00264D" w:themeFill="background2"/>
          </w:tcPr>
          <w:p w14:paraId="20DB4674" w14:textId="52E0B9A3" w:rsidR="00247052" w:rsidRPr="00765040" w:rsidRDefault="0008365C" w:rsidP="0008365C">
            <w:pPr>
              <w:pStyle w:val="TableNheader"/>
              <w:ind w:left="338" w:right="456"/>
              <w:rPr>
                <w:sz w:val="20"/>
                <w:szCs w:val="20"/>
                <w:lang w:eastAsia="en-AU"/>
              </w:rPr>
            </w:pPr>
            <w:r w:rsidRPr="00765040">
              <w:rPr>
                <w:color w:val="FFFFFF" w:themeColor="background1"/>
                <w:sz w:val="20"/>
                <w:szCs w:val="20"/>
                <w:bdr w:val="single" w:sz="18" w:space="0" w:color="F25E21" w:themeColor="accent2"/>
                <w:shd w:val="clear" w:color="auto" w:fill="F25E21" w:themeFill="accent2"/>
              </w:rPr>
              <w:t xml:space="preserve">OPTION </w:t>
            </w:r>
            <w:r w:rsidR="00894E33" w:rsidRPr="00765040">
              <w:rPr>
                <w:color w:val="FFFFFF" w:themeColor="background1"/>
                <w:sz w:val="20"/>
                <w:szCs w:val="20"/>
                <w:bdr w:val="single" w:sz="18" w:space="0" w:color="F25E21" w:themeColor="accent2"/>
                <w:shd w:val="clear" w:color="auto" w:fill="F25E21" w:themeFill="accent2"/>
              </w:rPr>
              <w:t>2</w:t>
            </w:r>
            <w:r w:rsidR="00894E33" w:rsidRPr="00765040">
              <w:rPr>
                <w:color w:val="FFFFFF" w:themeColor="background1"/>
                <w:sz w:val="20"/>
                <w:szCs w:val="20"/>
              </w:rPr>
              <w:t xml:space="preserve"> Enhance</w:t>
            </w:r>
            <w:r w:rsidR="00EC75DA" w:rsidRPr="00765040">
              <w:rPr>
                <w:color w:val="FFFFFF" w:themeColor="background1"/>
                <w:sz w:val="20"/>
                <w:szCs w:val="20"/>
              </w:rPr>
              <w:t xml:space="preserve"> SARC – IC </w:t>
            </w:r>
            <w:r w:rsidR="004406D4" w:rsidRPr="00765040">
              <w:rPr>
                <w:color w:val="FFFFFF" w:themeColor="background1"/>
                <w:sz w:val="20"/>
                <w:szCs w:val="20"/>
              </w:rPr>
              <w:t xml:space="preserve">Activity </w:t>
            </w:r>
            <w:r w:rsidR="00EC75DA" w:rsidRPr="00765040">
              <w:rPr>
                <w:color w:val="FFFFFF" w:themeColor="background1"/>
                <w:sz w:val="20"/>
                <w:szCs w:val="20"/>
              </w:rPr>
              <w:t xml:space="preserve">with </w:t>
            </w:r>
            <w:r w:rsidR="003602FA" w:rsidRPr="00765040">
              <w:rPr>
                <w:color w:val="FFFFFF" w:themeColor="background1"/>
                <w:sz w:val="20"/>
                <w:szCs w:val="20"/>
              </w:rPr>
              <w:t>s</w:t>
            </w:r>
            <w:r w:rsidR="00EC75DA" w:rsidRPr="00765040">
              <w:rPr>
                <w:color w:val="FFFFFF" w:themeColor="background1"/>
                <w:sz w:val="20"/>
                <w:szCs w:val="20"/>
              </w:rPr>
              <w:t xml:space="preserve">tructural </w:t>
            </w:r>
            <w:r w:rsidR="003602FA" w:rsidRPr="00765040">
              <w:rPr>
                <w:color w:val="FFFFFF" w:themeColor="background1"/>
                <w:sz w:val="20"/>
                <w:szCs w:val="20"/>
              </w:rPr>
              <w:t>i</w:t>
            </w:r>
            <w:r w:rsidR="00EC75DA" w:rsidRPr="00765040">
              <w:rPr>
                <w:color w:val="FFFFFF" w:themeColor="background1"/>
                <w:sz w:val="20"/>
                <w:szCs w:val="20"/>
              </w:rPr>
              <w:t>mprovements.</w:t>
            </w:r>
          </w:p>
        </w:tc>
      </w:tr>
      <w:tr w:rsidR="00F614D5" w14:paraId="6EECBF67" w14:textId="77777777" w:rsidTr="1DC7E75E">
        <w:tc>
          <w:tcPr>
            <w:tcW w:w="9185" w:type="dxa"/>
            <w:shd w:val="clear" w:color="auto" w:fill="E6E6E1" w:themeFill="accent5"/>
          </w:tcPr>
          <w:p w14:paraId="2177BBD9" w14:textId="6E9E191E" w:rsidR="00684DC7" w:rsidRPr="00765040" w:rsidRDefault="00D70BDC" w:rsidP="00263266">
            <w:pPr>
              <w:pStyle w:val="TableNListnumbered"/>
              <w:numPr>
                <w:ilvl w:val="0"/>
                <w:numId w:val="0"/>
              </w:numPr>
              <w:ind w:left="227" w:right="314" w:hanging="227"/>
              <w:rPr>
                <w:color w:val="F25E21" w:themeColor="accent2"/>
                <w:sz w:val="19"/>
              </w:rPr>
            </w:pPr>
            <w:r>
              <w:rPr>
                <w:rFonts w:asciiTheme="majorHAnsi" w:hAnsiTheme="majorHAnsi" w:cstheme="majorHAnsi"/>
                <w:color w:val="F25E21" w:themeColor="accent2"/>
                <w:sz w:val="18"/>
                <w:szCs w:val="20"/>
              </w:rPr>
              <w:t xml:space="preserve">     </w:t>
            </w:r>
            <w:r w:rsidR="00684DC7" w:rsidRPr="00765040">
              <w:rPr>
                <w:rFonts w:asciiTheme="majorHAnsi" w:hAnsiTheme="majorHAnsi" w:cstheme="majorHAnsi"/>
                <w:color w:val="F25E21" w:themeColor="accent2"/>
                <w:sz w:val="19"/>
              </w:rPr>
              <w:t>Proposal</w:t>
            </w:r>
            <w:r w:rsidR="00684DC7" w:rsidRPr="00765040">
              <w:rPr>
                <w:color w:val="F25E21" w:themeColor="accent2"/>
                <w:sz w:val="19"/>
              </w:rPr>
              <w:t>:</w:t>
            </w:r>
          </w:p>
          <w:p w14:paraId="02EAC8A0" w14:textId="0B76AEB3" w:rsidR="002B1CB2" w:rsidRPr="00765040" w:rsidRDefault="002B1CB2" w:rsidP="009F5E4D">
            <w:pPr>
              <w:pStyle w:val="TableNText"/>
              <w:ind w:left="227"/>
              <w:rPr>
                <w:sz w:val="18"/>
                <w:szCs w:val="18"/>
              </w:rPr>
            </w:pPr>
            <w:r w:rsidRPr="00765040">
              <w:rPr>
                <w:rFonts w:asciiTheme="majorHAnsi" w:hAnsiTheme="majorHAnsi" w:cstheme="majorHAnsi"/>
                <w:sz w:val="18"/>
                <w:szCs w:val="18"/>
              </w:rPr>
              <w:t>Continue to fund SARC – IC, but with structural changes.</w:t>
            </w:r>
            <w:r w:rsidRPr="00765040">
              <w:rPr>
                <w:sz w:val="18"/>
                <w:szCs w:val="18"/>
              </w:rPr>
              <w:t xml:space="preserve"> This option builds on the outcomes that SARC</w:t>
            </w:r>
            <w:r w:rsidR="00D974E0" w:rsidRPr="00765040">
              <w:rPr>
                <w:sz w:val="18"/>
                <w:szCs w:val="18"/>
              </w:rPr>
              <w:t xml:space="preserve"> – IC</w:t>
            </w:r>
            <w:r w:rsidR="001F6569" w:rsidRPr="00765040">
              <w:rPr>
                <w:sz w:val="18"/>
                <w:szCs w:val="18"/>
              </w:rPr>
              <w:t xml:space="preserve"> </w:t>
            </w:r>
            <w:r w:rsidR="00531AF1" w:rsidRPr="00765040">
              <w:rPr>
                <w:sz w:val="18"/>
                <w:szCs w:val="18"/>
              </w:rPr>
              <w:t xml:space="preserve"> </w:t>
            </w:r>
            <w:r w:rsidRPr="00765040">
              <w:rPr>
                <w:sz w:val="18"/>
                <w:szCs w:val="18"/>
              </w:rPr>
              <w:t xml:space="preserve"> is achieving (strong changes in educational, employment and social inclusion). However, this moderate change would require restructuring key parts of the grant and further investment. It has a moderate amount of implementation risk, with moderately sized benefits. Note that there are some interdependencies between each recommendation: </w:t>
            </w:r>
          </w:p>
          <w:p w14:paraId="2DAA6E57" w14:textId="6C3A1F94" w:rsidR="002B1CB2" w:rsidRPr="00765040" w:rsidRDefault="002B1CB2" w:rsidP="006E0620">
            <w:pPr>
              <w:pStyle w:val="TableNBullet"/>
              <w:rPr>
                <w:sz w:val="18"/>
                <w:szCs w:val="18"/>
              </w:rPr>
            </w:pPr>
            <w:r w:rsidRPr="00765040">
              <w:rPr>
                <w:rFonts w:asciiTheme="majorHAnsi" w:hAnsiTheme="majorHAnsi" w:cstheme="majorHAnsi"/>
                <w:sz w:val="18"/>
                <w:szCs w:val="18"/>
              </w:rPr>
              <w:t>Refine the scope of the cohorts and more clearly define outcomes |</w:t>
            </w:r>
            <w:r w:rsidRPr="00765040">
              <w:rPr>
                <w:sz w:val="18"/>
                <w:szCs w:val="18"/>
              </w:rPr>
              <w:t xml:space="preserve"> Tighten the intended outcomes of the grant so that it is clear to applicants and the assessment panel what </w:t>
            </w:r>
            <w:r w:rsidR="00FD304C" w:rsidRPr="00765040">
              <w:rPr>
                <w:sz w:val="18"/>
                <w:szCs w:val="18"/>
              </w:rPr>
              <w:t>SARC – IC</w:t>
            </w:r>
            <w:r w:rsidRPr="00765040">
              <w:rPr>
                <w:sz w:val="18"/>
                <w:szCs w:val="18"/>
              </w:rPr>
              <w:t xml:space="preserve"> is trying to achieve, and the hierarchy of different policy priorities. This could include introducing a specific focus cohort for each round to target applications or narrowing focus of the grant to place-based community-driven interventions. At the moment</w:t>
            </w:r>
            <w:r w:rsidR="00EB0BFB" w:rsidRPr="00765040">
              <w:rPr>
                <w:sz w:val="18"/>
                <w:szCs w:val="18"/>
              </w:rPr>
              <w:t>,</w:t>
            </w:r>
            <w:r w:rsidRPr="00765040">
              <w:rPr>
                <w:sz w:val="18"/>
                <w:szCs w:val="18"/>
              </w:rPr>
              <w:t xml:space="preserve"> the intended outcomes and the priority cohorts are too broad, and it is spreading a small amount of funding too thin.</w:t>
            </w:r>
          </w:p>
          <w:p w14:paraId="7E57D77E" w14:textId="0EB6EE4B" w:rsidR="002B1CB2" w:rsidRPr="00765040" w:rsidRDefault="002B1CB2" w:rsidP="006E0620">
            <w:pPr>
              <w:pStyle w:val="TableNBullet"/>
              <w:rPr>
                <w:sz w:val="18"/>
                <w:szCs w:val="18"/>
              </w:rPr>
            </w:pPr>
            <w:r w:rsidRPr="00765040">
              <w:rPr>
                <w:rFonts w:asciiTheme="majorHAnsi" w:hAnsiTheme="majorHAnsi" w:cstheme="majorBidi"/>
                <w:sz w:val="18"/>
                <w:szCs w:val="18"/>
              </w:rPr>
              <w:t>Improve collection of fit for purpose performance data to reduce burden and change practice |</w:t>
            </w:r>
            <w:r w:rsidRPr="00765040">
              <w:rPr>
                <w:sz w:val="18"/>
                <w:szCs w:val="18"/>
              </w:rPr>
              <w:t xml:space="preserve"> Streamline DEX data collection requirements to increase outcomes reporting and reduce the amount of sensitive demographic information which needs to be collected. This evaluation suggests the Department focuses on the primary outcomes of interest (employment, education and community participation) to reduce the amount of collection, and increase the completeness and quality. It is likely educational materials or training from the Department would help with the uptake.</w:t>
            </w:r>
            <w:r w:rsidR="0060010F" w:rsidRPr="00765040">
              <w:rPr>
                <w:sz w:val="18"/>
                <w:szCs w:val="18"/>
              </w:rPr>
              <w:t xml:space="preserve"> It should be noted this recommendation is already being separately addressed by the Department, with </w:t>
            </w:r>
            <w:r w:rsidR="003D7948" w:rsidRPr="00765040">
              <w:rPr>
                <w:sz w:val="18"/>
                <w:szCs w:val="18"/>
              </w:rPr>
              <w:t>a rationalisation of SCORE domains and reduction in required demographic data from March 2026.</w:t>
            </w:r>
          </w:p>
          <w:p w14:paraId="0AF2FF74" w14:textId="5A794911" w:rsidR="002B1CB2" w:rsidRPr="00765040" w:rsidRDefault="002B1CB2" w:rsidP="006E0620">
            <w:pPr>
              <w:pStyle w:val="TableNBullet"/>
              <w:rPr>
                <w:sz w:val="18"/>
                <w:szCs w:val="18"/>
              </w:rPr>
            </w:pPr>
            <w:r w:rsidRPr="00765040">
              <w:rPr>
                <w:rFonts w:asciiTheme="majorHAnsi" w:hAnsiTheme="majorHAnsi" w:cstheme="majorBidi"/>
                <w:sz w:val="18"/>
                <w:szCs w:val="18"/>
              </w:rPr>
              <w:t>Play more of a system steward role in the sector, supporting communities of practice</w:t>
            </w:r>
            <w:r w:rsidR="008D4B08" w:rsidRPr="00765040">
              <w:rPr>
                <w:rFonts w:asciiTheme="majorHAnsi" w:hAnsiTheme="majorHAnsi" w:cstheme="majorBidi"/>
                <w:sz w:val="18"/>
                <w:szCs w:val="18"/>
              </w:rPr>
              <w:t xml:space="preserve"> |</w:t>
            </w:r>
            <w:r w:rsidRPr="00765040">
              <w:rPr>
                <w:sz w:val="18"/>
                <w:szCs w:val="18"/>
              </w:rPr>
              <w:t xml:space="preserve"> Interviews with SARC – IC</w:t>
            </w:r>
            <w:r w:rsidR="007264FE" w:rsidRPr="00765040">
              <w:rPr>
                <w:sz w:val="18"/>
                <w:szCs w:val="18"/>
              </w:rPr>
              <w:t xml:space="preserve"> grant recipients</w:t>
            </w:r>
            <w:r w:rsidRPr="00765040">
              <w:rPr>
                <w:sz w:val="18"/>
                <w:szCs w:val="18"/>
              </w:rPr>
              <w:t xml:space="preserve"> noted that they did not see any insights from the data they have inputted and were interested and open to a community of practice style arrangement. This would allow the Department to take </w:t>
            </w:r>
            <w:r w:rsidR="00EB0BFB" w:rsidRPr="00765040">
              <w:rPr>
                <w:sz w:val="18"/>
                <w:szCs w:val="18"/>
              </w:rPr>
              <w:t xml:space="preserve">a </w:t>
            </w:r>
            <w:r w:rsidRPr="00765040">
              <w:rPr>
                <w:sz w:val="18"/>
                <w:szCs w:val="18"/>
              </w:rPr>
              <w:t>more active role in shaping how evidence supports program delivery (through a CoP), and allow it to use what was effective in each round to help it further target the next round (in terms of location, delivery organisations, models and cohorts).</w:t>
            </w:r>
          </w:p>
          <w:p w14:paraId="30B98F42" w14:textId="5C99F949" w:rsidR="002B1CB2" w:rsidRPr="00765040" w:rsidRDefault="002B1CB2" w:rsidP="006E0620">
            <w:pPr>
              <w:pStyle w:val="TableNBullet"/>
              <w:rPr>
                <w:rFonts w:eastAsiaTheme="minorHAnsi"/>
                <w:sz w:val="18"/>
                <w:szCs w:val="18"/>
              </w:rPr>
            </w:pPr>
            <w:r w:rsidRPr="00765040">
              <w:rPr>
                <w:rFonts w:asciiTheme="majorHAnsi" w:hAnsiTheme="majorHAnsi" w:cstheme="majorHAnsi"/>
                <w:sz w:val="18"/>
                <w:szCs w:val="18"/>
              </w:rPr>
              <w:t>Shift the funding to longer term grants and take a more active role in creating a pathway to sustainable funding |</w:t>
            </w:r>
            <w:r w:rsidRPr="00765040">
              <w:rPr>
                <w:sz w:val="18"/>
                <w:szCs w:val="18"/>
              </w:rPr>
              <w:t xml:space="preserve"> Invest in building partnerships and co-funding relationships with state and territory government to support grant recipients to source </w:t>
            </w:r>
            <w:r w:rsidR="00DF7515" w:rsidRPr="00765040">
              <w:rPr>
                <w:sz w:val="18"/>
                <w:szCs w:val="18"/>
              </w:rPr>
              <w:t>long</w:t>
            </w:r>
            <w:r w:rsidR="0068164C" w:rsidRPr="00765040">
              <w:rPr>
                <w:sz w:val="18"/>
                <w:szCs w:val="18"/>
              </w:rPr>
              <w:t>-</w:t>
            </w:r>
            <w:r w:rsidR="00DF7515" w:rsidRPr="00765040">
              <w:rPr>
                <w:sz w:val="18"/>
                <w:szCs w:val="18"/>
              </w:rPr>
              <w:t>term</w:t>
            </w:r>
            <w:r w:rsidRPr="00765040">
              <w:rPr>
                <w:sz w:val="18"/>
                <w:szCs w:val="18"/>
              </w:rPr>
              <w:t xml:space="preserve"> funding. The Department could consider aligning these grants with the proposal for families and communities (reference) that is moving to a </w:t>
            </w:r>
            <w:r w:rsidR="00EB0BFB" w:rsidRPr="00765040">
              <w:rPr>
                <w:sz w:val="18"/>
                <w:szCs w:val="18"/>
              </w:rPr>
              <w:t>5-year</w:t>
            </w:r>
            <w:r w:rsidRPr="00765040">
              <w:rPr>
                <w:sz w:val="18"/>
                <w:szCs w:val="18"/>
              </w:rPr>
              <w:t xml:space="preserve"> funding agreement and a more relational style of commissioning.</w:t>
            </w:r>
          </w:p>
          <w:p w14:paraId="41312E57" w14:textId="51DF69CD" w:rsidR="002C71CB" w:rsidRPr="00765040" w:rsidRDefault="27FD8085" w:rsidP="4AF1E856">
            <w:pPr>
              <w:pStyle w:val="TableNListnumbered"/>
              <w:numPr>
                <w:ilvl w:val="0"/>
                <w:numId w:val="0"/>
              </w:numPr>
              <w:spacing w:before="240"/>
              <w:ind w:left="621" w:right="314" w:hanging="284"/>
              <w:rPr>
                <w:rFonts w:asciiTheme="majorHAnsi" w:hAnsiTheme="majorHAnsi" w:cstheme="majorBidi"/>
                <w:color w:val="F25E21" w:themeColor="accent2"/>
                <w:sz w:val="19"/>
              </w:rPr>
            </w:pPr>
            <w:r w:rsidRPr="00765040">
              <w:rPr>
                <w:rFonts w:asciiTheme="majorHAnsi" w:hAnsiTheme="majorHAnsi" w:cstheme="majorBidi"/>
                <w:color w:val="F25E21" w:themeColor="accent2"/>
                <w:sz w:val="19"/>
              </w:rPr>
              <w:t>Supporting evidence:</w:t>
            </w:r>
          </w:p>
          <w:p w14:paraId="48CC6A5A" w14:textId="3E625A17" w:rsidR="001C246C" w:rsidRPr="00765040" w:rsidRDefault="001C246C" w:rsidP="00B03967">
            <w:pPr>
              <w:pStyle w:val="TableNBullet"/>
              <w:rPr>
                <w:sz w:val="18"/>
                <w:szCs w:val="18"/>
              </w:rPr>
            </w:pPr>
            <w:r w:rsidRPr="00765040">
              <w:rPr>
                <w:sz w:val="18"/>
                <w:szCs w:val="18"/>
              </w:rPr>
              <w:t>SARC</w:t>
            </w:r>
            <w:r w:rsidR="00FD4AAD" w:rsidRPr="00765040">
              <w:rPr>
                <w:sz w:val="18"/>
                <w:szCs w:val="18"/>
              </w:rPr>
              <w:t xml:space="preserve"> – IC</w:t>
            </w:r>
            <w:r w:rsidRPr="00765040">
              <w:rPr>
                <w:sz w:val="18"/>
                <w:szCs w:val="18"/>
              </w:rPr>
              <w:t xml:space="preserve"> does help people improve their life through education, work and community connection. Maintaining some investment in this space is important to local communities in which it operates.</w:t>
            </w:r>
          </w:p>
          <w:p w14:paraId="32908ECA" w14:textId="2298539D" w:rsidR="001C246C" w:rsidRPr="00765040" w:rsidRDefault="002B1CB2" w:rsidP="003B37A6">
            <w:pPr>
              <w:pStyle w:val="TableNBullet"/>
              <w:rPr>
                <w:sz w:val="18"/>
                <w:szCs w:val="18"/>
              </w:rPr>
            </w:pPr>
            <w:r w:rsidRPr="00765040">
              <w:rPr>
                <w:sz w:val="18"/>
                <w:szCs w:val="18"/>
              </w:rPr>
              <w:t xml:space="preserve">A significant amount of time is taken by Government to assess over 1200 eligible applications each round. Likewise, this represents a huge amount of time wasted by the 97 per cent of applicants that do not receive a grant. </w:t>
            </w:r>
          </w:p>
          <w:p w14:paraId="57583B6E" w14:textId="306D543A" w:rsidR="00247052" w:rsidRPr="006E0620" w:rsidRDefault="002B1CB2" w:rsidP="00D65A65">
            <w:pPr>
              <w:pStyle w:val="TableNBullet"/>
              <w:rPr>
                <w:sz w:val="18"/>
                <w:szCs w:val="18"/>
              </w:rPr>
            </w:pPr>
            <w:r w:rsidRPr="00765040">
              <w:rPr>
                <w:sz w:val="18"/>
                <w:szCs w:val="18"/>
              </w:rPr>
              <w:t>The Department has an opportunity to re-structure the grant process to play more of a system steward role that would address this, and better share evidence with providers to improve implementation. If this was supported by longer term funding agreements. This would greatly improve the strength of the sector.</w:t>
            </w:r>
          </w:p>
        </w:tc>
      </w:tr>
    </w:tbl>
    <w:p w14:paraId="58449FE0" w14:textId="77777777" w:rsidR="00265626" w:rsidRDefault="00265626">
      <w:r>
        <w:br w:type="page"/>
      </w:r>
    </w:p>
    <w:tbl>
      <w:tblPr>
        <w:tblStyle w:val="NOUS"/>
        <w:tblW w:w="0" w:type="auto"/>
        <w:tblLook w:val="04A0" w:firstRow="1" w:lastRow="0" w:firstColumn="1" w:lastColumn="0" w:noHBand="0" w:noVBand="1"/>
      </w:tblPr>
      <w:tblGrid>
        <w:gridCol w:w="9185"/>
      </w:tblGrid>
      <w:tr w:rsidR="00F614D5" w14:paraId="0D2BA2DB" w14:textId="77777777" w:rsidTr="44DC81F6">
        <w:trPr>
          <w:cnfStyle w:val="100000000000" w:firstRow="1" w:lastRow="0" w:firstColumn="0" w:lastColumn="0" w:oddVBand="0" w:evenVBand="0" w:oddHBand="0" w:evenHBand="0" w:firstRowFirstColumn="0" w:firstRowLastColumn="0" w:lastRowFirstColumn="0" w:lastRowLastColumn="0"/>
        </w:trPr>
        <w:tc>
          <w:tcPr>
            <w:tcW w:w="9185" w:type="dxa"/>
            <w:shd w:val="clear" w:color="auto" w:fill="00264D" w:themeFill="background2"/>
          </w:tcPr>
          <w:p w14:paraId="0B77C776" w14:textId="11DD33D4" w:rsidR="00247052" w:rsidRDefault="0008365C" w:rsidP="0008365C">
            <w:pPr>
              <w:pStyle w:val="TableNheader"/>
              <w:ind w:left="338" w:right="314"/>
              <w:rPr>
                <w:lang w:eastAsia="en-AU"/>
              </w:rPr>
            </w:pPr>
            <w:r w:rsidRPr="0008365C">
              <w:rPr>
                <w:color w:val="FFFFFF" w:themeColor="background1"/>
                <w:bdr w:val="single" w:sz="18" w:space="0" w:color="F25E21" w:themeColor="accent2"/>
                <w:shd w:val="clear" w:color="auto" w:fill="F25E21" w:themeFill="accent2"/>
              </w:rPr>
              <w:lastRenderedPageBreak/>
              <w:t>OPTION 3</w:t>
            </w:r>
            <w:r w:rsidRPr="0008365C">
              <w:rPr>
                <w:color w:val="FFFFFF" w:themeColor="background1"/>
              </w:rPr>
              <w:t xml:space="preserve">  </w:t>
            </w:r>
            <w:r w:rsidR="0008094D" w:rsidRPr="0008094D">
              <w:rPr>
                <w:color w:val="FFFFFF" w:themeColor="background1"/>
                <w:sz w:val="20"/>
                <w:szCs w:val="24"/>
              </w:rPr>
              <w:t>Minor adjustments to improve efficiency</w:t>
            </w:r>
            <w:r w:rsidR="0008094D">
              <w:rPr>
                <w:color w:val="FFFFFF" w:themeColor="background1"/>
                <w:sz w:val="20"/>
                <w:szCs w:val="24"/>
              </w:rPr>
              <w:t>.</w:t>
            </w:r>
          </w:p>
        </w:tc>
      </w:tr>
      <w:tr w:rsidR="00F614D5" w14:paraId="2A3FB647" w14:textId="77777777" w:rsidTr="44DC81F6">
        <w:tc>
          <w:tcPr>
            <w:tcW w:w="9185" w:type="dxa"/>
            <w:shd w:val="clear" w:color="auto" w:fill="E6E6E1" w:themeFill="accent5"/>
          </w:tcPr>
          <w:p w14:paraId="64F9C8C7" w14:textId="77777777" w:rsidR="0008365C" w:rsidRPr="00765040" w:rsidRDefault="0008365C" w:rsidP="0008365C">
            <w:pPr>
              <w:ind w:left="338" w:right="314"/>
              <w:rPr>
                <w:rFonts w:asciiTheme="majorHAnsi" w:hAnsiTheme="majorHAnsi" w:cstheme="majorHAnsi"/>
                <w:color w:val="F25E21" w:themeColor="accent2"/>
                <w:szCs w:val="19"/>
              </w:rPr>
            </w:pPr>
            <w:r w:rsidRPr="00765040">
              <w:rPr>
                <w:rFonts w:asciiTheme="majorHAnsi" w:hAnsiTheme="majorHAnsi" w:cstheme="majorHAnsi"/>
                <w:color w:val="F25E21" w:themeColor="accent2"/>
                <w:szCs w:val="19"/>
              </w:rPr>
              <w:t>Proposal:</w:t>
            </w:r>
          </w:p>
          <w:p w14:paraId="5D98569A" w14:textId="5051B4BD" w:rsidR="0008365C" w:rsidRPr="00765040" w:rsidRDefault="0008365C" w:rsidP="0008365C">
            <w:pPr>
              <w:ind w:left="338" w:right="314"/>
              <w:rPr>
                <w:color w:val="000000" w:themeColor="text1"/>
                <w:szCs w:val="19"/>
              </w:rPr>
            </w:pPr>
            <w:r w:rsidRPr="00765040">
              <w:rPr>
                <w:rFonts w:asciiTheme="majorHAnsi" w:hAnsiTheme="majorHAnsi" w:cstheme="majorHAnsi"/>
                <w:color w:val="000000" w:themeColor="text1"/>
                <w:szCs w:val="19"/>
              </w:rPr>
              <w:t>This option would largely keep SARC – IC the same</w:t>
            </w:r>
            <w:r w:rsidRPr="00765040">
              <w:rPr>
                <w:color w:val="000000" w:themeColor="text1"/>
                <w:szCs w:val="19"/>
              </w:rPr>
              <w:t xml:space="preserve"> and allow it to continue delivering the current level of outcomes. It represents the smallest level of implementation risk, and has the smallest pay off in terms of changing outcomes. These outcomes could be done in combination with the moderate change recommendations (they are not mutually exclusive).</w:t>
            </w:r>
          </w:p>
          <w:p w14:paraId="383F49C2" w14:textId="5B0F007D" w:rsidR="0008365C" w:rsidRPr="00765040" w:rsidRDefault="0008365C" w:rsidP="006E0620">
            <w:pPr>
              <w:pStyle w:val="TableNBullet"/>
              <w:rPr>
                <w:sz w:val="19"/>
              </w:rPr>
            </w:pPr>
            <w:r w:rsidRPr="00765040">
              <w:rPr>
                <w:rFonts w:asciiTheme="majorHAnsi" w:hAnsiTheme="majorHAnsi" w:cstheme="majorBidi"/>
                <w:sz w:val="19"/>
              </w:rPr>
              <w:t>Reduce administrative burden on applicants and the assessment panel |</w:t>
            </w:r>
            <w:r w:rsidRPr="00765040">
              <w:rPr>
                <w:b/>
                <w:bCs/>
                <w:sz w:val="19"/>
              </w:rPr>
              <w:t xml:space="preserve"> </w:t>
            </w:r>
            <w:r w:rsidRPr="00765040">
              <w:rPr>
                <w:sz w:val="19"/>
              </w:rPr>
              <w:t>Introduce a two-stage application process to funnel applications through an EOI to reduce the burden on applicants and the Department in preparing/assessing detailed applications. This would create significant savings of time and money for the Department and the sector. The focus should be on tightening the assessment criteria and creating a staged process that allows providers to put in a small amount of effort (their pitch / initial idea) and have the first</w:t>
            </w:r>
            <w:r w:rsidR="0297BDB7" w:rsidRPr="00765040">
              <w:rPr>
                <w:sz w:val="19"/>
              </w:rPr>
              <w:t>-</w:t>
            </w:r>
            <w:r w:rsidRPr="00765040">
              <w:rPr>
                <w:sz w:val="19"/>
              </w:rPr>
              <w:t xml:space="preserve">round </w:t>
            </w:r>
            <w:r w:rsidR="000D3BE1" w:rsidRPr="00765040">
              <w:rPr>
                <w:sz w:val="19"/>
              </w:rPr>
              <w:t>narrow down the applicant pool</w:t>
            </w:r>
            <w:r w:rsidRPr="00765040">
              <w:rPr>
                <w:sz w:val="19"/>
              </w:rPr>
              <w:t xml:space="preserve">, before a more fulsome application afterwards.  </w:t>
            </w:r>
          </w:p>
          <w:p w14:paraId="6EFD5BF5" w14:textId="404B440A" w:rsidR="0008365C" w:rsidRPr="00765040" w:rsidRDefault="0008365C" w:rsidP="006E0620">
            <w:pPr>
              <w:pStyle w:val="TableNBullet"/>
              <w:rPr>
                <w:sz w:val="19"/>
              </w:rPr>
            </w:pPr>
            <w:r w:rsidRPr="00765040">
              <w:rPr>
                <w:rFonts w:asciiTheme="majorHAnsi" w:hAnsiTheme="majorHAnsi" w:cstheme="majorHAnsi"/>
                <w:sz w:val="19"/>
              </w:rPr>
              <w:t>Provide clearer guidance in grant opportunity guidelines and assessment criteria</w:t>
            </w:r>
            <w:r w:rsidRPr="00765040">
              <w:rPr>
                <w:rFonts w:cstheme="majorHAnsi"/>
                <w:sz w:val="19"/>
              </w:rPr>
              <w:t>. The Department has an opportunity to shape</w:t>
            </w:r>
            <w:r w:rsidRPr="00765040">
              <w:rPr>
                <w:sz w:val="19"/>
              </w:rPr>
              <w:t xml:space="preserve"> the </w:t>
            </w:r>
            <w:r w:rsidRPr="00765040">
              <w:rPr>
                <w:rFonts w:cstheme="majorHAnsi"/>
                <w:sz w:val="19"/>
              </w:rPr>
              <w:t xml:space="preserve">market through the communication and engagement it does around the formal assessment process. This could look like briefing sessions or Q&amp;A sessions that the Commonwealth runs during procurement </w:t>
            </w:r>
            <w:r w:rsidR="00EB0BFB" w:rsidRPr="00765040">
              <w:rPr>
                <w:rFonts w:cstheme="majorHAnsi"/>
                <w:sz w:val="19"/>
              </w:rPr>
              <w:t>processes and</w:t>
            </w:r>
            <w:r w:rsidRPr="00765040">
              <w:rPr>
                <w:rFonts w:cstheme="majorHAnsi"/>
                <w:sz w:val="19"/>
              </w:rPr>
              <w:t xml:space="preserve"> would allow for a two-way dialogue that builds trust and the quality of potential bids. It would also allow some providers to understand if the grants are not aligned to their offer.</w:t>
            </w:r>
            <w:r w:rsidRPr="00765040">
              <w:rPr>
                <w:sz w:val="19"/>
              </w:rPr>
              <w:t xml:space="preserve"> </w:t>
            </w:r>
          </w:p>
          <w:p w14:paraId="67A318C1" w14:textId="73EB52B9" w:rsidR="00725FF9" w:rsidRPr="00765040" w:rsidRDefault="0008365C" w:rsidP="006E0620">
            <w:pPr>
              <w:pStyle w:val="TableNListnumbered"/>
              <w:numPr>
                <w:ilvl w:val="0"/>
                <w:numId w:val="0"/>
              </w:numPr>
              <w:spacing w:before="240"/>
              <w:ind w:left="621" w:right="314" w:hanging="284"/>
              <w:rPr>
                <w:rFonts w:asciiTheme="majorHAnsi" w:hAnsiTheme="majorHAnsi" w:cstheme="majorHAnsi"/>
                <w:color w:val="F25E21" w:themeColor="accent2"/>
                <w:sz w:val="19"/>
              </w:rPr>
            </w:pPr>
            <w:r w:rsidRPr="00765040">
              <w:rPr>
                <w:rFonts w:asciiTheme="majorHAnsi" w:hAnsiTheme="majorHAnsi" w:cstheme="majorHAnsi"/>
                <w:color w:val="F25E21" w:themeColor="accent2"/>
                <w:sz w:val="19"/>
              </w:rPr>
              <w:t>Supporting evidence:</w:t>
            </w:r>
          </w:p>
          <w:p w14:paraId="6DCCD1F8" w14:textId="6AE3C365" w:rsidR="00725FF9" w:rsidRPr="00765040" w:rsidRDefault="0008365C" w:rsidP="006E0620">
            <w:pPr>
              <w:pStyle w:val="TableNBullet"/>
              <w:rPr>
                <w:sz w:val="18"/>
                <w:szCs w:val="18"/>
              </w:rPr>
            </w:pPr>
            <w:r w:rsidRPr="00765040">
              <w:rPr>
                <w:sz w:val="18"/>
                <w:szCs w:val="18"/>
              </w:rPr>
              <w:t>SARC – IC recipients felt that there could be better support from the Department around the grant process to reduce the burden on participants.</w:t>
            </w:r>
          </w:p>
          <w:p w14:paraId="308C8B65" w14:textId="57C698EA" w:rsidR="009E4F1A" w:rsidRPr="00765040" w:rsidRDefault="00BA2455" w:rsidP="006E0620">
            <w:pPr>
              <w:pStyle w:val="TableNBullet"/>
              <w:rPr>
                <w:sz w:val="18"/>
                <w:szCs w:val="18"/>
              </w:rPr>
            </w:pPr>
            <w:r w:rsidRPr="00765040">
              <w:rPr>
                <w:sz w:val="18"/>
                <w:szCs w:val="18"/>
              </w:rPr>
              <w:t xml:space="preserve">SARC – IC recipients identified a </w:t>
            </w:r>
            <w:r w:rsidR="00EB0BFB" w:rsidRPr="00765040">
              <w:rPr>
                <w:sz w:val="18"/>
                <w:szCs w:val="18"/>
              </w:rPr>
              <w:t>two-stage</w:t>
            </w:r>
            <w:r w:rsidRPr="00765040">
              <w:rPr>
                <w:sz w:val="18"/>
                <w:szCs w:val="18"/>
              </w:rPr>
              <w:t xml:space="preserve"> assessment process as an easy way to reduce the amount of time </w:t>
            </w:r>
            <w:r w:rsidR="006F25C8" w:rsidRPr="00765040">
              <w:rPr>
                <w:sz w:val="18"/>
                <w:szCs w:val="18"/>
              </w:rPr>
              <w:t>wasted</w:t>
            </w:r>
            <w:r w:rsidRPr="00765040">
              <w:rPr>
                <w:sz w:val="18"/>
                <w:szCs w:val="18"/>
              </w:rPr>
              <w:t xml:space="preserve"> by </w:t>
            </w:r>
            <w:r w:rsidR="006F25C8" w:rsidRPr="00765040">
              <w:rPr>
                <w:sz w:val="18"/>
                <w:szCs w:val="18"/>
              </w:rPr>
              <w:t>organisations</w:t>
            </w:r>
            <w:r w:rsidRPr="00765040">
              <w:rPr>
                <w:sz w:val="18"/>
                <w:szCs w:val="18"/>
              </w:rPr>
              <w:t xml:space="preserve"> that are unlikely to be successful and </w:t>
            </w:r>
            <w:r w:rsidR="006F25C8" w:rsidRPr="00765040">
              <w:rPr>
                <w:sz w:val="18"/>
                <w:szCs w:val="18"/>
              </w:rPr>
              <w:t>the Department in assessing those applications.</w:t>
            </w:r>
          </w:p>
          <w:p w14:paraId="5E136CBF" w14:textId="438A4E7F" w:rsidR="00247052" w:rsidRDefault="00247052" w:rsidP="0008365C">
            <w:pPr>
              <w:spacing w:after="0"/>
              <w:ind w:left="338" w:right="314"/>
              <w:rPr>
                <w:lang w:eastAsia="en-AU"/>
              </w:rPr>
            </w:pPr>
          </w:p>
        </w:tc>
      </w:tr>
    </w:tbl>
    <w:p w14:paraId="372A1CD6" w14:textId="77777777" w:rsidR="00247052" w:rsidRDefault="00247052" w:rsidP="0083348A">
      <w:pPr>
        <w:spacing w:after="0"/>
        <w:rPr>
          <w:lang w:eastAsia="en-AU"/>
        </w:rPr>
      </w:pPr>
    </w:p>
    <w:p w14:paraId="3475534A" w14:textId="77777777" w:rsidR="00B73EDD" w:rsidRDefault="00B73EDD" w:rsidP="00496593">
      <w:pPr>
        <w:spacing w:after="160"/>
      </w:pPr>
    </w:p>
    <w:p w14:paraId="5645CF9E" w14:textId="77777777" w:rsidR="003A37F3" w:rsidRDefault="003A37F3" w:rsidP="003A37F3">
      <w:pPr>
        <w:rPr>
          <w:lang w:eastAsia="en-AU"/>
        </w:rPr>
      </w:pPr>
    </w:p>
    <w:p w14:paraId="495E234E" w14:textId="7FF1644C" w:rsidR="003A37F3" w:rsidRPr="003A37F3" w:rsidRDefault="003A37F3" w:rsidP="003A37F3">
      <w:pPr>
        <w:rPr>
          <w:lang w:eastAsia="en-AU"/>
        </w:rPr>
        <w:sectPr w:rsidR="003A37F3" w:rsidRPr="003A37F3" w:rsidSect="00843748">
          <w:footerReference w:type="default" r:id="rId45"/>
          <w:pgSz w:w="11907" w:h="16839" w:code="9"/>
          <w:pgMar w:top="1361" w:right="1361" w:bottom="1361" w:left="1361" w:header="720" w:footer="720" w:gutter="0"/>
          <w:cols w:space="720"/>
          <w:docGrid w:linePitch="360"/>
        </w:sectPr>
      </w:pPr>
    </w:p>
    <w:p w14:paraId="23C57471" w14:textId="21B59D75" w:rsidR="00D873D7" w:rsidRDefault="006A54A0" w:rsidP="005329CC">
      <w:pPr>
        <w:pStyle w:val="Heading1"/>
        <w:numPr>
          <w:ilvl w:val="0"/>
          <w:numId w:val="0"/>
        </w:numPr>
        <w:spacing w:after="120"/>
        <w:ind w:left="360"/>
      </w:pPr>
      <w:bookmarkStart w:id="74" w:name="appendix_a"/>
      <w:bookmarkStart w:id="75" w:name="_Ref216192610"/>
      <w:bookmarkStart w:id="76" w:name="_Toc240883571"/>
      <w:bookmarkStart w:id="77" w:name="_Ref214901324"/>
      <w:bookmarkEnd w:id="74"/>
      <w:r>
        <w:lastRenderedPageBreak/>
        <w:t xml:space="preserve">Appendix A – </w:t>
      </w:r>
      <w:r w:rsidR="00D873D7">
        <w:t>Program logic</w:t>
      </w:r>
      <w:bookmarkEnd w:id="75"/>
      <w:bookmarkEnd w:id="76"/>
    </w:p>
    <w:p w14:paraId="28FAE1A4" w14:textId="77777777" w:rsidR="00843748" w:rsidRDefault="00B070B1" w:rsidP="00843748">
      <w:pPr>
        <w:jc w:val="center"/>
        <w:rPr>
          <w:lang w:eastAsia="en-AU"/>
        </w:rPr>
      </w:pPr>
      <w:r>
        <w:rPr>
          <w:noProof/>
          <w:lang w:eastAsia="en-AU"/>
        </w:rPr>
        <w:drawing>
          <wp:inline distT="0" distB="0" distL="0" distR="0" wp14:anchorId="2E8ED845" wp14:editId="478740B1">
            <wp:extent cx="8833688" cy="4966724"/>
            <wp:effectExtent l="0" t="0" r="5715" b="5715"/>
            <wp:docPr id="2056039493" name="Picture 6" descr="Detailed description of program logic at Appendix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39493" name="Picture 6" descr="Detailed description of program logic at Appendix G. "/>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833688" cy="4966724"/>
                    </a:xfrm>
                    <a:prstGeom prst="rect">
                      <a:avLst/>
                    </a:prstGeom>
                  </pic:spPr>
                </pic:pic>
              </a:graphicData>
            </a:graphic>
          </wp:inline>
        </w:drawing>
      </w:r>
    </w:p>
    <w:p w14:paraId="133B7288" w14:textId="4955E0B0" w:rsidR="006D3381" w:rsidRDefault="006D3381" w:rsidP="005329CC">
      <w:pPr>
        <w:spacing w:after="0"/>
        <w:rPr>
          <w:lang w:eastAsia="en-AU"/>
        </w:rPr>
      </w:pPr>
      <w:hyperlink w:anchor="_Appendix_A-_Program" w:history="1">
        <w:r w:rsidRPr="006D3381">
          <w:rPr>
            <w:rStyle w:val="Hyperlink"/>
            <w:lang w:eastAsia="en-AU"/>
          </w:rPr>
          <w:t>Appendix A full description</w:t>
        </w:r>
      </w:hyperlink>
    </w:p>
    <w:p w14:paraId="48110298" w14:textId="77777777" w:rsidR="00843748" w:rsidRDefault="00843748" w:rsidP="00D873D7">
      <w:pPr>
        <w:rPr>
          <w:lang w:eastAsia="en-AU"/>
        </w:rPr>
      </w:pPr>
    </w:p>
    <w:p w14:paraId="3EC976C8" w14:textId="34596263" w:rsidR="00D873D7" w:rsidRPr="00D873D7" w:rsidRDefault="00D873D7" w:rsidP="00D873D7">
      <w:pPr>
        <w:rPr>
          <w:lang w:eastAsia="en-AU"/>
        </w:rPr>
        <w:sectPr w:rsidR="00D873D7" w:rsidRPr="00D873D7" w:rsidSect="00843748">
          <w:pgSz w:w="16839" w:h="11907" w:orient="landscape" w:code="9"/>
          <w:pgMar w:top="1361" w:right="1361" w:bottom="1361" w:left="1361" w:header="720" w:footer="720" w:gutter="0"/>
          <w:cols w:space="720"/>
          <w:docGrid w:linePitch="360"/>
        </w:sectPr>
      </w:pPr>
    </w:p>
    <w:p w14:paraId="0B8863D7" w14:textId="08432F44" w:rsidR="002B25E0" w:rsidRDefault="006A54A0" w:rsidP="006A54A0">
      <w:pPr>
        <w:pStyle w:val="Heading1"/>
        <w:numPr>
          <w:ilvl w:val="0"/>
          <w:numId w:val="0"/>
        </w:numPr>
        <w:ind w:left="360" w:hanging="360"/>
      </w:pPr>
      <w:bookmarkStart w:id="78" w:name="_Ref216439351"/>
      <w:bookmarkStart w:id="79" w:name="_Toc240883572"/>
      <w:r>
        <w:lastRenderedPageBreak/>
        <w:t xml:space="preserve">Appendix B – </w:t>
      </w:r>
      <w:r w:rsidR="002B25E0">
        <w:t xml:space="preserve">KEQs </w:t>
      </w:r>
      <w:r w:rsidR="00134325">
        <w:t>and sub-KEQs</w:t>
      </w:r>
      <w:bookmarkEnd w:id="78"/>
      <w:bookmarkEnd w:id="79"/>
    </w:p>
    <w:p w14:paraId="3F895690" w14:textId="50165AD4" w:rsidR="002B25E0" w:rsidRDefault="00134325" w:rsidP="002B25E0">
      <w:pPr>
        <w:rPr>
          <w:lang w:eastAsia="en-AU"/>
        </w:rPr>
      </w:pPr>
      <w:r>
        <w:rPr>
          <w:lang w:eastAsia="en-AU"/>
        </w:rPr>
        <w:fldChar w:fldCharType="begin" w:fldLock="1"/>
      </w:r>
      <w:r>
        <w:rPr>
          <w:lang w:eastAsia="en-AU"/>
        </w:rPr>
        <w:instrText xml:space="preserve"> REF _Ref216439276 \h </w:instrText>
      </w:r>
      <w:r>
        <w:rPr>
          <w:lang w:eastAsia="en-AU"/>
        </w:rPr>
      </w:r>
      <w:r>
        <w:rPr>
          <w:lang w:eastAsia="en-AU"/>
        </w:rPr>
        <w:fldChar w:fldCharType="separate"/>
      </w:r>
      <w:r>
        <w:t>Tabl</w:t>
      </w:r>
      <w:bookmarkStart w:id="80" w:name="_Hlt216954653"/>
      <w:r>
        <w:t>e</w:t>
      </w:r>
      <w:bookmarkEnd w:id="80"/>
      <w:r>
        <w:t xml:space="preserve"> </w:t>
      </w:r>
      <w:r>
        <w:rPr>
          <w:noProof/>
        </w:rPr>
        <w:t>7</w:t>
      </w:r>
      <w:r>
        <w:rPr>
          <w:lang w:eastAsia="en-AU"/>
        </w:rPr>
        <w:fldChar w:fldCharType="end"/>
      </w:r>
      <w:r w:rsidR="00CB48CD">
        <w:rPr>
          <w:lang w:eastAsia="en-AU"/>
        </w:rPr>
        <w:t xml:space="preserve"> below</w:t>
      </w:r>
      <w:r>
        <w:rPr>
          <w:lang w:eastAsia="en-AU"/>
        </w:rPr>
        <w:t xml:space="preserve"> outlines the overarching KEQs and sub-KEQs that guided the evaluation’s research.</w:t>
      </w:r>
    </w:p>
    <w:p w14:paraId="4B8EF5A7" w14:textId="35B3915E" w:rsidR="00134325" w:rsidRDefault="00134325" w:rsidP="00134325">
      <w:pPr>
        <w:pStyle w:val="Caption"/>
        <w:rPr>
          <w:lang w:eastAsia="en-AU"/>
        </w:rPr>
      </w:pPr>
      <w:bookmarkStart w:id="81" w:name="_Ref216439276"/>
      <w:r>
        <w:t xml:space="preserve">Table </w:t>
      </w:r>
      <w:r>
        <w:fldChar w:fldCharType="begin"/>
      </w:r>
      <w:r>
        <w:instrText xml:space="preserve"> SEQ Table \* ARABIC </w:instrText>
      </w:r>
      <w:r>
        <w:fldChar w:fldCharType="separate"/>
      </w:r>
      <w:r w:rsidR="00B666D1">
        <w:rPr>
          <w:noProof/>
        </w:rPr>
        <w:t>8</w:t>
      </w:r>
      <w:r>
        <w:fldChar w:fldCharType="end"/>
      </w:r>
      <w:bookmarkEnd w:id="81"/>
      <w:r w:rsidR="001D2410">
        <w:t xml:space="preserve"> </w:t>
      </w:r>
      <w:r>
        <w:t>| KEQs and sub-KEQs</w:t>
      </w:r>
    </w:p>
    <w:tbl>
      <w:tblPr>
        <w:tblStyle w:val="NousTableStyle1"/>
        <w:tblW w:w="5000" w:type="pct"/>
        <w:tblLook w:val="04A0" w:firstRow="1" w:lastRow="0" w:firstColumn="1" w:lastColumn="0" w:noHBand="0" w:noVBand="1"/>
      </w:tblPr>
      <w:tblGrid>
        <w:gridCol w:w="1985"/>
        <w:gridCol w:w="7195"/>
      </w:tblGrid>
      <w:tr w:rsidR="00F614D5" w:rsidRPr="0000533F" w14:paraId="294D2C67" w14:textId="77777777" w:rsidTr="44DC81F6">
        <w:trPr>
          <w:cnfStyle w:val="100000000000" w:firstRow="1" w:lastRow="0" w:firstColumn="0" w:lastColumn="0" w:oddVBand="0" w:evenVBand="0" w:oddHBand="0" w:evenHBand="0" w:firstRowFirstColumn="0" w:firstRowLastColumn="0" w:lastRowFirstColumn="0" w:lastRowLastColumn="0"/>
          <w:trHeight w:val="323"/>
        </w:trPr>
        <w:tc>
          <w:tcPr>
            <w:tcW w:w="1081" w:type="pct"/>
            <w:tcBorders>
              <w:top w:val="nil"/>
              <w:bottom w:val="single" w:sz="4" w:space="0" w:color="00264D" w:themeColor="background2"/>
              <w:right w:val="single" w:sz="4" w:space="0" w:color="00264D" w:themeColor="background2"/>
            </w:tcBorders>
            <w:shd w:val="clear" w:color="auto" w:fill="00264D" w:themeFill="background2"/>
            <w:vAlign w:val="top"/>
          </w:tcPr>
          <w:p w14:paraId="12CAA81C" w14:textId="77777777" w:rsidR="002B25E0" w:rsidRPr="0000533F" w:rsidRDefault="002B25E0">
            <w:pPr>
              <w:spacing w:before="40" w:after="40"/>
              <w:rPr>
                <w:rFonts w:ascii="Segoe UI Semibold" w:hAnsi="Segoe UI Semibold"/>
                <w:color w:val="FFFFFF" w:themeColor="background1"/>
                <w:sz w:val="17"/>
                <w:szCs w:val="17"/>
              </w:rPr>
            </w:pPr>
            <w:r w:rsidRPr="0000533F">
              <w:rPr>
                <w:rFonts w:ascii="Segoe UI Semibold" w:hAnsi="Segoe UI Semibold"/>
                <w:color w:val="FFFFFF" w:themeColor="background1"/>
                <w:sz w:val="17"/>
                <w:szCs w:val="17"/>
              </w:rPr>
              <w:t>KEQ</w:t>
            </w:r>
          </w:p>
        </w:tc>
        <w:tc>
          <w:tcPr>
            <w:tcW w:w="3919" w:type="pct"/>
            <w:tcBorders>
              <w:top w:val="nil"/>
              <w:left w:val="single" w:sz="4" w:space="0" w:color="00264D" w:themeColor="background2"/>
              <w:bottom w:val="single" w:sz="4" w:space="0" w:color="00264D" w:themeColor="background2"/>
              <w:right w:val="single" w:sz="4" w:space="0" w:color="00264D" w:themeColor="background2"/>
            </w:tcBorders>
            <w:shd w:val="clear" w:color="auto" w:fill="00264D" w:themeFill="background2"/>
            <w:vAlign w:val="top"/>
          </w:tcPr>
          <w:p w14:paraId="039FECD4" w14:textId="77777777" w:rsidR="002B25E0" w:rsidRPr="0000533F" w:rsidRDefault="002B25E0">
            <w:pPr>
              <w:spacing w:before="40" w:after="40"/>
              <w:rPr>
                <w:rFonts w:ascii="Segoe UI Semibold" w:hAnsi="Segoe UI Semibold"/>
                <w:color w:val="FFFFFF" w:themeColor="background1"/>
                <w:sz w:val="17"/>
                <w:szCs w:val="17"/>
              </w:rPr>
            </w:pPr>
            <w:r>
              <w:rPr>
                <w:rFonts w:ascii="Segoe UI Semibold" w:hAnsi="Segoe UI Semibold"/>
                <w:color w:val="FFFFFF" w:themeColor="background1"/>
                <w:sz w:val="17"/>
                <w:szCs w:val="17"/>
              </w:rPr>
              <w:t>Sub-KEQs</w:t>
            </w:r>
          </w:p>
        </w:tc>
      </w:tr>
      <w:tr w:rsidR="00842D7F" w:rsidRPr="0000533F" w14:paraId="51E3F7BE" w14:textId="77777777" w:rsidTr="44DC81F6">
        <w:trPr>
          <w:cnfStyle w:val="000000100000" w:firstRow="0" w:lastRow="0" w:firstColumn="0" w:lastColumn="0" w:oddVBand="0" w:evenVBand="0" w:oddHBand="1" w:evenHBand="0" w:firstRowFirstColumn="0" w:firstRowLastColumn="0" w:lastRowFirstColumn="0" w:lastRowLastColumn="0"/>
          <w:trHeight w:val="1982"/>
        </w:trPr>
        <w:tc>
          <w:tcPr>
            <w:tcW w:w="1081" w:type="pct"/>
            <w:tcBorders>
              <w:top w:val="single" w:sz="4" w:space="0" w:color="00264D" w:themeColor="background2"/>
            </w:tcBorders>
            <w:shd w:val="clear" w:color="auto" w:fill="E6E6E1" w:themeFill="accent5"/>
            <w:vAlign w:val="top"/>
          </w:tcPr>
          <w:p w14:paraId="10AD256A" w14:textId="77777777" w:rsidR="002B25E0" w:rsidRPr="0000533F" w:rsidRDefault="002B25E0">
            <w:pPr>
              <w:spacing w:before="40" w:after="40"/>
              <w:rPr>
                <w:rFonts w:ascii="Segoe UI Semibold" w:hAnsi="Segoe UI Semibold"/>
                <w:color w:val="00264D" w:themeColor="background2"/>
                <w:sz w:val="17"/>
                <w:szCs w:val="17"/>
              </w:rPr>
            </w:pPr>
            <w:r w:rsidRPr="0000533F">
              <w:rPr>
                <w:rFonts w:ascii="Segoe UI Semibold" w:hAnsi="Segoe UI Semibold"/>
                <w:color w:val="00264D" w:themeColor="background2"/>
                <w:sz w:val="17"/>
                <w:szCs w:val="17"/>
              </w:rPr>
              <w:t>1 Appropriateness</w:t>
            </w:r>
          </w:p>
          <w:p w14:paraId="5D811D9C" w14:textId="3777D40C" w:rsidR="002B25E0" w:rsidRDefault="002B25E0">
            <w:pPr>
              <w:spacing w:before="40" w:after="40"/>
              <w:rPr>
                <w:rFonts w:asciiTheme="minorHAnsi" w:hAnsiTheme="minorHAnsi" w:cstheme="minorHAnsi"/>
                <w:color w:val="00264D" w:themeColor="background2"/>
                <w:sz w:val="17"/>
                <w:szCs w:val="17"/>
              </w:rPr>
            </w:pPr>
            <w:r w:rsidRPr="0000533F">
              <w:rPr>
                <w:rFonts w:asciiTheme="minorHAnsi" w:hAnsiTheme="minorHAnsi" w:cstheme="minorHAnsi"/>
                <w:color w:val="00264D" w:themeColor="background2"/>
                <w:sz w:val="17"/>
                <w:szCs w:val="17"/>
              </w:rPr>
              <w:t xml:space="preserve">To what extent was </w:t>
            </w:r>
            <w:r w:rsidR="00FD304C">
              <w:rPr>
                <w:rFonts w:asciiTheme="minorHAnsi" w:hAnsiTheme="minorHAnsi" w:cstheme="minorHAnsi"/>
                <w:color w:val="00264D" w:themeColor="background2"/>
                <w:sz w:val="17"/>
                <w:szCs w:val="17"/>
              </w:rPr>
              <w:t>SARC – IC</w:t>
            </w:r>
            <w:r w:rsidRPr="0000533F">
              <w:rPr>
                <w:rFonts w:asciiTheme="minorHAnsi" w:hAnsiTheme="minorHAnsi" w:cstheme="minorHAnsi"/>
                <w:color w:val="00264D" w:themeColor="background2"/>
                <w:sz w:val="17"/>
                <w:szCs w:val="17"/>
              </w:rPr>
              <w:t>’s design appropriate for achieving its intended aim?</w:t>
            </w:r>
          </w:p>
          <w:p w14:paraId="3D59DC2A" w14:textId="77777777" w:rsidR="002B25E0" w:rsidRPr="0000533F" w:rsidRDefault="002B25E0">
            <w:pPr>
              <w:spacing w:before="40" w:after="40"/>
              <w:rPr>
                <w:rFonts w:asciiTheme="minorHAnsi" w:hAnsiTheme="minorHAnsi" w:cstheme="minorHAnsi"/>
                <w:color w:val="00264D" w:themeColor="background2"/>
                <w:sz w:val="17"/>
                <w:szCs w:val="17"/>
              </w:rPr>
            </w:pPr>
            <w:r w:rsidRPr="00787EBC">
              <w:rPr>
                <w:rFonts w:asciiTheme="minorHAnsi" w:hAnsiTheme="minorHAnsi" w:cstheme="minorHAnsi"/>
                <w:noProof/>
                <w:color w:val="00264D" w:themeColor="background2"/>
                <w:sz w:val="17"/>
                <w:szCs w:val="17"/>
              </w:rPr>
              <mc:AlternateContent>
                <mc:Choice Requires="wps">
                  <w:drawing>
                    <wp:inline distT="0" distB="0" distL="0" distR="0" wp14:anchorId="55D82A15" wp14:editId="27E9382F">
                      <wp:extent cx="252256" cy="196954"/>
                      <wp:effectExtent l="0" t="0" r="0" b="0"/>
                      <wp:docPr id="46" name="Freeform: Shape 45">
                        <a:extLst xmlns:a="http://schemas.openxmlformats.org/drawingml/2006/main">
                          <a:ext uri="{FF2B5EF4-FFF2-40B4-BE49-F238E27FC236}">
                            <a16:creationId xmlns:a16="http://schemas.microsoft.com/office/drawing/2014/main" id="{93FF3C9D-E9BF-C109-72F3-5AE4CD80AD1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2256" cy="196954"/>
                              </a:xfrm>
                              <a:custGeom>
                                <a:avLst/>
                                <a:gdLst>
                                  <a:gd name="T0" fmla="*/ 188 w 188"/>
                                  <a:gd name="T1" fmla="*/ 120 h 147"/>
                                  <a:gd name="T2" fmla="*/ 187 w 188"/>
                                  <a:gd name="T3" fmla="*/ 118 h 147"/>
                                  <a:gd name="T4" fmla="*/ 187 w 188"/>
                                  <a:gd name="T5" fmla="*/ 118 h 147"/>
                                  <a:gd name="T6" fmla="*/ 151 w 188"/>
                                  <a:gd name="T7" fmla="*/ 30 h 147"/>
                                  <a:gd name="T8" fmla="*/ 151 w 188"/>
                                  <a:gd name="T9" fmla="*/ 30 h 147"/>
                                  <a:gd name="T10" fmla="*/ 147 w 188"/>
                                  <a:gd name="T11" fmla="*/ 26 h 147"/>
                                  <a:gd name="T12" fmla="*/ 97 w 188"/>
                                  <a:gd name="T13" fmla="*/ 26 h 147"/>
                                  <a:gd name="T14" fmla="*/ 97 w 188"/>
                                  <a:gd name="T15" fmla="*/ 4 h 147"/>
                                  <a:gd name="T16" fmla="*/ 94 w 188"/>
                                  <a:gd name="T17" fmla="*/ 0 h 147"/>
                                  <a:gd name="T18" fmla="*/ 90 w 188"/>
                                  <a:gd name="T19" fmla="*/ 4 h 147"/>
                                  <a:gd name="T20" fmla="*/ 90 w 188"/>
                                  <a:gd name="T21" fmla="*/ 26 h 147"/>
                                  <a:gd name="T22" fmla="*/ 40 w 188"/>
                                  <a:gd name="T23" fmla="*/ 26 h 147"/>
                                  <a:gd name="T24" fmla="*/ 37 w 188"/>
                                  <a:gd name="T25" fmla="*/ 30 h 147"/>
                                  <a:gd name="T26" fmla="*/ 37 w 188"/>
                                  <a:gd name="T27" fmla="*/ 30 h 147"/>
                                  <a:gd name="T28" fmla="*/ 0 w 188"/>
                                  <a:gd name="T29" fmla="*/ 118 h 147"/>
                                  <a:gd name="T30" fmla="*/ 0 w 188"/>
                                  <a:gd name="T31" fmla="*/ 120 h 147"/>
                                  <a:gd name="T32" fmla="*/ 0 w 188"/>
                                  <a:gd name="T33" fmla="*/ 122 h 147"/>
                                  <a:gd name="T34" fmla="*/ 40 w 188"/>
                                  <a:gd name="T35" fmla="*/ 147 h 147"/>
                                  <a:gd name="T36" fmla="*/ 80 w 188"/>
                                  <a:gd name="T37" fmla="*/ 121 h 147"/>
                                  <a:gd name="T38" fmla="*/ 80 w 188"/>
                                  <a:gd name="T39" fmla="*/ 120 h 147"/>
                                  <a:gd name="T40" fmla="*/ 80 w 188"/>
                                  <a:gd name="T41" fmla="*/ 120 h 147"/>
                                  <a:gd name="T42" fmla="*/ 80 w 188"/>
                                  <a:gd name="T43" fmla="*/ 118 h 147"/>
                                  <a:gd name="T44" fmla="*/ 80 w 188"/>
                                  <a:gd name="T45" fmla="*/ 118 h 147"/>
                                  <a:gd name="T46" fmla="*/ 45 w 188"/>
                                  <a:gd name="T47" fmla="*/ 33 h 147"/>
                                  <a:gd name="T48" fmla="*/ 143 w 188"/>
                                  <a:gd name="T49" fmla="*/ 33 h 147"/>
                                  <a:gd name="T50" fmla="*/ 107 w 188"/>
                                  <a:gd name="T51" fmla="*/ 118 h 147"/>
                                  <a:gd name="T52" fmla="*/ 107 w 188"/>
                                  <a:gd name="T53" fmla="*/ 120 h 147"/>
                                  <a:gd name="T54" fmla="*/ 108 w 188"/>
                                  <a:gd name="T55" fmla="*/ 122 h 147"/>
                                  <a:gd name="T56" fmla="*/ 147 w 188"/>
                                  <a:gd name="T57" fmla="*/ 147 h 147"/>
                                  <a:gd name="T58" fmla="*/ 187 w 188"/>
                                  <a:gd name="T59" fmla="*/ 121 h 147"/>
                                  <a:gd name="T60" fmla="*/ 187 w 188"/>
                                  <a:gd name="T61" fmla="*/ 120 h 147"/>
                                  <a:gd name="T62" fmla="*/ 188 w 188"/>
                                  <a:gd name="T63" fmla="*/ 120 h 147"/>
                                  <a:gd name="T64" fmla="*/ 40 w 188"/>
                                  <a:gd name="T65" fmla="*/ 141 h 147"/>
                                  <a:gd name="T66" fmla="*/ 8 w 188"/>
                                  <a:gd name="T67" fmla="*/ 123 h 147"/>
                                  <a:gd name="T68" fmla="*/ 72 w 188"/>
                                  <a:gd name="T69" fmla="*/ 123 h 147"/>
                                  <a:gd name="T70" fmla="*/ 40 w 188"/>
                                  <a:gd name="T71" fmla="*/ 141 h 147"/>
                                  <a:gd name="T72" fmla="*/ 8 w 188"/>
                                  <a:gd name="T73" fmla="*/ 117 h 147"/>
                                  <a:gd name="T74" fmla="*/ 40 w 188"/>
                                  <a:gd name="T75" fmla="*/ 38 h 147"/>
                                  <a:gd name="T76" fmla="*/ 73 w 188"/>
                                  <a:gd name="T77" fmla="*/ 117 h 147"/>
                                  <a:gd name="T78" fmla="*/ 8 w 188"/>
                                  <a:gd name="T79" fmla="*/ 117 h 147"/>
                                  <a:gd name="T80" fmla="*/ 147 w 188"/>
                                  <a:gd name="T81" fmla="*/ 38 h 147"/>
                                  <a:gd name="T82" fmla="*/ 180 w 188"/>
                                  <a:gd name="T83" fmla="*/ 117 h 147"/>
                                  <a:gd name="T84" fmla="*/ 115 w 188"/>
                                  <a:gd name="T85" fmla="*/ 117 h 147"/>
                                  <a:gd name="T86" fmla="*/ 147 w 188"/>
                                  <a:gd name="T87" fmla="*/ 38 h 147"/>
                                  <a:gd name="T88" fmla="*/ 147 w 188"/>
                                  <a:gd name="T89" fmla="*/ 141 h 147"/>
                                  <a:gd name="T90" fmla="*/ 115 w 188"/>
                                  <a:gd name="T91" fmla="*/ 123 h 147"/>
                                  <a:gd name="T92" fmla="*/ 179 w 188"/>
                                  <a:gd name="T93" fmla="*/ 123 h 147"/>
                                  <a:gd name="T94" fmla="*/ 147 w 188"/>
                                  <a:gd name="T95" fmla="*/ 141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8" h="147">
                                    <a:moveTo>
                                      <a:pt x="188" y="120"/>
                                    </a:moveTo>
                                    <a:cubicBezTo>
                                      <a:pt x="188" y="119"/>
                                      <a:pt x="187" y="119"/>
                                      <a:pt x="187" y="118"/>
                                    </a:cubicBezTo>
                                    <a:cubicBezTo>
                                      <a:pt x="187" y="118"/>
                                      <a:pt x="187" y="118"/>
                                      <a:pt x="187" y="118"/>
                                    </a:cubicBezTo>
                                    <a:cubicBezTo>
                                      <a:pt x="151" y="30"/>
                                      <a:pt x="151" y="30"/>
                                      <a:pt x="151" y="30"/>
                                    </a:cubicBezTo>
                                    <a:cubicBezTo>
                                      <a:pt x="151" y="30"/>
                                      <a:pt x="151" y="30"/>
                                      <a:pt x="151" y="30"/>
                                    </a:cubicBezTo>
                                    <a:cubicBezTo>
                                      <a:pt x="151" y="28"/>
                                      <a:pt x="149" y="26"/>
                                      <a:pt x="147" y="26"/>
                                    </a:cubicBezTo>
                                    <a:cubicBezTo>
                                      <a:pt x="97" y="26"/>
                                      <a:pt x="97" y="26"/>
                                      <a:pt x="97" y="26"/>
                                    </a:cubicBezTo>
                                    <a:cubicBezTo>
                                      <a:pt x="97" y="4"/>
                                      <a:pt x="97" y="4"/>
                                      <a:pt x="97" y="4"/>
                                    </a:cubicBezTo>
                                    <a:cubicBezTo>
                                      <a:pt x="97" y="2"/>
                                      <a:pt x="96" y="0"/>
                                      <a:pt x="94" y="0"/>
                                    </a:cubicBezTo>
                                    <a:cubicBezTo>
                                      <a:pt x="92" y="0"/>
                                      <a:pt x="90" y="2"/>
                                      <a:pt x="90" y="4"/>
                                    </a:cubicBezTo>
                                    <a:cubicBezTo>
                                      <a:pt x="90" y="26"/>
                                      <a:pt x="90" y="26"/>
                                      <a:pt x="90" y="26"/>
                                    </a:cubicBezTo>
                                    <a:cubicBezTo>
                                      <a:pt x="40" y="26"/>
                                      <a:pt x="40" y="26"/>
                                      <a:pt x="40" y="26"/>
                                    </a:cubicBezTo>
                                    <a:cubicBezTo>
                                      <a:pt x="38" y="26"/>
                                      <a:pt x="37" y="28"/>
                                      <a:pt x="37" y="30"/>
                                    </a:cubicBezTo>
                                    <a:cubicBezTo>
                                      <a:pt x="37" y="30"/>
                                      <a:pt x="37" y="30"/>
                                      <a:pt x="37" y="30"/>
                                    </a:cubicBezTo>
                                    <a:cubicBezTo>
                                      <a:pt x="0" y="118"/>
                                      <a:pt x="0" y="118"/>
                                      <a:pt x="0" y="118"/>
                                    </a:cubicBezTo>
                                    <a:cubicBezTo>
                                      <a:pt x="0" y="119"/>
                                      <a:pt x="0" y="120"/>
                                      <a:pt x="0" y="120"/>
                                    </a:cubicBezTo>
                                    <a:cubicBezTo>
                                      <a:pt x="0" y="121"/>
                                      <a:pt x="0" y="121"/>
                                      <a:pt x="0" y="122"/>
                                    </a:cubicBezTo>
                                    <a:cubicBezTo>
                                      <a:pt x="1" y="123"/>
                                      <a:pt x="13" y="147"/>
                                      <a:pt x="40" y="147"/>
                                    </a:cubicBezTo>
                                    <a:cubicBezTo>
                                      <a:pt x="68" y="147"/>
                                      <a:pt x="80" y="122"/>
                                      <a:pt x="80" y="121"/>
                                    </a:cubicBezTo>
                                    <a:cubicBezTo>
                                      <a:pt x="80" y="121"/>
                                      <a:pt x="80" y="120"/>
                                      <a:pt x="80" y="120"/>
                                    </a:cubicBezTo>
                                    <a:cubicBezTo>
                                      <a:pt x="80" y="120"/>
                                      <a:pt x="80" y="120"/>
                                      <a:pt x="80" y="120"/>
                                    </a:cubicBezTo>
                                    <a:cubicBezTo>
                                      <a:pt x="80" y="119"/>
                                      <a:pt x="80" y="119"/>
                                      <a:pt x="80" y="118"/>
                                    </a:cubicBezTo>
                                    <a:cubicBezTo>
                                      <a:pt x="80" y="118"/>
                                      <a:pt x="80" y="118"/>
                                      <a:pt x="80" y="118"/>
                                    </a:cubicBezTo>
                                    <a:cubicBezTo>
                                      <a:pt x="45" y="33"/>
                                      <a:pt x="45" y="33"/>
                                      <a:pt x="45" y="33"/>
                                    </a:cubicBezTo>
                                    <a:cubicBezTo>
                                      <a:pt x="143" y="33"/>
                                      <a:pt x="143" y="33"/>
                                      <a:pt x="143" y="33"/>
                                    </a:cubicBezTo>
                                    <a:cubicBezTo>
                                      <a:pt x="107" y="118"/>
                                      <a:pt x="107" y="118"/>
                                      <a:pt x="107" y="118"/>
                                    </a:cubicBezTo>
                                    <a:cubicBezTo>
                                      <a:pt x="107" y="119"/>
                                      <a:pt x="107" y="120"/>
                                      <a:pt x="107" y="120"/>
                                    </a:cubicBezTo>
                                    <a:cubicBezTo>
                                      <a:pt x="107" y="121"/>
                                      <a:pt x="108" y="121"/>
                                      <a:pt x="108" y="122"/>
                                    </a:cubicBezTo>
                                    <a:cubicBezTo>
                                      <a:pt x="108" y="123"/>
                                      <a:pt x="120" y="147"/>
                                      <a:pt x="147" y="147"/>
                                    </a:cubicBezTo>
                                    <a:cubicBezTo>
                                      <a:pt x="175" y="147"/>
                                      <a:pt x="187" y="122"/>
                                      <a:pt x="187" y="121"/>
                                    </a:cubicBezTo>
                                    <a:cubicBezTo>
                                      <a:pt x="187" y="121"/>
                                      <a:pt x="187" y="120"/>
                                      <a:pt x="187" y="120"/>
                                    </a:cubicBezTo>
                                    <a:cubicBezTo>
                                      <a:pt x="187" y="120"/>
                                      <a:pt x="187" y="120"/>
                                      <a:pt x="188" y="120"/>
                                    </a:cubicBezTo>
                                    <a:close/>
                                    <a:moveTo>
                                      <a:pt x="40" y="141"/>
                                    </a:moveTo>
                                    <a:cubicBezTo>
                                      <a:pt x="22" y="141"/>
                                      <a:pt x="12" y="129"/>
                                      <a:pt x="8" y="123"/>
                                    </a:cubicBezTo>
                                    <a:cubicBezTo>
                                      <a:pt x="72" y="123"/>
                                      <a:pt x="72" y="123"/>
                                      <a:pt x="72" y="123"/>
                                    </a:cubicBezTo>
                                    <a:cubicBezTo>
                                      <a:pt x="68" y="129"/>
                                      <a:pt x="57" y="141"/>
                                      <a:pt x="40" y="141"/>
                                    </a:cubicBezTo>
                                    <a:close/>
                                    <a:moveTo>
                                      <a:pt x="8" y="117"/>
                                    </a:moveTo>
                                    <a:cubicBezTo>
                                      <a:pt x="40" y="38"/>
                                      <a:pt x="40" y="38"/>
                                      <a:pt x="40" y="38"/>
                                    </a:cubicBezTo>
                                    <a:cubicBezTo>
                                      <a:pt x="73" y="117"/>
                                      <a:pt x="73" y="117"/>
                                      <a:pt x="73" y="117"/>
                                    </a:cubicBezTo>
                                    <a:lnTo>
                                      <a:pt x="8" y="117"/>
                                    </a:lnTo>
                                    <a:close/>
                                    <a:moveTo>
                                      <a:pt x="147" y="38"/>
                                    </a:moveTo>
                                    <a:cubicBezTo>
                                      <a:pt x="180" y="117"/>
                                      <a:pt x="180" y="117"/>
                                      <a:pt x="180" y="117"/>
                                    </a:cubicBezTo>
                                    <a:cubicBezTo>
                                      <a:pt x="115" y="117"/>
                                      <a:pt x="115" y="117"/>
                                      <a:pt x="115" y="117"/>
                                    </a:cubicBezTo>
                                    <a:lnTo>
                                      <a:pt x="147" y="38"/>
                                    </a:lnTo>
                                    <a:close/>
                                    <a:moveTo>
                                      <a:pt x="147" y="141"/>
                                    </a:moveTo>
                                    <a:cubicBezTo>
                                      <a:pt x="129" y="141"/>
                                      <a:pt x="119" y="129"/>
                                      <a:pt x="115" y="123"/>
                                    </a:cubicBezTo>
                                    <a:cubicBezTo>
                                      <a:pt x="179" y="123"/>
                                      <a:pt x="179" y="123"/>
                                      <a:pt x="179" y="123"/>
                                    </a:cubicBezTo>
                                    <a:cubicBezTo>
                                      <a:pt x="175" y="129"/>
                                      <a:pt x="165" y="141"/>
                                      <a:pt x="147" y="141"/>
                                    </a:cubicBezTo>
                                    <a:close/>
                                  </a:path>
                                </a:pathLst>
                              </a:custGeom>
                              <a:solidFill>
                                <a:schemeClr val="accent1"/>
                              </a:solidFill>
                              <a:ln>
                                <a:noFill/>
                              </a:ln>
                            </wps:spPr>
                            <wps:bodyPr vert="horz" wrap="square" lIns="64514" tIns="32257" rIns="64514" bIns="32257" numCol="1" anchor="t" anchorCtr="0" compatLnSpc="1">
                              <a:prstTxWarp prst="textNoShape">
                                <a:avLst/>
                              </a:prstTxWarp>
                            </wps:bodyPr>
                          </wps:wsp>
                        </a:graphicData>
                      </a:graphic>
                    </wp:inline>
                  </w:drawing>
                </mc:Choice>
                <mc:Fallback>
                  <w:pict>
                    <v:shape w14:anchorId="2FAC98E5" id="Freeform: Shape 45" o:spid="_x0000_s1026" alt="&quot;&quot;" style="width:19.85pt;height:15.5pt;visibility:visible;mso-wrap-style:square;mso-left-percent:-10001;mso-top-percent:-10001;mso-position-horizontal:absolute;mso-position-horizontal-relative:char;mso-position-vertical:absolute;mso-position-vertical-relative:line;mso-left-percent:-10001;mso-top-percent:-10001;v-text-anchor:top" coordsize="188,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" path="m188,120v,-1,-1,-1,-1,-2c187,118,187,118,187,118,151,30,151,30,151,30v,,,,,c151,28,149,26,147,26v-50,,-50,,-50,c97,4,97,4,97,4,97,2,96,,94,,92,,90,2,90,4v,22,,22,,22c40,26,40,26,40,26v-2,,-3,2,-3,4c37,30,37,30,37,30,,118,,118,,118v,1,,2,,2c,121,,121,,122v1,1,13,25,40,25c68,147,80,122,80,121v,,,-1,,-1c80,120,80,120,80,120v,-1,,-1,,-2c80,118,80,118,80,118,45,33,45,33,45,33v98,,98,,98,c107,118,107,118,107,118v,1,,2,,2c107,121,108,121,108,122v,1,12,25,39,25c175,147,187,122,187,121v,,,-1,,-1c187,120,187,120,188,120xm40,141c22,141,12,129,8,123v64,,64,,64,c68,129,57,141,40,141xm8,117c40,38,40,38,40,38v33,79,33,79,33,79l8,117xm147,38v33,79,33,79,33,79c115,117,115,117,115,117l147,38xm147,141v-18,,-28,-12,-32,-18c179,123,179,123,179,123v-4,6,-14,18,-32,18xe" fillcolor="#ff3a40 [3204]" stroked="f">
                      <v:path arrowok="t" o:connecttype="custom" o:connectlocs="252256,160779;250914,158099;250914,158099;202610,40195;202610,40195;197243,34835;130153,34835;130153,5359;126128,0;120761,5359;120761,34835;53671,34835;49646,40195;49646,40195;0,158099;0,160779;0,163458;53671,196954;107343,162119;107343,160779;107343,160779;107343,158099;107343,158099;60380,44214;191876,44214;143571,158099;143571,160779;144913,163458;197243,196954;250914,162119;250914,160779;252256,160779;53671,188915;10734,164798;96609,164798;53671,188915;10734,156759;53671,50913;97950,156759;10734,156759;197243,50913;241522,156759;154306,156759;197243,50913;197243,188915;154306,164798;240180,164798;197243,188915" o:connectangles="0,0,0,0,0,0,0,0,0,0,0,0,0,0,0,0,0,0,0,0,0,0,0,0,0,0,0,0,0,0,0,0,0,0,0,0,0,0,0,0,0,0,0,0,0,0,0,0"/>
                      <o:lock v:ext="edit" aspectratio="t" verticies="t"/>
                      <w10:anchorlock/>
                    </v:shape>
                  </w:pict>
                </mc:Fallback>
              </mc:AlternateContent>
            </w:r>
          </w:p>
        </w:tc>
        <w:tc>
          <w:tcPr>
            <w:tcW w:w="3919" w:type="pct"/>
            <w:tcBorders>
              <w:top w:val="single" w:sz="4" w:space="0" w:color="00264D" w:themeColor="background2"/>
            </w:tcBorders>
            <w:vAlign w:val="top"/>
          </w:tcPr>
          <w:p w14:paraId="3B5FFFB7" w14:textId="7E87C873" w:rsidR="002B25E0" w:rsidRPr="0028245E" w:rsidRDefault="002B25E0" w:rsidP="0070224F">
            <w:pPr>
              <w:numPr>
                <w:ilvl w:val="0"/>
                <w:numId w:val="3"/>
              </w:numPr>
              <w:suppressAutoHyphens/>
              <w:spacing w:before="40" w:after="40"/>
              <w:ind w:left="227" w:hanging="227"/>
              <w:rPr>
                <w:rFonts w:eastAsia="Times New Roman" w:cs="Times New Roman"/>
                <w:sz w:val="16"/>
                <w:szCs w:val="16"/>
                <w:lang w:eastAsia="en-AU"/>
              </w:rPr>
            </w:pPr>
            <w:r w:rsidRPr="0028245E">
              <w:rPr>
                <w:rFonts w:eastAsia="Times New Roman" w:cs="Times New Roman"/>
                <w:sz w:val="16"/>
                <w:szCs w:val="16"/>
                <w:lang w:eastAsia="en-AU"/>
              </w:rPr>
              <w:t>To what extent were SARC – IC objectives and activities responsive to the needs/priorities of the four target groups?</w:t>
            </w:r>
          </w:p>
          <w:p w14:paraId="6CE1DBC1" w14:textId="7777777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Pr>
                <w:rFonts w:eastAsia="Times New Roman" w:cs="Times New Roman"/>
                <w:sz w:val="16"/>
                <w:szCs w:val="16"/>
                <w:lang w:eastAsia="en-AU"/>
              </w:rPr>
              <w:t>To what extent are the target cohorts appropriate focus areas for the grant?</w:t>
            </w:r>
          </w:p>
          <w:p w14:paraId="2FB877DF" w14:textId="77777777" w:rsidR="002B25E0" w:rsidRPr="002B25E0"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2B25E0">
              <w:rPr>
                <w:rFonts w:eastAsia="Times New Roman" w:cs="Times New Roman"/>
                <w:sz w:val="16"/>
                <w:szCs w:val="16"/>
                <w:lang w:eastAsia="en-AU"/>
              </w:rPr>
              <w:t>To what extent do application assessment criteria support selection of the most appropriate organisations?</w:t>
            </w:r>
          </w:p>
          <w:p w14:paraId="52DB6A1F" w14:textId="7777777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To what extent do SARC – IC funded projects both align with the program intent and meet an identified need in the community in which it is being delivered? </w:t>
            </w:r>
          </w:p>
          <w:p w14:paraId="4683055F" w14:textId="7777777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In what ways do the funded projects complement or duplicate services for the SARC – IC cohorts delivered by other service systems?</w:t>
            </w:r>
          </w:p>
          <w:p w14:paraId="2B71ECBF" w14:textId="788D588F"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To what extent does SARC </w:t>
            </w:r>
            <w:r w:rsidR="00B3381E">
              <w:rPr>
                <w:rFonts w:eastAsia="Times New Roman" w:cs="Times New Roman"/>
                <w:sz w:val="16"/>
                <w:szCs w:val="16"/>
                <w:lang w:eastAsia="en-AU"/>
              </w:rPr>
              <w:t>–</w:t>
            </w:r>
            <w:r w:rsidRPr="0000533F">
              <w:rPr>
                <w:rFonts w:eastAsia="Times New Roman" w:cs="Times New Roman"/>
                <w:sz w:val="16"/>
                <w:szCs w:val="16"/>
                <w:lang w:eastAsia="en-AU"/>
              </w:rPr>
              <w:t xml:space="preserve"> IC support community-led approaches?</w:t>
            </w:r>
          </w:p>
          <w:p w14:paraId="4C94300E" w14:textId="38FDB8D2"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To what extent does SARC </w:t>
            </w:r>
            <w:r w:rsidR="00B3381E">
              <w:rPr>
                <w:rFonts w:eastAsia="Times New Roman" w:cs="Times New Roman"/>
                <w:sz w:val="16"/>
                <w:szCs w:val="16"/>
                <w:lang w:eastAsia="en-AU"/>
              </w:rPr>
              <w:t>–</w:t>
            </w:r>
            <w:r w:rsidRPr="0000533F">
              <w:rPr>
                <w:rFonts w:eastAsia="Times New Roman" w:cs="Times New Roman"/>
                <w:sz w:val="16"/>
                <w:szCs w:val="16"/>
                <w:lang w:eastAsia="en-AU"/>
              </w:rPr>
              <w:t xml:space="preserve"> IC align with good practice, including current evidence on community resilience?</w:t>
            </w:r>
          </w:p>
          <w:p w14:paraId="6C046CAA" w14:textId="421665D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Pr>
                <w:rFonts w:eastAsia="Times New Roman" w:cs="Times New Roman"/>
                <w:sz w:val="16"/>
                <w:szCs w:val="16"/>
                <w:lang w:eastAsia="en-AU"/>
              </w:rPr>
              <w:t>To what extent does SARC</w:t>
            </w:r>
            <w:r w:rsidR="00B3381E">
              <w:rPr>
                <w:rFonts w:eastAsia="Times New Roman" w:cs="Times New Roman"/>
                <w:sz w:val="16"/>
                <w:szCs w:val="16"/>
                <w:lang w:eastAsia="en-AU"/>
              </w:rPr>
              <w:t xml:space="preserve"> – </w:t>
            </w:r>
            <w:r>
              <w:rPr>
                <w:rFonts w:eastAsia="Times New Roman" w:cs="Times New Roman"/>
                <w:sz w:val="16"/>
                <w:szCs w:val="16"/>
                <w:lang w:eastAsia="en-AU"/>
              </w:rPr>
              <w:t xml:space="preserve">IC encourage innovation in service delivery through its design and assessment criteria? </w:t>
            </w:r>
          </w:p>
          <w:p w14:paraId="00C99EF6" w14:textId="543EB336"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How can the </w:t>
            </w:r>
            <w:r>
              <w:rPr>
                <w:rFonts w:eastAsia="Times New Roman" w:cs="Times New Roman"/>
                <w:sz w:val="16"/>
                <w:szCs w:val="16"/>
                <w:lang w:eastAsia="en-AU"/>
              </w:rPr>
              <w:t>design</w:t>
            </w:r>
            <w:r w:rsidRPr="0000533F">
              <w:rPr>
                <w:rFonts w:eastAsia="Times New Roman" w:cs="Times New Roman"/>
                <w:sz w:val="16"/>
                <w:szCs w:val="16"/>
                <w:lang w:eastAsia="en-AU"/>
              </w:rPr>
              <w:t xml:space="preserve"> of the SARC </w:t>
            </w:r>
            <w:r w:rsidR="00B3381E">
              <w:rPr>
                <w:rFonts w:eastAsia="Times New Roman" w:cs="Times New Roman"/>
                <w:sz w:val="16"/>
                <w:szCs w:val="16"/>
                <w:lang w:eastAsia="en-AU"/>
              </w:rPr>
              <w:t>–</w:t>
            </w:r>
            <w:r w:rsidRPr="0000533F">
              <w:rPr>
                <w:rFonts w:eastAsia="Times New Roman" w:cs="Times New Roman"/>
                <w:sz w:val="16"/>
                <w:szCs w:val="16"/>
                <w:lang w:eastAsia="en-AU"/>
              </w:rPr>
              <w:t xml:space="preserve"> IC be improved?</w:t>
            </w:r>
          </w:p>
        </w:tc>
      </w:tr>
      <w:tr w:rsidR="00842D7F" w:rsidRPr="0000533F" w14:paraId="0C41A8A9" w14:textId="77777777" w:rsidTr="44DC81F6">
        <w:trPr>
          <w:cnfStyle w:val="000000010000" w:firstRow="0" w:lastRow="0" w:firstColumn="0" w:lastColumn="0" w:oddVBand="0" w:evenVBand="0" w:oddHBand="0" w:evenHBand="1" w:firstRowFirstColumn="0" w:firstRowLastColumn="0" w:lastRowFirstColumn="0" w:lastRowLastColumn="0"/>
          <w:trHeight w:val="1575"/>
        </w:trPr>
        <w:tc>
          <w:tcPr>
            <w:tcW w:w="1081" w:type="pct"/>
            <w:tcBorders>
              <w:top w:val="single" w:sz="12" w:space="0" w:color="FFFFFF" w:themeColor="background1"/>
            </w:tcBorders>
            <w:shd w:val="clear" w:color="auto" w:fill="E6E6E1" w:themeFill="accent5"/>
            <w:vAlign w:val="top"/>
          </w:tcPr>
          <w:p w14:paraId="31A40C97" w14:textId="77777777" w:rsidR="002B25E0" w:rsidRPr="0000533F" w:rsidRDefault="002B25E0">
            <w:pPr>
              <w:spacing w:before="40" w:after="40"/>
              <w:rPr>
                <w:rFonts w:ascii="Segoe UI Semibold" w:hAnsi="Segoe UI Semibold"/>
                <w:color w:val="00264D" w:themeColor="background2"/>
                <w:sz w:val="17"/>
                <w:szCs w:val="17"/>
              </w:rPr>
            </w:pPr>
            <w:r w:rsidRPr="0000533F">
              <w:rPr>
                <w:rFonts w:ascii="Segoe UI Semibold" w:hAnsi="Segoe UI Semibold"/>
                <w:color w:val="00264D" w:themeColor="background2"/>
                <w:sz w:val="17"/>
                <w:szCs w:val="17"/>
              </w:rPr>
              <w:t>2 Implementation</w:t>
            </w:r>
          </w:p>
          <w:p w14:paraId="7D83D69E" w14:textId="2BE4B6F7" w:rsidR="002B25E0" w:rsidRDefault="002B25E0">
            <w:pPr>
              <w:spacing w:before="40" w:after="40"/>
              <w:rPr>
                <w:rFonts w:asciiTheme="minorHAnsi" w:hAnsiTheme="minorHAnsi" w:cstheme="minorHAnsi"/>
                <w:color w:val="00264D" w:themeColor="background2"/>
                <w:sz w:val="17"/>
                <w:szCs w:val="17"/>
              </w:rPr>
            </w:pPr>
            <w:r w:rsidRPr="0000533F">
              <w:rPr>
                <w:rFonts w:asciiTheme="minorHAnsi" w:hAnsiTheme="minorHAnsi" w:cstheme="minorHAnsi"/>
                <w:color w:val="00264D" w:themeColor="background2"/>
                <w:sz w:val="17"/>
                <w:szCs w:val="17"/>
              </w:rPr>
              <w:t xml:space="preserve">To what extent was </w:t>
            </w:r>
            <w:r w:rsidR="00FD304C">
              <w:rPr>
                <w:rFonts w:asciiTheme="minorHAnsi" w:hAnsiTheme="minorHAnsi" w:cstheme="minorHAnsi"/>
                <w:color w:val="00264D" w:themeColor="background2"/>
                <w:sz w:val="17"/>
                <w:szCs w:val="17"/>
              </w:rPr>
              <w:t>SARC – IC</w:t>
            </w:r>
            <w:r w:rsidRPr="0000533F">
              <w:rPr>
                <w:rFonts w:asciiTheme="minorHAnsi" w:hAnsiTheme="minorHAnsi" w:cstheme="minorHAnsi"/>
                <w:color w:val="00264D" w:themeColor="background2"/>
                <w:sz w:val="17"/>
                <w:szCs w:val="17"/>
              </w:rPr>
              <w:t xml:space="preserve"> implemented as expected to deliver economic participation, wellbeing and social participation measures?</w:t>
            </w:r>
          </w:p>
          <w:p w14:paraId="45CD5C77" w14:textId="77777777" w:rsidR="002B25E0" w:rsidRPr="0000533F" w:rsidRDefault="002B25E0">
            <w:pPr>
              <w:spacing w:before="40" w:after="40"/>
              <w:rPr>
                <w:rFonts w:asciiTheme="minorHAnsi" w:hAnsiTheme="minorHAnsi" w:cstheme="minorHAnsi"/>
                <w:color w:val="00264D" w:themeColor="background2"/>
                <w:sz w:val="17"/>
                <w:szCs w:val="17"/>
              </w:rPr>
            </w:pPr>
            <w:r w:rsidRPr="00112D2C">
              <w:rPr>
                <w:rFonts w:asciiTheme="minorHAnsi" w:hAnsiTheme="minorHAnsi" w:cstheme="minorHAnsi"/>
                <w:noProof/>
                <w:color w:val="00264D" w:themeColor="background2"/>
                <w:sz w:val="17"/>
                <w:szCs w:val="17"/>
              </w:rPr>
              <w:drawing>
                <wp:inline distT="0" distB="0" distL="0" distR="0" wp14:anchorId="259CF215" wp14:editId="11ACBF4E">
                  <wp:extent cx="339959" cy="339959"/>
                  <wp:effectExtent l="0" t="0" r="0" b="3175"/>
                  <wp:docPr id="86" name="Graphic 85">
                    <a:extLst xmlns:a="http://schemas.openxmlformats.org/drawingml/2006/main">
                      <a:ext uri="{FF2B5EF4-FFF2-40B4-BE49-F238E27FC236}">
                        <a16:creationId xmlns:a16="http://schemas.microsoft.com/office/drawing/2014/main" id="{A2A48260-C1ED-41AF-323E-A8C19AB55EB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raphic 85">
                            <a:extLst>
                              <a:ext uri="{FF2B5EF4-FFF2-40B4-BE49-F238E27FC236}">
                                <a16:creationId xmlns:a16="http://schemas.microsoft.com/office/drawing/2014/main" id="{A2A48260-C1ED-41AF-323E-A8C19AB55EBB}"/>
                              </a:ext>
                              <a:ext uri="{C183D7F6-B498-43B3-948B-1728B52AA6E4}">
                                <adec:decorative xmlns:adec="http://schemas.microsoft.com/office/drawing/2017/decorative" val="1"/>
                              </a:ext>
                            </a:extLst>
                          </pic:cNvPr>
                          <pic:cNvPicPr>
                            <a:picLocks noChangeAspect="1"/>
                          </pic:cNvPicPr>
                        </pic:nvPicPr>
                        <pic:blipFill>
                          <a:blip r:embed="rId47">
                            <a:extLst>
                              <a:ext uri="{96DAC541-7B7A-43D3-8B79-37D633B846F1}">
                                <asvg:svgBlip xmlns:asvg="http://schemas.microsoft.com/office/drawing/2016/SVG/main" r:embed="rId48"/>
                              </a:ext>
                            </a:extLst>
                          </a:blip>
                          <a:stretch>
                            <a:fillRect/>
                          </a:stretch>
                        </pic:blipFill>
                        <pic:spPr>
                          <a:xfrm>
                            <a:off x="0" y="0"/>
                            <a:ext cx="339959" cy="339959"/>
                          </a:xfrm>
                          <a:prstGeom prst="rect">
                            <a:avLst/>
                          </a:prstGeom>
                        </pic:spPr>
                      </pic:pic>
                    </a:graphicData>
                  </a:graphic>
                </wp:inline>
              </w:drawing>
            </w:r>
          </w:p>
        </w:tc>
        <w:tc>
          <w:tcPr>
            <w:tcW w:w="3919" w:type="pct"/>
            <w:tcBorders>
              <w:top w:val="single" w:sz="12" w:space="0" w:color="E6E6E1" w:themeColor="accent5"/>
            </w:tcBorders>
            <w:vAlign w:val="top"/>
          </w:tcPr>
          <w:p w14:paraId="02AAEF78" w14:textId="77777777" w:rsidR="006E0620" w:rsidRDefault="002B25E0" w:rsidP="006E0620">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Was the SARC – IC implemented as planned, against the Program Logic, and how effectively has </w:t>
            </w:r>
            <w:r w:rsidR="00FD304C">
              <w:rPr>
                <w:rFonts w:eastAsia="Times New Roman" w:cs="Times New Roman"/>
                <w:sz w:val="16"/>
                <w:szCs w:val="16"/>
                <w:lang w:eastAsia="en-AU"/>
              </w:rPr>
              <w:t>SARC – IC</w:t>
            </w:r>
            <w:r w:rsidRPr="0000533F">
              <w:rPr>
                <w:rFonts w:eastAsia="Times New Roman" w:cs="Times New Roman"/>
                <w:sz w:val="16"/>
                <w:szCs w:val="16"/>
                <w:lang w:eastAsia="en-AU"/>
              </w:rPr>
              <w:t xml:space="preserve"> been managed?</w:t>
            </w:r>
          </w:p>
          <w:p w14:paraId="12E80CBF" w14:textId="6F289361" w:rsidR="002B25E0" w:rsidRPr="006E0620" w:rsidRDefault="002B25E0" w:rsidP="006E0620">
            <w:pPr>
              <w:numPr>
                <w:ilvl w:val="0"/>
                <w:numId w:val="3"/>
              </w:numPr>
              <w:suppressAutoHyphens/>
              <w:spacing w:before="40" w:after="40"/>
              <w:ind w:left="227" w:hanging="227"/>
              <w:rPr>
                <w:rFonts w:eastAsia="Times New Roman" w:cs="Times New Roman"/>
                <w:sz w:val="16"/>
                <w:szCs w:val="16"/>
                <w:lang w:eastAsia="en-AU"/>
              </w:rPr>
            </w:pPr>
            <w:r w:rsidRPr="006E0620">
              <w:rPr>
                <w:rFonts w:eastAsia="Times New Roman" w:cs="Times New Roman"/>
                <w:sz w:val="16"/>
                <w:szCs w:val="16"/>
                <w:lang w:eastAsia="en-AU"/>
              </w:rPr>
              <w:t>Did any changes and/or modifications take place over the course of its implementation and delivery, and were these positive or negative?</w:t>
            </w:r>
          </w:p>
          <w:p w14:paraId="6B3DC68A" w14:textId="7777777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To what extent is the SARC – IC collecting fit</w:t>
            </w:r>
            <w:r>
              <w:rPr>
                <w:rFonts w:eastAsia="Times New Roman" w:cs="Times New Roman"/>
                <w:sz w:val="16"/>
                <w:szCs w:val="16"/>
                <w:lang w:eastAsia="en-AU"/>
              </w:rPr>
              <w:t xml:space="preserve"> </w:t>
            </w:r>
            <w:r w:rsidRPr="0000533F">
              <w:rPr>
                <w:rFonts w:eastAsia="Times New Roman" w:cs="Times New Roman"/>
                <w:sz w:val="16"/>
                <w:szCs w:val="16"/>
                <w:lang w:eastAsia="en-AU"/>
              </w:rPr>
              <w:t>for</w:t>
            </w:r>
            <w:r>
              <w:rPr>
                <w:rFonts w:eastAsia="Times New Roman" w:cs="Times New Roman"/>
                <w:sz w:val="16"/>
                <w:szCs w:val="16"/>
                <w:lang w:eastAsia="en-AU"/>
              </w:rPr>
              <w:t xml:space="preserve"> </w:t>
            </w:r>
            <w:r w:rsidRPr="0000533F">
              <w:rPr>
                <w:rFonts w:eastAsia="Times New Roman" w:cs="Times New Roman"/>
                <w:sz w:val="16"/>
                <w:szCs w:val="16"/>
                <w:lang w:eastAsia="en-AU"/>
              </w:rPr>
              <w:t>purpose performance data for monitoring and future evaluations?</w:t>
            </w:r>
          </w:p>
          <w:p w14:paraId="3BF67D17" w14:textId="52F364F8"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What was the experience of grant recipients and other stakeholders in relation to the implementation of </w:t>
            </w:r>
            <w:r w:rsidR="00FD304C">
              <w:rPr>
                <w:rFonts w:eastAsia="Times New Roman" w:cs="Times New Roman"/>
                <w:sz w:val="16"/>
                <w:szCs w:val="16"/>
                <w:lang w:eastAsia="en-AU"/>
              </w:rPr>
              <w:t>SARC – IC</w:t>
            </w:r>
            <w:r w:rsidRPr="0000533F">
              <w:rPr>
                <w:rFonts w:eastAsia="Times New Roman" w:cs="Times New Roman"/>
                <w:sz w:val="16"/>
                <w:szCs w:val="16"/>
                <w:lang w:eastAsia="en-AU"/>
              </w:rPr>
              <w:t>?</w:t>
            </w:r>
          </w:p>
          <w:p w14:paraId="7A29B6FD" w14:textId="0D9E8371" w:rsidR="002B25E0"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 xml:space="preserve">What challenges and successes can be identified in the implementation of </w:t>
            </w:r>
            <w:r w:rsidR="00FD304C">
              <w:rPr>
                <w:rFonts w:eastAsia="Times New Roman" w:cs="Times New Roman"/>
                <w:sz w:val="16"/>
                <w:szCs w:val="16"/>
                <w:lang w:eastAsia="en-AU"/>
              </w:rPr>
              <w:t>SARC – IC</w:t>
            </w:r>
            <w:r w:rsidRPr="0000533F">
              <w:rPr>
                <w:rFonts w:eastAsia="Times New Roman" w:cs="Times New Roman"/>
                <w:sz w:val="16"/>
                <w:szCs w:val="16"/>
                <w:lang w:eastAsia="en-AU"/>
              </w:rPr>
              <w:t>?</w:t>
            </w:r>
          </w:p>
          <w:p w14:paraId="2D5E0DBC" w14:textId="7777777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Pr>
                <w:rFonts w:eastAsia="Times New Roman" w:cs="Times New Roman"/>
                <w:sz w:val="16"/>
                <w:szCs w:val="16"/>
                <w:lang w:eastAsia="en-AU"/>
              </w:rPr>
              <w:t>How effective have changes been over grant rounds in improving program delivery?</w:t>
            </w:r>
          </w:p>
        </w:tc>
      </w:tr>
      <w:tr w:rsidR="00842D7F" w:rsidRPr="0000533F" w14:paraId="3FFA15F5" w14:textId="77777777" w:rsidTr="44DC81F6">
        <w:trPr>
          <w:cnfStyle w:val="000000100000" w:firstRow="0" w:lastRow="0" w:firstColumn="0" w:lastColumn="0" w:oddVBand="0" w:evenVBand="0" w:oddHBand="1" w:evenHBand="0" w:firstRowFirstColumn="0" w:firstRowLastColumn="0" w:lastRowFirstColumn="0" w:lastRowLastColumn="0"/>
          <w:trHeight w:val="1266"/>
        </w:trPr>
        <w:tc>
          <w:tcPr>
            <w:tcW w:w="1081" w:type="pct"/>
            <w:tcBorders>
              <w:top w:val="single" w:sz="12" w:space="0" w:color="FFFFFF" w:themeColor="background1"/>
            </w:tcBorders>
            <w:shd w:val="clear" w:color="auto" w:fill="E6E6E1" w:themeFill="accent5"/>
            <w:vAlign w:val="top"/>
          </w:tcPr>
          <w:p w14:paraId="4DF01A2F" w14:textId="77777777" w:rsidR="002B25E0" w:rsidRPr="0000533F" w:rsidRDefault="002B25E0">
            <w:pPr>
              <w:spacing w:before="40" w:after="40"/>
              <w:rPr>
                <w:rFonts w:ascii="Segoe UI Semibold" w:hAnsi="Segoe UI Semibold"/>
                <w:color w:val="00264D" w:themeColor="background2"/>
                <w:sz w:val="17"/>
                <w:szCs w:val="17"/>
              </w:rPr>
            </w:pPr>
            <w:r w:rsidRPr="0000533F">
              <w:rPr>
                <w:rFonts w:ascii="Segoe UI Semibold" w:hAnsi="Segoe UI Semibold"/>
                <w:color w:val="00264D" w:themeColor="background2"/>
                <w:sz w:val="17"/>
                <w:szCs w:val="17"/>
              </w:rPr>
              <w:t>3 Effectiveness</w:t>
            </w:r>
          </w:p>
          <w:p w14:paraId="0F295F29" w14:textId="5253083D" w:rsidR="002B25E0" w:rsidRDefault="002B25E0">
            <w:pPr>
              <w:spacing w:before="40" w:after="40"/>
              <w:rPr>
                <w:rFonts w:asciiTheme="minorHAnsi" w:hAnsiTheme="minorHAnsi" w:cstheme="minorHAnsi"/>
                <w:color w:val="00264D" w:themeColor="background2"/>
                <w:sz w:val="17"/>
                <w:szCs w:val="17"/>
              </w:rPr>
            </w:pPr>
            <w:r w:rsidRPr="0000533F">
              <w:rPr>
                <w:rFonts w:asciiTheme="minorHAnsi" w:hAnsiTheme="minorHAnsi" w:cstheme="minorHAnsi"/>
                <w:color w:val="00264D" w:themeColor="background2"/>
                <w:sz w:val="17"/>
                <w:szCs w:val="17"/>
              </w:rPr>
              <w:t xml:space="preserve">How effective is </w:t>
            </w:r>
            <w:r w:rsidR="00FD304C">
              <w:rPr>
                <w:rFonts w:asciiTheme="minorHAnsi" w:hAnsiTheme="minorHAnsi" w:cstheme="minorHAnsi"/>
                <w:color w:val="00264D" w:themeColor="background2"/>
                <w:sz w:val="17"/>
                <w:szCs w:val="17"/>
              </w:rPr>
              <w:t>SARC – IC</w:t>
            </w:r>
            <w:r w:rsidRPr="0000533F">
              <w:rPr>
                <w:rFonts w:asciiTheme="minorHAnsi" w:hAnsiTheme="minorHAnsi" w:cstheme="minorHAnsi"/>
                <w:color w:val="00264D" w:themeColor="background2"/>
                <w:sz w:val="17"/>
                <w:szCs w:val="17"/>
              </w:rPr>
              <w:t xml:space="preserve"> design in delivering program objectives and short, medium and long-term outcomes?</w:t>
            </w:r>
          </w:p>
          <w:p w14:paraId="41345274" w14:textId="77777777" w:rsidR="002B25E0" w:rsidRPr="0000533F" w:rsidRDefault="002B25E0" w:rsidP="4AF1E856">
            <w:pPr>
              <w:spacing w:before="40" w:after="40"/>
              <w:rPr>
                <w:rFonts w:asciiTheme="minorHAnsi" w:hAnsiTheme="minorHAnsi"/>
                <w:color w:val="00264D" w:themeColor="background2"/>
                <w:sz w:val="17"/>
                <w:szCs w:val="17"/>
              </w:rPr>
            </w:pPr>
            <w:r w:rsidRPr="00112D2C">
              <w:rPr>
                <w:rFonts w:asciiTheme="minorHAnsi" w:hAnsiTheme="minorHAnsi" w:cstheme="minorHAnsi"/>
                <w:noProof/>
                <w:color w:val="00264D" w:themeColor="background2"/>
                <w:sz w:val="17"/>
                <w:szCs w:val="17"/>
              </w:rPr>
              <mc:AlternateContent>
                <mc:Choice Requires="wpg">
                  <w:drawing>
                    <wp:inline distT="0" distB="0" distL="0" distR="0" wp14:anchorId="4419D8DC" wp14:editId="2C9229EA">
                      <wp:extent cx="246740" cy="217833"/>
                      <wp:effectExtent l="0" t="0" r="1270" b="0"/>
                      <wp:docPr id="934940194" name="Group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6740" cy="217833"/>
                                <a:chOff x="0" y="0"/>
                                <a:chExt cx="895350" cy="735013"/>
                              </a:xfrm>
                              <a:solidFill>
                                <a:schemeClr val="accent1"/>
                              </a:solidFill>
                            </wpg:grpSpPr>
                            <wps:wsp>
                              <wps:cNvPr id="873376458" name="Freeform 8"/>
                              <wps:cNvSpPr>
                                <a:spLocks noEditPoints="1"/>
                              </wps:cNvSpPr>
                              <wps:spPr bwMode="auto">
                                <a:xfrm>
                                  <a:off x="0" y="57150"/>
                                  <a:ext cx="292100" cy="525463"/>
                                </a:xfrm>
                                <a:custGeom>
                                  <a:avLst/>
                                  <a:gdLst>
                                    <a:gd name="T0" fmla="*/ 68 w 78"/>
                                    <a:gd name="T1" fmla="*/ 134 h 140"/>
                                    <a:gd name="T2" fmla="*/ 68 w 78"/>
                                    <a:gd name="T3" fmla="*/ 132 h 140"/>
                                    <a:gd name="T4" fmla="*/ 62 w 78"/>
                                    <a:gd name="T5" fmla="*/ 126 h 140"/>
                                    <a:gd name="T6" fmla="*/ 62 w 78"/>
                                    <a:gd name="T7" fmla="*/ 134 h 140"/>
                                    <a:gd name="T8" fmla="*/ 50 w 78"/>
                                    <a:gd name="T9" fmla="*/ 134 h 140"/>
                                    <a:gd name="T10" fmla="*/ 50 w 78"/>
                                    <a:gd name="T11" fmla="*/ 107 h 140"/>
                                    <a:gd name="T12" fmla="*/ 44 w 78"/>
                                    <a:gd name="T13" fmla="*/ 91 h 140"/>
                                    <a:gd name="T14" fmla="*/ 44 w 78"/>
                                    <a:gd name="T15" fmla="*/ 100 h 140"/>
                                    <a:gd name="T16" fmla="*/ 23 w 78"/>
                                    <a:gd name="T17" fmla="*/ 100 h 140"/>
                                    <a:gd name="T18" fmla="*/ 23 w 78"/>
                                    <a:gd name="T19" fmla="*/ 82 h 140"/>
                                    <a:gd name="T20" fmla="*/ 42 w 78"/>
                                    <a:gd name="T21" fmla="*/ 82 h 140"/>
                                    <a:gd name="T22" fmla="*/ 42 w 78"/>
                                    <a:gd name="T23" fmla="*/ 77 h 140"/>
                                    <a:gd name="T24" fmla="*/ 22 w 78"/>
                                    <a:gd name="T25" fmla="*/ 77 h 140"/>
                                    <a:gd name="T26" fmla="*/ 17 w 78"/>
                                    <a:gd name="T27" fmla="*/ 82 h 140"/>
                                    <a:gd name="T28" fmla="*/ 17 w 78"/>
                                    <a:gd name="T29" fmla="*/ 134 h 140"/>
                                    <a:gd name="T30" fmla="*/ 6 w 78"/>
                                    <a:gd name="T31" fmla="*/ 134 h 140"/>
                                    <a:gd name="T32" fmla="*/ 6 w 78"/>
                                    <a:gd name="T33" fmla="*/ 68 h 140"/>
                                    <a:gd name="T34" fmla="*/ 42 w 78"/>
                                    <a:gd name="T35" fmla="*/ 61 h 140"/>
                                    <a:gd name="T36" fmla="*/ 43 w 78"/>
                                    <a:gd name="T37" fmla="*/ 55 h 140"/>
                                    <a:gd name="T38" fmla="*/ 6 w 78"/>
                                    <a:gd name="T39" fmla="*/ 63 h 140"/>
                                    <a:gd name="T40" fmla="*/ 6 w 78"/>
                                    <a:gd name="T41" fmla="*/ 3 h 140"/>
                                    <a:gd name="T42" fmla="*/ 3 w 78"/>
                                    <a:gd name="T43" fmla="*/ 0 h 140"/>
                                    <a:gd name="T44" fmla="*/ 0 w 78"/>
                                    <a:gd name="T45" fmla="*/ 3 h 140"/>
                                    <a:gd name="T46" fmla="*/ 0 w 78"/>
                                    <a:gd name="T47" fmla="*/ 137 h 140"/>
                                    <a:gd name="T48" fmla="*/ 3 w 78"/>
                                    <a:gd name="T49" fmla="*/ 140 h 140"/>
                                    <a:gd name="T50" fmla="*/ 78 w 78"/>
                                    <a:gd name="T51" fmla="*/ 140 h 140"/>
                                    <a:gd name="T52" fmla="*/ 70 w 78"/>
                                    <a:gd name="T53" fmla="*/ 134 h 140"/>
                                    <a:gd name="T54" fmla="*/ 68 w 78"/>
                                    <a:gd name="T55" fmla="*/ 134 h 140"/>
                                    <a:gd name="T56" fmla="*/ 44 w 78"/>
                                    <a:gd name="T57" fmla="*/ 134 h 140"/>
                                    <a:gd name="T58" fmla="*/ 23 w 78"/>
                                    <a:gd name="T59" fmla="*/ 134 h 140"/>
                                    <a:gd name="T60" fmla="*/ 23 w 78"/>
                                    <a:gd name="T61" fmla="*/ 106 h 140"/>
                                    <a:gd name="T62" fmla="*/ 44 w 78"/>
                                    <a:gd name="T63" fmla="*/ 106 h 140"/>
                                    <a:gd name="T64" fmla="*/ 44 w 78"/>
                                    <a:gd name="T65" fmla="*/ 134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78" h="140">
                                      <a:moveTo>
                                        <a:pt x="68" y="134"/>
                                      </a:moveTo>
                                      <a:cubicBezTo>
                                        <a:pt x="68" y="133"/>
                                        <a:pt x="68" y="133"/>
                                        <a:pt x="68" y="132"/>
                                      </a:cubicBezTo>
                                      <a:cubicBezTo>
                                        <a:pt x="66" y="130"/>
                                        <a:pt x="64" y="128"/>
                                        <a:pt x="62" y="126"/>
                                      </a:cubicBezTo>
                                      <a:cubicBezTo>
                                        <a:pt x="62" y="128"/>
                                        <a:pt x="62" y="131"/>
                                        <a:pt x="62" y="134"/>
                                      </a:cubicBezTo>
                                      <a:cubicBezTo>
                                        <a:pt x="50" y="134"/>
                                        <a:pt x="50" y="134"/>
                                        <a:pt x="50" y="134"/>
                                      </a:cubicBezTo>
                                      <a:cubicBezTo>
                                        <a:pt x="50" y="107"/>
                                        <a:pt x="50" y="107"/>
                                        <a:pt x="50" y="107"/>
                                      </a:cubicBezTo>
                                      <a:cubicBezTo>
                                        <a:pt x="48" y="102"/>
                                        <a:pt x="46" y="97"/>
                                        <a:pt x="44" y="91"/>
                                      </a:cubicBezTo>
                                      <a:cubicBezTo>
                                        <a:pt x="44" y="100"/>
                                        <a:pt x="44" y="100"/>
                                        <a:pt x="44" y="100"/>
                                      </a:cubicBezTo>
                                      <a:cubicBezTo>
                                        <a:pt x="23" y="100"/>
                                        <a:pt x="23" y="100"/>
                                        <a:pt x="23" y="100"/>
                                      </a:cubicBezTo>
                                      <a:cubicBezTo>
                                        <a:pt x="23" y="82"/>
                                        <a:pt x="23" y="82"/>
                                        <a:pt x="23" y="82"/>
                                      </a:cubicBezTo>
                                      <a:cubicBezTo>
                                        <a:pt x="42" y="82"/>
                                        <a:pt x="42" y="82"/>
                                        <a:pt x="42" y="82"/>
                                      </a:cubicBezTo>
                                      <a:cubicBezTo>
                                        <a:pt x="42" y="80"/>
                                        <a:pt x="42" y="79"/>
                                        <a:pt x="42" y="77"/>
                                      </a:cubicBezTo>
                                      <a:cubicBezTo>
                                        <a:pt x="22" y="77"/>
                                        <a:pt x="22" y="77"/>
                                        <a:pt x="22" y="77"/>
                                      </a:cubicBezTo>
                                      <a:cubicBezTo>
                                        <a:pt x="19" y="77"/>
                                        <a:pt x="17" y="79"/>
                                        <a:pt x="17" y="82"/>
                                      </a:cubicBezTo>
                                      <a:cubicBezTo>
                                        <a:pt x="17" y="134"/>
                                        <a:pt x="17" y="134"/>
                                        <a:pt x="17" y="134"/>
                                      </a:cubicBezTo>
                                      <a:cubicBezTo>
                                        <a:pt x="6" y="134"/>
                                        <a:pt x="6" y="134"/>
                                        <a:pt x="6" y="134"/>
                                      </a:cubicBezTo>
                                      <a:cubicBezTo>
                                        <a:pt x="6" y="68"/>
                                        <a:pt x="6" y="68"/>
                                        <a:pt x="6" y="68"/>
                                      </a:cubicBezTo>
                                      <a:cubicBezTo>
                                        <a:pt x="18" y="67"/>
                                        <a:pt x="30" y="64"/>
                                        <a:pt x="42" y="61"/>
                                      </a:cubicBezTo>
                                      <a:cubicBezTo>
                                        <a:pt x="42" y="59"/>
                                        <a:pt x="42" y="57"/>
                                        <a:pt x="43" y="55"/>
                                      </a:cubicBezTo>
                                      <a:cubicBezTo>
                                        <a:pt x="31" y="59"/>
                                        <a:pt x="18" y="61"/>
                                        <a:pt x="6" y="63"/>
                                      </a:cubicBezTo>
                                      <a:cubicBezTo>
                                        <a:pt x="6" y="3"/>
                                        <a:pt x="6" y="3"/>
                                        <a:pt x="6" y="3"/>
                                      </a:cubicBezTo>
                                      <a:cubicBezTo>
                                        <a:pt x="6" y="1"/>
                                        <a:pt x="4" y="0"/>
                                        <a:pt x="3" y="0"/>
                                      </a:cubicBezTo>
                                      <a:cubicBezTo>
                                        <a:pt x="1" y="0"/>
                                        <a:pt x="0" y="1"/>
                                        <a:pt x="0" y="3"/>
                                      </a:cubicBezTo>
                                      <a:cubicBezTo>
                                        <a:pt x="0" y="137"/>
                                        <a:pt x="0" y="137"/>
                                        <a:pt x="0" y="137"/>
                                      </a:cubicBezTo>
                                      <a:cubicBezTo>
                                        <a:pt x="0" y="139"/>
                                        <a:pt x="1" y="140"/>
                                        <a:pt x="3" y="140"/>
                                      </a:cubicBezTo>
                                      <a:cubicBezTo>
                                        <a:pt x="78" y="140"/>
                                        <a:pt x="78" y="140"/>
                                        <a:pt x="78" y="140"/>
                                      </a:cubicBezTo>
                                      <a:cubicBezTo>
                                        <a:pt x="75" y="138"/>
                                        <a:pt x="73" y="136"/>
                                        <a:pt x="70" y="134"/>
                                      </a:cubicBezTo>
                                      <a:lnTo>
                                        <a:pt x="68" y="134"/>
                                      </a:lnTo>
                                      <a:close/>
                                      <a:moveTo>
                                        <a:pt x="44" y="134"/>
                                      </a:moveTo>
                                      <a:cubicBezTo>
                                        <a:pt x="23" y="134"/>
                                        <a:pt x="23" y="134"/>
                                        <a:pt x="23" y="134"/>
                                      </a:cubicBezTo>
                                      <a:cubicBezTo>
                                        <a:pt x="23" y="106"/>
                                        <a:pt x="23" y="106"/>
                                        <a:pt x="23" y="106"/>
                                      </a:cubicBezTo>
                                      <a:cubicBezTo>
                                        <a:pt x="44" y="106"/>
                                        <a:pt x="44" y="106"/>
                                        <a:pt x="44" y="106"/>
                                      </a:cubicBezTo>
                                      <a:lnTo>
                                        <a:pt x="44" y="134"/>
                                      </a:lnTo>
                                      <a:close/>
                                    </a:path>
                                  </a:pathLst>
                                </a:custGeom>
                                <a:grpFill/>
                                <a:ln>
                                  <a:noFill/>
                                </a:ln>
                              </wps:spPr>
                              <wps:bodyPr vert="horz" wrap="square" lIns="64514" tIns="32257" rIns="64514" bIns="32257" numCol="1" anchor="t" anchorCtr="0" compatLnSpc="1">
                                <a:prstTxWarp prst="textNoShape">
                                  <a:avLst/>
                                </a:prstTxWarp>
                              </wps:bodyPr>
                            </wps:wsp>
                            <wps:wsp>
                              <wps:cNvPr id="1935479926" name="Freeform 9"/>
                              <wps:cNvSpPr>
                                <a:spLocks noEditPoints="1"/>
                              </wps:cNvSpPr>
                              <wps:spPr bwMode="auto">
                                <a:xfrm>
                                  <a:off x="231775" y="169863"/>
                                  <a:ext cx="333375" cy="412750"/>
                                </a:xfrm>
                                <a:custGeom>
                                  <a:avLst/>
                                  <a:gdLst>
                                    <a:gd name="T0" fmla="*/ 86 w 89"/>
                                    <a:gd name="T1" fmla="*/ 104 h 110"/>
                                    <a:gd name="T2" fmla="*/ 79 w 89"/>
                                    <a:gd name="T3" fmla="*/ 104 h 110"/>
                                    <a:gd name="T4" fmla="*/ 79 w 89"/>
                                    <a:gd name="T5" fmla="*/ 5 h 110"/>
                                    <a:gd name="T6" fmla="*/ 74 w 89"/>
                                    <a:gd name="T7" fmla="*/ 0 h 110"/>
                                    <a:gd name="T8" fmla="*/ 51 w 89"/>
                                    <a:gd name="T9" fmla="*/ 0 h 110"/>
                                    <a:gd name="T10" fmla="*/ 46 w 89"/>
                                    <a:gd name="T11" fmla="*/ 5 h 110"/>
                                    <a:gd name="T12" fmla="*/ 46 w 89"/>
                                    <a:gd name="T13" fmla="*/ 67 h 110"/>
                                    <a:gd name="T14" fmla="*/ 46 w 89"/>
                                    <a:gd name="T15" fmla="*/ 68 h 110"/>
                                    <a:gd name="T16" fmla="*/ 46 w 89"/>
                                    <a:gd name="T17" fmla="*/ 68 h 110"/>
                                    <a:gd name="T18" fmla="*/ 46 w 89"/>
                                    <a:gd name="T19" fmla="*/ 104 h 110"/>
                                    <a:gd name="T20" fmla="*/ 34 w 89"/>
                                    <a:gd name="T21" fmla="*/ 104 h 110"/>
                                    <a:gd name="T22" fmla="*/ 34 w 89"/>
                                    <a:gd name="T23" fmla="*/ 33 h 110"/>
                                    <a:gd name="T24" fmla="*/ 28 w 89"/>
                                    <a:gd name="T25" fmla="*/ 28 h 110"/>
                                    <a:gd name="T26" fmla="*/ 5 w 89"/>
                                    <a:gd name="T27" fmla="*/ 28 h 110"/>
                                    <a:gd name="T28" fmla="*/ 0 w 89"/>
                                    <a:gd name="T29" fmla="*/ 33 h 110"/>
                                    <a:gd name="T30" fmla="*/ 0 w 89"/>
                                    <a:gd name="T31" fmla="*/ 79 h 110"/>
                                    <a:gd name="T32" fmla="*/ 6 w 89"/>
                                    <a:gd name="T33" fmla="*/ 87 h 110"/>
                                    <a:gd name="T34" fmla="*/ 6 w 89"/>
                                    <a:gd name="T35" fmla="*/ 55 h 110"/>
                                    <a:gd name="T36" fmla="*/ 28 w 89"/>
                                    <a:gd name="T37" fmla="*/ 55 h 110"/>
                                    <a:gd name="T38" fmla="*/ 28 w 89"/>
                                    <a:gd name="T39" fmla="*/ 104 h 110"/>
                                    <a:gd name="T40" fmla="*/ 25 w 89"/>
                                    <a:gd name="T41" fmla="*/ 104 h 110"/>
                                    <a:gd name="T42" fmla="*/ 36 w 89"/>
                                    <a:gd name="T43" fmla="*/ 110 h 110"/>
                                    <a:gd name="T44" fmla="*/ 86 w 89"/>
                                    <a:gd name="T45" fmla="*/ 110 h 110"/>
                                    <a:gd name="T46" fmla="*/ 89 w 89"/>
                                    <a:gd name="T47" fmla="*/ 107 h 110"/>
                                    <a:gd name="T48" fmla="*/ 86 w 89"/>
                                    <a:gd name="T49" fmla="*/ 104 h 110"/>
                                    <a:gd name="T50" fmla="*/ 28 w 89"/>
                                    <a:gd name="T51" fmla="*/ 50 h 110"/>
                                    <a:gd name="T52" fmla="*/ 6 w 89"/>
                                    <a:gd name="T53" fmla="*/ 50 h 110"/>
                                    <a:gd name="T54" fmla="*/ 6 w 89"/>
                                    <a:gd name="T55" fmla="*/ 34 h 110"/>
                                    <a:gd name="T56" fmla="*/ 28 w 89"/>
                                    <a:gd name="T57" fmla="*/ 34 h 110"/>
                                    <a:gd name="T58" fmla="*/ 28 w 89"/>
                                    <a:gd name="T59" fmla="*/ 50 h 110"/>
                                    <a:gd name="T60" fmla="*/ 73 w 89"/>
                                    <a:gd name="T61" fmla="*/ 104 h 110"/>
                                    <a:gd name="T62" fmla="*/ 52 w 89"/>
                                    <a:gd name="T63" fmla="*/ 104 h 110"/>
                                    <a:gd name="T64" fmla="*/ 52 w 89"/>
                                    <a:gd name="T65" fmla="*/ 73 h 110"/>
                                    <a:gd name="T66" fmla="*/ 52 w 89"/>
                                    <a:gd name="T67" fmla="*/ 68 h 110"/>
                                    <a:gd name="T68" fmla="*/ 52 w 89"/>
                                    <a:gd name="T69" fmla="*/ 27 h 110"/>
                                    <a:gd name="T70" fmla="*/ 73 w 89"/>
                                    <a:gd name="T71" fmla="*/ 27 h 110"/>
                                    <a:gd name="T72" fmla="*/ 73 w 89"/>
                                    <a:gd name="T73" fmla="*/ 104 h 110"/>
                                    <a:gd name="T74" fmla="*/ 73 w 89"/>
                                    <a:gd name="T75" fmla="*/ 22 h 110"/>
                                    <a:gd name="T76" fmla="*/ 52 w 89"/>
                                    <a:gd name="T77" fmla="*/ 22 h 110"/>
                                    <a:gd name="T78" fmla="*/ 52 w 89"/>
                                    <a:gd name="T79" fmla="*/ 5 h 110"/>
                                    <a:gd name="T80" fmla="*/ 73 w 89"/>
                                    <a:gd name="T81" fmla="*/ 5 h 110"/>
                                    <a:gd name="T82" fmla="*/ 73 w 89"/>
                                    <a:gd name="T83" fmla="*/ 22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9" h="110">
                                      <a:moveTo>
                                        <a:pt x="86" y="104"/>
                                      </a:moveTo>
                                      <a:cubicBezTo>
                                        <a:pt x="79" y="104"/>
                                        <a:pt x="79" y="104"/>
                                        <a:pt x="79" y="104"/>
                                      </a:cubicBezTo>
                                      <a:cubicBezTo>
                                        <a:pt x="79" y="5"/>
                                        <a:pt x="79" y="5"/>
                                        <a:pt x="79" y="5"/>
                                      </a:cubicBezTo>
                                      <a:cubicBezTo>
                                        <a:pt x="79" y="2"/>
                                        <a:pt x="77" y="0"/>
                                        <a:pt x="74" y="0"/>
                                      </a:cubicBezTo>
                                      <a:cubicBezTo>
                                        <a:pt x="51" y="0"/>
                                        <a:pt x="51" y="0"/>
                                        <a:pt x="51" y="0"/>
                                      </a:cubicBezTo>
                                      <a:cubicBezTo>
                                        <a:pt x="48" y="0"/>
                                        <a:pt x="46" y="2"/>
                                        <a:pt x="46" y="5"/>
                                      </a:cubicBezTo>
                                      <a:cubicBezTo>
                                        <a:pt x="46" y="67"/>
                                        <a:pt x="46" y="67"/>
                                        <a:pt x="46" y="67"/>
                                      </a:cubicBezTo>
                                      <a:cubicBezTo>
                                        <a:pt x="46" y="68"/>
                                        <a:pt x="46" y="68"/>
                                        <a:pt x="46" y="68"/>
                                      </a:cubicBezTo>
                                      <a:cubicBezTo>
                                        <a:pt x="46" y="68"/>
                                        <a:pt x="46" y="68"/>
                                        <a:pt x="46" y="68"/>
                                      </a:cubicBezTo>
                                      <a:cubicBezTo>
                                        <a:pt x="46" y="70"/>
                                        <a:pt x="46" y="77"/>
                                        <a:pt x="46" y="104"/>
                                      </a:cubicBezTo>
                                      <a:cubicBezTo>
                                        <a:pt x="34" y="104"/>
                                        <a:pt x="34" y="104"/>
                                        <a:pt x="34" y="104"/>
                                      </a:cubicBezTo>
                                      <a:cubicBezTo>
                                        <a:pt x="34" y="33"/>
                                        <a:pt x="34" y="33"/>
                                        <a:pt x="34" y="33"/>
                                      </a:cubicBezTo>
                                      <a:cubicBezTo>
                                        <a:pt x="34" y="30"/>
                                        <a:pt x="31" y="28"/>
                                        <a:pt x="28" y="28"/>
                                      </a:cubicBezTo>
                                      <a:cubicBezTo>
                                        <a:pt x="5" y="28"/>
                                        <a:pt x="5" y="28"/>
                                        <a:pt x="5" y="28"/>
                                      </a:cubicBezTo>
                                      <a:cubicBezTo>
                                        <a:pt x="3" y="28"/>
                                        <a:pt x="0" y="30"/>
                                        <a:pt x="0" y="33"/>
                                      </a:cubicBezTo>
                                      <a:cubicBezTo>
                                        <a:pt x="0" y="79"/>
                                        <a:pt x="0" y="79"/>
                                        <a:pt x="0" y="79"/>
                                      </a:cubicBezTo>
                                      <a:cubicBezTo>
                                        <a:pt x="2" y="82"/>
                                        <a:pt x="4" y="85"/>
                                        <a:pt x="6" y="87"/>
                                      </a:cubicBezTo>
                                      <a:cubicBezTo>
                                        <a:pt x="6" y="55"/>
                                        <a:pt x="6" y="55"/>
                                        <a:pt x="6" y="55"/>
                                      </a:cubicBezTo>
                                      <a:cubicBezTo>
                                        <a:pt x="28" y="55"/>
                                        <a:pt x="28" y="55"/>
                                        <a:pt x="28" y="55"/>
                                      </a:cubicBezTo>
                                      <a:cubicBezTo>
                                        <a:pt x="28" y="104"/>
                                        <a:pt x="28" y="104"/>
                                        <a:pt x="28" y="104"/>
                                      </a:cubicBezTo>
                                      <a:cubicBezTo>
                                        <a:pt x="25" y="104"/>
                                        <a:pt x="25" y="104"/>
                                        <a:pt x="25" y="104"/>
                                      </a:cubicBezTo>
                                      <a:cubicBezTo>
                                        <a:pt x="28" y="106"/>
                                        <a:pt x="32" y="108"/>
                                        <a:pt x="36" y="110"/>
                                      </a:cubicBezTo>
                                      <a:cubicBezTo>
                                        <a:pt x="86" y="110"/>
                                        <a:pt x="86" y="110"/>
                                        <a:pt x="86" y="110"/>
                                      </a:cubicBezTo>
                                      <a:cubicBezTo>
                                        <a:pt x="87" y="110"/>
                                        <a:pt x="89" y="109"/>
                                        <a:pt x="89" y="107"/>
                                      </a:cubicBezTo>
                                      <a:cubicBezTo>
                                        <a:pt x="89" y="105"/>
                                        <a:pt x="87" y="104"/>
                                        <a:pt x="86" y="104"/>
                                      </a:cubicBezTo>
                                      <a:close/>
                                      <a:moveTo>
                                        <a:pt x="28" y="50"/>
                                      </a:moveTo>
                                      <a:cubicBezTo>
                                        <a:pt x="6" y="50"/>
                                        <a:pt x="6" y="50"/>
                                        <a:pt x="6" y="50"/>
                                      </a:cubicBezTo>
                                      <a:cubicBezTo>
                                        <a:pt x="6" y="34"/>
                                        <a:pt x="6" y="34"/>
                                        <a:pt x="6" y="34"/>
                                      </a:cubicBezTo>
                                      <a:cubicBezTo>
                                        <a:pt x="28" y="34"/>
                                        <a:pt x="28" y="34"/>
                                        <a:pt x="28" y="34"/>
                                      </a:cubicBezTo>
                                      <a:lnTo>
                                        <a:pt x="28" y="50"/>
                                      </a:lnTo>
                                      <a:close/>
                                      <a:moveTo>
                                        <a:pt x="73" y="104"/>
                                      </a:moveTo>
                                      <a:cubicBezTo>
                                        <a:pt x="52" y="104"/>
                                        <a:pt x="52" y="104"/>
                                        <a:pt x="52" y="104"/>
                                      </a:cubicBezTo>
                                      <a:cubicBezTo>
                                        <a:pt x="52" y="87"/>
                                        <a:pt x="52" y="78"/>
                                        <a:pt x="52" y="73"/>
                                      </a:cubicBezTo>
                                      <a:cubicBezTo>
                                        <a:pt x="52" y="70"/>
                                        <a:pt x="52" y="68"/>
                                        <a:pt x="52" y="68"/>
                                      </a:cubicBezTo>
                                      <a:cubicBezTo>
                                        <a:pt x="52" y="27"/>
                                        <a:pt x="52" y="27"/>
                                        <a:pt x="52" y="27"/>
                                      </a:cubicBezTo>
                                      <a:cubicBezTo>
                                        <a:pt x="73" y="27"/>
                                        <a:pt x="73" y="27"/>
                                        <a:pt x="73" y="27"/>
                                      </a:cubicBezTo>
                                      <a:lnTo>
                                        <a:pt x="73" y="104"/>
                                      </a:lnTo>
                                      <a:close/>
                                      <a:moveTo>
                                        <a:pt x="73" y="22"/>
                                      </a:moveTo>
                                      <a:cubicBezTo>
                                        <a:pt x="52" y="22"/>
                                        <a:pt x="52" y="22"/>
                                        <a:pt x="52" y="22"/>
                                      </a:cubicBezTo>
                                      <a:cubicBezTo>
                                        <a:pt x="52" y="5"/>
                                        <a:pt x="52" y="5"/>
                                        <a:pt x="52" y="5"/>
                                      </a:cubicBezTo>
                                      <a:cubicBezTo>
                                        <a:pt x="73" y="5"/>
                                        <a:pt x="73" y="5"/>
                                        <a:pt x="73" y="5"/>
                                      </a:cubicBezTo>
                                      <a:lnTo>
                                        <a:pt x="73" y="22"/>
                                      </a:lnTo>
                                      <a:close/>
                                    </a:path>
                                  </a:pathLst>
                                </a:custGeom>
                                <a:grpFill/>
                                <a:ln>
                                  <a:noFill/>
                                </a:ln>
                              </wps:spPr>
                              <wps:bodyPr vert="horz" wrap="square" lIns="64514" tIns="32257" rIns="64514" bIns="32257" numCol="1" anchor="t" anchorCtr="0" compatLnSpc="1">
                                <a:prstTxWarp prst="textNoShape">
                                  <a:avLst/>
                                </a:prstTxWarp>
                              </wps:bodyPr>
                            </wps:wsp>
                            <wps:wsp>
                              <wps:cNvPr id="95162766" name="Freeform 10"/>
                              <wps:cNvSpPr>
                                <a:spLocks/>
                              </wps:cNvSpPr>
                              <wps:spPr bwMode="auto">
                                <a:xfrm>
                                  <a:off x="193675" y="41275"/>
                                  <a:ext cx="285750" cy="228600"/>
                                </a:xfrm>
                                <a:custGeom>
                                  <a:avLst/>
                                  <a:gdLst>
                                    <a:gd name="T0" fmla="*/ 70 w 76"/>
                                    <a:gd name="T1" fmla="*/ 9 h 61"/>
                                    <a:gd name="T2" fmla="*/ 70 w 76"/>
                                    <a:gd name="T3" fmla="*/ 20 h 61"/>
                                    <a:gd name="T4" fmla="*/ 73 w 76"/>
                                    <a:gd name="T5" fmla="*/ 23 h 61"/>
                                    <a:gd name="T6" fmla="*/ 76 w 76"/>
                                    <a:gd name="T7" fmla="*/ 20 h 61"/>
                                    <a:gd name="T8" fmla="*/ 76 w 76"/>
                                    <a:gd name="T9" fmla="*/ 3 h 61"/>
                                    <a:gd name="T10" fmla="*/ 73 w 76"/>
                                    <a:gd name="T11" fmla="*/ 0 h 61"/>
                                    <a:gd name="T12" fmla="*/ 56 w 76"/>
                                    <a:gd name="T13" fmla="*/ 0 h 61"/>
                                    <a:gd name="T14" fmla="*/ 53 w 76"/>
                                    <a:gd name="T15" fmla="*/ 3 h 61"/>
                                    <a:gd name="T16" fmla="*/ 56 w 76"/>
                                    <a:gd name="T17" fmla="*/ 6 h 61"/>
                                    <a:gd name="T18" fmla="*/ 65 w 76"/>
                                    <a:gd name="T19" fmla="*/ 6 h 61"/>
                                    <a:gd name="T20" fmla="*/ 2 w 76"/>
                                    <a:gd name="T21" fmla="*/ 54 h 61"/>
                                    <a:gd name="T22" fmla="*/ 0 w 76"/>
                                    <a:gd name="T23" fmla="*/ 61 h 61"/>
                                    <a:gd name="T24" fmla="*/ 70 w 76"/>
                                    <a:gd name="T25" fmla="*/ 9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6" h="61">
                                      <a:moveTo>
                                        <a:pt x="70" y="9"/>
                                      </a:moveTo>
                                      <a:cubicBezTo>
                                        <a:pt x="70" y="20"/>
                                        <a:pt x="70" y="20"/>
                                        <a:pt x="70" y="20"/>
                                      </a:cubicBezTo>
                                      <a:cubicBezTo>
                                        <a:pt x="70" y="22"/>
                                        <a:pt x="71" y="23"/>
                                        <a:pt x="73" y="23"/>
                                      </a:cubicBezTo>
                                      <a:cubicBezTo>
                                        <a:pt x="74" y="23"/>
                                        <a:pt x="76" y="22"/>
                                        <a:pt x="76" y="20"/>
                                      </a:cubicBezTo>
                                      <a:cubicBezTo>
                                        <a:pt x="76" y="3"/>
                                        <a:pt x="76" y="3"/>
                                        <a:pt x="76" y="3"/>
                                      </a:cubicBezTo>
                                      <a:cubicBezTo>
                                        <a:pt x="76" y="2"/>
                                        <a:pt x="74" y="0"/>
                                        <a:pt x="73" y="0"/>
                                      </a:cubicBezTo>
                                      <a:cubicBezTo>
                                        <a:pt x="56" y="0"/>
                                        <a:pt x="56" y="0"/>
                                        <a:pt x="56" y="0"/>
                                      </a:cubicBezTo>
                                      <a:cubicBezTo>
                                        <a:pt x="55" y="0"/>
                                        <a:pt x="53" y="2"/>
                                        <a:pt x="53" y="3"/>
                                      </a:cubicBezTo>
                                      <a:cubicBezTo>
                                        <a:pt x="53" y="5"/>
                                        <a:pt x="55" y="6"/>
                                        <a:pt x="56" y="6"/>
                                      </a:cubicBezTo>
                                      <a:cubicBezTo>
                                        <a:pt x="65" y="6"/>
                                        <a:pt x="65" y="6"/>
                                        <a:pt x="65" y="6"/>
                                      </a:cubicBezTo>
                                      <a:cubicBezTo>
                                        <a:pt x="48" y="27"/>
                                        <a:pt x="26" y="44"/>
                                        <a:pt x="2" y="54"/>
                                      </a:cubicBezTo>
                                      <a:cubicBezTo>
                                        <a:pt x="1" y="56"/>
                                        <a:pt x="1" y="59"/>
                                        <a:pt x="0" y="61"/>
                                      </a:cubicBezTo>
                                      <a:cubicBezTo>
                                        <a:pt x="27" y="50"/>
                                        <a:pt x="51" y="32"/>
                                        <a:pt x="70" y="9"/>
                                      </a:cubicBezTo>
                                      <a:close/>
                                    </a:path>
                                  </a:pathLst>
                                </a:custGeom>
                                <a:grpFill/>
                                <a:ln>
                                  <a:noFill/>
                                </a:ln>
                              </wps:spPr>
                              <wps:bodyPr vert="horz" wrap="square" lIns="64514" tIns="32257" rIns="64514" bIns="32257" numCol="1" anchor="t" anchorCtr="0" compatLnSpc="1">
                                <a:prstTxWarp prst="textNoShape">
                                  <a:avLst/>
                                </a:prstTxWarp>
                              </wps:bodyPr>
                            </wps:wsp>
                            <wps:wsp>
                              <wps:cNvPr id="881729662" name="Freeform 11"/>
                              <wps:cNvSpPr>
                                <a:spLocks noEditPoints="1"/>
                              </wps:cNvSpPr>
                              <wps:spPr bwMode="auto">
                                <a:xfrm>
                                  <a:off x="160337" y="0"/>
                                  <a:ext cx="735013" cy="735013"/>
                                </a:xfrm>
                                <a:custGeom>
                                  <a:avLst/>
                                  <a:gdLst>
                                    <a:gd name="T0" fmla="*/ 196 w 196"/>
                                    <a:gd name="T1" fmla="*/ 191 h 196"/>
                                    <a:gd name="T2" fmla="*/ 196 w 196"/>
                                    <a:gd name="T3" fmla="*/ 191 h 196"/>
                                    <a:gd name="T4" fmla="*/ 147 w 196"/>
                                    <a:gd name="T5" fmla="*/ 142 h 196"/>
                                    <a:gd name="T6" fmla="*/ 148 w 196"/>
                                    <a:gd name="T7" fmla="*/ 141 h 196"/>
                                    <a:gd name="T8" fmla="*/ 169 w 196"/>
                                    <a:gd name="T9" fmla="*/ 84 h 196"/>
                                    <a:gd name="T10" fmla="*/ 85 w 196"/>
                                    <a:gd name="T11" fmla="*/ 0 h 196"/>
                                    <a:gd name="T12" fmla="*/ 2 w 196"/>
                                    <a:gd name="T13" fmla="*/ 69 h 196"/>
                                    <a:gd name="T14" fmla="*/ 1 w 196"/>
                                    <a:gd name="T15" fmla="*/ 75 h 196"/>
                                    <a:gd name="T16" fmla="*/ 0 w 196"/>
                                    <a:gd name="T17" fmla="*/ 84 h 196"/>
                                    <a:gd name="T18" fmla="*/ 1 w 196"/>
                                    <a:gd name="T19" fmla="*/ 92 h 196"/>
                                    <a:gd name="T20" fmla="*/ 7 w 196"/>
                                    <a:gd name="T21" fmla="*/ 117 h 196"/>
                                    <a:gd name="T22" fmla="*/ 19 w 196"/>
                                    <a:gd name="T23" fmla="*/ 138 h 196"/>
                                    <a:gd name="T24" fmla="*/ 25 w 196"/>
                                    <a:gd name="T25" fmla="*/ 144 h 196"/>
                                    <a:gd name="T26" fmla="*/ 30 w 196"/>
                                    <a:gd name="T27" fmla="*/ 149 h 196"/>
                                    <a:gd name="T28" fmla="*/ 38 w 196"/>
                                    <a:gd name="T29" fmla="*/ 155 h 196"/>
                                    <a:gd name="T30" fmla="*/ 85 w 196"/>
                                    <a:gd name="T31" fmla="*/ 169 h 196"/>
                                    <a:gd name="T32" fmla="*/ 141 w 196"/>
                                    <a:gd name="T33" fmla="*/ 147 h 196"/>
                                    <a:gd name="T34" fmla="*/ 142 w 196"/>
                                    <a:gd name="T35" fmla="*/ 146 h 196"/>
                                    <a:gd name="T36" fmla="*/ 143 w 196"/>
                                    <a:gd name="T37" fmla="*/ 147 h 196"/>
                                    <a:gd name="T38" fmla="*/ 191 w 196"/>
                                    <a:gd name="T39" fmla="*/ 195 h 196"/>
                                    <a:gd name="T40" fmla="*/ 194 w 196"/>
                                    <a:gd name="T41" fmla="*/ 196 h 196"/>
                                    <a:gd name="T42" fmla="*/ 196 w 196"/>
                                    <a:gd name="T43" fmla="*/ 193 h 196"/>
                                    <a:gd name="T44" fmla="*/ 196 w 196"/>
                                    <a:gd name="T45" fmla="*/ 191 h 196"/>
                                    <a:gd name="T46" fmla="*/ 85 w 196"/>
                                    <a:gd name="T47" fmla="*/ 163 h 196"/>
                                    <a:gd name="T48" fmla="*/ 50 w 196"/>
                                    <a:gd name="T49" fmla="*/ 155 h 196"/>
                                    <a:gd name="T50" fmla="*/ 40 w 196"/>
                                    <a:gd name="T51" fmla="*/ 149 h 196"/>
                                    <a:gd name="T52" fmla="*/ 25 w 196"/>
                                    <a:gd name="T53" fmla="*/ 136 h 196"/>
                                    <a:gd name="T54" fmla="*/ 19 w 196"/>
                                    <a:gd name="T55" fmla="*/ 128 h 196"/>
                                    <a:gd name="T56" fmla="*/ 6 w 196"/>
                                    <a:gd name="T57" fmla="*/ 84 h 196"/>
                                    <a:gd name="T58" fmla="*/ 7 w 196"/>
                                    <a:gd name="T59" fmla="*/ 73 h 196"/>
                                    <a:gd name="T60" fmla="*/ 8 w 196"/>
                                    <a:gd name="T61" fmla="*/ 66 h 196"/>
                                    <a:gd name="T62" fmla="*/ 85 w 196"/>
                                    <a:gd name="T63" fmla="*/ 6 h 196"/>
                                    <a:gd name="T64" fmla="*/ 163 w 196"/>
                                    <a:gd name="T65" fmla="*/ 84 h 196"/>
                                    <a:gd name="T66" fmla="*/ 85 w 196"/>
                                    <a:gd name="T67" fmla="*/ 163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96" h="196">
                                      <a:moveTo>
                                        <a:pt x="196" y="191"/>
                                      </a:moveTo>
                                      <a:cubicBezTo>
                                        <a:pt x="196" y="191"/>
                                        <a:pt x="196" y="191"/>
                                        <a:pt x="196" y="191"/>
                                      </a:cubicBezTo>
                                      <a:cubicBezTo>
                                        <a:pt x="147" y="142"/>
                                        <a:pt x="147" y="142"/>
                                        <a:pt x="147" y="142"/>
                                      </a:cubicBezTo>
                                      <a:cubicBezTo>
                                        <a:pt x="148" y="141"/>
                                        <a:pt x="148" y="141"/>
                                        <a:pt x="148" y="141"/>
                                      </a:cubicBezTo>
                                      <a:cubicBezTo>
                                        <a:pt x="162" y="125"/>
                                        <a:pt x="169" y="105"/>
                                        <a:pt x="169" y="84"/>
                                      </a:cubicBezTo>
                                      <a:cubicBezTo>
                                        <a:pt x="169" y="38"/>
                                        <a:pt x="131" y="0"/>
                                        <a:pt x="85" y="0"/>
                                      </a:cubicBezTo>
                                      <a:cubicBezTo>
                                        <a:pt x="44" y="0"/>
                                        <a:pt x="9" y="30"/>
                                        <a:pt x="2" y="69"/>
                                      </a:cubicBezTo>
                                      <a:cubicBezTo>
                                        <a:pt x="1" y="71"/>
                                        <a:pt x="1" y="73"/>
                                        <a:pt x="1" y="75"/>
                                      </a:cubicBezTo>
                                      <a:cubicBezTo>
                                        <a:pt x="1" y="78"/>
                                        <a:pt x="0" y="81"/>
                                        <a:pt x="0" y="84"/>
                                      </a:cubicBezTo>
                                      <a:cubicBezTo>
                                        <a:pt x="0" y="87"/>
                                        <a:pt x="0" y="89"/>
                                        <a:pt x="1" y="92"/>
                                      </a:cubicBezTo>
                                      <a:cubicBezTo>
                                        <a:pt x="1" y="101"/>
                                        <a:pt x="4" y="109"/>
                                        <a:pt x="7" y="117"/>
                                      </a:cubicBezTo>
                                      <a:cubicBezTo>
                                        <a:pt x="10" y="125"/>
                                        <a:pt x="14" y="132"/>
                                        <a:pt x="19" y="138"/>
                                      </a:cubicBezTo>
                                      <a:cubicBezTo>
                                        <a:pt x="21" y="140"/>
                                        <a:pt x="23" y="142"/>
                                        <a:pt x="25" y="144"/>
                                      </a:cubicBezTo>
                                      <a:cubicBezTo>
                                        <a:pt x="27" y="146"/>
                                        <a:pt x="29" y="148"/>
                                        <a:pt x="30" y="149"/>
                                      </a:cubicBezTo>
                                      <a:cubicBezTo>
                                        <a:pt x="33" y="151"/>
                                        <a:pt x="35" y="153"/>
                                        <a:pt x="38" y="155"/>
                                      </a:cubicBezTo>
                                      <a:cubicBezTo>
                                        <a:pt x="52" y="164"/>
                                        <a:pt x="68" y="169"/>
                                        <a:pt x="85" y="169"/>
                                      </a:cubicBezTo>
                                      <a:cubicBezTo>
                                        <a:pt x="106" y="169"/>
                                        <a:pt x="126" y="161"/>
                                        <a:pt x="141" y="147"/>
                                      </a:cubicBezTo>
                                      <a:cubicBezTo>
                                        <a:pt x="142" y="146"/>
                                        <a:pt x="142" y="146"/>
                                        <a:pt x="142" y="146"/>
                                      </a:cubicBezTo>
                                      <a:cubicBezTo>
                                        <a:pt x="143" y="147"/>
                                        <a:pt x="143" y="147"/>
                                        <a:pt x="143" y="147"/>
                                      </a:cubicBezTo>
                                      <a:cubicBezTo>
                                        <a:pt x="191" y="195"/>
                                        <a:pt x="191" y="195"/>
                                        <a:pt x="191" y="195"/>
                                      </a:cubicBezTo>
                                      <a:cubicBezTo>
                                        <a:pt x="192" y="196"/>
                                        <a:pt x="193" y="196"/>
                                        <a:pt x="194" y="196"/>
                                      </a:cubicBezTo>
                                      <a:cubicBezTo>
                                        <a:pt x="195" y="196"/>
                                        <a:pt x="196" y="195"/>
                                        <a:pt x="196" y="193"/>
                                      </a:cubicBezTo>
                                      <a:cubicBezTo>
                                        <a:pt x="196" y="192"/>
                                        <a:pt x="196" y="192"/>
                                        <a:pt x="196" y="191"/>
                                      </a:cubicBezTo>
                                      <a:close/>
                                      <a:moveTo>
                                        <a:pt x="85" y="163"/>
                                      </a:moveTo>
                                      <a:cubicBezTo>
                                        <a:pt x="72" y="163"/>
                                        <a:pt x="61" y="160"/>
                                        <a:pt x="50" y="155"/>
                                      </a:cubicBezTo>
                                      <a:cubicBezTo>
                                        <a:pt x="47" y="153"/>
                                        <a:pt x="43" y="151"/>
                                        <a:pt x="40" y="149"/>
                                      </a:cubicBezTo>
                                      <a:cubicBezTo>
                                        <a:pt x="35" y="145"/>
                                        <a:pt x="30" y="141"/>
                                        <a:pt x="25" y="136"/>
                                      </a:cubicBezTo>
                                      <a:cubicBezTo>
                                        <a:pt x="23" y="133"/>
                                        <a:pt x="21" y="131"/>
                                        <a:pt x="19" y="128"/>
                                      </a:cubicBezTo>
                                      <a:cubicBezTo>
                                        <a:pt x="11" y="115"/>
                                        <a:pt x="6" y="101"/>
                                        <a:pt x="6" y="84"/>
                                      </a:cubicBezTo>
                                      <a:cubicBezTo>
                                        <a:pt x="6" y="80"/>
                                        <a:pt x="7" y="76"/>
                                        <a:pt x="7" y="73"/>
                                      </a:cubicBezTo>
                                      <a:cubicBezTo>
                                        <a:pt x="7" y="70"/>
                                        <a:pt x="8" y="68"/>
                                        <a:pt x="8" y="66"/>
                                      </a:cubicBezTo>
                                      <a:cubicBezTo>
                                        <a:pt x="17" y="32"/>
                                        <a:pt x="48" y="6"/>
                                        <a:pt x="85" y="6"/>
                                      </a:cubicBezTo>
                                      <a:cubicBezTo>
                                        <a:pt x="128" y="6"/>
                                        <a:pt x="163" y="41"/>
                                        <a:pt x="163" y="84"/>
                                      </a:cubicBezTo>
                                      <a:cubicBezTo>
                                        <a:pt x="163" y="128"/>
                                        <a:pt x="128" y="163"/>
                                        <a:pt x="85" y="163"/>
                                      </a:cubicBezTo>
                                      <a:close/>
                                    </a:path>
                                  </a:pathLst>
                                </a:custGeom>
                                <a:grpFill/>
                                <a:ln>
                                  <a:noFill/>
                                </a:ln>
                              </wps:spPr>
                              <wps:bodyPr vert="horz" wrap="square" lIns="64514" tIns="32257" rIns="64514" bIns="32257" numCol="1" anchor="t" anchorCtr="0" compatLnSpc="1">
                                <a:prstTxWarp prst="textNoShape">
                                  <a:avLst/>
                                </a:prstTxWarp>
                              </wps:bodyPr>
                            </wps:wsp>
                          </wpg:wgp>
                        </a:graphicData>
                      </a:graphic>
                    </wp:inline>
                  </w:drawing>
                </mc:Choice>
                <mc:Fallback>
                  <w:pict>
                    <v:group w14:anchorId="509A897E" id="Group 38" o:spid="_x0000_s1026" alt="&quot;&quot;" style="width:19.45pt;height:17.15pt;mso-position-horizontal-relative:char;mso-position-vertical-relative:line" coordsize="8953,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">
                      <v:shape id="Freeform 8" o:spid="_x0000_s1027" style="position:absolute;top:571;width:2921;height:5255;visibility:visible;mso-wrap-style:square;v-text-anchor:top" coordsize="7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" path="m68,134v,-1,,-1,,-2c66,130,64,128,62,126v,2,,5,,8c50,134,50,134,50,134v,-27,,-27,,-27c48,102,46,97,44,91v,9,,9,,9c23,100,23,100,23,100v,-18,,-18,,-18c42,82,42,82,42,82v,-2,,-3,,-5c22,77,22,77,22,77v-3,,-5,2,-5,5c17,134,17,134,17,134v-11,,-11,,-11,c6,68,6,68,6,68,18,67,30,64,42,61v,-2,,-4,1,-6c31,59,18,61,6,63,6,3,6,3,6,3,6,1,4,,3,,1,,,1,,3,,137,,137,,137v,2,1,3,3,3c78,140,78,140,78,140v-3,-2,-5,-4,-8,-6l68,134xm44,134v-21,,-21,,-21,c23,106,23,106,23,106v21,,21,,21,l44,134xe" filled="f" stroked="f">
                        <v:path arrowok="t" o:connecttype="custom" o:connectlocs="254651,502943;254651,495437;232182,472917;232182,502943;187244,502943;187244,401604;164774,341551;164774,375331;86132,375331;86132,307771;157285,307771;157285,289005;82387,289005;63663,307771;63663,502943;22469,502943;22469,255225;157285,228952;161029,206432;22469,236458;22469,11260;11235,0;0,11260;0,514203;11235,525463;292100,525463;262141,502943;254651,502943;164774,502943;86132,502943;86132,397851;164774,397851;164774,502943" o:connectangles="0,0,0,0,0,0,0,0,0,0,0,0,0,0,0,0,0,0,0,0,0,0,0,0,0,0,0,0,0,0,0,0,0"/>
                        <o:lock v:ext="edit" verticies="t"/>
                      </v:shape>
                      <v:shape id="Freeform 9" o:spid="_x0000_s1028" style="position:absolute;left:2317;top:1698;width:3334;height:4128;visibility:visible;mso-wrap-style:square;v-text-anchor:top" coordsize="8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" path="m86,104v-7,,-7,,-7,c79,5,79,5,79,5,79,2,77,,74,,51,,51,,51,,48,,46,2,46,5v,62,,62,,62c46,68,46,68,46,68v,,,,,c46,70,46,77,46,104v-12,,-12,,-12,c34,33,34,33,34,33v,-3,-3,-5,-6,-5c5,28,5,28,5,28,3,28,,30,,33,,79,,79,,79v2,3,4,6,6,8c6,55,6,55,6,55v22,,22,,22,c28,104,28,104,28,104v-3,,-3,,-3,c28,106,32,108,36,110v50,,50,,50,c87,110,89,109,89,107v,-2,-2,-3,-3,-3xm28,50c6,50,6,50,6,50,6,34,6,34,6,34v22,,22,,22,l28,50xm73,104v-21,,-21,,-21,c52,87,52,78,52,73v,-3,,-5,,-5c52,27,52,27,52,27v21,,21,,21,l73,104xm73,22v-21,,-21,,-21,c52,5,52,5,52,5v21,,21,,21,l73,22xe" filled="f" stroked="f">
                        <v:path arrowok="t" o:connecttype="custom" o:connectlocs="322138,390236;295917,390236;295917,18761;277188,0;191035,0;172306,18761;172306,251402;172306,255155;172306,255155;172306,390236;127357,390236;127357,123825;104882,105064;18729,105064;0,123825;0,296430;22475,326448;22475,206375;104882,206375;104882,390236;93645,390236;134848,412750;322138,412750;333375,401493;322138,390236;104882,187614;22475,187614;22475,127577;104882,127577;104882,187614;273442,390236;194781,390236;194781,273916;194781,255155;194781,101311;273442,101311;273442,390236;273442,82550;194781,82550;194781,18761;273442,18761;273442,82550" o:connectangles="0,0,0,0,0,0,0,0,0,0,0,0,0,0,0,0,0,0,0,0,0,0,0,0,0,0,0,0,0,0,0,0,0,0,0,0,0,0,0,0,0,0"/>
                        <o:lock v:ext="edit" verticies="t"/>
                      </v:shape>
                      <v:shape id="Freeform 10" o:spid="_x0000_s1029" style="position:absolute;left:1936;top:412;width:2858;height:2286;visibility:visible;mso-wrap-style:square;v-text-anchor:top" coordsize="7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" path="m70,9v,11,,11,,11c70,22,71,23,73,23v1,,3,-1,3,-3c76,3,76,3,76,3,76,2,74,,73,,56,,56,,56,,55,,53,2,53,3v,2,2,3,3,3c65,6,65,6,65,6,48,27,26,44,2,54,1,56,1,59,,61,27,50,51,32,70,9xe" filled="f" stroked="f">
                        <v:path arrowok="t" o:connecttype="custom" o:connectlocs="263191,33728;263191,74951;274470,86193;285750,74951;285750,11243;274470,0;210553,0;199273,11243;210553,22485;244391,22485;7520,202367;0,228600;263191,33728" o:connectangles="0,0,0,0,0,0,0,0,0,0,0,0,0"/>
                      </v:shape>
                      <v:shape id="Freeform 11" o:spid="_x0000_s1030" style="position:absolute;left:1603;width:7350;height:7350;visibility:visible;mso-wrap-style:square;v-text-anchor:top" coordsize="19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" path="m196,191v,,,,,c147,142,147,142,147,142v1,-1,1,-1,1,-1c162,125,169,105,169,84,169,38,131,,85,,44,,9,30,2,69,1,71,1,73,1,75,1,78,,81,,84v,3,,5,1,8c1,101,4,109,7,117v3,8,7,15,12,21c21,140,23,142,25,144v2,2,4,4,5,5c33,151,35,153,38,155v14,9,30,14,47,14c106,169,126,161,141,147v1,-1,1,-1,1,-1c143,147,143,147,143,147v48,48,48,48,48,48c192,196,193,196,194,196v1,,2,-1,2,-3c196,192,196,192,196,191xm85,163v-13,,-24,-3,-35,-8c47,153,43,151,40,149,35,145,30,141,25,136v-2,-3,-4,-5,-6,-8c11,115,6,101,6,84,6,80,7,76,7,73v,-3,1,-5,1,-7c17,32,48,6,85,6v43,,78,35,78,78c163,128,128,163,85,163xe" filled="f" stroked="f">
                        <v:path arrowok="t" o:connecttype="custom" o:connectlocs="735013,716263;735013,716263;551260,532509;555010,528759;633761,315006;318756,0;7500,258755;3750,281255;0,315006;3750,345006;26250,438758;71251,517509;93752,540010;112502,558760;142503,581260;318756,633761;528759,551260;532509,547510;536259,551260;716263,731263;727513,735013;735013,723763;735013,716263;318756,611261;187503,581260;150003,558760;93752,510009;71251,480008;22500,315006;26250,273755;30001,247504;318756,22500;611261,315006;318756,611261" o:connectangles="0,0,0,0,0,0,0,0,0,0,0,0,0,0,0,0,0,0,0,0,0,0,0,0,0,0,0,0,0,0,0,0,0,0"/>
                        <o:lock v:ext="edit" verticies="t"/>
                      </v:shape>
                      <w10:anchorlock/>
                    </v:group>
                  </w:pict>
                </mc:Fallback>
              </mc:AlternateContent>
            </w:r>
          </w:p>
        </w:tc>
        <w:tc>
          <w:tcPr>
            <w:tcW w:w="3919" w:type="pct"/>
            <w:tcBorders>
              <w:top w:val="single" w:sz="12" w:space="0" w:color="E6E6E1" w:themeColor="accent5"/>
            </w:tcBorders>
            <w:vAlign w:val="top"/>
          </w:tcPr>
          <w:p w14:paraId="0BF9A486" w14:textId="77777777" w:rsidR="006E0620" w:rsidRDefault="002B25E0" w:rsidP="006E0620">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What short, medium and longer-term outcomes, intended and unintended, have been observed to date – from who, in what circumstances, when and how?</w:t>
            </w:r>
          </w:p>
          <w:p w14:paraId="738B3479" w14:textId="3E7E3D12" w:rsidR="002B25E0" w:rsidRPr="006E0620" w:rsidRDefault="002B25E0" w:rsidP="006E0620">
            <w:pPr>
              <w:numPr>
                <w:ilvl w:val="0"/>
                <w:numId w:val="3"/>
              </w:numPr>
              <w:suppressAutoHyphens/>
              <w:spacing w:before="40" w:after="40"/>
              <w:ind w:left="227" w:hanging="227"/>
              <w:rPr>
                <w:rFonts w:eastAsia="Times New Roman" w:cs="Times New Roman"/>
                <w:sz w:val="16"/>
                <w:szCs w:val="16"/>
                <w:lang w:eastAsia="en-AU"/>
              </w:rPr>
            </w:pPr>
            <w:r w:rsidRPr="006E0620">
              <w:rPr>
                <w:rFonts w:eastAsia="Times New Roman" w:cs="Times New Roman"/>
                <w:sz w:val="16"/>
                <w:szCs w:val="16"/>
                <w:lang w:eastAsia="en-AU"/>
              </w:rPr>
              <w:t>How do the outcomes achieved vary across target cohorts, geographies, and the manner and intensity of delivery?</w:t>
            </w:r>
          </w:p>
          <w:p w14:paraId="3E68F454" w14:textId="77777777" w:rsidR="002B25E0" w:rsidRDefault="002B25E0" w:rsidP="00D249A4">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How sustainable are these outcomes following the cessation of SARC – IC funded projects?</w:t>
            </w:r>
          </w:p>
          <w:p w14:paraId="5B72036B" w14:textId="77777777" w:rsidR="002B25E0" w:rsidRPr="0000533F" w:rsidRDefault="002B25E0" w:rsidP="00D249A4">
            <w:pPr>
              <w:numPr>
                <w:ilvl w:val="0"/>
                <w:numId w:val="3"/>
              </w:numPr>
              <w:suppressAutoHyphens/>
              <w:spacing w:before="40" w:after="40"/>
              <w:ind w:left="227" w:hanging="227"/>
              <w:rPr>
                <w:rFonts w:eastAsia="Times New Roman" w:cs="Times New Roman"/>
                <w:sz w:val="16"/>
                <w:szCs w:val="16"/>
                <w:lang w:eastAsia="en-AU"/>
              </w:rPr>
            </w:pPr>
            <w:r>
              <w:rPr>
                <w:rFonts w:eastAsia="Times New Roman" w:cs="Times New Roman"/>
                <w:sz w:val="16"/>
                <w:szCs w:val="16"/>
                <w:lang w:eastAsia="en-AU"/>
              </w:rPr>
              <w:t>How could program design be adapted into the future to improve outcomes for target cohorts?</w:t>
            </w:r>
          </w:p>
        </w:tc>
      </w:tr>
      <w:tr w:rsidR="00842D7F" w:rsidRPr="0000533F" w14:paraId="11D5E5A8" w14:textId="77777777" w:rsidTr="44DC81F6">
        <w:trPr>
          <w:cnfStyle w:val="000000010000" w:firstRow="0" w:lastRow="0" w:firstColumn="0" w:lastColumn="0" w:oddVBand="0" w:evenVBand="0" w:oddHBand="0" w:evenHBand="1" w:firstRowFirstColumn="0" w:firstRowLastColumn="0" w:lastRowFirstColumn="0" w:lastRowLastColumn="0"/>
          <w:trHeight w:val="903"/>
        </w:trPr>
        <w:tc>
          <w:tcPr>
            <w:tcW w:w="1081" w:type="pct"/>
            <w:tcBorders>
              <w:top w:val="single" w:sz="12" w:space="0" w:color="FFFFFF" w:themeColor="background1"/>
            </w:tcBorders>
            <w:shd w:val="clear" w:color="auto" w:fill="E6E6E1" w:themeFill="accent5"/>
            <w:vAlign w:val="top"/>
          </w:tcPr>
          <w:p w14:paraId="78293C08" w14:textId="77777777" w:rsidR="002B25E0" w:rsidRPr="0000533F" w:rsidRDefault="002B25E0">
            <w:pPr>
              <w:spacing w:before="40" w:after="40"/>
              <w:rPr>
                <w:rFonts w:ascii="Segoe UI Semibold" w:hAnsi="Segoe UI Semibold"/>
                <w:color w:val="00264D" w:themeColor="background2"/>
                <w:sz w:val="17"/>
                <w:szCs w:val="17"/>
              </w:rPr>
            </w:pPr>
            <w:r w:rsidRPr="0000533F">
              <w:rPr>
                <w:rFonts w:ascii="Segoe UI Semibold" w:hAnsi="Segoe UI Semibold"/>
                <w:color w:val="00264D" w:themeColor="background2"/>
                <w:sz w:val="17"/>
                <w:szCs w:val="17"/>
              </w:rPr>
              <w:t>4 Cost-effectiveness</w:t>
            </w:r>
          </w:p>
          <w:p w14:paraId="60F0EB8D" w14:textId="1CD78B2F" w:rsidR="002B25E0" w:rsidRDefault="002B25E0">
            <w:pPr>
              <w:spacing w:before="40" w:after="40"/>
              <w:rPr>
                <w:rFonts w:asciiTheme="minorHAnsi" w:hAnsiTheme="minorHAnsi" w:cstheme="minorHAnsi"/>
                <w:color w:val="00264D" w:themeColor="background2"/>
                <w:sz w:val="17"/>
                <w:szCs w:val="17"/>
              </w:rPr>
            </w:pPr>
            <w:r w:rsidRPr="0000533F">
              <w:rPr>
                <w:rFonts w:asciiTheme="minorHAnsi" w:hAnsiTheme="minorHAnsi" w:cstheme="minorHAnsi"/>
                <w:color w:val="00264D" w:themeColor="background2"/>
                <w:sz w:val="17"/>
                <w:szCs w:val="17"/>
              </w:rPr>
              <w:t xml:space="preserve">How cost effective is </w:t>
            </w:r>
            <w:r w:rsidR="00FD304C">
              <w:rPr>
                <w:rFonts w:asciiTheme="minorHAnsi" w:hAnsiTheme="minorHAnsi" w:cstheme="minorHAnsi"/>
                <w:color w:val="00264D" w:themeColor="background2"/>
                <w:sz w:val="17"/>
                <w:szCs w:val="17"/>
              </w:rPr>
              <w:t>SARC – IC</w:t>
            </w:r>
            <w:r w:rsidRPr="0000533F">
              <w:rPr>
                <w:rFonts w:asciiTheme="minorHAnsi" w:hAnsiTheme="minorHAnsi" w:cstheme="minorHAnsi"/>
                <w:color w:val="00264D" w:themeColor="background2"/>
                <w:sz w:val="17"/>
                <w:szCs w:val="17"/>
              </w:rPr>
              <w:t xml:space="preserve"> considering expected outcomes and benefits?</w:t>
            </w:r>
          </w:p>
          <w:p w14:paraId="158968C0" w14:textId="77777777" w:rsidR="002B25E0" w:rsidRPr="0000533F" w:rsidRDefault="002B25E0">
            <w:pPr>
              <w:spacing w:before="40" w:after="40"/>
              <w:rPr>
                <w:rFonts w:asciiTheme="minorHAnsi" w:hAnsiTheme="minorHAnsi" w:cstheme="minorHAnsi"/>
                <w:color w:val="00264D" w:themeColor="background2"/>
                <w:sz w:val="17"/>
                <w:szCs w:val="17"/>
              </w:rPr>
            </w:pPr>
            <w:r w:rsidRPr="00112D2C">
              <w:rPr>
                <w:rFonts w:asciiTheme="minorHAnsi" w:hAnsiTheme="minorHAnsi" w:cstheme="minorHAnsi"/>
                <w:noProof/>
                <w:color w:val="00264D" w:themeColor="background2"/>
                <w:sz w:val="17"/>
                <w:szCs w:val="17"/>
              </w:rPr>
              <w:drawing>
                <wp:inline distT="0" distB="0" distL="0" distR="0" wp14:anchorId="7F469099" wp14:editId="00473E3C">
                  <wp:extent cx="282799" cy="282799"/>
                  <wp:effectExtent l="0" t="0" r="3175" b="3175"/>
                  <wp:docPr id="88" name="Graphic 87">
                    <a:extLst xmlns:a="http://schemas.openxmlformats.org/drawingml/2006/main">
                      <a:ext uri="{FF2B5EF4-FFF2-40B4-BE49-F238E27FC236}">
                        <a16:creationId xmlns:a16="http://schemas.microsoft.com/office/drawing/2014/main" id="{445ED739-E546-C4DA-AC4D-19F6002F0D3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Graphic 87">
                            <a:extLst>
                              <a:ext uri="{FF2B5EF4-FFF2-40B4-BE49-F238E27FC236}">
                                <a16:creationId xmlns:a16="http://schemas.microsoft.com/office/drawing/2014/main" id="{445ED739-E546-C4DA-AC4D-19F6002F0D34}"/>
                              </a:ext>
                              <a:ext uri="{C183D7F6-B498-43B3-948B-1728B52AA6E4}">
                                <adec:decorative xmlns:adec="http://schemas.microsoft.com/office/drawing/2017/decorative" val="1"/>
                              </a:ext>
                            </a:extLst>
                          </pic:cNvPr>
                          <pic:cNvPicPr>
                            <a:picLocks noChangeAspect="1"/>
                          </pic:cNvPicPr>
                        </pic:nvPicPr>
                        <pic:blipFill>
                          <a:blip r:embed="rId49">
                            <a:extLst>
                              <a:ext uri="{96DAC541-7B7A-43D3-8B79-37D633B846F1}">
                                <asvg:svgBlip xmlns:asvg="http://schemas.microsoft.com/office/drawing/2016/SVG/main" r:embed="rId50"/>
                              </a:ext>
                            </a:extLst>
                          </a:blip>
                          <a:stretch>
                            <a:fillRect/>
                          </a:stretch>
                        </pic:blipFill>
                        <pic:spPr>
                          <a:xfrm>
                            <a:off x="0" y="0"/>
                            <a:ext cx="282799" cy="282799"/>
                          </a:xfrm>
                          <a:prstGeom prst="rect">
                            <a:avLst/>
                          </a:prstGeom>
                        </pic:spPr>
                      </pic:pic>
                    </a:graphicData>
                  </a:graphic>
                </wp:inline>
              </w:drawing>
            </w:r>
          </w:p>
        </w:tc>
        <w:tc>
          <w:tcPr>
            <w:tcW w:w="3919" w:type="pct"/>
            <w:tcBorders>
              <w:top w:val="single" w:sz="12" w:space="0" w:color="E6E6E1" w:themeColor="accent5"/>
            </w:tcBorders>
            <w:vAlign w:val="top"/>
          </w:tcPr>
          <w:p w14:paraId="74046E3B" w14:textId="77777777" w:rsidR="006E0620" w:rsidRDefault="002B25E0" w:rsidP="006E0620">
            <w:pPr>
              <w:numPr>
                <w:ilvl w:val="0"/>
                <w:numId w:val="3"/>
              </w:numPr>
              <w:suppressAutoHyphens/>
              <w:spacing w:before="40" w:after="40"/>
              <w:ind w:left="227" w:hanging="227"/>
              <w:rPr>
                <w:rFonts w:eastAsia="Times New Roman" w:cs="Times New Roman"/>
                <w:sz w:val="16"/>
                <w:szCs w:val="16"/>
                <w:lang w:eastAsia="en-AU"/>
              </w:rPr>
            </w:pPr>
            <w:r w:rsidRPr="0000533F">
              <w:rPr>
                <w:rFonts w:eastAsia="Times New Roman" w:cs="Times New Roman"/>
                <w:sz w:val="16"/>
                <w:szCs w:val="16"/>
                <w:lang w:eastAsia="en-AU"/>
              </w:rPr>
              <w:t>How cost-efficient and/or cost-effective is the SARC – IC?</w:t>
            </w:r>
          </w:p>
          <w:p w14:paraId="16032602" w14:textId="64678FCC" w:rsidR="002B25E0" w:rsidRPr="006E0620" w:rsidRDefault="002B25E0" w:rsidP="006E0620">
            <w:pPr>
              <w:numPr>
                <w:ilvl w:val="0"/>
                <w:numId w:val="3"/>
              </w:numPr>
              <w:suppressAutoHyphens/>
              <w:spacing w:before="40" w:after="40"/>
              <w:ind w:left="227" w:hanging="227"/>
              <w:rPr>
                <w:rFonts w:eastAsia="Times New Roman" w:cs="Times New Roman"/>
                <w:sz w:val="16"/>
                <w:szCs w:val="16"/>
                <w:lang w:eastAsia="en-AU"/>
              </w:rPr>
            </w:pPr>
            <w:r w:rsidRPr="006E0620">
              <w:rPr>
                <w:rFonts w:eastAsia="Times New Roman" w:cs="Times New Roman"/>
                <w:sz w:val="16"/>
                <w:szCs w:val="16"/>
                <w:lang w:eastAsia="en-AU"/>
              </w:rPr>
              <w:t>How sensitive are the benefits and costs to inputs and assumptions?</w:t>
            </w:r>
          </w:p>
        </w:tc>
      </w:tr>
    </w:tbl>
    <w:p w14:paraId="18A03D6A" w14:textId="7F6F492D" w:rsidR="002B25E0" w:rsidRPr="002B25E0" w:rsidRDefault="002B25E0" w:rsidP="002B25E0">
      <w:pPr>
        <w:rPr>
          <w:lang w:eastAsia="en-AU"/>
        </w:rPr>
        <w:sectPr w:rsidR="002B25E0" w:rsidRPr="002B25E0" w:rsidSect="00843748">
          <w:pgSz w:w="11907" w:h="16839" w:code="9"/>
          <w:pgMar w:top="1361" w:right="1361" w:bottom="1361" w:left="1361" w:header="720" w:footer="720" w:gutter="0"/>
          <w:cols w:space="720"/>
          <w:docGrid w:linePitch="360"/>
        </w:sectPr>
      </w:pPr>
    </w:p>
    <w:p w14:paraId="0788F8B3" w14:textId="4F664727" w:rsidR="00852534" w:rsidRDefault="006A54A0" w:rsidP="006A54A0">
      <w:pPr>
        <w:pStyle w:val="Heading1"/>
        <w:numPr>
          <w:ilvl w:val="0"/>
          <w:numId w:val="0"/>
        </w:numPr>
        <w:ind w:left="360" w:hanging="360"/>
      </w:pPr>
      <w:bookmarkStart w:id="82" w:name="_Toc240883573"/>
      <w:r>
        <w:lastRenderedPageBreak/>
        <w:t xml:space="preserve">Appendix C – </w:t>
      </w:r>
      <w:r w:rsidR="00852534">
        <w:t>Detailed evaluation methodology</w:t>
      </w:r>
      <w:bookmarkEnd w:id="82"/>
      <w:r w:rsidR="00852534">
        <w:t xml:space="preserve"> </w:t>
      </w:r>
    </w:p>
    <w:p w14:paraId="380B3ABB" w14:textId="783B4DC3" w:rsidR="00852534" w:rsidRDefault="006A54A0" w:rsidP="006A54A0">
      <w:pPr>
        <w:pStyle w:val="Heading2"/>
        <w:numPr>
          <w:ilvl w:val="0"/>
          <w:numId w:val="0"/>
        </w:numPr>
      </w:pPr>
      <w:bookmarkStart w:id="83" w:name="_Toc240883574"/>
      <w:r>
        <w:t xml:space="preserve">C.1 </w:t>
      </w:r>
      <w:r w:rsidR="00852534">
        <w:t xml:space="preserve">A variety of evidence informed the </w:t>
      </w:r>
      <w:r w:rsidR="00D47040">
        <w:t xml:space="preserve">final </w:t>
      </w:r>
      <w:r w:rsidR="00852534">
        <w:t>report</w:t>
      </w:r>
      <w:bookmarkEnd w:id="83"/>
    </w:p>
    <w:p w14:paraId="21D8DC32" w14:textId="5CC85E66" w:rsidR="00852534" w:rsidRPr="00817734" w:rsidRDefault="006A54A0" w:rsidP="006A54A0">
      <w:pPr>
        <w:pStyle w:val="Heading3"/>
        <w:numPr>
          <w:ilvl w:val="0"/>
          <w:numId w:val="0"/>
        </w:numPr>
        <w:ind w:left="720" w:hanging="720"/>
      </w:pPr>
      <w:bookmarkStart w:id="84" w:name="_Toc240883575"/>
      <w:r>
        <w:t xml:space="preserve">C.1.1 </w:t>
      </w:r>
      <w:r w:rsidR="00852534">
        <w:t>Stakeholder engagement</w:t>
      </w:r>
      <w:bookmarkEnd w:id="84"/>
    </w:p>
    <w:p w14:paraId="17842FDA" w14:textId="77777777" w:rsidR="00852534" w:rsidRPr="009566D8" w:rsidRDefault="00852534" w:rsidP="00852534">
      <w:pPr>
        <w:pStyle w:val="Heading4"/>
      </w:pPr>
      <w:r>
        <w:t>Interviews and focus groups</w:t>
      </w:r>
    </w:p>
    <w:p w14:paraId="253E8249" w14:textId="03F35ADF" w:rsidR="0069355F" w:rsidRDefault="00852534" w:rsidP="00D667E9">
      <w:pPr>
        <w:rPr>
          <w:lang w:eastAsia="en-AU"/>
        </w:rPr>
      </w:pPr>
      <w:r>
        <w:rPr>
          <w:lang w:eastAsia="en-AU"/>
        </w:rPr>
        <w:t xml:space="preserve">A total of </w:t>
      </w:r>
      <w:r w:rsidR="008A5B42">
        <w:rPr>
          <w:lang w:eastAsia="en-AU"/>
        </w:rPr>
        <w:t xml:space="preserve">62 </w:t>
      </w:r>
      <w:r w:rsidR="00D24CC7">
        <w:rPr>
          <w:lang w:eastAsia="en-AU"/>
        </w:rPr>
        <w:t xml:space="preserve">grant recipients and </w:t>
      </w:r>
      <w:r w:rsidR="003C3F64">
        <w:rPr>
          <w:lang w:eastAsia="en-AU"/>
        </w:rPr>
        <w:t>participants</w:t>
      </w:r>
      <w:r w:rsidR="008A5B42">
        <w:rPr>
          <w:lang w:eastAsia="en-AU"/>
        </w:rPr>
        <w:t xml:space="preserve"> were consulted through</w:t>
      </w:r>
      <w:r>
        <w:rPr>
          <w:lang w:eastAsia="en-AU"/>
        </w:rPr>
        <w:t xml:space="preserve"> interviews and focus groups</w:t>
      </w:r>
      <w:r w:rsidR="008A5B42">
        <w:rPr>
          <w:lang w:eastAsia="en-AU"/>
        </w:rPr>
        <w:t>.</w:t>
      </w:r>
      <w:r w:rsidR="00F10116">
        <w:rPr>
          <w:lang w:eastAsia="en-AU"/>
        </w:rPr>
        <w:t xml:space="preserve"> A</w:t>
      </w:r>
      <w:r w:rsidR="00596174">
        <w:rPr>
          <w:lang w:eastAsia="en-AU"/>
        </w:rPr>
        <w:t>nother</w:t>
      </w:r>
      <w:r w:rsidR="00F10116">
        <w:rPr>
          <w:lang w:eastAsia="en-AU"/>
        </w:rPr>
        <w:t xml:space="preserve"> </w:t>
      </w:r>
      <w:r w:rsidR="003B3212">
        <w:rPr>
          <w:lang w:eastAsia="en-AU"/>
        </w:rPr>
        <w:t>four</w:t>
      </w:r>
      <w:r w:rsidR="00F10116">
        <w:rPr>
          <w:lang w:eastAsia="en-AU"/>
        </w:rPr>
        <w:t xml:space="preserve"> interviews were </w:t>
      </w:r>
      <w:r w:rsidR="00743C91">
        <w:rPr>
          <w:lang w:eastAsia="en-AU"/>
        </w:rPr>
        <w:t>also</w:t>
      </w:r>
      <w:r w:rsidR="00F10116">
        <w:rPr>
          <w:lang w:eastAsia="en-AU"/>
        </w:rPr>
        <w:t xml:space="preserve"> run with </w:t>
      </w:r>
      <w:r>
        <w:rPr>
          <w:lang w:eastAsia="en-AU"/>
        </w:rPr>
        <w:t>SES</w:t>
      </w:r>
      <w:r w:rsidR="002951D9">
        <w:rPr>
          <w:lang w:eastAsia="en-AU"/>
        </w:rPr>
        <w:t xml:space="preserve"> across the Department and </w:t>
      </w:r>
      <w:r w:rsidR="00F10116">
        <w:rPr>
          <w:lang w:eastAsia="en-AU"/>
        </w:rPr>
        <w:t xml:space="preserve">representatives </w:t>
      </w:r>
      <w:r w:rsidR="002951D9">
        <w:rPr>
          <w:lang w:eastAsia="en-AU"/>
        </w:rPr>
        <w:t>of</w:t>
      </w:r>
      <w:r>
        <w:rPr>
          <w:lang w:eastAsia="en-AU"/>
        </w:rPr>
        <w:t xml:space="preserve"> peak bodies. Engagement with Indigenous Corporations will occur in 2026 and inform the Final Evaluation Report.</w:t>
      </w:r>
      <w:r w:rsidR="003759B0">
        <w:rPr>
          <w:lang w:eastAsia="en-AU"/>
        </w:rPr>
        <w:t xml:space="preserve"> </w:t>
      </w:r>
      <w:r w:rsidR="00CD2C6B">
        <w:rPr>
          <w:lang w:eastAsia="en-AU"/>
        </w:rPr>
        <w:t xml:space="preserve">All grant recipients </w:t>
      </w:r>
      <w:r w:rsidR="0036408F">
        <w:rPr>
          <w:lang w:eastAsia="en-AU"/>
        </w:rPr>
        <w:t xml:space="preserve">were contacted through the Grants Hub and invited to participate in an interview and survey. They were also asked to send on an invite to their </w:t>
      </w:r>
      <w:r w:rsidR="003C3F64">
        <w:rPr>
          <w:lang w:eastAsia="en-AU"/>
        </w:rPr>
        <w:t>participants</w:t>
      </w:r>
      <w:r w:rsidR="0036408F">
        <w:rPr>
          <w:lang w:eastAsia="en-AU"/>
        </w:rPr>
        <w:t xml:space="preserve"> inviting them to participate in an interview, focus group or survey. All </w:t>
      </w:r>
      <w:r w:rsidR="006F3A0F">
        <w:rPr>
          <w:lang w:eastAsia="en-AU"/>
        </w:rPr>
        <w:t xml:space="preserve">consultation, with the exception of one service user focus group, was </w:t>
      </w:r>
      <w:r w:rsidR="00281EB8">
        <w:rPr>
          <w:lang w:eastAsia="en-AU"/>
        </w:rPr>
        <w:t xml:space="preserve">conducted virtually either over the phone or via a Microsoft Teams call. </w:t>
      </w:r>
      <w:r w:rsidR="003C3F64">
        <w:rPr>
          <w:lang w:eastAsia="en-AU"/>
        </w:rPr>
        <w:t>Participants</w:t>
      </w:r>
      <w:r w:rsidR="00A426F8">
        <w:rPr>
          <w:lang w:eastAsia="en-AU"/>
        </w:rPr>
        <w:t xml:space="preserve"> who participated in an interview or focus group were reimbursed with a $50 voucher. </w:t>
      </w:r>
      <w:r w:rsidR="001B1CC7">
        <w:rPr>
          <w:lang w:eastAsia="en-AU"/>
        </w:rPr>
        <w:t>The average duration of grant recipient interviews was 30</w:t>
      </w:r>
      <w:r w:rsidR="00A35627">
        <w:rPr>
          <w:lang w:eastAsia="en-AU"/>
        </w:rPr>
        <w:t>-</w:t>
      </w:r>
      <w:r w:rsidR="001B1CC7">
        <w:rPr>
          <w:lang w:eastAsia="en-AU"/>
        </w:rPr>
        <w:t xml:space="preserve">minutes and service user interviews ranged from 15-30 minutes. </w:t>
      </w:r>
      <w:r w:rsidR="00B92AA8">
        <w:rPr>
          <w:lang w:eastAsia="en-AU"/>
        </w:rPr>
        <w:t xml:space="preserve">Minimal demographic information was captured about survey users to protect their confidentiality. </w:t>
      </w:r>
    </w:p>
    <w:p w14:paraId="38E0A537" w14:textId="7671A267" w:rsidR="0076794F" w:rsidRDefault="0076794F" w:rsidP="00D667E9">
      <w:pPr>
        <w:rPr>
          <w:lang w:eastAsia="en-AU"/>
        </w:rPr>
      </w:pPr>
      <w:r>
        <w:rPr>
          <w:lang w:eastAsia="en-AU"/>
        </w:rPr>
        <w:t xml:space="preserve">The grant recipient survey was open for </w:t>
      </w:r>
      <w:r w:rsidR="00E33062">
        <w:rPr>
          <w:lang w:eastAsia="en-AU"/>
        </w:rPr>
        <w:t xml:space="preserve">one month (October-November </w:t>
      </w:r>
      <w:r w:rsidR="00E33062" w:rsidRPr="00B72129">
        <w:rPr>
          <w:lang w:eastAsia="en-AU"/>
        </w:rPr>
        <w:t xml:space="preserve">2025) </w:t>
      </w:r>
      <w:r w:rsidR="00B17F02" w:rsidRPr="00B72129">
        <w:rPr>
          <w:lang w:eastAsia="en-AU"/>
        </w:rPr>
        <w:t xml:space="preserve">and the </w:t>
      </w:r>
      <w:r w:rsidR="003A7B05" w:rsidRPr="00585438">
        <w:rPr>
          <w:lang w:eastAsia="en-AU"/>
        </w:rPr>
        <w:t>service user</w:t>
      </w:r>
      <w:r w:rsidR="00B17F02" w:rsidRPr="00B72129">
        <w:rPr>
          <w:lang w:eastAsia="en-AU"/>
        </w:rPr>
        <w:t xml:space="preserve"> survey was open</w:t>
      </w:r>
      <w:r w:rsidR="00B72129" w:rsidRPr="00E70A78">
        <w:rPr>
          <w:lang w:eastAsia="en-AU"/>
        </w:rPr>
        <w:t xml:space="preserve"> </w:t>
      </w:r>
      <w:r w:rsidR="00B72129" w:rsidRPr="00585438">
        <w:rPr>
          <w:lang w:eastAsia="en-AU"/>
        </w:rPr>
        <w:t>for one month (November-December</w:t>
      </w:r>
      <w:r w:rsidR="00B72129" w:rsidRPr="00E70A78">
        <w:rPr>
          <w:lang w:eastAsia="en-AU"/>
        </w:rPr>
        <w:t xml:space="preserve"> 2025</w:t>
      </w:r>
      <w:r w:rsidR="00B72129" w:rsidRPr="00585438">
        <w:rPr>
          <w:lang w:eastAsia="en-AU"/>
        </w:rPr>
        <w:t>)</w:t>
      </w:r>
      <w:r w:rsidR="00B17F02" w:rsidRPr="00B72129">
        <w:rPr>
          <w:lang w:eastAsia="en-AU"/>
        </w:rPr>
        <w:t xml:space="preserve">. </w:t>
      </w:r>
      <w:r w:rsidR="00B32D47">
        <w:rPr>
          <w:lang w:eastAsia="en-AU"/>
        </w:rPr>
        <w:t>Surveys took appr</w:t>
      </w:r>
      <w:r w:rsidR="00A467AA">
        <w:rPr>
          <w:lang w:eastAsia="en-AU"/>
        </w:rPr>
        <w:t xml:space="preserve">oximately 10 minutes to complete. </w:t>
      </w:r>
      <w:r w:rsidR="00D231B5" w:rsidRPr="00B72129">
        <w:rPr>
          <w:lang w:eastAsia="en-AU"/>
        </w:rPr>
        <w:t>While it was not poss</w:t>
      </w:r>
      <w:r w:rsidR="00D231B5">
        <w:rPr>
          <w:lang w:eastAsia="en-AU"/>
        </w:rPr>
        <w:t xml:space="preserve">ible to calculate the exact sample size of </w:t>
      </w:r>
      <w:r w:rsidR="003C3F64">
        <w:rPr>
          <w:lang w:eastAsia="en-AU"/>
        </w:rPr>
        <w:t>participants</w:t>
      </w:r>
      <w:r w:rsidR="00D231B5">
        <w:rPr>
          <w:lang w:eastAsia="en-AU"/>
        </w:rPr>
        <w:t xml:space="preserve"> who participated in the evaluation, it was a very small percentage.</w:t>
      </w:r>
      <w:r w:rsidR="00550AF1">
        <w:rPr>
          <w:lang w:eastAsia="en-AU"/>
        </w:rPr>
        <w:t xml:space="preserve"> </w:t>
      </w:r>
    </w:p>
    <w:p w14:paraId="399523B8" w14:textId="6D5962BC" w:rsidR="0069355F" w:rsidRDefault="0069355F" w:rsidP="00D667E9">
      <w:pPr>
        <w:rPr>
          <w:lang w:eastAsia="en-AU"/>
        </w:rPr>
      </w:pPr>
      <w:r>
        <w:rPr>
          <w:lang w:eastAsia="en-AU"/>
        </w:rPr>
        <w:fldChar w:fldCharType="begin" w:fldLock="1"/>
      </w:r>
      <w:r>
        <w:rPr>
          <w:lang w:eastAsia="en-AU"/>
        </w:rPr>
        <w:instrText xml:space="preserve"> REF _Ref216197405 \h </w:instrText>
      </w:r>
      <w:r>
        <w:rPr>
          <w:lang w:eastAsia="en-AU"/>
        </w:rPr>
      </w:r>
      <w:r>
        <w:rPr>
          <w:lang w:eastAsia="en-AU"/>
        </w:rPr>
        <w:fldChar w:fldCharType="separate"/>
      </w:r>
      <w:r>
        <w:t xml:space="preserve">Table </w:t>
      </w:r>
      <w:r w:rsidR="00051EB9">
        <w:rPr>
          <w:noProof/>
        </w:rPr>
        <w:t>8</w:t>
      </w:r>
      <w:r>
        <w:rPr>
          <w:lang w:eastAsia="en-AU"/>
        </w:rPr>
        <w:fldChar w:fldCharType="end"/>
      </w:r>
      <w:r>
        <w:rPr>
          <w:lang w:eastAsia="en-AU"/>
        </w:rPr>
        <w:t xml:space="preserve"> </w:t>
      </w:r>
      <w:r w:rsidR="00100B12">
        <w:rPr>
          <w:lang w:eastAsia="en-AU"/>
        </w:rPr>
        <w:t xml:space="preserve">below </w:t>
      </w:r>
      <w:r w:rsidR="00D12141">
        <w:rPr>
          <w:lang w:eastAsia="en-AU"/>
        </w:rPr>
        <w:t>list</w:t>
      </w:r>
      <w:r w:rsidR="00F95DAD">
        <w:rPr>
          <w:lang w:eastAsia="en-AU"/>
        </w:rPr>
        <w:t>s</w:t>
      </w:r>
      <w:r w:rsidR="00D12141">
        <w:rPr>
          <w:lang w:eastAsia="en-AU"/>
        </w:rPr>
        <w:t xml:space="preserve"> the organisations whose representatives</w:t>
      </w:r>
      <w:r w:rsidR="00007A4D">
        <w:rPr>
          <w:lang w:eastAsia="en-AU"/>
        </w:rPr>
        <w:t xml:space="preserve"> participated in interviews and focus groups.</w:t>
      </w:r>
    </w:p>
    <w:p w14:paraId="7A5F2260" w14:textId="2A197AFF" w:rsidR="00D667E9" w:rsidRDefault="0069355F" w:rsidP="0069355F">
      <w:pPr>
        <w:pStyle w:val="Caption"/>
        <w:rPr>
          <w:lang w:eastAsia="en-AU"/>
        </w:rPr>
      </w:pPr>
      <w:bookmarkStart w:id="85" w:name="_Ref216197405"/>
      <w:r>
        <w:t xml:space="preserve">Table </w:t>
      </w:r>
      <w:r>
        <w:fldChar w:fldCharType="begin"/>
      </w:r>
      <w:r>
        <w:instrText xml:space="preserve"> SEQ Table \* ARABIC </w:instrText>
      </w:r>
      <w:r>
        <w:fldChar w:fldCharType="separate"/>
      </w:r>
      <w:r w:rsidR="00B666D1">
        <w:rPr>
          <w:noProof/>
        </w:rPr>
        <w:t>9</w:t>
      </w:r>
      <w:r>
        <w:fldChar w:fldCharType="end"/>
      </w:r>
      <w:bookmarkEnd w:id="85"/>
      <w:r w:rsidR="00A15583">
        <w:t xml:space="preserve"> </w:t>
      </w:r>
      <w:r>
        <w:t>| Organisations represented in consultation</w:t>
      </w:r>
      <w:r w:rsidR="004057A6">
        <w:rPr>
          <w:lang w:eastAsia="en-AU"/>
        </w:rPr>
        <w:t xml:space="preserve"> </w:t>
      </w:r>
    </w:p>
    <w:tbl>
      <w:tblPr>
        <w:tblStyle w:val="NOUS"/>
        <w:tblW w:w="0" w:type="auto"/>
        <w:tblLook w:val="04A0" w:firstRow="1" w:lastRow="0" w:firstColumn="1" w:lastColumn="0" w:noHBand="0" w:noVBand="1"/>
      </w:tblPr>
      <w:tblGrid>
        <w:gridCol w:w="2088"/>
        <w:gridCol w:w="3822"/>
        <w:gridCol w:w="3275"/>
      </w:tblGrid>
      <w:tr w:rsidR="009B30ED" w14:paraId="6E76C79A" w14:textId="02A5C67B" w:rsidTr="44DC81F6">
        <w:trPr>
          <w:cnfStyle w:val="100000000000" w:firstRow="1" w:lastRow="0" w:firstColumn="0" w:lastColumn="0" w:oddVBand="0" w:evenVBand="0" w:oddHBand="0" w:evenHBand="0" w:firstRowFirstColumn="0" w:firstRowLastColumn="0" w:lastRowFirstColumn="0" w:lastRowLastColumn="0"/>
        </w:trPr>
        <w:tc>
          <w:tcPr>
            <w:tcW w:w="2088" w:type="dxa"/>
          </w:tcPr>
          <w:p w14:paraId="6E41FE39" w14:textId="77777777" w:rsidR="001B5A68" w:rsidRDefault="001B5A68" w:rsidP="007729E9">
            <w:pPr>
              <w:pStyle w:val="TableNheader"/>
            </w:pPr>
            <w:r>
              <w:t>Stakeholder</w:t>
            </w:r>
          </w:p>
        </w:tc>
        <w:tc>
          <w:tcPr>
            <w:tcW w:w="3822" w:type="dxa"/>
          </w:tcPr>
          <w:p w14:paraId="74C2C119" w14:textId="77777777" w:rsidR="001B5A68" w:rsidRDefault="001B5A68" w:rsidP="00DB5BFE">
            <w:pPr>
              <w:pStyle w:val="TableNheader"/>
            </w:pPr>
            <w:r>
              <w:t>Organisations</w:t>
            </w:r>
          </w:p>
        </w:tc>
        <w:tc>
          <w:tcPr>
            <w:tcW w:w="3275" w:type="dxa"/>
          </w:tcPr>
          <w:p w14:paraId="0E57A039" w14:textId="7B806283" w:rsidR="002C0AFD" w:rsidRDefault="002C0AFD" w:rsidP="00DB5BFE">
            <w:pPr>
              <w:pStyle w:val="TableNheader"/>
            </w:pPr>
            <w:r>
              <w:t>Purpose</w:t>
            </w:r>
          </w:p>
        </w:tc>
      </w:tr>
      <w:tr w:rsidR="009B30ED" w14:paraId="6F75AD1D" w14:textId="32586B37" w:rsidTr="44DC81F6">
        <w:tc>
          <w:tcPr>
            <w:tcW w:w="2088" w:type="dxa"/>
          </w:tcPr>
          <w:p w14:paraId="275CDF2F" w14:textId="77777777" w:rsidR="00DB5BFE" w:rsidRDefault="00DB5BFE" w:rsidP="00DB5BFE">
            <w:pPr>
              <w:pStyle w:val="TableNheader"/>
            </w:pPr>
            <w:r>
              <w:t>Grant recipients</w:t>
            </w:r>
          </w:p>
          <w:p w14:paraId="55AD8785" w14:textId="6A2B9D90" w:rsidR="007E56D4" w:rsidRPr="007E56D4" w:rsidRDefault="007E56D4" w:rsidP="00DB5BFE">
            <w:pPr>
              <w:pStyle w:val="TableNheader"/>
              <w:rPr>
                <w:rFonts w:asciiTheme="minorHAnsi" w:hAnsiTheme="minorHAnsi" w:cstheme="minorHAnsi"/>
              </w:rPr>
            </w:pPr>
            <w:r>
              <w:rPr>
                <w:rFonts w:asciiTheme="minorHAnsi" w:hAnsiTheme="minorHAnsi" w:cstheme="minorHAnsi"/>
              </w:rPr>
              <w:t>23 interviews</w:t>
            </w:r>
          </w:p>
        </w:tc>
        <w:tc>
          <w:tcPr>
            <w:tcW w:w="3822" w:type="dxa"/>
          </w:tcPr>
          <w:p w14:paraId="7D34D8FF" w14:textId="259A2DAF" w:rsidR="00DB5BFE" w:rsidRDefault="0086503F" w:rsidP="0011193E">
            <w:pPr>
              <w:pStyle w:val="TableNText"/>
            </w:pPr>
            <w:r>
              <w:t xml:space="preserve">23 grant </w:t>
            </w:r>
            <w:r w:rsidR="00D015DE">
              <w:t>recipient</w:t>
            </w:r>
            <w:r>
              <w:t xml:space="preserve"> organisations</w:t>
            </w:r>
          </w:p>
        </w:tc>
        <w:tc>
          <w:tcPr>
            <w:tcW w:w="3275" w:type="dxa"/>
          </w:tcPr>
          <w:p w14:paraId="1D5BA6E9" w14:textId="27FDC9D9" w:rsidR="00602CC3" w:rsidRDefault="00602CC3" w:rsidP="0011193E">
            <w:pPr>
              <w:pStyle w:val="TableNText"/>
            </w:pPr>
            <w:r>
              <w:t xml:space="preserve">To understand </w:t>
            </w:r>
            <w:r w:rsidRPr="00602CC3">
              <w:t>what’s working well in</w:t>
            </w:r>
            <w:r>
              <w:t xml:space="preserve"> implementation of</w:t>
            </w:r>
            <w:r w:rsidRPr="00602CC3">
              <w:t xml:space="preserve"> the grant program,</w:t>
            </w:r>
            <w:r w:rsidR="00BD25B0">
              <w:t xml:space="preserve"> overlap with other services, access to </w:t>
            </w:r>
            <w:r w:rsidR="00DF7515">
              <w:t>long</w:t>
            </w:r>
            <w:r w:rsidR="0068164C">
              <w:t>-</w:t>
            </w:r>
            <w:r w:rsidR="00DF7515">
              <w:t>term</w:t>
            </w:r>
            <w:r w:rsidR="00BD25B0">
              <w:t xml:space="preserve"> funding,</w:t>
            </w:r>
            <w:r w:rsidRPr="00602CC3">
              <w:t xml:space="preserve"> what could be improved, and any outcomes observed in </w:t>
            </w:r>
            <w:r w:rsidR="003C3F64">
              <w:t>participants</w:t>
            </w:r>
            <w:r w:rsidR="006F76CB">
              <w:t>.</w:t>
            </w:r>
          </w:p>
        </w:tc>
      </w:tr>
      <w:tr w:rsidR="009B30ED" w14:paraId="15EE1F86" w14:textId="7F3BCA3F" w:rsidTr="44DC81F6">
        <w:tc>
          <w:tcPr>
            <w:tcW w:w="2088" w:type="dxa"/>
          </w:tcPr>
          <w:p w14:paraId="02F23101" w14:textId="528611CB" w:rsidR="00DB5BFE" w:rsidRDefault="003C3F64" w:rsidP="00DB5BFE">
            <w:pPr>
              <w:pStyle w:val="TableNheader"/>
            </w:pPr>
            <w:r>
              <w:t>Participants</w:t>
            </w:r>
          </w:p>
          <w:p w14:paraId="03EB95E4" w14:textId="77777777" w:rsidR="007E56D4" w:rsidRDefault="007E56D4" w:rsidP="00DB5BFE">
            <w:pPr>
              <w:pStyle w:val="TableNheader"/>
              <w:rPr>
                <w:rFonts w:asciiTheme="minorHAnsi" w:hAnsiTheme="minorHAnsi" w:cstheme="minorHAnsi"/>
              </w:rPr>
            </w:pPr>
            <w:r>
              <w:rPr>
                <w:rFonts w:asciiTheme="minorHAnsi" w:hAnsiTheme="minorHAnsi" w:cstheme="minorHAnsi"/>
              </w:rPr>
              <w:t>39 intervi</w:t>
            </w:r>
            <w:r w:rsidR="00977BD8">
              <w:rPr>
                <w:rFonts w:asciiTheme="minorHAnsi" w:hAnsiTheme="minorHAnsi" w:cstheme="minorHAnsi"/>
              </w:rPr>
              <w:t>ewed</w:t>
            </w:r>
          </w:p>
          <w:p w14:paraId="54319526" w14:textId="00200007" w:rsidR="00654C69" w:rsidRDefault="00654C69" w:rsidP="00DB5BFE">
            <w:pPr>
              <w:pStyle w:val="TableNheader"/>
            </w:pPr>
          </w:p>
        </w:tc>
        <w:tc>
          <w:tcPr>
            <w:tcW w:w="3822" w:type="dxa"/>
          </w:tcPr>
          <w:p w14:paraId="16ABE4E5" w14:textId="6CD97769" w:rsidR="0086503F" w:rsidRDefault="0086503F" w:rsidP="003C02E9">
            <w:pPr>
              <w:pStyle w:val="TableNText"/>
            </w:pPr>
            <w:r>
              <w:t>39 participants from across 13 different grant recipient organisations</w:t>
            </w:r>
          </w:p>
          <w:p w14:paraId="0D33C3E0" w14:textId="71235B67" w:rsidR="00DB5BFE" w:rsidRDefault="00DB5BFE" w:rsidP="0011193E">
            <w:pPr>
              <w:pStyle w:val="TableNText"/>
            </w:pPr>
          </w:p>
        </w:tc>
        <w:tc>
          <w:tcPr>
            <w:tcW w:w="3275" w:type="dxa"/>
          </w:tcPr>
          <w:p w14:paraId="3F545D2A" w14:textId="03E74F68" w:rsidR="003F5760" w:rsidRDefault="003F5760" w:rsidP="0011193E">
            <w:pPr>
              <w:pStyle w:val="TableNText"/>
            </w:pPr>
            <w:r>
              <w:t>T</w:t>
            </w:r>
            <w:r w:rsidRPr="003F5760">
              <w:t xml:space="preserve">o understand why </w:t>
            </w:r>
            <w:r w:rsidR="003C3F64">
              <w:t>participants</w:t>
            </w:r>
            <w:r w:rsidRPr="003F5760">
              <w:t xml:space="preserve"> got in touch with the service, what was good about the service</w:t>
            </w:r>
            <w:r>
              <w:t xml:space="preserve">, </w:t>
            </w:r>
            <w:r w:rsidRPr="003F5760">
              <w:t xml:space="preserve">what could be </w:t>
            </w:r>
            <w:r>
              <w:t>improved</w:t>
            </w:r>
            <w:r w:rsidRPr="003F5760">
              <w:t>, and any impact</w:t>
            </w:r>
            <w:r>
              <w:t>s it created</w:t>
            </w:r>
            <w:r w:rsidRPr="003F5760">
              <w:t xml:space="preserve">.  </w:t>
            </w:r>
          </w:p>
        </w:tc>
      </w:tr>
      <w:tr w:rsidR="009B30ED" w14:paraId="078E57E5" w14:textId="6BB476FB" w:rsidTr="44DC81F6">
        <w:tc>
          <w:tcPr>
            <w:tcW w:w="2088" w:type="dxa"/>
          </w:tcPr>
          <w:p w14:paraId="17DF70F2" w14:textId="23B2667D" w:rsidR="00DB5BFE" w:rsidRDefault="00DB5BFE" w:rsidP="00DB5BFE">
            <w:pPr>
              <w:pStyle w:val="TableNheader"/>
            </w:pPr>
            <w:r>
              <w:t>Peak bodies</w:t>
            </w:r>
          </w:p>
        </w:tc>
        <w:tc>
          <w:tcPr>
            <w:tcW w:w="3822" w:type="dxa"/>
          </w:tcPr>
          <w:p w14:paraId="0E129CF5" w14:textId="4D11B10C" w:rsidR="00DB5BFE" w:rsidRDefault="009C5615" w:rsidP="0011193E">
            <w:pPr>
              <w:pStyle w:val="TableNText"/>
            </w:pPr>
            <w:r>
              <w:t>1 x Disability peak body</w:t>
            </w:r>
          </w:p>
          <w:p w14:paraId="71FCBA92" w14:textId="01052E25" w:rsidR="00DB5BFE" w:rsidRDefault="009C5615" w:rsidP="0011193E">
            <w:pPr>
              <w:pStyle w:val="TableNText"/>
            </w:pPr>
            <w:r>
              <w:t>1 x Working women</w:t>
            </w:r>
            <w:r w:rsidR="00D30384">
              <w:t>’</w:t>
            </w:r>
            <w:r w:rsidR="00D82F3E">
              <w:t>s</w:t>
            </w:r>
            <w:r>
              <w:t xml:space="preserve"> peak body</w:t>
            </w:r>
          </w:p>
        </w:tc>
        <w:tc>
          <w:tcPr>
            <w:tcW w:w="3275" w:type="dxa"/>
          </w:tcPr>
          <w:p w14:paraId="6B384B4D" w14:textId="5E84D78D" w:rsidR="002C0AFD" w:rsidRDefault="00C368EF" w:rsidP="0011193E">
            <w:pPr>
              <w:pStyle w:val="TableNText"/>
            </w:pPr>
            <w:r>
              <w:t>To understand</w:t>
            </w:r>
            <w:r w:rsidR="00D72004">
              <w:t xml:space="preserve"> </w:t>
            </w:r>
            <w:r w:rsidR="00FD304C">
              <w:t>SARC – IC</w:t>
            </w:r>
            <w:r w:rsidR="00DA1E25">
              <w:t xml:space="preserve"> at a system level</w:t>
            </w:r>
            <w:r w:rsidR="00CD5A5F">
              <w:t>, w</w:t>
            </w:r>
            <w:r w:rsidR="00A02C14">
              <w:t xml:space="preserve">hat is working well, what could be improved, and any </w:t>
            </w:r>
            <w:r w:rsidR="00E11474">
              <w:t>meaningful</w:t>
            </w:r>
            <w:r w:rsidR="00A02C14">
              <w:t xml:space="preserve"> outcomes </w:t>
            </w:r>
            <w:r w:rsidR="00E11474">
              <w:t>observed</w:t>
            </w:r>
            <w:r w:rsidR="00A02C14">
              <w:t xml:space="preserve"> for </w:t>
            </w:r>
            <w:r w:rsidR="003C3F64">
              <w:t>participants</w:t>
            </w:r>
            <w:r w:rsidR="00E11474">
              <w:t>.</w:t>
            </w:r>
          </w:p>
        </w:tc>
      </w:tr>
      <w:tr w:rsidR="009B30ED" w14:paraId="7765FAB8" w14:textId="570576B9" w:rsidTr="44DC81F6">
        <w:tc>
          <w:tcPr>
            <w:tcW w:w="2088" w:type="dxa"/>
          </w:tcPr>
          <w:p w14:paraId="7F8B3AAE" w14:textId="7E176692" w:rsidR="00AA3A5C" w:rsidRDefault="09CFBBC6" w:rsidP="00DB5BFE">
            <w:pPr>
              <w:pStyle w:val="TableNheader"/>
            </w:pPr>
            <w:r>
              <w:t>DSS SES</w:t>
            </w:r>
          </w:p>
        </w:tc>
        <w:tc>
          <w:tcPr>
            <w:tcW w:w="3822" w:type="dxa"/>
          </w:tcPr>
          <w:p w14:paraId="1B5718FA" w14:textId="0CCB5A4B" w:rsidR="00AA3A5C" w:rsidRDefault="0086503F" w:rsidP="00AA3A5C">
            <w:pPr>
              <w:pStyle w:val="TableNText"/>
            </w:pPr>
            <w:r>
              <w:t xml:space="preserve">Key Department staff </w:t>
            </w:r>
          </w:p>
        </w:tc>
        <w:tc>
          <w:tcPr>
            <w:tcW w:w="3275" w:type="dxa"/>
          </w:tcPr>
          <w:p w14:paraId="109FE3E4" w14:textId="29176FE3" w:rsidR="002C0AFD" w:rsidRDefault="004B683E" w:rsidP="00AA3A5C">
            <w:pPr>
              <w:pStyle w:val="TableNText"/>
            </w:pPr>
            <w:r>
              <w:t xml:space="preserve">To understand </w:t>
            </w:r>
            <w:r w:rsidR="00D72004">
              <w:t>program background, evolution and purpose,</w:t>
            </w:r>
            <w:r w:rsidR="00DB557C">
              <w:t xml:space="preserve"> strategic alignment,</w:t>
            </w:r>
            <w:r w:rsidR="00D72004">
              <w:t xml:space="preserve"> what can be improved and what is working well.</w:t>
            </w:r>
          </w:p>
        </w:tc>
      </w:tr>
    </w:tbl>
    <w:p w14:paraId="293DADCC" w14:textId="77777777" w:rsidR="001B5A68" w:rsidRDefault="001B5A68" w:rsidP="00852534">
      <w:pPr>
        <w:rPr>
          <w:lang w:eastAsia="en-AU"/>
        </w:rPr>
      </w:pPr>
    </w:p>
    <w:p w14:paraId="54A46A12" w14:textId="77777777" w:rsidR="00852534" w:rsidRDefault="00852534" w:rsidP="00852534">
      <w:pPr>
        <w:pStyle w:val="Heading4"/>
      </w:pPr>
      <w:r>
        <w:lastRenderedPageBreak/>
        <w:t>Surveys</w:t>
      </w:r>
    </w:p>
    <w:p w14:paraId="50394CE6" w14:textId="7FF77C5A" w:rsidR="002C7CE3" w:rsidRPr="009566D8" w:rsidRDefault="00007A4D" w:rsidP="00D040D6">
      <w:r>
        <w:rPr>
          <w:lang w:eastAsia="en-AU"/>
        </w:rPr>
        <w:t xml:space="preserve">The evaluation </w:t>
      </w:r>
      <w:r w:rsidR="002C7CE3">
        <w:rPr>
          <w:lang w:eastAsia="en-AU"/>
        </w:rPr>
        <w:t>collected quantitative and qualitative data from two surveys</w:t>
      </w:r>
      <w:r w:rsidR="009B6C2D">
        <w:rPr>
          <w:lang w:eastAsia="en-AU"/>
        </w:rPr>
        <w:t xml:space="preserve"> on Qualtrics</w:t>
      </w:r>
      <w:r w:rsidR="00D040D6">
        <w:rPr>
          <w:lang w:eastAsia="en-AU"/>
        </w:rPr>
        <w:t xml:space="preserve">, outlined in </w:t>
      </w:r>
      <w:r w:rsidR="007A655A">
        <w:rPr>
          <w:lang w:eastAsia="en-AU"/>
        </w:rPr>
        <w:fldChar w:fldCharType="begin" w:fldLock="1"/>
      </w:r>
      <w:r w:rsidR="007A655A">
        <w:rPr>
          <w:lang w:eastAsia="en-AU"/>
        </w:rPr>
        <w:instrText xml:space="preserve"> REF _Ref216198717 \h </w:instrText>
      </w:r>
      <w:r w:rsidR="007A655A">
        <w:rPr>
          <w:lang w:eastAsia="en-AU"/>
        </w:rPr>
      </w:r>
      <w:r w:rsidR="007A655A">
        <w:rPr>
          <w:lang w:eastAsia="en-AU"/>
        </w:rPr>
        <w:fldChar w:fldCharType="separate"/>
      </w:r>
      <w:r w:rsidR="007A655A">
        <w:t xml:space="preserve">Table </w:t>
      </w:r>
      <w:r w:rsidR="00230284">
        <w:rPr>
          <w:noProof/>
        </w:rPr>
        <w:t>9</w:t>
      </w:r>
      <w:r w:rsidR="007A655A">
        <w:rPr>
          <w:lang w:eastAsia="en-AU"/>
        </w:rPr>
        <w:fldChar w:fldCharType="end"/>
      </w:r>
      <w:r w:rsidR="00D040D6">
        <w:rPr>
          <w:lang w:eastAsia="en-AU"/>
        </w:rPr>
        <w:t>.</w:t>
      </w:r>
    </w:p>
    <w:p w14:paraId="29F363DB" w14:textId="264404ED" w:rsidR="00D040D6" w:rsidRDefault="00D040D6" w:rsidP="00D040D6">
      <w:pPr>
        <w:pStyle w:val="Caption"/>
      </w:pPr>
      <w:bookmarkStart w:id="86" w:name="_Ref216198717"/>
      <w:r>
        <w:t xml:space="preserve">Table </w:t>
      </w:r>
      <w:r>
        <w:fldChar w:fldCharType="begin"/>
      </w:r>
      <w:r>
        <w:instrText xml:space="preserve"> SEQ Table \* ARABIC </w:instrText>
      </w:r>
      <w:r>
        <w:fldChar w:fldCharType="separate"/>
      </w:r>
      <w:r w:rsidR="00B666D1">
        <w:rPr>
          <w:noProof/>
        </w:rPr>
        <w:t>10</w:t>
      </w:r>
      <w:r>
        <w:fldChar w:fldCharType="end"/>
      </w:r>
      <w:bookmarkEnd w:id="86"/>
      <w:r w:rsidR="00A15583">
        <w:t xml:space="preserve"> </w:t>
      </w:r>
      <w:r>
        <w:t>| Overview of surveys</w:t>
      </w:r>
    </w:p>
    <w:tbl>
      <w:tblPr>
        <w:tblStyle w:val="NOUS"/>
        <w:tblW w:w="5000" w:type="pct"/>
        <w:tblLook w:val="04A0" w:firstRow="1" w:lastRow="0" w:firstColumn="1" w:lastColumn="0" w:noHBand="0" w:noVBand="1"/>
      </w:tblPr>
      <w:tblGrid>
        <w:gridCol w:w="3061"/>
        <w:gridCol w:w="3062"/>
        <w:gridCol w:w="3062"/>
      </w:tblGrid>
      <w:tr w:rsidR="00A828C7" w14:paraId="4FB9E90A" w14:textId="79287CCB" w:rsidTr="002C0AFD">
        <w:trPr>
          <w:cnfStyle w:val="100000000000" w:firstRow="1" w:lastRow="0" w:firstColumn="0" w:lastColumn="0" w:oddVBand="0" w:evenVBand="0" w:oddHBand="0" w:evenHBand="0" w:firstRowFirstColumn="0" w:firstRowLastColumn="0" w:lastRowFirstColumn="0" w:lastRowLastColumn="0"/>
        </w:trPr>
        <w:tc>
          <w:tcPr>
            <w:tcW w:w="1666" w:type="pct"/>
          </w:tcPr>
          <w:p w14:paraId="4043AF24" w14:textId="7FA312A1" w:rsidR="002C0AFD" w:rsidRDefault="002C0AFD" w:rsidP="00D95C30">
            <w:pPr>
              <w:pStyle w:val="TableNheader"/>
            </w:pPr>
            <w:r>
              <w:t>Stakeholder group</w:t>
            </w:r>
          </w:p>
        </w:tc>
        <w:tc>
          <w:tcPr>
            <w:tcW w:w="1667" w:type="pct"/>
          </w:tcPr>
          <w:p w14:paraId="7FA2CCAB" w14:textId="21A01E50" w:rsidR="002C0AFD" w:rsidRDefault="002C0AFD" w:rsidP="00D95C30">
            <w:pPr>
              <w:pStyle w:val="TableNheader"/>
            </w:pPr>
            <w:r>
              <w:t>Number of responses</w:t>
            </w:r>
          </w:p>
        </w:tc>
        <w:tc>
          <w:tcPr>
            <w:tcW w:w="1667" w:type="pct"/>
          </w:tcPr>
          <w:p w14:paraId="21487973" w14:textId="158FCC23" w:rsidR="002C0AFD" w:rsidRDefault="002C0AFD" w:rsidP="00D95C30">
            <w:pPr>
              <w:pStyle w:val="TableNheader"/>
            </w:pPr>
            <w:r>
              <w:t>Purpose</w:t>
            </w:r>
          </w:p>
        </w:tc>
      </w:tr>
      <w:tr w:rsidR="00A828C7" w14:paraId="18B2ED63" w14:textId="0BD31972" w:rsidTr="002C0AFD">
        <w:tc>
          <w:tcPr>
            <w:tcW w:w="1666" w:type="pct"/>
          </w:tcPr>
          <w:p w14:paraId="2A2DFEFF" w14:textId="5206464C" w:rsidR="002C0AFD" w:rsidRDefault="002C0AFD" w:rsidP="00D040D6">
            <w:pPr>
              <w:rPr>
                <w:lang w:eastAsia="en-AU"/>
              </w:rPr>
            </w:pPr>
            <w:r>
              <w:rPr>
                <w:lang w:eastAsia="en-AU"/>
              </w:rPr>
              <w:t>Grant recipients</w:t>
            </w:r>
          </w:p>
        </w:tc>
        <w:tc>
          <w:tcPr>
            <w:tcW w:w="1667" w:type="pct"/>
          </w:tcPr>
          <w:p w14:paraId="419C58B9" w14:textId="0EBE065A" w:rsidR="002C0AFD" w:rsidRDefault="002C0AFD" w:rsidP="00D040D6">
            <w:pPr>
              <w:rPr>
                <w:lang w:eastAsia="en-AU"/>
              </w:rPr>
            </w:pPr>
            <w:r>
              <w:rPr>
                <w:lang w:eastAsia="en-AU"/>
              </w:rPr>
              <w:t xml:space="preserve">51 </w:t>
            </w:r>
          </w:p>
        </w:tc>
        <w:tc>
          <w:tcPr>
            <w:tcW w:w="1667" w:type="pct"/>
          </w:tcPr>
          <w:p w14:paraId="3C83E469" w14:textId="6EE1EA50" w:rsidR="002C0AFD" w:rsidRDefault="00B5597E" w:rsidP="00BD25B0">
            <w:pPr>
              <w:pStyle w:val="TableNText"/>
            </w:pPr>
            <w:r>
              <w:t xml:space="preserve">To understand </w:t>
            </w:r>
            <w:r w:rsidRPr="003D477B">
              <w:t>what’s</w:t>
            </w:r>
            <w:r w:rsidRPr="00602CC3">
              <w:t xml:space="preserve"> </w:t>
            </w:r>
            <w:r w:rsidRPr="003D477B">
              <w:t xml:space="preserve">working well in </w:t>
            </w:r>
            <w:r>
              <w:t>implementation of</w:t>
            </w:r>
            <w:r w:rsidRPr="00602CC3">
              <w:t xml:space="preserve"> </w:t>
            </w:r>
            <w:r w:rsidRPr="003D477B">
              <w:t xml:space="preserve">the grant program, what could be improved, </w:t>
            </w:r>
            <w:r w:rsidR="009F64D6">
              <w:t>ability to access</w:t>
            </w:r>
            <w:r w:rsidR="00BD25B0">
              <w:t xml:space="preserve"> </w:t>
            </w:r>
            <w:r w:rsidR="00DF7515">
              <w:t>long</w:t>
            </w:r>
            <w:r w:rsidR="0068164C">
              <w:t>-</w:t>
            </w:r>
            <w:r w:rsidR="00DF7515">
              <w:t>term</w:t>
            </w:r>
            <w:r w:rsidR="00BD25B0">
              <w:t xml:space="preserve"> funding,</w:t>
            </w:r>
            <w:r w:rsidR="00BD25B0" w:rsidRPr="00602CC3">
              <w:t xml:space="preserve"> </w:t>
            </w:r>
            <w:r w:rsidRPr="003D477B">
              <w:t>and any outcomes observed</w:t>
            </w:r>
            <w:r w:rsidRPr="00602CC3">
              <w:t xml:space="preserve"> </w:t>
            </w:r>
            <w:r w:rsidRPr="003D477B">
              <w:t xml:space="preserve">in </w:t>
            </w:r>
            <w:r w:rsidR="003C3F64">
              <w:t>participants</w:t>
            </w:r>
            <w:r>
              <w:t>.</w:t>
            </w:r>
          </w:p>
        </w:tc>
      </w:tr>
      <w:tr w:rsidR="00A828C7" w14:paraId="2C2B1ECB" w14:textId="3BF5F2B2" w:rsidTr="002C0AFD">
        <w:tc>
          <w:tcPr>
            <w:tcW w:w="1666" w:type="pct"/>
          </w:tcPr>
          <w:p w14:paraId="2349A211" w14:textId="5E173190" w:rsidR="002C0AFD" w:rsidRDefault="003C3F64" w:rsidP="00D040D6">
            <w:pPr>
              <w:rPr>
                <w:lang w:eastAsia="en-AU"/>
              </w:rPr>
            </w:pPr>
            <w:r>
              <w:rPr>
                <w:lang w:eastAsia="en-AU"/>
              </w:rPr>
              <w:t>Participants</w:t>
            </w:r>
          </w:p>
        </w:tc>
        <w:tc>
          <w:tcPr>
            <w:tcW w:w="1667" w:type="pct"/>
          </w:tcPr>
          <w:p w14:paraId="5ADB3B5E" w14:textId="28D9A22A" w:rsidR="002C0AFD" w:rsidRDefault="0036500F" w:rsidP="00D040D6">
            <w:pPr>
              <w:rPr>
                <w:lang w:eastAsia="en-AU"/>
              </w:rPr>
            </w:pPr>
            <w:r>
              <w:rPr>
                <w:lang w:eastAsia="en-AU"/>
              </w:rPr>
              <w:t>21</w:t>
            </w:r>
          </w:p>
        </w:tc>
        <w:tc>
          <w:tcPr>
            <w:tcW w:w="1667" w:type="pct"/>
          </w:tcPr>
          <w:p w14:paraId="656C62F0" w14:textId="790C82DF" w:rsidR="002C0AFD" w:rsidRDefault="003F5760" w:rsidP="00BD25B0">
            <w:pPr>
              <w:pStyle w:val="TableNText"/>
            </w:pPr>
            <w:r w:rsidRPr="003F5760">
              <w:t xml:space="preserve">To understand why </w:t>
            </w:r>
            <w:r w:rsidR="003C3F64">
              <w:t>participants</w:t>
            </w:r>
            <w:r w:rsidRPr="003F5760">
              <w:t xml:space="preserve"> got in touch with the service, what was good about the service, what could be improved, and any impacts it created.  </w:t>
            </w:r>
          </w:p>
        </w:tc>
      </w:tr>
    </w:tbl>
    <w:p w14:paraId="2C49EC42" w14:textId="74890EBF" w:rsidR="00852534" w:rsidRDefault="006A54A0" w:rsidP="006A54A0">
      <w:pPr>
        <w:pStyle w:val="Heading3"/>
        <w:numPr>
          <w:ilvl w:val="0"/>
          <w:numId w:val="0"/>
        </w:numPr>
      </w:pPr>
      <w:bookmarkStart w:id="87" w:name="_Toc240883576"/>
      <w:r>
        <w:t xml:space="preserve">C.1.2 </w:t>
      </w:r>
      <w:r w:rsidR="00852534">
        <w:t>Program documents and data</w:t>
      </w:r>
      <w:bookmarkEnd w:id="87"/>
    </w:p>
    <w:p w14:paraId="3AB592CB" w14:textId="05062846" w:rsidR="00852534" w:rsidRDefault="00852534" w:rsidP="00852534">
      <w:pPr>
        <w:rPr>
          <w:lang w:eastAsia="en-AU"/>
        </w:rPr>
      </w:pPr>
      <w:r>
        <w:rPr>
          <w:lang w:eastAsia="en-AU"/>
        </w:rPr>
        <w:t xml:space="preserve">The evaluation analysed the following </w:t>
      </w:r>
      <w:r w:rsidR="00FD0930" w:rsidRPr="00FD0930">
        <w:rPr>
          <w:rFonts w:asciiTheme="majorHAnsi" w:hAnsiTheme="majorHAnsi" w:cstheme="majorHAnsi"/>
          <w:lang w:eastAsia="en-AU"/>
        </w:rPr>
        <w:t xml:space="preserve">program </w:t>
      </w:r>
      <w:r w:rsidRPr="00FD0930">
        <w:rPr>
          <w:rFonts w:asciiTheme="majorHAnsi" w:hAnsiTheme="majorHAnsi" w:cstheme="majorHAnsi"/>
          <w:lang w:eastAsia="en-AU"/>
        </w:rPr>
        <w:t>documents</w:t>
      </w:r>
      <w:r>
        <w:rPr>
          <w:lang w:eastAsia="en-AU"/>
        </w:rPr>
        <w:t>:</w:t>
      </w:r>
    </w:p>
    <w:p w14:paraId="465465B6" w14:textId="2B2CB975" w:rsidR="007A1D0C" w:rsidRDefault="007A1D0C" w:rsidP="00852534">
      <w:pPr>
        <w:pStyle w:val="Bullet"/>
      </w:pPr>
      <w:r>
        <w:t>G</w:t>
      </w:r>
      <w:r w:rsidR="00852534">
        <w:t>rant guidelines</w:t>
      </w:r>
    </w:p>
    <w:p w14:paraId="59C87831" w14:textId="502F3063" w:rsidR="007A1D0C" w:rsidRDefault="007A1D0C" w:rsidP="00852534">
      <w:pPr>
        <w:pStyle w:val="Bullet"/>
      </w:pPr>
      <w:r>
        <w:t>L</w:t>
      </w:r>
      <w:r w:rsidR="00852534">
        <w:t>essons learnt reports</w:t>
      </w:r>
    </w:p>
    <w:p w14:paraId="62CD5C2C" w14:textId="7AB7C9DD" w:rsidR="00852534" w:rsidRDefault="00852534" w:rsidP="00852534">
      <w:pPr>
        <w:pStyle w:val="Bullet"/>
      </w:pPr>
      <w:r>
        <w:t>Activity Work Plans</w:t>
      </w:r>
    </w:p>
    <w:p w14:paraId="52CEB41C" w14:textId="224E9402" w:rsidR="00F11DE3" w:rsidRDefault="00F11DE3" w:rsidP="00852534">
      <w:pPr>
        <w:pStyle w:val="Bullet"/>
      </w:pPr>
      <w:r>
        <w:t>DEX</w:t>
      </w:r>
      <w:r w:rsidR="00D11BBB">
        <w:t xml:space="preserve"> unit record data</w:t>
      </w:r>
    </w:p>
    <w:p w14:paraId="3F4D47D3" w14:textId="3649C751" w:rsidR="00D11BBB" w:rsidRDefault="00D11BBB" w:rsidP="00852534">
      <w:pPr>
        <w:pStyle w:val="Bullet"/>
      </w:pPr>
      <w:r>
        <w:t>Grants Master List</w:t>
      </w:r>
    </w:p>
    <w:p w14:paraId="4AF5FED7" w14:textId="714D540F" w:rsidR="00852534" w:rsidRDefault="006A54A0" w:rsidP="006A54A0">
      <w:pPr>
        <w:pStyle w:val="Heading3"/>
        <w:numPr>
          <w:ilvl w:val="0"/>
          <w:numId w:val="0"/>
        </w:numPr>
      </w:pPr>
      <w:bookmarkStart w:id="88" w:name="_Toc240883577"/>
      <w:r>
        <w:t xml:space="preserve">C.1.3 </w:t>
      </w:r>
      <w:r w:rsidR="00852534">
        <w:t>Literature and grey literature</w:t>
      </w:r>
      <w:bookmarkEnd w:id="88"/>
    </w:p>
    <w:p w14:paraId="71D55D5B" w14:textId="77777777" w:rsidR="00B90402" w:rsidRDefault="00B90402" w:rsidP="00B90402">
      <w:pPr>
        <w:pStyle w:val="Bullet"/>
        <w:numPr>
          <w:ilvl w:val="0"/>
          <w:numId w:val="0"/>
        </w:numPr>
        <w:ind w:left="340" w:hanging="340"/>
      </w:pPr>
      <w:r>
        <w:rPr>
          <w:rFonts w:asciiTheme="majorHAnsi" w:hAnsiTheme="majorHAnsi" w:cstheme="majorHAnsi"/>
        </w:rPr>
        <w:t xml:space="preserve">The review analysed </w:t>
      </w:r>
      <w:r w:rsidRPr="008F21FF">
        <w:rPr>
          <w:rFonts w:asciiTheme="majorHAnsi" w:hAnsiTheme="majorHAnsi" w:cstheme="majorHAnsi"/>
        </w:rPr>
        <w:t>literature and grey literature</w:t>
      </w:r>
      <w:r>
        <w:t xml:space="preserve"> on best practices for:</w:t>
      </w:r>
    </w:p>
    <w:p w14:paraId="216B5470" w14:textId="7FB800A8" w:rsidR="00B90402" w:rsidRDefault="006F4827" w:rsidP="00D249A4">
      <w:pPr>
        <w:pStyle w:val="Bullet"/>
        <w:numPr>
          <w:ilvl w:val="1"/>
          <w:numId w:val="1"/>
        </w:numPr>
      </w:pPr>
      <w:r>
        <w:t>c</w:t>
      </w:r>
      <w:r w:rsidR="00B90402">
        <w:t>ommunity-driven programs</w:t>
      </w:r>
    </w:p>
    <w:p w14:paraId="2D930137" w14:textId="43B2562E" w:rsidR="00B90402" w:rsidRDefault="006F4827" w:rsidP="00D249A4">
      <w:pPr>
        <w:pStyle w:val="Bullet"/>
        <w:numPr>
          <w:ilvl w:val="1"/>
          <w:numId w:val="1"/>
        </w:numPr>
      </w:pPr>
      <w:r>
        <w:t>t</w:t>
      </w:r>
      <w:r w:rsidR="00B90402">
        <w:t>rialling new approaches and innovation</w:t>
      </w:r>
    </w:p>
    <w:p w14:paraId="2916FC2F" w14:textId="5989E474" w:rsidR="00B90402" w:rsidRPr="00B90402" w:rsidRDefault="006F4827" w:rsidP="00D249A4">
      <w:pPr>
        <w:pStyle w:val="Bullet"/>
        <w:numPr>
          <w:ilvl w:val="1"/>
          <w:numId w:val="1"/>
        </w:numPr>
      </w:pPr>
      <w:r>
        <w:t>s</w:t>
      </w:r>
      <w:r w:rsidR="00B90402">
        <w:t>ocial and economic inclusion for programs targeting each of the key cohorts economic and social inclusion programs from Australia and overseas.</w:t>
      </w:r>
    </w:p>
    <w:p w14:paraId="0C47D806" w14:textId="77777777" w:rsidR="00852534" w:rsidRDefault="00852534" w:rsidP="00352420">
      <w:pPr>
        <w:pStyle w:val="Heading4"/>
      </w:pPr>
      <w:r>
        <w:t>Literature review methodology</w:t>
      </w:r>
    </w:p>
    <w:p w14:paraId="3B371D0C" w14:textId="384EA055" w:rsidR="00852534" w:rsidRDefault="00852534" w:rsidP="00852534">
      <w:r>
        <w:rPr>
          <w:lang w:eastAsia="en-AU"/>
        </w:rPr>
        <w:t xml:space="preserve">The evaluation followed a structured approach to identify best practice features </w:t>
      </w:r>
      <w:r w:rsidR="00EE4A2A">
        <w:rPr>
          <w:lang w:eastAsia="en-AU"/>
        </w:rPr>
        <w:t xml:space="preserve">and make an assessment </w:t>
      </w:r>
      <w:r w:rsidR="00F45540">
        <w:rPr>
          <w:lang w:eastAsia="en-AU"/>
        </w:rPr>
        <w:t xml:space="preserve">of </w:t>
      </w:r>
      <w:r w:rsidR="00FD304C">
        <w:rPr>
          <w:lang w:eastAsia="en-AU"/>
        </w:rPr>
        <w:t>SARC – IC</w:t>
      </w:r>
      <w:r w:rsidR="00F45540">
        <w:rPr>
          <w:lang w:eastAsia="en-AU"/>
        </w:rPr>
        <w:t>’s level</w:t>
      </w:r>
      <w:r>
        <w:rPr>
          <w:lang w:eastAsia="en-AU"/>
        </w:rPr>
        <w:t xml:space="preserve"> of </w:t>
      </w:r>
      <w:r w:rsidR="00F45540">
        <w:rPr>
          <w:lang w:eastAsia="en-AU"/>
        </w:rPr>
        <w:t>alignment.</w:t>
      </w:r>
      <w:r>
        <w:rPr>
          <w:lang w:eastAsia="en-AU"/>
        </w:rPr>
        <w:t xml:space="preserve"> </w:t>
      </w:r>
      <w:r>
        <w:t>Key elements of the literature review included:</w:t>
      </w:r>
    </w:p>
    <w:p w14:paraId="4C62180C" w14:textId="13D1E039" w:rsidR="00852534" w:rsidRPr="00EB0BFB" w:rsidRDefault="00852534" w:rsidP="00756A4F">
      <w:pPr>
        <w:pStyle w:val="Listnumbered"/>
        <w:numPr>
          <w:ilvl w:val="0"/>
          <w:numId w:val="27"/>
        </w:numPr>
        <w:rPr>
          <w:rFonts w:asciiTheme="majorHAnsi" w:hAnsiTheme="majorHAnsi" w:cstheme="majorHAnsi"/>
          <w:lang w:eastAsia="en-AU"/>
        </w:rPr>
      </w:pPr>
      <w:r w:rsidRPr="00EB0BFB">
        <w:rPr>
          <w:rFonts w:asciiTheme="majorHAnsi" w:hAnsiTheme="majorHAnsi" w:cstheme="majorHAnsi"/>
          <w:lang w:eastAsia="en-AU"/>
        </w:rPr>
        <w:t>Scope and sources</w:t>
      </w:r>
    </w:p>
    <w:p w14:paraId="2192CE07" w14:textId="52987747" w:rsidR="006962B7" w:rsidRDefault="00852534" w:rsidP="00852534">
      <w:pPr>
        <w:rPr>
          <w:lang w:eastAsia="en-AU"/>
        </w:rPr>
      </w:pPr>
      <w:r>
        <w:rPr>
          <w:lang w:eastAsia="en-AU"/>
        </w:rPr>
        <w:t>The review targeted meta-analyses, systematic reviews, and grey literature (e.g., government reports, policy papers). This included both Australian and international evidence to capture best practice and emerging trends. Where meta-analysis and systematic reviews were unavailable, limited or inconclusive, single</w:t>
      </w:r>
      <w:r w:rsidR="00593408">
        <w:rPr>
          <w:lang w:eastAsia="en-AU"/>
        </w:rPr>
        <w:t xml:space="preserve"> </w:t>
      </w:r>
      <w:r>
        <w:rPr>
          <w:lang w:eastAsia="en-AU"/>
        </w:rPr>
        <w:t xml:space="preserve">studies from countries similar to Australia </w:t>
      </w:r>
      <w:r w:rsidR="00994806">
        <w:rPr>
          <w:lang w:eastAsia="en-AU"/>
        </w:rPr>
        <w:t xml:space="preserve">and consultation reports from the sector </w:t>
      </w:r>
      <w:r>
        <w:rPr>
          <w:lang w:eastAsia="en-AU"/>
        </w:rPr>
        <w:t>were included.</w:t>
      </w:r>
    </w:p>
    <w:p w14:paraId="66D372B3" w14:textId="77777777" w:rsidR="00852534" w:rsidRPr="00B82918" w:rsidRDefault="00852534" w:rsidP="00852534">
      <w:pPr>
        <w:pStyle w:val="Listnumbered"/>
        <w:rPr>
          <w:rFonts w:asciiTheme="majorHAnsi" w:hAnsiTheme="majorHAnsi" w:cstheme="majorHAnsi"/>
          <w:lang w:eastAsia="en-AU"/>
        </w:rPr>
      </w:pPr>
      <w:r w:rsidRPr="00B82918">
        <w:rPr>
          <w:rFonts w:asciiTheme="majorHAnsi" w:hAnsiTheme="majorHAnsi" w:cstheme="majorHAnsi"/>
          <w:lang w:eastAsia="en-AU"/>
        </w:rPr>
        <w:t>Search strategy</w:t>
      </w:r>
    </w:p>
    <w:p w14:paraId="58E430F1" w14:textId="77777777" w:rsidR="00852534" w:rsidRDefault="00852534" w:rsidP="00852534">
      <w:pPr>
        <w:rPr>
          <w:lang w:eastAsia="en-AU"/>
        </w:rPr>
      </w:pPr>
      <w:r>
        <w:rPr>
          <w:lang w:eastAsia="en-AU"/>
        </w:rPr>
        <w:t xml:space="preserve">Searches were conducted primarily through Google Scholar and PubMed, supplemented by targeted searches of relevant organisational (e.g. Paul Ramsay Foundation) and government websites (e.g. Australian Institute of Family Studies). </w:t>
      </w:r>
    </w:p>
    <w:p w14:paraId="01362481" w14:textId="11E0600B" w:rsidR="00852534" w:rsidRDefault="006A54A0" w:rsidP="006A54A0">
      <w:pPr>
        <w:pStyle w:val="Heading2"/>
        <w:numPr>
          <w:ilvl w:val="0"/>
          <w:numId w:val="0"/>
        </w:numPr>
        <w:ind w:left="576" w:hanging="576"/>
      </w:pPr>
      <w:bookmarkStart w:id="89" w:name="_Toc240883578"/>
      <w:r>
        <w:lastRenderedPageBreak/>
        <w:t xml:space="preserve">C.2 </w:t>
      </w:r>
      <w:r w:rsidR="00852534">
        <w:t>Data analysis methods</w:t>
      </w:r>
      <w:bookmarkEnd w:id="89"/>
    </w:p>
    <w:p w14:paraId="1523105A" w14:textId="7053953B" w:rsidR="00852534" w:rsidRDefault="00852534" w:rsidP="00852534">
      <w:pPr>
        <w:tabs>
          <w:tab w:val="num" w:pos="720"/>
        </w:tabs>
        <w:rPr>
          <w:lang w:eastAsia="en-AU"/>
        </w:rPr>
      </w:pPr>
      <w:r>
        <w:rPr>
          <w:lang w:eastAsia="en-AU"/>
        </w:rPr>
        <w:t xml:space="preserve">The evaluation has employed a quantitative approach, focusing on measuring changes in key outcomes for target groups participating in the </w:t>
      </w:r>
      <w:r w:rsidR="00167397">
        <w:rPr>
          <w:lang w:eastAsia="en-AU"/>
        </w:rPr>
        <w:t>SARC</w:t>
      </w:r>
      <w:r w:rsidR="00084841">
        <w:rPr>
          <w:lang w:eastAsia="en-AU"/>
        </w:rPr>
        <w:t xml:space="preserve"> – </w:t>
      </w:r>
      <w:r w:rsidR="00167397">
        <w:rPr>
          <w:lang w:eastAsia="en-AU"/>
        </w:rPr>
        <w:t xml:space="preserve">IC </w:t>
      </w:r>
      <w:r w:rsidR="004406D4">
        <w:rPr>
          <w:lang w:eastAsia="en-AU"/>
        </w:rPr>
        <w:t>Activity</w:t>
      </w:r>
      <w:r>
        <w:rPr>
          <w:lang w:eastAsia="en-AU"/>
        </w:rPr>
        <w:t>. The analysis is complementary to qualitative findings from stakeholder interviews and aims to understand how program participation influenced participants’ outcomes.</w:t>
      </w:r>
    </w:p>
    <w:p w14:paraId="7D371BF8" w14:textId="277EF19F" w:rsidR="00852534" w:rsidRDefault="006A54A0" w:rsidP="006A54A0">
      <w:pPr>
        <w:pStyle w:val="Heading3"/>
        <w:numPr>
          <w:ilvl w:val="0"/>
          <w:numId w:val="0"/>
        </w:numPr>
        <w:ind w:left="720" w:hanging="720"/>
      </w:pPr>
      <w:bookmarkStart w:id="90" w:name="_Toc240883579"/>
      <w:r>
        <w:t xml:space="preserve">C.2.1 </w:t>
      </w:r>
      <w:r w:rsidR="00852534">
        <w:t>Quantitative data analysis methods</w:t>
      </w:r>
      <w:bookmarkEnd w:id="90"/>
    </w:p>
    <w:p w14:paraId="4638E52E" w14:textId="77777777" w:rsidR="00852534" w:rsidRPr="00D03C48" w:rsidRDefault="00852534" w:rsidP="0073634C">
      <w:pPr>
        <w:pStyle w:val="Heading5"/>
        <w:numPr>
          <w:ilvl w:val="0"/>
          <w:numId w:val="0"/>
        </w:numPr>
      </w:pPr>
      <w:r>
        <w:t>Data</w:t>
      </w:r>
    </w:p>
    <w:p w14:paraId="0FBCDD1F" w14:textId="77A6570B" w:rsidR="00852534" w:rsidRDefault="00852534" w:rsidP="00852534">
      <w:pPr>
        <w:tabs>
          <w:tab w:val="num" w:pos="720"/>
        </w:tabs>
        <w:rPr>
          <w:lang w:eastAsia="en-AU"/>
        </w:rPr>
      </w:pPr>
      <w:r>
        <w:rPr>
          <w:lang w:eastAsia="en-AU"/>
        </w:rPr>
        <w:t xml:space="preserve">The analysis used unit-level data obtained from </w:t>
      </w:r>
      <w:r w:rsidR="003E7DFF">
        <w:rPr>
          <w:lang w:eastAsia="en-AU"/>
        </w:rPr>
        <w:t>the Department</w:t>
      </w:r>
      <w:r>
        <w:rPr>
          <w:lang w:eastAsia="en-AU"/>
        </w:rPr>
        <w:t>’s Data Exchange (DEX) system.</w:t>
      </w:r>
      <w:r w:rsidR="00D41219">
        <w:rPr>
          <w:rStyle w:val="FootnoteReference"/>
          <w:lang w:eastAsia="en-AU"/>
        </w:rPr>
        <w:footnoteReference w:id="65"/>
      </w:r>
      <w:r>
        <w:rPr>
          <w:lang w:eastAsia="en-AU"/>
        </w:rPr>
        <w:t xml:space="preserve"> It includes comprehensive information on program participants. The dataset contained:</w:t>
      </w:r>
    </w:p>
    <w:p w14:paraId="5B7BA5B5" w14:textId="7B8F6DF5" w:rsidR="00852534" w:rsidRDefault="00852534" w:rsidP="00852534">
      <w:pPr>
        <w:pStyle w:val="Bullet"/>
      </w:pPr>
      <w:r>
        <w:t xml:space="preserve">participant demographic information, including gender, age, location, employment and education status, disability, Indigenous status, main language spoken, and birth country, among others </w:t>
      </w:r>
    </w:p>
    <w:p w14:paraId="3190FA7B" w14:textId="487A3FB9" w:rsidR="00852534" w:rsidRDefault="00852534" w:rsidP="00852534">
      <w:pPr>
        <w:pStyle w:val="Bullet"/>
      </w:pPr>
      <w:r>
        <w:t>records of sessions attended, including information on dates, organisation, referrals to internal and external services, and the number of participants in the session</w:t>
      </w:r>
    </w:p>
    <w:p w14:paraId="21E5FF7A" w14:textId="4877DD0D" w:rsidR="00852534" w:rsidRDefault="00852534" w:rsidP="00852534">
      <w:pPr>
        <w:pStyle w:val="Bullet"/>
      </w:pPr>
      <w:r>
        <w:t>scores recorded during sessions for twenty outcomes with a flag for whether the score is pre or post</w:t>
      </w:r>
      <w:r w:rsidR="00FE51AE">
        <w:t xml:space="preserve"> </w:t>
      </w:r>
      <w:r>
        <w:t>program completion, and</w:t>
      </w:r>
    </w:p>
    <w:p w14:paraId="0F86A70B" w14:textId="77777777" w:rsidR="00852534" w:rsidRDefault="00852534" w:rsidP="00852534">
      <w:pPr>
        <w:pStyle w:val="Bullet"/>
      </w:pPr>
      <w:r>
        <w:t>details of which organisation is providing a session.</w:t>
      </w:r>
    </w:p>
    <w:p w14:paraId="3BC2FB8E" w14:textId="75EE5167" w:rsidR="00852534" w:rsidRDefault="00852534" w:rsidP="00852534">
      <w:pPr>
        <w:rPr>
          <w:lang w:eastAsia="en-AU"/>
        </w:rPr>
      </w:pPr>
      <w:r w:rsidRPr="0054142F">
        <w:rPr>
          <w:lang w:eastAsia="en-AU"/>
        </w:rPr>
        <w:t>Outcomes were measured using a Likert scale ranging from 1 to 5, with standardi</w:t>
      </w:r>
      <w:r>
        <w:rPr>
          <w:lang w:eastAsia="en-AU"/>
        </w:rPr>
        <w:t>s</w:t>
      </w:r>
      <w:r w:rsidRPr="0054142F">
        <w:rPr>
          <w:lang w:eastAsia="en-AU"/>
        </w:rPr>
        <w:t xml:space="preserve">ed definitions for each </w:t>
      </w:r>
      <w:r>
        <w:rPr>
          <w:lang w:eastAsia="en-AU"/>
        </w:rPr>
        <w:t xml:space="preserve">outcome and </w:t>
      </w:r>
      <w:r w:rsidRPr="0054142F">
        <w:rPr>
          <w:lang w:eastAsia="en-AU"/>
        </w:rPr>
        <w:t>score provided in</w:t>
      </w:r>
      <w:r>
        <w:rPr>
          <w:lang w:eastAsia="en-AU"/>
        </w:rPr>
        <w:t xml:space="preserve"> </w:t>
      </w:r>
      <w:r w:rsidR="00972ACC">
        <w:rPr>
          <w:lang w:eastAsia="en-AU"/>
        </w:rPr>
        <w:t>the</w:t>
      </w:r>
      <w:r w:rsidRPr="00FE0190">
        <w:t xml:space="preserve"> </w:t>
      </w:r>
      <w:bookmarkStart w:id="91" w:name="_Hlk215738939"/>
      <w:r w:rsidRPr="00671398">
        <w:rPr>
          <w:i/>
          <w:lang w:eastAsia="en-AU"/>
        </w:rPr>
        <w:t>Program Specific Guidance for Outcome 2.1 Families and Communities Program in the Data Exchange</w:t>
      </w:r>
      <w:bookmarkEnd w:id="91"/>
      <w:r w:rsidRPr="0054142F">
        <w:rPr>
          <w:lang w:eastAsia="en-AU"/>
        </w:rPr>
        <w:t>.</w:t>
      </w:r>
      <w:r w:rsidR="002B29BE">
        <w:rPr>
          <w:rFonts w:ascii="ZWAdobeF" w:hAnsi="ZWAdobeF" w:cs="ZWAdobeF"/>
          <w:sz w:val="2"/>
          <w:szCs w:val="2"/>
          <w:lang w:eastAsia="en-AU"/>
        </w:rPr>
        <w:t>60F</w:t>
      </w:r>
      <w:r>
        <w:rPr>
          <w:rStyle w:val="FootnoteReference"/>
          <w:lang w:eastAsia="en-AU"/>
        </w:rPr>
        <w:footnoteReference w:id="66"/>
      </w:r>
      <w:r w:rsidRPr="0054142F">
        <w:rPr>
          <w:lang w:eastAsia="en-AU"/>
        </w:rPr>
        <w:t xml:space="preserve"> This allowed for consistent assessment of participant progress across multiple program areas.</w:t>
      </w:r>
    </w:p>
    <w:p w14:paraId="42395705" w14:textId="77777777" w:rsidR="00852534" w:rsidRPr="00AC5B97" w:rsidRDefault="00852534" w:rsidP="0073634C">
      <w:pPr>
        <w:pStyle w:val="Heading5"/>
        <w:numPr>
          <w:ilvl w:val="0"/>
          <w:numId w:val="0"/>
        </w:numPr>
      </w:pPr>
      <w:r w:rsidRPr="00AC5B97">
        <w:t>Analysis Techniques</w:t>
      </w:r>
    </w:p>
    <w:p w14:paraId="2CCC2BE4" w14:textId="77777777" w:rsidR="00852534" w:rsidRPr="00AC5B97" w:rsidRDefault="00852534" w:rsidP="00852534">
      <w:r w:rsidRPr="00AC5B97">
        <w:t>Two main techniques were employed:</w:t>
      </w:r>
    </w:p>
    <w:p w14:paraId="2FBC91D6" w14:textId="77777777" w:rsidR="00852534" w:rsidRPr="00AC5B97" w:rsidRDefault="00852534" w:rsidP="00212050">
      <w:pPr>
        <w:numPr>
          <w:ilvl w:val="0"/>
          <w:numId w:val="5"/>
        </w:numPr>
      </w:pPr>
      <w:r w:rsidRPr="00BD6296">
        <w:rPr>
          <w:rFonts w:asciiTheme="majorHAnsi" w:hAnsiTheme="majorHAnsi" w:cstheme="majorHAnsi"/>
        </w:rPr>
        <w:t>Descriptive statistics:</w:t>
      </w:r>
      <w:r w:rsidRPr="00AC5B97">
        <w:t xml:space="preserve"> Means, distributions, and changes in scores were calculated to summari</w:t>
      </w:r>
      <w:r>
        <w:t>s</w:t>
      </w:r>
      <w:r w:rsidRPr="00AC5B97">
        <w:t>e participant characteristics</w:t>
      </w:r>
      <w:r>
        <w:t>, views on implementation</w:t>
      </w:r>
      <w:r w:rsidRPr="00AC5B97">
        <w:t xml:space="preserve"> and outcomes.</w:t>
      </w:r>
    </w:p>
    <w:p w14:paraId="70338792" w14:textId="77777777" w:rsidR="00852534" w:rsidRPr="00AC5B97" w:rsidRDefault="00852534" w:rsidP="00212050">
      <w:pPr>
        <w:numPr>
          <w:ilvl w:val="0"/>
          <w:numId w:val="5"/>
        </w:numPr>
      </w:pPr>
      <w:r w:rsidRPr="00BD6296">
        <w:rPr>
          <w:rFonts w:asciiTheme="majorHAnsi" w:hAnsiTheme="majorHAnsi" w:cstheme="majorHAnsi"/>
        </w:rPr>
        <w:t>Probability modelling:</w:t>
      </w:r>
      <w:r w:rsidRPr="00AC5B97">
        <w:t xml:space="preserve"> This approach measured the likelihood of participants achieving improved outcomes</w:t>
      </w:r>
      <w:r>
        <w:t>, the results of this modelling are associative in nature</w:t>
      </w:r>
      <w:r w:rsidRPr="00AC5B97">
        <w:t>.</w:t>
      </w:r>
    </w:p>
    <w:p w14:paraId="03E4DB29" w14:textId="77777777" w:rsidR="00852534" w:rsidRPr="00AC5B97" w:rsidRDefault="00852534" w:rsidP="00852534">
      <w:r w:rsidRPr="00AC5B97">
        <w:t>The data analysis followed a structured procedure:</w:t>
      </w:r>
    </w:p>
    <w:p w14:paraId="7DB875C1" w14:textId="6D061F07" w:rsidR="00852534" w:rsidRPr="00432255" w:rsidRDefault="00852534" w:rsidP="00756A4F">
      <w:pPr>
        <w:pStyle w:val="Listnumbered"/>
        <w:numPr>
          <w:ilvl w:val="0"/>
          <w:numId w:val="22"/>
        </w:numPr>
        <w:rPr>
          <w:rFonts w:asciiTheme="majorHAnsi" w:hAnsiTheme="majorHAnsi" w:cstheme="majorHAnsi"/>
        </w:rPr>
      </w:pPr>
      <w:r w:rsidRPr="00432255">
        <w:rPr>
          <w:rFonts w:asciiTheme="majorHAnsi" w:hAnsiTheme="majorHAnsi" w:cstheme="majorHAnsi"/>
        </w:rPr>
        <w:t>Identification of target group participants</w:t>
      </w:r>
    </w:p>
    <w:p w14:paraId="288A605B" w14:textId="77777777" w:rsidR="00852534" w:rsidRPr="00AC5B97" w:rsidRDefault="00852534" w:rsidP="00A3675A">
      <w:r w:rsidRPr="00AC5B97">
        <w:t>Participants were classified into the following key target groups based on age, gender, disability, and employment status:</w:t>
      </w:r>
    </w:p>
    <w:p w14:paraId="5F9F449F" w14:textId="77777777" w:rsidR="00852534" w:rsidRPr="00AC5B97" w:rsidRDefault="00852534" w:rsidP="003C7439">
      <w:pPr>
        <w:pStyle w:val="Listnumbered"/>
        <w:numPr>
          <w:ilvl w:val="1"/>
          <w:numId w:val="6"/>
        </w:numPr>
        <w:ind w:left="567"/>
      </w:pPr>
      <w:r w:rsidRPr="000C55C6">
        <w:rPr>
          <w:rFonts w:asciiTheme="majorHAnsi" w:hAnsiTheme="majorHAnsi" w:cstheme="majorHAnsi"/>
        </w:rPr>
        <w:t>Young people at risk of disengaging from education or employment</w:t>
      </w:r>
      <w:r w:rsidRPr="000C55C6">
        <w:t>:</w:t>
      </w:r>
      <w:r w:rsidRPr="00AC5B97">
        <w:t xml:space="preserve"> participants aged 12–18.</w:t>
      </w:r>
    </w:p>
    <w:p w14:paraId="7C185F20" w14:textId="77777777" w:rsidR="00852534" w:rsidRPr="00AC5B97" w:rsidRDefault="00852534" w:rsidP="003C7439">
      <w:pPr>
        <w:pStyle w:val="Listnumbered"/>
        <w:numPr>
          <w:ilvl w:val="1"/>
          <w:numId w:val="6"/>
        </w:numPr>
        <w:ind w:left="567"/>
      </w:pPr>
      <w:r w:rsidRPr="000C55C6">
        <w:rPr>
          <w:rFonts w:asciiTheme="majorHAnsi" w:hAnsiTheme="majorHAnsi" w:cstheme="majorHAnsi"/>
        </w:rPr>
        <w:t>Women experiencing disadvantage or at risk of isolation</w:t>
      </w:r>
      <w:r w:rsidRPr="000C55C6">
        <w:t>:</w:t>
      </w:r>
      <w:r w:rsidRPr="00AC5B97">
        <w:t xml:space="preserve"> participants identified as female and either homeless, or scoring 1 or 2 in community participation, access to information, skills development, or empowerment measures.</w:t>
      </w:r>
    </w:p>
    <w:p w14:paraId="4E0646E2" w14:textId="77777777" w:rsidR="00852534" w:rsidRPr="00AC5B97" w:rsidRDefault="00852534" w:rsidP="003C7439">
      <w:pPr>
        <w:pStyle w:val="Listnumbered"/>
        <w:numPr>
          <w:ilvl w:val="1"/>
          <w:numId w:val="6"/>
        </w:numPr>
        <w:ind w:left="567"/>
      </w:pPr>
      <w:r w:rsidRPr="000C55C6">
        <w:rPr>
          <w:rFonts w:asciiTheme="majorHAnsi" w:hAnsiTheme="majorHAnsi" w:cstheme="majorHAnsi"/>
        </w:rPr>
        <w:t>People with a disability (including mental health conditions)</w:t>
      </w:r>
      <w:r w:rsidRPr="000C55C6">
        <w:t>:</w:t>
      </w:r>
      <w:r w:rsidRPr="00AC5B97">
        <w:t xml:space="preserve"> participants with a recorded disability</w:t>
      </w:r>
      <w:r>
        <w:t xml:space="preserve"> in DEX</w:t>
      </w:r>
      <w:r w:rsidRPr="00AC5B97">
        <w:t>.</w:t>
      </w:r>
    </w:p>
    <w:p w14:paraId="61DA3A78" w14:textId="3145654B" w:rsidR="00852534" w:rsidRDefault="00852534" w:rsidP="003C7439">
      <w:pPr>
        <w:pStyle w:val="Listnumbered"/>
        <w:numPr>
          <w:ilvl w:val="1"/>
          <w:numId w:val="6"/>
        </w:numPr>
        <w:ind w:left="567"/>
      </w:pPr>
      <w:r w:rsidRPr="000C55C6">
        <w:rPr>
          <w:rFonts w:asciiTheme="majorHAnsi" w:hAnsiTheme="majorHAnsi" w:cstheme="majorHAnsi"/>
        </w:rPr>
        <w:t>People who are unemployed</w:t>
      </w:r>
      <w:r w:rsidRPr="000C55C6">
        <w:t>:</w:t>
      </w:r>
      <w:r w:rsidRPr="00AC5B97">
        <w:t xml:space="preserve"> participants scoring 1 or 2 on </w:t>
      </w:r>
      <w:r>
        <w:t xml:space="preserve">the </w:t>
      </w:r>
      <w:r w:rsidRPr="00AC5B97">
        <w:t>employment outcome or classified as unemployed or not looking for work.</w:t>
      </w:r>
    </w:p>
    <w:p w14:paraId="7DFF91E8" w14:textId="4DF74963" w:rsidR="00FA2E6D" w:rsidRPr="00AC5B97" w:rsidRDefault="007A574C" w:rsidP="00F81B79">
      <w:r>
        <w:lastRenderedPageBreak/>
        <w:t>There are some limitations on these definitions</w:t>
      </w:r>
      <w:r w:rsidR="006B3F27">
        <w:t xml:space="preserve">, for example the assumption that all participants under the age of 18 were participating because they were at risk of disengaging from education or employment and not because they fit into one of the other groups. </w:t>
      </w:r>
      <w:r w:rsidR="00183479">
        <w:t>It should be noted that some participants fell into multiple groups</w:t>
      </w:r>
      <w:r w:rsidR="008F43B6">
        <w:t xml:space="preserve"> and it was not possible to track which </w:t>
      </w:r>
      <w:r w:rsidR="007E527C">
        <w:t xml:space="preserve">of those needs the service they attended was addressing, which is a limitation of the data </w:t>
      </w:r>
      <w:r w:rsidR="00F63256">
        <w:t xml:space="preserve">collection and </w:t>
      </w:r>
      <w:r w:rsidR="007E527C">
        <w:t xml:space="preserve">analysis process. </w:t>
      </w:r>
    </w:p>
    <w:p w14:paraId="0C01FCCA" w14:textId="77777777" w:rsidR="00852534" w:rsidRPr="00AC5B97" w:rsidRDefault="00852534" w:rsidP="00852534">
      <w:pPr>
        <w:pStyle w:val="Listnumbered"/>
      </w:pPr>
      <w:r w:rsidRPr="00AC5B97">
        <w:t>The following outcomes were tracked for each target group:</w:t>
      </w:r>
    </w:p>
    <w:p w14:paraId="434B9A23" w14:textId="21A844A5" w:rsidR="00852534" w:rsidRPr="000C55C6" w:rsidRDefault="00852534" w:rsidP="00756A4F">
      <w:pPr>
        <w:pStyle w:val="Listnumbered"/>
        <w:numPr>
          <w:ilvl w:val="1"/>
          <w:numId w:val="23"/>
        </w:numPr>
        <w:ind w:left="567"/>
        <w:rPr>
          <w:rFonts w:asciiTheme="minorHAnsi" w:hAnsiTheme="minorHAnsi" w:cstheme="minorHAnsi"/>
        </w:rPr>
      </w:pPr>
      <w:r w:rsidRPr="000C55C6">
        <w:rPr>
          <w:rFonts w:asciiTheme="minorHAnsi" w:hAnsiTheme="minorHAnsi" w:cstheme="minorHAnsi"/>
        </w:rPr>
        <w:t>community participation and networks</w:t>
      </w:r>
    </w:p>
    <w:p w14:paraId="466518DD" w14:textId="4F5E265D" w:rsidR="00852534" w:rsidRPr="000C55C6" w:rsidRDefault="00852534" w:rsidP="00756A4F">
      <w:pPr>
        <w:pStyle w:val="Listnumbered"/>
        <w:numPr>
          <w:ilvl w:val="1"/>
          <w:numId w:val="23"/>
        </w:numPr>
        <w:ind w:left="567"/>
        <w:rPr>
          <w:rFonts w:asciiTheme="minorHAnsi" w:hAnsiTheme="minorHAnsi" w:cstheme="minorHAnsi"/>
        </w:rPr>
      </w:pPr>
      <w:r>
        <w:rPr>
          <w:rFonts w:asciiTheme="minorHAnsi" w:hAnsiTheme="minorHAnsi" w:cstheme="minorHAnsi"/>
        </w:rPr>
        <w:t>e</w:t>
      </w:r>
      <w:r w:rsidRPr="000C55C6">
        <w:rPr>
          <w:rFonts w:asciiTheme="minorHAnsi" w:hAnsiTheme="minorHAnsi" w:cstheme="minorHAnsi"/>
        </w:rPr>
        <w:t>mployment</w:t>
      </w:r>
    </w:p>
    <w:p w14:paraId="2F77C28F" w14:textId="77777777" w:rsidR="00852534" w:rsidRDefault="00852534" w:rsidP="00756A4F">
      <w:pPr>
        <w:pStyle w:val="Listnumbered"/>
        <w:numPr>
          <w:ilvl w:val="1"/>
          <w:numId w:val="23"/>
        </w:numPr>
        <w:ind w:left="567"/>
        <w:rPr>
          <w:rFonts w:asciiTheme="minorHAnsi" w:hAnsiTheme="minorHAnsi" w:cstheme="minorHAnsi"/>
        </w:rPr>
      </w:pPr>
      <w:r>
        <w:rPr>
          <w:rFonts w:asciiTheme="minorHAnsi" w:hAnsiTheme="minorHAnsi" w:cstheme="minorHAnsi"/>
        </w:rPr>
        <w:t>education and skills training, and</w:t>
      </w:r>
    </w:p>
    <w:p w14:paraId="206FAD7C" w14:textId="6AE49D8F" w:rsidR="00852534" w:rsidRDefault="00852534" w:rsidP="00756A4F">
      <w:pPr>
        <w:pStyle w:val="Listnumbered"/>
        <w:numPr>
          <w:ilvl w:val="1"/>
          <w:numId w:val="23"/>
        </w:numPr>
        <w:ind w:left="567"/>
        <w:rPr>
          <w:rFonts w:asciiTheme="minorHAnsi" w:hAnsiTheme="minorHAnsi" w:cstheme="minorHAnsi"/>
        </w:rPr>
      </w:pPr>
      <w:r>
        <w:rPr>
          <w:rFonts w:asciiTheme="minorHAnsi" w:hAnsiTheme="minorHAnsi" w:cstheme="minorHAnsi"/>
        </w:rPr>
        <w:t>mental health, wellbeing, and self-care</w:t>
      </w:r>
      <w:r w:rsidR="003D29B6">
        <w:rPr>
          <w:rFonts w:asciiTheme="minorHAnsi" w:hAnsiTheme="minorHAnsi" w:cstheme="minorHAnsi"/>
        </w:rPr>
        <w:t>.</w:t>
      </w:r>
    </w:p>
    <w:p w14:paraId="775F3719" w14:textId="689CBBA3" w:rsidR="00852534" w:rsidRPr="001F6C64" w:rsidRDefault="00852534" w:rsidP="00A3675A">
      <w:pPr>
        <w:rPr>
          <w:rFonts w:asciiTheme="minorHAnsi" w:hAnsiTheme="minorHAnsi" w:cstheme="minorHAnsi"/>
        </w:rPr>
      </w:pPr>
      <w:r w:rsidRPr="00AC5B97">
        <w:t>Participants</w:t>
      </w:r>
      <w:r>
        <w:t xml:space="preserve"> were tracked over time and had their pre</w:t>
      </w:r>
      <w:r w:rsidR="00FE51AE">
        <w:t xml:space="preserve"> </w:t>
      </w:r>
      <w:r>
        <w:t xml:space="preserve"> and post</w:t>
      </w:r>
      <w:r w:rsidR="00FE51AE">
        <w:t xml:space="preserve"> </w:t>
      </w:r>
      <w:r>
        <w:t xml:space="preserve">scores matched to measure any changes </w:t>
      </w:r>
      <w:r w:rsidRPr="00AC5B97">
        <w:t>resulting from program participation.</w:t>
      </w:r>
      <w:r>
        <w:t xml:space="preserve"> </w:t>
      </w:r>
      <w:r w:rsidR="00167397">
        <w:fldChar w:fldCharType="begin" w:fldLock="1"/>
      </w:r>
      <w:r w:rsidR="00167397">
        <w:instrText xml:space="preserve"> REF _Ref216201469 \h </w:instrText>
      </w:r>
      <w:r w:rsidR="00167397">
        <w:fldChar w:fldCharType="separate"/>
      </w:r>
      <w:r w:rsidR="00167397">
        <w:t>Ta</w:t>
      </w:r>
      <w:bookmarkStart w:id="92" w:name="_Hlt216866002"/>
      <w:r w:rsidR="00167397">
        <w:t>b</w:t>
      </w:r>
      <w:bookmarkStart w:id="93" w:name="_Hlt216954751"/>
      <w:bookmarkEnd w:id="92"/>
      <w:r w:rsidR="00167397">
        <w:t>l</w:t>
      </w:r>
      <w:bookmarkEnd w:id="93"/>
      <w:r w:rsidR="00167397">
        <w:t xml:space="preserve">e </w:t>
      </w:r>
      <w:r w:rsidR="00201395">
        <w:rPr>
          <w:noProof/>
        </w:rPr>
        <w:t>10</w:t>
      </w:r>
      <w:r w:rsidR="00167397">
        <w:fldChar w:fldCharType="end"/>
      </w:r>
      <w:r>
        <w:t xml:space="preserve"> </w:t>
      </w:r>
      <w:r w:rsidR="00D15BCE">
        <w:t>below</w:t>
      </w:r>
      <w:r>
        <w:t xml:space="preserve"> provides detailed assessment criteria for each outcome and DEX score.</w:t>
      </w:r>
    </w:p>
    <w:p w14:paraId="1AD1BE1C" w14:textId="50B1CC4F" w:rsidR="00852534" w:rsidRDefault="00852534" w:rsidP="00852534">
      <w:pPr>
        <w:pStyle w:val="Caption"/>
      </w:pPr>
      <w:bookmarkStart w:id="94" w:name="_Ref216201469"/>
      <w:r>
        <w:t xml:space="preserve">Table </w:t>
      </w:r>
      <w:r>
        <w:fldChar w:fldCharType="begin"/>
      </w:r>
      <w:r>
        <w:instrText xml:space="preserve"> SEQ Table \* ARABIC </w:instrText>
      </w:r>
      <w:r>
        <w:fldChar w:fldCharType="separate"/>
      </w:r>
      <w:r w:rsidR="00B666D1">
        <w:rPr>
          <w:noProof/>
        </w:rPr>
        <w:t>11</w:t>
      </w:r>
      <w:r>
        <w:fldChar w:fldCharType="end"/>
      </w:r>
      <w:bookmarkEnd w:id="94"/>
      <w:r w:rsidR="00A15583">
        <w:t xml:space="preserve"> </w:t>
      </w:r>
      <w:r w:rsidR="00167397">
        <w:t>|</w:t>
      </w:r>
      <w:r>
        <w:t xml:space="preserve"> Outcome and score definition</w:t>
      </w:r>
    </w:p>
    <w:tbl>
      <w:tblPr>
        <w:tblStyle w:val="NOUS"/>
        <w:tblpPr w:leftFromText="181" w:rightFromText="181" w:topFromText="28" w:bottomFromText="85" w:vertAnchor="text" w:tblpY="1"/>
        <w:tblOverlap w:val="never"/>
        <w:tblW w:w="5000" w:type="pct"/>
        <w:tblLook w:val="04A0" w:firstRow="1" w:lastRow="0" w:firstColumn="1" w:lastColumn="0" w:noHBand="0" w:noVBand="1"/>
      </w:tblPr>
      <w:tblGrid>
        <w:gridCol w:w="1564"/>
        <w:gridCol w:w="1525"/>
        <w:gridCol w:w="1525"/>
        <w:gridCol w:w="1525"/>
        <w:gridCol w:w="1525"/>
        <w:gridCol w:w="1521"/>
      </w:tblGrid>
      <w:tr w:rsidR="006F1DAE" w14:paraId="12AB9E86" w14:textId="77777777">
        <w:trPr>
          <w:cnfStyle w:val="100000000000" w:firstRow="1" w:lastRow="0" w:firstColumn="0" w:lastColumn="0" w:oddVBand="0" w:evenVBand="0" w:oddHBand="0" w:evenHBand="0" w:firstRowFirstColumn="0" w:firstRowLastColumn="0" w:lastRowFirstColumn="0" w:lastRowLastColumn="0"/>
        </w:trPr>
        <w:tc>
          <w:tcPr>
            <w:tcW w:w="852" w:type="pct"/>
          </w:tcPr>
          <w:p w14:paraId="7B76EDBE" w14:textId="77777777" w:rsidR="00852534" w:rsidRDefault="00852534">
            <w:pPr>
              <w:pStyle w:val="TableNheader"/>
            </w:pPr>
            <w:r>
              <w:t>Outcome</w:t>
            </w:r>
          </w:p>
        </w:tc>
        <w:tc>
          <w:tcPr>
            <w:tcW w:w="830" w:type="pct"/>
          </w:tcPr>
          <w:p w14:paraId="1C8B8D5C" w14:textId="77777777" w:rsidR="00852534" w:rsidRDefault="00852534">
            <w:pPr>
              <w:pStyle w:val="TableNheader"/>
              <w:jc w:val="center"/>
            </w:pPr>
            <w:r>
              <w:t>1</w:t>
            </w:r>
          </w:p>
        </w:tc>
        <w:tc>
          <w:tcPr>
            <w:tcW w:w="830" w:type="pct"/>
          </w:tcPr>
          <w:p w14:paraId="30BAB54D" w14:textId="77777777" w:rsidR="00852534" w:rsidRDefault="00852534">
            <w:pPr>
              <w:pStyle w:val="TableNheader"/>
              <w:jc w:val="center"/>
            </w:pPr>
            <w:r>
              <w:t>2</w:t>
            </w:r>
          </w:p>
        </w:tc>
        <w:tc>
          <w:tcPr>
            <w:tcW w:w="830" w:type="pct"/>
          </w:tcPr>
          <w:p w14:paraId="05CA0B44" w14:textId="77777777" w:rsidR="00852534" w:rsidRDefault="00852534">
            <w:pPr>
              <w:pStyle w:val="TableNheader"/>
              <w:jc w:val="center"/>
            </w:pPr>
            <w:r>
              <w:t>3</w:t>
            </w:r>
          </w:p>
        </w:tc>
        <w:tc>
          <w:tcPr>
            <w:tcW w:w="830" w:type="pct"/>
          </w:tcPr>
          <w:p w14:paraId="331EDD56" w14:textId="77777777" w:rsidR="00852534" w:rsidRDefault="00852534">
            <w:pPr>
              <w:pStyle w:val="TableNheader"/>
              <w:jc w:val="center"/>
            </w:pPr>
            <w:r>
              <w:t>4</w:t>
            </w:r>
          </w:p>
        </w:tc>
        <w:tc>
          <w:tcPr>
            <w:tcW w:w="830" w:type="pct"/>
          </w:tcPr>
          <w:p w14:paraId="421DF778" w14:textId="77777777" w:rsidR="00852534" w:rsidRDefault="00852534">
            <w:pPr>
              <w:pStyle w:val="TableNheader"/>
              <w:jc w:val="center"/>
            </w:pPr>
            <w:r>
              <w:t>5</w:t>
            </w:r>
          </w:p>
        </w:tc>
      </w:tr>
      <w:tr w:rsidR="006F1DAE" w14:paraId="719E04CB" w14:textId="77777777">
        <w:tc>
          <w:tcPr>
            <w:tcW w:w="852" w:type="pct"/>
          </w:tcPr>
          <w:p w14:paraId="5CED2BAE" w14:textId="77777777" w:rsidR="00852534" w:rsidRDefault="00852534">
            <w:pPr>
              <w:pStyle w:val="TableNText"/>
            </w:pPr>
            <w:r w:rsidRPr="008065AD">
              <w:t>Community participation and networks</w:t>
            </w:r>
          </w:p>
        </w:tc>
        <w:tc>
          <w:tcPr>
            <w:tcW w:w="830" w:type="pct"/>
          </w:tcPr>
          <w:p w14:paraId="11B1AA79" w14:textId="77777777" w:rsidR="00852534" w:rsidRDefault="00852534">
            <w:pPr>
              <w:pStyle w:val="TableNText"/>
            </w:pPr>
            <w:r>
              <w:t>I feel very isolated. I have no contact with family, friends or my community. I have no support.</w:t>
            </w:r>
          </w:p>
        </w:tc>
        <w:tc>
          <w:tcPr>
            <w:tcW w:w="830" w:type="pct"/>
          </w:tcPr>
          <w:p w14:paraId="67E5ABE3" w14:textId="77777777" w:rsidR="00852534" w:rsidRDefault="00852534">
            <w:pPr>
              <w:pStyle w:val="TableNText"/>
            </w:pPr>
            <w:r>
              <w:t>I feel fairly isolated. I have little contact with family, friends or my community. I have little support.</w:t>
            </w:r>
          </w:p>
        </w:tc>
        <w:tc>
          <w:tcPr>
            <w:tcW w:w="830" w:type="pct"/>
          </w:tcPr>
          <w:p w14:paraId="71000BB0" w14:textId="77777777" w:rsidR="00852534" w:rsidRDefault="00852534">
            <w:pPr>
              <w:pStyle w:val="TableNText"/>
            </w:pPr>
            <w:r>
              <w:t>I feel somewhat connected. I have some contact with family friends, or my community. I have some support.</w:t>
            </w:r>
          </w:p>
        </w:tc>
        <w:tc>
          <w:tcPr>
            <w:tcW w:w="830" w:type="pct"/>
          </w:tcPr>
          <w:p w14:paraId="29CD522E" w14:textId="77777777" w:rsidR="00852534" w:rsidRDefault="00852534">
            <w:pPr>
              <w:pStyle w:val="TableNText"/>
            </w:pPr>
            <w:r>
              <w:t>I feel reasonably connected. I have a reasonable amount of contact with family, friends or my community. I have good support.</w:t>
            </w:r>
          </w:p>
        </w:tc>
        <w:tc>
          <w:tcPr>
            <w:tcW w:w="830" w:type="pct"/>
          </w:tcPr>
          <w:p w14:paraId="44D67046" w14:textId="77777777" w:rsidR="00852534" w:rsidRDefault="00852534">
            <w:pPr>
              <w:pStyle w:val="TableNText"/>
            </w:pPr>
            <w:r>
              <w:t>I feel very connected. I have a lot of contact with family, friends or my community. I have great support.</w:t>
            </w:r>
          </w:p>
        </w:tc>
      </w:tr>
      <w:tr w:rsidR="006F1DAE" w14:paraId="3B060983" w14:textId="77777777">
        <w:tc>
          <w:tcPr>
            <w:tcW w:w="852" w:type="pct"/>
          </w:tcPr>
          <w:p w14:paraId="562AD801" w14:textId="77777777" w:rsidR="00852534" w:rsidRDefault="00852534">
            <w:pPr>
              <w:pStyle w:val="TableNText"/>
            </w:pPr>
            <w:r w:rsidRPr="008065AD">
              <w:t>Employment</w:t>
            </w:r>
          </w:p>
        </w:tc>
        <w:tc>
          <w:tcPr>
            <w:tcW w:w="830" w:type="pct"/>
          </w:tcPr>
          <w:p w14:paraId="44AD8CBC" w14:textId="77777777" w:rsidR="00852534" w:rsidRDefault="00852534">
            <w:pPr>
              <w:pStyle w:val="TableNText"/>
            </w:pPr>
            <w:r>
              <w:t xml:space="preserve">I have no work, and this has a negative impact on my daily life. </w:t>
            </w:r>
          </w:p>
        </w:tc>
        <w:tc>
          <w:tcPr>
            <w:tcW w:w="830" w:type="pct"/>
          </w:tcPr>
          <w:p w14:paraId="50FCD120" w14:textId="77777777" w:rsidR="00852534" w:rsidRDefault="00852534">
            <w:pPr>
              <w:pStyle w:val="TableNText"/>
            </w:pPr>
            <w:r>
              <w:t>I have some short-term work, but I’d like to work more.</w:t>
            </w:r>
          </w:p>
        </w:tc>
        <w:tc>
          <w:tcPr>
            <w:tcW w:w="830" w:type="pct"/>
          </w:tcPr>
          <w:p w14:paraId="0DEFA7BF" w14:textId="77777777" w:rsidR="00852534" w:rsidRDefault="00852534">
            <w:pPr>
              <w:pStyle w:val="TableNText"/>
            </w:pPr>
            <w:r>
              <w:t xml:space="preserve">Sometimes I have work and my ability to find work is improving. </w:t>
            </w:r>
          </w:p>
        </w:tc>
        <w:tc>
          <w:tcPr>
            <w:tcW w:w="830" w:type="pct"/>
          </w:tcPr>
          <w:p w14:paraId="3E030C2D" w14:textId="77777777" w:rsidR="00852534" w:rsidRDefault="00852534">
            <w:pPr>
              <w:pStyle w:val="TableNText"/>
            </w:pPr>
            <w:r>
              <w:t xml:space="preserve">I am in work that is suitable in most ways. </w:t>
            </w:r>
          </w:p>
        </w:tc>
        <w:tc>
          <w:tcPr>
            <w:tcW w:w="830" w:type="pct"/>
          </w:tcPr>
          <w:p w14:paraId="15F6E042" w14:textId="77777777" w:rsidR="00852534" w:rsidRDefault="00852534">
            <w:pPr>
              <w:pStyle w:val="TableNText"/>
            </w:pPr>
            <w:r>
              <w:t>I am in work that is very suitable in all ways.</w:t>
            </w:r>
          </w:p>
        </w:tc>
      </w:tr>
      <w:tr w:rsidR="006F1DAE" w14:paraId="0DD09F00" w14:textId="77777777">
        <w:tc>
          <w:tcPr>
            <w:tcW w:w="852" w:type="pct"/>
          </w:tcPr>
          <w:p w14:paraId="71A7AFA4" w14:textId="77777777" w:rsidR="00852534" w:rsidRDefault="00852534">
            <w:pPr>
              <w:pStyle w:val="TableNText"/>
            </w:pPr>
            <w:r w:rsidRPr="008065AD">
              <w:t>Education and skills training</w:t>
            </w:r>
          </w:p>
        </w:tc>
        <w:tc>
          <w:tcPr>
            <w:tcW w:w="830" w:type="pct"/>
          </w:tcPr>
          <w:p w14:paraId="490A2A9A" w14:textId="77777777" w:rsidR="00852534" w:rsidRDefault="00852534">
            <w:pPr>
              <w:pStyle w:val="TableNText"/>
            </w:pPr>
            <w:r>
              <w:t>I have a lot of difficulty finding or remaining in education or training.</w:t>
            </w:r>
          </w:p>
        </w:tc>
        <w:tc>
          <w:tcPr>
            <w:tcW w:w="830" w:type="pct"/>
          </w:tcPr>
          <w:p w14:paraId="261131E2" w14:textId="77777777" w:rsidR="00852534" w:rsidRDefault="00852534">
            <w:pPr>
              <w:pStyle w:val="TableNText"/>
            </w:pPr>
            <w:r>
              <w:t>I have some difficulty finding and remaining in education or training.</w:t>
            </w:r>
          </w:p>
        </w:tc>
        <w:tc>
          <w:tcPr>
            <w:tcW w:w="830" w:type="pct"/>
          </w:tcPr>
          <w:p w14:paraId="7CB38011" w14:textId="77777777" w:rsidR="00852534" w:rsidRDefault="00852534">
            <w:pPr>
              <w:pStyle w:val="TableNText"/>
            </w:pPr>
            <w:r>
              <w:t>I occasionally have difficulty finding and remaining in education.</w:t>
            </w:r>
          </w:p>
        </w:tc>
        <w:tc>
          <w:tcPr>
            <w:tcW w:w="830" w:type="pct"/>
          </w:tcPr>
          <w:p w14:paraId="0D450BA2" w14:textId="77777777" w:rsidR="00852534" w:rsidRDefault="00852534">
            <w:pPr>
              <w:pStyle w:val="TableNText"/>
            </w:pPr>
            <w:r>
              <w:t>I am in education or training that is suitable in most ways.</w:t>
            </w:r>
          </w:p>
        </w:tc>
        <w:tc>
          <w:tcPr>
            <w:tcW w:w="830" w:type="pct"/>
          </w:tcPr>
          <w:p w14:paraId="2CDBF848" w14:textId="77777777" w:rsidR="00852534" w:rsidRDefault="00852534">
            <w:pPr>
              <w:pStyle w:val="TableNText"/>
            </w:pPr>
            <w:r>
              <w:t>I am in education or training that is very suitable in all ways.</w:t>
            </w:r>
          </w:p>
        </w:tc>
      </w:tr>
      <w:tr w:rsidR="006F1DAE" w14:paraId="43E0E115" w14:textId="77777777">
        <w:tc>
          <w:tcPr>
            <w:tcW w:w="852" w:type="pct"/>
          </w:tcPr>
          <w:p w14:paraId="1770895C" w14:textId="77777777" w:rsidR="00852534" w:rsidRDefault="00852534">
            <w:pPr>
              <w:pStyle w:val="TableNText"/>
            </w:pPr>
            <w:r w:rsidRPr="008065AD">
              <w:t>Mental health, wellbeing, and self-care</w:t>
            </w:r>
          </w:p>
        </w:tc>
        <w:tc>
          <w:tcPr>
            <w:tcW w:w="830" w:type="pct"/>
          </w:tcPr>
          <w:p w14:paraId="53525767" w14:textId="77777777" w:rsidR="00852534" w:rsidRDefault="00852534">
            <w:pPr>
              <w:pStyle w:val="TableNText"/>
            </w:pPr>
            <w:r>
              <w:t>My mental health and well-being is very poor.</w:t>
            </w:r>
          </w:p>
        </w:tc>
        <w:tc>
          <w:tcPr>
            <w:tcW w:w="830" w:type="pct"/>
          </w:tcPr>
          <w:p w14:paraId="18EFE11D" w14:textId="77777777" w:rsidR="00852534" w:rsidRDefault="00852534">
            <w:pPr>
              <w:pStyle w:val="TableNText"/>
            </w:pPr>
            <w:r>
              <w:t>My mental health and well-being is somewhat poor.</w:t>
            </w:r>
          </w:p>
        </w:tc>
        <w:tc>
          <w:tcPr>
            <w:tcW w:w="830" w:type="pct"/>
          </w:tcPr>
          <w:p w14:paraId="459BCF14" w14:textId="77777777" w:rsidR="00852534" w:rsidRDefault="00852534">
            <w:pPr>
              <w:pStyle w:val="TableNText"/>
            </w:pPr>
            <w:r w:rsidRPr="006E24A9">
              <w:t>My mental health and well-being is okay.</w:t>
            </w:r>
          </w:p>
        </w:tc>
        <w:tc>
          <w:tcPr>
            <w:tcW w:w="830" w:type="pct"/>
          </w:tcPr>
          <w:p w14:paraId="05641F4A" w14:textId="77777777" w:rsidR="00852534" w:rsidRDefault="00852534">
            <w:pPr>
              <w:pStyle w:val="TableNText"/>
            </w:pPr>
            <w:r w:rsidRPr="006E24A9">
              <w:t>My mental health and well-being is quite good.</w:t>
            </w:r>
          </w:p>
        </w:tc>
        <w:tc>
          <w:tcPr>
            <w:tcW w:w="830" w:type="pct"/>
          </w:tcPr>
          <w:p w14:paraId="6D11185F" w14:textId="77777777" w:rsidR="00852534" w:rsidRDefault="00852534">
            <w:pPr>
              <w:pStyle w:val="TableNText"/>
            </w:pPr>
            <w:r w:rsidRPr="006E24A9">
              <w:t>My mental health and well-being is very good.</w:t>
            </w:r>
          </w:p>
        </w:tc>
      </w:tr>
    </w:tbl>
    <w:p w14:paraId="2527C41D" w14:textId="77777777" w:rsidR="00852534" w:rsidRPr="00432255" w:rsidRDefault="00852534" w:rsidP="00852534">
      <w:pPr>
        <w:pStyle w:val="Listnumbered"/>
        <w:rPr>
          <w:rFonts w:asciiTheme="majorHAnsi" w:hAnsiTheme="majorHAnsi" w:cstheme="majorHAnsi"/>
        </w:rPr>
      </w:pPr>
      <w:r w:rsidRPr="00432255">
        <w:rPr>
          <w:rFonts w:asciiTheme="majorHAnsi" w:hAnsiTheme="majorHAnsi" w:cstheme="majorHAnsi"/>
        </w:rPr>
        <w:t>Collate descriptive statistics</w:t>
      </w:r>
    </w:p>
    <w:p w14:paraId="019B4C14" w14:textId="5190FC28" w:rsidR="00852534" w:rsidRDefault="00852534" w:rsidP="00A3675A">
      <w:r>
        <w:t>Understand t</w:t>
      </w:r>
      <w:r w:rsidRPr="00AC5B97">
        <w:t>he distribution of participants</w:t>
      </w:r>
      <w:r>
        <w:t xml:space="preserve"> in the SARC</w:t>
      </w:r>
      <w:r w:rsidR="00EE02E4">
        <w:t xml:space="preserve"> – </w:t>
      </w:r>
      <w:r>
        <w:t>IC</w:t>
      </w:r>
      <w:r w:rsidR="004406D4">
        <w:t xml:space="preserve"> Activity</w:t>
      </w:r>
      <w:r>
        <w:t xml:space="preserve"> by gender, age, and main language spoken.</w:t>
      </w:r>
    </w:p>
    <w:p w14:paraId="3DC24FF1" w14:textId="77777777" w:rsidR="00852534" w:rsidRPr="00432255" w:rsidRDefault="00852534" w:rsidP="00852534">
      <w:pPr>
        <w:pStyle w:val="Listnumbered"/>
        <w:rPr>
          <w:rFonts w:asciiTheme="majorHAnsi" w:hAnsiTheme="majorHAnsi" w:cstheme="majorHAnsi"/>
        </w:rPr>
      </w:pPr>
      <w:r w:rsidRPr="00432255">
        <w:rPr>
          <w:rFonts w:asciiTheme="majorHAnsi" w:hAnsiTheme="majorHAnsi" w:cstheme="majorHAnsi"/>
        </w:rPr>
        <w:t>Outcome analysi</w:t>
      </w:r>
      <w:r>
        <w:rPr>
          <w:rFonts w:asciiTheme="majorHAnsi" w:hAnsiTheme="majorHAnsi" w:cstheme="majorHAnsi"/>
        </w:rPr>
        <w:t>s</w:t>
      </w:r>
    </w:p>
    <w:p w14:paraId="62819EA0" w14:textId="422670F5" w:rsidR="00852534" w:rsidRDefault="00852534" w:rsidP="00A3675A">
      <w:r>
        <w:t>The o</w:t>
      </w:r>
      <w:r w:rsidRPr="0051506A">
        <w:t xml:space="preserve">utcome evaluation </w:t>
      </w:r>
      <w:r>
        <w:t>aimed to assess</w:t>
      </w:r>
      <w:r w:rsidRPr="0051506A">
        <w:t xml:space="preserve"> the extent to which participation in the SARC</w:t>
      </w:r>
      <w:r w:rsidR="001E0DBC">
        <w:t xml:space="preserve"> – </w:t>
      </w:r>
      <w:r w:rsidRPr="0051506A">
        <w:t xml:space="preserve">IC </w:t>
      </w:r>
      <w:r w:rsidR="004406D4">
        <w:t>Activity</w:t>
      </w:r>
      <w:r w:rsidR="004406D4" w:rsidRPr="0051506A">
        <w:t xml:space="preserve"> </w:t>
      </w:r>
      <w:r w:rsidRPr="0051506A">
        <w:t xml:space="preserve">was associated with measurable improvements across the key </w:t>
      </w:r>
      <w:r>
        <w:t>outcomes</w:t>
      </w:r>
      <w:r w:rsidRPr="0051506A">
        <w:t xml:space="preserve"> of interest. Pre and post</w:t>
      </w:r>
      <w:r w:rsidR="00FE51AE">
        <w:t xml:space="preserve"> </w:t>
      </w:r>
      <w:r w:rsidRPr="0051506A">
        <w:t>program scores were matched at the individual level</w:t>
      </w:r>
      <w:r>
        <w:t>. This allowed</w:t>
      </w:r>
      <w:r w:rsidRPr="0051506A">
        <w:t xml:space="preserve"> for within-</w:t>
      </w:r>
      <w:r>
        <w:t>participant</w:t>
      </w:r>
      <w:r w:rsidRPr="0051506A">
        <w:t xml:space="preserve"> comparison </w:t>
      </w:r>
      <w:r>
        <w:t>which</w:t>
      </w:r>
      <w:r w:rsidRPr="0051506A">
        <w:t xml:space="preserve"> control</w:t>
      </w:r>
      <w:r>
        <w:t>s</w:t>
      </w:r>
      <w:r w:rsidRPr="0051506A">
        <w:t xml:space="preserve"> for baseline </w:t>
      </w:r>
      <w:r>
        <w:t>confounding factors</w:t>
      </w:r>
      <w:r w:rsidRPr="0051506A">
        <w:t xml:space="preserve">. </w:t>
      </w:r>
    </w:p>
    <w:p w14:paraId="21AF4FC5" w14:textId="262E0DE4" w:rsidR="00852534" w:rsidRDefault="00852534" w:rsidP="00A3675A">
      <w:r w:rsidRPr="0051506A">
        <w:lastRenderedPageBreak/>
        <w:t>Mean change</w:t>
      </w:r>
      <w:r w:rsidR="009B11A7">
        <w:t>s</w:t>
      </w:r>
      <w:r w:rsidRPr="0051506A">
        <w:t xml:space="preserve"> </w:t>
      </w:r>
      <w:r>
        <w:t xml:space="preserve">in DEX </w:t>
      </w:r>
      <w:r w:rsidRPr="0051506A">
        <w:t>scores w</w:t>
      </w:r>
      <w:r w:rsidR="00D87E53">
        <w:t>as</w:t>
      </w:r>
      <w:r w:rsidRPr="0051506A">
        <w:t xml:space="preserve"> calculated for each target group </w:t>
      </w:r>
      <w:r>
        <w:t>and outcome</w:t>
      </w:r>
      <w:r w:rsidRPr="0051506A">
        <w:t xml:space="preserve"> to quantify the </w:t>
      </w:r>
      <w:r>
        <w:t>size</w:t>
      </w:r>
      <w:r w:rsidRPr="0051506A">
        <w:t xml:space="preserve"> and direction of change</w:t>
      </w:r>
      <w:r>
        <w:t xml:space="preserve">. </w:t>
      </w:r>
      <w:r w:rsidRPr="0051506A">
        <w:t>In addition to overall program effects, outcomes were stratified by participants’ remoteness areas</w:t>
      </w:r>
      <w:r>
        <w:t>,</w:t>
      </w:r>
      <w:r w:rsidR="002B29BE">
        <w:rPr>
          <w:rFonts w:ascii="ZWAdobeF" w:hAnsi="ZWAdobeF" w:cs="ZWAdobeF"/>
          <w:sz w:val="2"/>
          <w:szCs w:val="2"/>
        </w:rPr>
        <w:t>61F</w:t>
      </w:r>
      <w:r>
        <w:rPr>
          <w:rStyle w:val="FootnoteReference"/>
        </w:rPr>
        <w:footnoteReference w:id="67"/>
      </w:r>
      <w:r w:rsidRPr="0051506A">
        <w:t xml:space="preserve"> </w:t>
      </w:r>
      <w:r>
        <w:t>as measured by their Statistical Area 1,</w:t>
      </w:r>
      <w:r w:rsidR="002B29BE">
        <w:rPr>
          <w:rFonts w:ascii="ZWAdobeF" w:hAnsi="ZWAdobeF" w:cs="ZWAdobeF"/>
          <w:sz w:val="2"/>
          <w:szCs w:val="2"/>
        </w:rPr>
        <w:t>62F</w:t>
      </w:r>
      <w:r>
        <w:rPr>
          <w:rStyle w:val="FootnoteReference"/>
        </w:rPr>
        <w:footnoteReference w:id="68"/>
      </w:r>
      <w:r w:rsidRPr="0051506A">
        <w:t xml:space="preserve"> to </w:t>
      </w:r>
      <w:r>
        <w:t>identify</w:t>
      </w:r>
      <w:r w:rsidRPr="0051506A">
        <w:t xml:space="preserve"> potential geographic </w:t>
      </w:r>
      <w:r>
        <w:t>effects</w:t>
      </w:r>
      <w:r w:rsidRPr="0051506A">
        <w:t>. This stratification enable</w:t>
      </w:r>
      <w:r>
        <w:t>s</w:t>
      </w:r>
      <w:r w:rsidRPr="0051506A">
        <w:t xml:space="preserve"> a more nuanced understanding of how </w:t>
      </w:r>
      <w:r>
        <w:t>the impact of the SARC</w:t>
      </w:r>
      <w:r w:rsidR="0063512F">
        <w:t xml:space="preserve"> – </w:t>
      </w:r>
      <w:r>
        <w:t xml:space="preserve">IC </w:t>
      </w:r>
      <w:r w:rsidR="004406D4">
        <w:t>Activity</w:t>
      </w:r>
      <w:r w:rsidR="004406D4" w:rsidRPr="0051506A">
        <w:t xml:space="preserve"> </w:t>
      </w:r>
      <w:r>
        <w:t>might</w:t>
      </w:r>
      <w:r w:rsidRPr="0051506A">
        <w:t xml:space="preserve"> differ </w:t>
      </w:r>
      <w:r>
        <w:t>among</w:t>
      </w:r>
      <w:r w:rsidRPr="0051506A">
        <w:t xml:space="preserve"> metropolitan, regional, </w:t>
      </w:r>
      <w:r>
        <w:t xml:space="preserve">remote </w:t>
      </w:r>
      <w:r w:rsidRPr="0051506A">
        <w:t xml:space="preserve">and </w:t>
      </w:r>
      <w:r>
        <w:t>very</w:t>
      </w:r>
      <w:r w:rsidRPr="0051506A">
        <w:t xml:space="preserve"> remote communities</w:t>
      </w:r>
      <w:r>
        <w:t xml:space="preserve">. </w:t>
      </w:r>
    </w:p>
    <w:p w14:paraId="5D9404C4" w14:textId="77777777" w:rsidR="00852534" w:rsidRDefault="00852534" w:rsidP="00A3675A">
      <w:r w:rsidRPr="00C63189">
        <w:t>Mean score changes were also aggregated at the organisational level to identify variations in program impact across service providers</w:t>
      </w:r>
      <w:r>
        <w:t xml:space="preserve"> and to build a distribution of organisational effectiveness</w:t>
      </w:r>
      <w:r w:rsidRPr="00C63189">
        <w:t xml:space="preserve">. This allowed for comparisons between organisations, highlighting </w:t>
      </w:r>
      <w:r>
        <w:t xml:space="preserve">where </w:t>
      </w:r>
      <w:r w:rsidRPr="00C63189">
        <w:t xml:space="preserve">potential differences in program delivery, participant engagement, or contextual factors </w:t>
      </w:r>
      <w:r>
        <w:t>could</w:t>
      </w:r>
      <w:r w:rsidRPr="00C63189">
        <w:t xml:space="preserve"> influence outcomes.</w:t>
      </w:r>
    </w:p>
    <w:p w14:paraId="1287C8FE" w14:textId="77777777" w:rsidR="00852534" w:rsidRDefault="00852534" w:rsidP="00A3675A">
      <w:r w:rsidRPr="0051506A">
        <w:t>Combined, these analytical steps provide a comprehensive view of program effectiveness and highlight areas where outcomes may be strengthened or where additional support may be required.</w:t>
      </w:r>
    </w:p>
    <w:p w14:paraId="2EF78E0E" w14:textId="660A4A38" w:rsidR="00852534" w:rsidRDefault="006A54A0" w:rsidP="006A54A0">
      <w:pPr>
        <w:pStyle w:val="Heading3"/>
        <w:numPr>
          <w:ilvl w:val="0"/>
          <w:numId w:val="0"/>
        </w:numPr>
        <w:ind w:left="720" w:hanging="720"/>
      </w:pPr>
      <w:bookmarkStart w:id="95" w:name="_Toc240883580"/>
      <w:r>
        <w:t xml:space="preserve">C.2.2 </w:t>
      </w:r>
      <w:r w:rsidR="00852534">
        <w:t>Qualitative data analysis</w:t>
      </w:r>
      <w:bookmarkEnd w:id="95"/>
    </w:p>
    <w:p w14:paraId="6A118C12" w14:textId="4A62756C" w:rsidR="00852534" w:rsidRDefault="00852534" w:rsidP="00852534">
      <w:pPr>
        <w:rPr>
          <w:lang w:eastAsia="en-AU"/>
        </w:rPr>
      </w:pPr>
      <w:r>
        <w:rPr>
          <w:lang w:eastAsia="en-AU"/>
        </w:rPr>
        <w:t>Qualitative analysis drew on a range of documents including interview notes, survey results, p</w:t>
      </w:r>
      <w:r w:rsidR="005E7808">
        <w:rPr>
          <w:lang w:eastAsia="en-AU"/>
        </w:rPr>
        <w:t>rogram</w:t>
      </w:r>
      <w:r>
        <w:rPr>
          <w:lang w:eastAsia="en-AU"/>
        </w:rPr>
        <w:t xml:space="preserve"> documents and activity work plans. Qualitative data supplemented quantitative analysis to provide a rich view of how funding was used, the experience of the grant process and outcomes and impacts of pro</w:t>
      </w:r>
      <w:r w:rsidR="005E281D">
        <w:rPr>
          <w:lang w:eastAsia="en-AU"/>
        </w:rPr>
        <w:t>jects</w:t>
      </w:r>
      <w:r>
        <w:rPr>
          <w:lang w:eastAsia="en-AU"/>
        </w:rPr>
        <w:t xml:space="preserve"> run through the grant funding. </w:t>
      </w:r>
    </w:p>
    <w:p w14:paraId="1D5A38BF" w14:textId="4D166CE4" w:rsidR="00852534" w:rsidRPr="004E610C" w:rsidRDefault="00852534" w:rsidP="00F5460C">
      <w:r w:rsidRPr="35608556">
        <w:rPr>
          <w:lang w:eastAsia="en-AU"/>
        </w:rPr>
        <w:t xml:space="preserve">Qualitative analysis </w:t>
      </w:r>
      <w:r w:rsidR="00F5460C" w:rsidRPr="35608556">
        <w:rPr>
          <w:lang w:eastAsia="en-AU"/>
        </w:rPr>
        <w:t>underpinned</w:t>
      </w:r>
      <w:r w:rsidRPr="35608556">
        <w:rPr>
          <w:lang w:eastAsia="en-AU"/>
        </w:rPr>
        <w:t xml:space="preserve"> by </w:t>
      </w:r>
      <w:r w:rsidR="00F5460C" w:rsidRPr="35608556">
        <w:rPr>
          <w:rFonts w:asciiTheme="majorHAnsi" w:hAnsiTheme="majorHAnsi" w:cstheme="majorBidi"/>
          <w:lang w:eastAsia="en-AU"/>
        </w:rPr>
        <w:t>t</w:t>
      </w:r>
      <w:r w:rsidRPr="35608556">
        <w:rPr>
          <w:rFonts w:asciiTheme="majorHAnsi" w:hAnsiTheme="majorHAnsi" w:cstheme="majorBidi"/>
        </w:rPr>
        <w:t xml:space="preserve">hematic analysis </w:t>
      </w:r>
      <w:r>
        <w:t xml:space="preserve">was used to identify, analyse and report on themes and patterns related to the SARC – IC impact, challenges and strengths. This method helps to summarise key points and provide a nuanced understanding of stakeholder perspectives, program effects and contextual information. </w:t>
      </w:r>
    </w:p>
    <w:p w14:paraId="03F77909" w14:textId="3529DEAD" w:rsidR="001B278F" w:rsidRPr="003B6A15" w:rsidRDefault="001B278F" w:rsidP="003B6A15">
      <w:pPr>
        <w:sectPr w:rsidR="001B278F" w:rsidRPr="003B6A15" w:rsidSect="00843748">
          <w:pgSz w:w="11907" w:h="16839" w:code="9"/>
          <w:pgMar w:top="1361" w:right="1361" w:bottom="1361" w:left="1361" w:header="720" w:footer="720" w:gutter="0"/>
          <w:cols w:space="720"/>
          <w:docGrid w:linePitch="360"/>
        </w:sectPr>
      </w:pPr>
    </w:p>
    <w:p w14:paraId="22004A7F" w14:textId="0F83E99D" w:rsidR="00C4554A" w:rsidRDefault="006A54A0" w:rsidP="006A54A0">
      <w:pPr>
        <w:pStyle w:val="Heading1"/>
        <w:numPr>
          <w:ilvl w:val="0"/>
          <w:numId w:val="0"/>
        </w:numPr>
        <w:ind w:left="360"/>
      </w:pPr>
      <w:bookmarkStart w:id="96" w:name="_Ref216884504"/>
      <w:bookmarkStart w:id="97" w:name="_Ref216951118"/>
      <w:bookmarkStart w:id="98" w:name="_Toc240883581"/>
      <w:r>
        <w:lastRenderedPageBreak/>
        <w:t xml:space="preserve">Appendix </w:t>
      </w:r>
      <w:r w:rsidR="00DD20DC">
        <w:t>D</w:t>
      </w:r>
      <w:r>
        <w:t xml:space="preserve"> – </w:t>
      </w:r>
      <w:r w:rsidR="00D44184">
        <w:t>Potential areas of d</w:t>
      </w:r>
      <w:r w:rsidR="005C7A5E">
        <w:t xml:space="preserve">uplication </w:t>
      </w:r>
      <w:r w:rsidR="00ED378F">
        <w:t>between SARC</w:t>
      </w:r>
      <w:r w:rsidR="00D74661">
        <w:t xml:space="preserve"> – </w:t>
      </w:r>
      <w:r w:rsidR="00ED378F">
        <w:t>IC and other programs</w:t>
      </w:r>
      <w:bookmarkEnd w:id="77"/>
      <w:bookmarkEnd w:id="96"/>
      <w:bookmarkEnd w:id="97"/>
      <w:bookmarkEnd w:id="98"/>
    </w:p>
    <w:p w14:paraId="1AAB089F" w14:textId="6DB80767" w:rsidR="00DA5285" w:rsidRPr="00DA5285" w:rsidRDefault="00FC33C5" w:rsidP="00DA5285">
      <w:pPr>
        <w:rPr>
          <w:lang w:eastAsia="en-AU"/>
        </w:rPr>
      </w:pPr>
      <w:r>
        <w:rPr>
          <w:lang w:eastAsia="en-AU"/>
        </w:rPr>
        <w:fldChar w:fldCharType="begin" w:fldLock="1"/>
      </w:r>
      <w:r>
        <w:rPr>
          <w:lang w:eastAsia="en-AU"/>
        </w:rPr>
        <w:instrText xml:space="preserve"> REF _Ref216866245 \h </w:instrText>
      </w:r>
      <w:r>
        <w:rPr>
          <w:lang w:eastAsia="en-AU"/>
        </w:rPr>
      </w:r>
      <w:r>
        <w:rPr>
          <w:lang w:eastAsia="en-AU"/>
        </w:rPr>
        <w:fldChar w:fldCharType="separate"/>
      </w:r>
      <w:r>
        <w:t xml:space="preserve">Table </w:t>
      </w:r>
      <w:r>
        <w:rPr>
          <w:noProof/>
        </w:rPr>
        <w:t>11</w:t>
      </w:r>
      <w:r>
        <w:rPr>
          <w:lang w:eastAsia="en-AU"/>
        </w:rPr>
        <w:fldChar w:fldCharType="end"/>
      </w:r>
      <w:r w:rsidR="00577F73">
        <w:rPr>
          <w:lang w:eastAsia="en-AU"/>
        </w:rPr>
        <w:t xml:space="preserve"> below</w:t>
      </w:r>
      <w:r w:rsidR="007610A0">
        <w:rPr>
          <w:lang w:eastAsia="en-AU"/>
        </w:rPr>
        <w:t xml:space="preserve"> provides a brief overview of some of the key programs </w:t>
      </w:r>
      <w:r w:rsidR="004B1455">
        <w:rPr>
          <w:lang w:eastAsia="en-AU"/>
        </w:rPr>
        <w:t>across Commonwealth, state, territory and philanthropic programs and initiatives</w:t>
      </w:r>
      <w:r w:rsidR="00D71E1F">
        <w:rPr>
          <w:lang w:eastAsia="en-AU"/>
        </w:rPr>
        <w:t xml:space="preserve"> where there is potential overlap with SARC – IC</w:t>
      </w:r>
      <w:r w:rsidR="004B1455">
        <w:rPr>
          <w:lang w:eastAsia="en-AU"/>
        </w:rPr>
        <w:t xml:space="preserve">. </w:t>
      </w:r>
    </w:p>
    <w:p w14:paraId="5E4D9C11" w14:textId="44E0AD57" w:rsidR="00ED378F" w:rsidRPr="00ED378F" w:rsidRDefault="00DA5285" w:rsidP="00DA5285">
      <w:pPr>
        <w:pStyle w:val="Caption"/>
        <w:rPr>
          <w:lang w:eastAsia="en-AU"/>
        </w:rPr>
      </w:pPr>
      <w:bookmarkStart w:id="99" w:name="_Ref216866245"/>
      <w:r>
        <w:t xml:space="preserve">Table </w:t>
      </w:r>
      <w:r>
        <w:fldChar w:fldCharType="begin"/>
      </w:r>
      <w:r>
        <w:instrText xml:space="preserve"> SEQ Table \* ARABIC </w:instrText>
      </w:r>
      <w:r>
        <w:fldChar w:fldCharType="separate"/>
      </w:r>
      <w:r w:rsidR="00B666D1">
        <w:rPr>
          <w:noProof/>
        </w:rPr>
        <w:t>12</w:t>
      </w:r>
      <w:r>
        <w:fldChar w:fldCharType="end"/>
      </w:r>
      <w:bookmarkEnd w:id="99"/>
      <w:r w:rsidR="009367F9">
        <w:t xml:space="preserve"> </w:t>
      </w:r>
      <w:r>
        <w:t>| Comparison of SARC</w:t>
      </w:r>
      <w:r w:rsidR="009367F9">
        <w:t xml:space="preserve"> – </w:t>
      </w:r>
      <w:r>
        <w:t>IC and other programs and initiatives</w:t>
      </w:r>
    </w:p>
    <w:tbl>
      <w:tblPr>
        <w:tblStyle w:val="NOUSSideHeader11"/>
        <w:tblW w:w="5000" w:type="pct"/>
        <w:tblLook w:val="04A0" w:firstRow="1" w:lastRow="0" w:firstColumn="1" w:lastColumn="0" w:noHBand="0" w:noVBand="1"/>
      </w:tblPr>
      <w:tblGrid>
        <w:gridCol w:w="2650"/>
        <w:gridCol w:w="3045"/>
        <w:gridCol w:w="3844"/>
        <w:gridCol w:w="2788"/>
        <w:gridCol w:w="1790"/>
      </w:tblGrid>
      <w:tr w:rsidR="00A56005" w:rsidRPr="00A54016" w14:paraId="3DCBCCFA" w14:textId="77777777" w:rsidTr="4AF1E856">
        <w:trPr>
          <w:cnfStyle w:val="100000000000" w:firstRow="1" w:lastRow="0" w:firstColumn="0" w:lastColumn="0" w:oddVBand="0" w:evenVBand="0" w:oddHBand="0" w:evenHBand="0" w:firstRowFirstColumn="0" w:firstRowLastColumn="0" w:lastRowFirstColumn="0" w:lastRowLastColumn="0"/>
        </w:trPr>
        <w:tc>
          <w:tcPr>
            <w:tcW w:w="946" w:type="pct"/>
            <w:hideMark/>
          </w:tcPr>
          <w:p w14:paraId="61C376E6" w14:textId="31446747" w:rsidR="00853D82" w:rsidRPr="00A54016" w:rsidRDefault="00853D82" w:rsidP="00A54016">
            <w:pPr>
              <w:pStyle w:val="TableNheader"/>
            </w:pPr>
            <w:r w:rsidRPr="00A54016">
              <w:rPr>
                <w:rFonts w:eastAsiaTheme="majorEastAsia"/>
              </w:rPr>
              <w:t xml:space="preserve">Initiative </w:t>
            </w:r>
          </w:p>
        </w:tc>
        <w:tc>
          <w:tcPr>
            <w:tcW w:w="1086" w:type="pct"/>
            <w:hideMark/>
          </w:tcPr>
          <w:p w14:paraId="22B5475F" w14:textId="21B6E594" w:rsidR="00853D82" w:rsidRPr="00A54016" w:rsidRDefault="00853D82" w:rsidP="00A54016">
            <w:pPr>
              <w:pStyle w:val="TableNheader"/>
            </w:pPr>
            <w:r w:rsidRPr="00A54016">
              <w:rPr>
                <w:rFonts w:eastAsiaTheme="majorEastAsia"/>
              </w:rPr>
              <w:t>Objectives</w:t>
            </w:r>
          </w:p>
        </w:tc>
        <w:tc>
          <w:tcPr>
            <w:tcW w:w="1332" w:type="pct"/>
            <w:hideMark/>
          </w:tcPr>
          <w:p w14:paraId="1F7FDDFB" w14:textId="77777777" w:rsidR="00853D82" w:rsidRPr="00A54016" w:rsidRDefault="00853D82" w:rsidP="00A54016">
            <w:pPr>
              <w:pStyle w:val="TableNheader"/>
            </w:pPr>
            <w:r w:rsidRPr="00A54016">
              <w:rPr>
                <w:rFonts w:eastAsiaTheme="majorEastAsia"/>
              </w:rPr>
              <w:t>Outcomes</w:t>
            </w:r>
          </w:p>
        </w:tc>
        <w:tc>
          <w:tcPr>
            <w:tcW w:w="995" w:type="pct"/>
            <w:hideMark/>
          </w:tcPr>
          <w:p w14:paraId="0773B131" w14:textId="2228D4D2" w:rsidR="00853D82" w:rsidRPr="00A54016" w:rsidRDefault="00853D82" w:rsidP="00A54016">
            <w:pPr>
              <w:pStyle w:val="TableNheader"/>
            </w:pPr>
            <w:r w:rsidRPr="00A54016">
              <w:rPr>
                <w:rFonts w:eastAsiaTheme="majorEastAsia"/>
              </w:rPr>
              <w:t>Target Population</w:t>
            </w:r>
            <w:r>
              <w:t>/</w:t>
            </w:r>
            <w:r w:rsidRPr="00A54016">
              <w:rPr>
                <w:rFonts w:eastAsiaTheme="majorEastAsia"/>
              </w:rPr>
              <w:t>s</w:t>
            </w:r>
          </w:p>
        </w:tc>
        <w:tc>
          <w:tcPr>
            <w:tcW w:w="641" w:type="pct"/>
            <w:hideMark/>
          </w:tcPr>
          <w:p w14:paraId="7C615174" w14:textId="5F953274" w:rsidR="00853D82" w:rsidRPr="00A54016" w:rsidRDefault="00853D82" w:rsidP="00A54016">
            <w:pPr>
              <w:pStyle w:val="TableNheader"/>
            </w:pPr>
            <w:r w:rsidRPr="00A54016">
              <w:rPr>
                <w:rFonts w:eastAsiaTheme="majorEastAsia"/>
              </w:rPr>
              <w:t>Overlap with SARC</w:t>
            </w:r>
            <w:r w:rsidR="003D3B80">
              <w:rPr>
                <w:rFonts w:eastAsiaTheme="majorEastAsia"/>
              </w:rPr>
              <w:t xml:space="preserve"> </w:t>
            </w:r>
            <w:r w:rsidR="0000390E">
              <w:rPr>
                <w:rFonts w:eastAsiaTheme="majorEastAsia"/>
              </w:rPr>
              <w:t xml:space="preserve">– </w:t>
            </w:r>
            <w:r w:rsidRPr="00A54016">
              <w:rPr>
                <w:rFonts w:eastAsiaTheme="majorEastAsia"/>
              </w:rPr>
              <w:t>IC</w:t>
            </w:r>
          </w:p>
        </w:tc>
      </w:tr>
      <w:tr w:rsidR="009B30ED" w:rsidRPr="00A54016" w14:paraId="4FF391D6" w14:textId="77777777" w:rsidTr="4AF1E856">
        <w:trPr>
          <w:cnfStyle w:val="000000100000" w:firstRow="0" w:lastRow="0" w:firstColumn="0" w:lastColumn="0" w:oddVBand="0" w:evenVBand="0" w:oddHBand="1" w:evenHBand="0" w:firstRowFirstColumn="0" w:firstRowLastColumn="0" w:lastRowFirstColumn="0" w:lastRowLastColumn="0"/>
        </w:trPr>
        <w:tc>
          <w:tcPr>
            <w:tcW w:w="946" w:type="pct"/>
            <w:hideMark/>
          </w:tcPr>
          <w:p w14:paraId="325BE27E" w14:textId="4FD79D86" w:rsidR="00853D82" w:rsidRDefault="00853D82" w:rsidP="00A54016">
            <w:pPr>
              <w:spacing w:line="259" w:lineRule="auto"/>
              <w:rPr>
                <w:b/>
                <w:bCs/>
                <w:lang w:eastAsia="en-AU"/>
              </w:rPr>
            </w:pPr>
            <w:r w:rsidRPr="00A54016">
              <w:rPr>
                <w:b/>
                <w:bCs/>
                <w:lang w:eastAsia="en-AU"/>
              </w:rPr>
              <w:t>Reconnect Program</w:t>
            </w:r>
            <w:r w:rsidR="002B29BE">
              <w:rPr>
                <w:rFonts w:ascii="ZWAdobeF" w:hAnsi="ZWAdobeF" w:cs="ZWAdobeF"/>
                <w:bCs/>
                <w:sz w:val="2"/>
                <w:szCs w:val="2"/>
                <w:lang w:eastAsia="en-AU"/>
              </w:rPr>
              <w:t>63F</w:t>
            </w:r>
            <w:r>
              <w:rPr>
                <w:rStyle w:val="FootnoteReference"/>
                <w:b/>
                <w:bCs/>
                <w:lang w:eastAsia="en-AU"/>
              </w:rPr>
              <w:footnoteReference w:id="69"/>
            </w:r>
          </w:p>
          <w:p w14:paraId="4E835A74" w14:textId="672366B6" w:rsidR="00853D82" w:rsidRPr="00A54016" w:rsidRDefault="00853D82" w:rsidP="00A54016">
            <w:pPr>
              <w:spacing w:line="259" w:lineRule="auto"/>
              <w:rPr>
                <w:lang w:eastAsia="en-AU"/>
              </w:rPr>
            </w:pPr>
            <w:r w:rsidRPr="002E7820">
              <w:rPr>
                <w:i/>
                <w:iCs/>
                <w:lang w:eastAsia="en-AU"/>
              </w:rPr>
              <w:t>D</w:t>
            </w:r>
            <w:r w:rsidR="006E0557">
              <w:rPr>
                <w:i/>
                <w:iCs/>
                <w:lang w:eastAsia="en-AU"/>
              </w:rPr>
              <w:t xml:space="preserve">epartment of </w:t>
            </w:r>
            <w:r w:rsidRPr="002E7820">
              <w:rPr>
                <w:i/>
                <w:iCs/>
                <w:lang w:eastAsia="en-AU"/>
              </w:rPr>
              <w:t>S</w:t>
            </w:r>
            <w:r w:rsidR="006E0557">
              <w:rPr>
                <w:i/>
                <w:iCs/>
                <w:lang w:eastAsia="en-AU"/>
              </w:rPr>
              <w:t xml:space="preserve">ocial </w:t>
            </w:r>
            <w:r w:rsidRPr="002E7820">
              <w:rPr>
                <w:i/>
                <w:iCs/>
                <w:lang w:eastAsia="en-AU"/>
              </w:rPr>
              <w:t>S</w:t>
            </w:r>
            <w:r w:rsidR="006E0557">
              <w:rPr>
                <w:i/>
                <w:iCs/>
                <w:lang w:eastAsia="en-AU"/>
              </w:rPr>
              <w:t>ervices</w:t>
            </w:r>
            <w:r w:rsidRPr="00A54016">
              <w:rPr>
                <w:lang w:eastAsia="en-AU"/>
              </w:rPr>
              <w:t xml:space="preserve"> </w:t>
            </w:r>
          </w:p>
        </w:tc>
        <w:tc>
          <w:tcPr>
            <w:tcW w:w="1086" w:type="pct"/>
            <w:hideMark/>
          </w:tcPr>
          <w:p w14:paraId="2031E07F" w14:textId="0600555F" w:rsidR="00853D82" w:rsidRPr="00A54016" w:rsidRDefault="00853D82" w:rsidP="006D7E39">
            <w:pPr>
              <w:pStyle w:val="TableNText"/>
            </w:pPr>
            <w:r w:rsidRPr="00A54016">
              <w:t xml:space="preserve">Early intervention to </w:t>
            </w:r>
            <w:r w:rsidRPr="00A54016">
              <w:rPr>
                <w:rFonts w:eastAsiaTheme="majorEastAsia"/>
                <w:b/>
                <w:bCs/>
              </w:rPr>
              <w:t>prevent youth homelessness</w:t>
            </w:r>
            <w:r w:rsidRPr="00A54016">
              <w:t xml:space="preserve"> and disengagement</w:t>
            </w:r>
            <w:r w:rsidR="00986A44">
              <w:t>.</w:t>
            </w:r>
            <w:r w:rsidRPr="00A54016">
              <w:t xml:space="preserve"> Provides </w:t>
            </w:r>
            <w:r w:rsidRPr="00A54016">
              <w:rPr>
                <w:b/>
                <w:bCs/>
              </w:rPr>
              <w:t>counselling</w:t>
            </w:r>
            <w:r w:rsidRPr="00A54016">
              <w:rPr>
                <w:rFonts w:eastAsiaTheme="majorEastAsia"/>
                <w:b/>
                <w:bCs/>
              </w:rPr>
              <w:t>, family mediation, and practical support</w:t>
            </w:r>
            <w:r w:rsidRPr="00A54016">
              <w:t xml:space="preserve"> to at-risk youth and families, aiming to keep young people in a stable home and connected to school or work</w:t>
            </w:r>
            <w:r>
              <w:t>.</w:t>
            </w:r>
          </w:p>
        </w:tc>
        <w:tc>
          <w:tcPr>
            <w:tcW w:w="1332" w:type="pct"/>
            <w:hideMark/>
          </w:tcPr>
          <w:p w14:paraId="37D473B1" w14:textId="34213119" w:rsidR="00853D82" w:rsidRPr="00B14342" w:rsidRDefault="00BD55D8" w:rsidP="007847B5">
            <w:pPr>
              <w:pStyle w:val="TableExpBullet0"/>
            </w:pPr>
            <w:r>
              <w:rPr>
                <w:rFonts w:eastAsiaTheme="majorEastAsia"/>
              </w:rPr>
              <w:t>S</w:t>
            </w:r>
            <w:r w:rsidR="00853D82" w:rsidRPr="00A54016">
              <w:rPr>
                <w:rFonts w:eastAsiaTheme="majorEastAsia"/>
              </w:rPr>
              <w:t>tabili</w:t>
            </w:r>
            <w:r w:rsidR="0097759D">
              <w:rPr>
                <w:rFonts w:eastAsiaTheme="majorEastAsia"/>
              </w:rPr>
              <w:t>s</w:t>
            </w:r>
            <w:r w:rsidR="00853D82" w:rsidRPr="00A54016">
              <w:rPr>
                <w:rFonts w:eastAsiaTheme="majorEastAsia"/>
              </w:rPr>
              <w:t>e housing</w:t>
            </w:r>
          </w:p>
          <w:p w14:paraId="400A7B23" w14:textId="64A504AC" w:rsidR="00853D82" w:rsidRPr="00B14342" w:rsidRDefault="00BD55D8" w:rsidP="007847B5">
            <w:pPr>
              <w:pStyle w:val="TableExpBullet0"/>
            </w:pPr>
            <w:r>
              <w:rPr>
                <w:rFonts w:eastAsiaTheme="majorEastAsia"/>
              </w:rPr>
              <w:t>I</w:t>
            </w:r>
            <w:r w:rsidR="00853D82" w:rsidRPr="00A54016">
              <w:rPr>
                <w:rFonts w:eastAsiaTheme="majorEastAsia"/>
              </w:rPr>
              <w:t>mprove family relationships</w:t>
            </w:r>
          </w:p>
          <w:p w14:paraId="347E1F23" w14:textId="07A76191" w:rsidR="00853D82" w:rsidRPr="00A54016" w:rsidRDefault="00BE2FC2" w:rsidP="007847B5">
            <w:pPr>
              <w:pStyle w:val="TableExpBullet0"/>
            </w:pPr>
            <w:r>
              <w:rPr>
                <w:rFonts w:eastAsiaTheme="majorEastAsia"/>
              </w:rPr>
              <w:t>R</w:t>
            </w:r>
            <w:r w:rsidR="00853D82" w:rsidRPr="00A54016">
              <w:rPr>
                <w:rFonts w:eastAsiaTheme="majorEastAsia"/>
              </w:rPr>
              <w:t>e-engage with education/training/employment/community</w:t>
            </w:r>
          </w:p>
        </w:tc>
        <w:tc>
          <w:tcPr>
            <w:tcW w:w="995" w:type="pct"/>
            <w:hideMark/>
          </w:tcPr>
          <w:p w14:paraId="657D41A0" w14:textId="0FB5A1BE" w:rsidR="00853D82" w:rsidRPr="00A54016" w:rsidRDefault="00853D82" w:rsidP="006D7E39">
            <w:pPr>
              <w:pStyle w:val="TableNText"/>
            </w:pPr>
            <w:r w:rsidRPr="00A54016">
              <w:rPr>
                <w:rFonts w:eastAsiaTheme="majorEastAsia"/>
                <w:b/>
                <w:bCs/>
              </w:rPr>
              <w:t>Young people (12–18)</w:t>
            </w:r>
            <w:r w:rsidRPr="00A54016">
              <w:t xml:space="preserve"> at risk of homelessness or school drop-out (up to 21 for newly arrived migrants</w:t>
            </w:r>
            <w:r w:rsidR="00FC41D4">
              <w:t>)</w:t>
            </w:r>
            <w:r w:rsidR="0073214F">
              <w:t>.</w:t>
            </w:r>
          </w:p>
        </w:tc>
        <w:tc>
          <w:tcPr>
            <w:tcW w:w="641" w:type="pct"/>
            <w:hideMark/>
          </w:tcPr>
          <w:p w14:paraId="114B9502" w14:textId="7CF8A894" w:rsidR="00853D82" w:rsidRPr="00A54016" w:rsidRDefault="00853D82" w:rsidP="006D7E39">
            <w:pPr>
              <w:pStyle w:val="TableNText"/>
            </w:pPr>
            <w:r w:rsidRPr="00A54016">
              <w:rPr>
                <w:rFonts w:eastAsiaTheme="majorEastAsia"/>
                <w:b/>
                <w:bCs/>
              </w:rPr>
              <w:t>Very high overlap:</w:t>
            </w:r>
            <w:r w:rsidRPr="00A54016">
              <w:t xml:space="preserve"> SARC</w:t>
            </w:r>
            <w:r w:rsidR="0000390E">
              <w:t xml:space="preserve"> – </w:t>
            </w:r>
            <w:r w:rsidRPr="00A54016">
              <w:t>IC’s youth component (12–18 disengaged from education) aligns closely with Reconnect’s mission to keep 12–18 year-olds engaged in school/training</w:t>
            </w:r>
            <w:r>
              <w:t>.</w:t>
            </w:r>
          </w:p>
        </w:tc>
      </w:tr>
      <w:tr w:rsidR="009B30ED" w:rsidRPr="00A54016" w14:paraId="5EFE8F1D" w14:textId="77777777" w:rsidTr="4AF1E856">
        <w:trPr>
          <w:cnfStyle w:val="000000010000" w:firstRow="0" w:lastRow="0" w:firstColumn="0" w:lastColumn="0" w:oddVBand="0" w:evenVBand="0" w:oddHBand="0" w:evenHBand="1" w:firstRowFirstColumn="0" w:firstRowLastColumn="0" w:lastRowFirstColumn="0" w:lastRowLastColumn="0"/>
        </w:trPr>
        <w:tc>
          <w:tcPr>
            <w:tcW w:w="946" w:type="pct"/>
            <w:hideMark/>
          </w:tcPr>
          <w:p w14:paraId="4E2EA3AC" w14:textId="1DC2F247" w:rsidR="00853D82" w:rsidRPr="00A54016" w:rsidRDefault="00853D82" w:rsidP="00A54016">
            <w:pPr>
              <w:spacing w:line="259" w:lineRule="auto"/>
              <w:rPr>
                <w:lang w:eastAsia="en-AU"/>
              </w:rPr>
            </w:pPr>
            <w:r w:rsidRPr="00A54016">
              <w:rPr>
                <w:b/>
                <w:bCs/>
                <w:lang w:eastAsia="en-AU"/>
              </w:rPr>
              <w:t>Transition to Work (TtW)</w:t>
            </w:r>
            <w:r w:rsidR="002B29BE">
              <w:rPr>
                <w:rFonts w:ascii="ZWAdobeF" w:hAnsi="ZWAdobeF" w:cs="ZWAdobeF"/>
                <w:bCs/>
                <w:sz w:val="2"/>
                <w:szCs w:val="2"/>
                <w:lang w:eastAsia="en-AU"/>
              </w:rPr>
              <w:t>64F</w:t>
            </w:r>
            <w:r>
              <w:rPr>
                <w:rStyle w:val="FootnoteReference"/>
                <w:lang w:eastAsia="en-AU"/>
              </w:rPr>
              <w:footnoteReference w:id="70"/>
            </w:r>
            <w:r w:rsidRPr="00A54016">
              <w:rPr>
                <w:lang w:eastAsia="en-AU"/>
              </w:rPr>
              <w:br/>
            </w:r>
            <w:r>
              <w:rPr>
                <w:i/>
                <w:iCs/>
                <w:lang w:eastAsia="en-AU"/>
              </w:rPr>
              <w:t>D</w:t>
            </w:r>
            <w:r w:rsidR="006E0557">
              <w:rPr>
                <w:i/>
                <w:iCs/>
                <w:lang w:eastAsia="en-AU"/>
              </w:rPr>
              <w:t xml:space="preserve">epartment of </w:t>
            </w:r>
            <w:r>
              <w:rPr>
                <w:i/>
                <w:iCs/>
                <w:lang w:eastAsia="en-AU"/>
              </w:rPr>
              <w:t>E</w:t>
            </w:r>
            <w:r w:rsidR="006E0557">
              <w:rPr>
                <w:i/>
                <w:iCs/>
                <w:lang w:eastAsia="en-AU"/>
              </w:rPr>
              <w:t xml:space="preserve">mployment and </w:t>
            </w:r>
            <w:r>
              <w:rPr>
                <w:i/>
                <w:iCs/>
                <w:lang w:eastAsia="en-AU"/>
              </w:rPr>
              <w:t>W</w:t>
            </w:r>
            <w:r w:rsidR="006E0557">
              <w:rPr>
                <w:i/>
                <w:iCs/>
                <w:lang w:eastAsia="en-AU"/>
              </w:rPr>
              <w:t>ork</w:t>
            </w:r>
            <w:r w:rsidR="005840D5">
              <w:rPr>
                <w:i/>
                <w:iCs/>
                <w:lang w:eastAsia="en-AU"/>
              </w:rPr>
              <w:t>place</w:t>
            </w:r>
            <w:r w:rsidR="006E0557">
              <w:rPr>
                <w:i/>
                <w:iCs/>
                <w:lang w:eastAsia="en-AU"/>
              </w:rPr>
              <w:t xml:space="preserve"> </w:t>
            </w:r>
            <w:r>
              <w:rPr>
                <w:i/>
                <w:iCs/>
                <w:lang w:eastAsia="en-AU"/>
              </w:rPr>
              <w:t>R</w:t>
            </w:r>
            <w:r w:rsidR="006E0557">
              <w:rPr>
                <w:i/>
                <w:iCs/>
                <w:lang w:eastAsia="en-AU"/>
              </w:rPr>
              <w:t>elations</w:t>
            </w:r>
          </w:p>
        </w:tc>
        <w:tc>
          <w:tcPr>
            <w:tcW w:w="1086" w:type="pct"/>
            <w:hideMark/>
          </w:tcPr>
          <w:p w14:paraId="6E49CAA8" w14:textId="0FC97860" w:rsidR="00853D82" w:rsidRPr="00A54016" w:rsidRDefault="00853D82" w:rsidP="006D7E39">
            <w:pPr>
              <w:pStyle w:val="TableNText"/>
            </w:pPr>
            <w:r w:rsidRPr="00A54016">
              <w:rPr>
                <w:rFonts w:eastAsiaTheme="majorEastAsia"/>
                <w:b/>
                <w:bCs/>
              </w:rPr>
              <w:t>Intensive pre-employment program for youth (15–24)</w:t>
            </w:r>
            <w:r w:rsidRPr="00A54016">
              <w:t xml:space="preserve"> to build skills, confidence, and connections needed for work or further education</w:t>
            </w:r>
            <w:r>
              <w:t xml:space="preserve">. </w:t>
            </w:r>
          </w:p>
        </w:tc>
        <w:tc>
          <w:tcPr>
            <w:tcW w:w="1332" w:type="pct"/>
            <w:hideMark/>
          </w:tcPr>
          <w:p w14:paraId="62DCF1C4" w14:textId="07A8C091" w:rsidR="00853D82" w:rsidRPr="00756A1D" w:rsidRDefault="00BE2FC2" w:rsidP="007847B5">
            <w:pPr>
              <w:pStyle w:val="TableExpBullet0"/>
              <w:rPr>
                <w:rFonts w:asciiTheme="minorHAnsi" w:hAnsiTheme="minorHAnsi" w:cstheme="minorHAnsi"/>
              </w:rPr>
            </w:pPr>
            <w:r>
              <w:rPr>
                <w:rFonts w:asciiTheme="minorHAnsi" w:hAnsiTheme="minorHAnsi" w:cstheme="minorHAnsi"/>
              </w:rPr>
              <w:t>E</w:t>
            </w:r>
            <w:r w:rsidR="00853D82" w:rsidRPr="00756A1D">
              <w:rPr>
                <w:rFonts w:asciiTheme="minorHAnsi" w:hAnsiTheme="minorHAnsi" w:cstheme="minorHAnsi"/>
              </w:rPr>
              <w:t xml:space="preserve">ntry into </w:t>
            </w:r>
            <w:r w:rsidR="00853D82" w:rsidRPr="00756A1D">
              <w:rPr>
                <w:rFonts w:asciiTheme="minorHAnsi" w:eastAsiaTheme="majorEastAsia" w:hAnsiTheme="minorHAnsi" w:cstheme="minorHAnsi"/>
              </w:rPr>
              <w:t>employment and apprenticeships</w:t>
            </w:r>
          </w:p>
          <w:p w14:paraId="1FF092AF" w14:textId="6CCE1856" w:rsidR="00853D82" w:rsidRPr="00A54016" w:rsidRDefault="00BE2FC2" w:rsidP="007847B5">
            <w:pPr>
              <w:pStyle w:val="TableExpBullet0"/>
            </w:pPr>
            <w:r>
              <w:rPr>
                <w:rFonts w:asciiTheme="minorHAnsi" w:eastAsiaTheme="majorEastAsia" w:hAnsiTheme="minorHAnsi" w:cstheme="minorHAnsi"/>
              </w:rPr>
              <w:t>R</w:t>
            </w:r>
            <w:r w:rsidR="00853D82" w:rsidRPr="00756A1D">
              <w:rPr>
                <w:rFonts w:asciiTheme="minorHAnsi" w:eastAsiaTheme="majorEastAsia" w:hAnsiTheme="minorHAnsi" w:cstheme="minorHAnsi"/>
              </w:rPr>
              <w:t>eturning to school</w:t>
            </w:r>
          </w:p>
        </w:tc>
        <w:tc>
          <w:tcPr>
            <w:tcW w:w="995" w:type="pct"/>
            <w:hideMark/>
          </w:tcPr>
          <w:p w14:paraId="6B37FC98" w14:textId="77777777" w:rsidR="00853D82" w:rsidRPr="00A54016" w:rsidRDefault="00853D82" w:rsidP="006D7E39">
            <w:pPr>
              <w:pStyle w:val="TableNText"/>
            </w:pPr>
            <w:r w:rsidRPr="00A54016">
              <w:rPr>
                <w:rFonts w:eastAsiaTheme="majorEastAsia"/>
                <w:b/>
                <w:bCs/>
              </w:rPr>
              <w:t>Young people (~15–24)</w:t>
            </w:r>
            <w:r w:rsidRPr="00A54016">
              <w:t xml:space="preserve"> who are out of work and not studying (particularly early school-leavers, Indigenous youth, young parents, etc.). Many are on income support (e.g. Youth Allowance) and have moderate barriers to employment.</w:t>
            </w:r>
          </w:p>
        </w:tc>
        <w:tc>
          <w:tcPr>
            <w:tcW w:w="641" w:type="pct"/>
            <w:hideMark/>
          </w:tcPr>
          <w:p w14:paraId="5DE235D3" w14:textId="5B32F994" w:rsidR="00853D82" w:rsidRPr="00A54016" w:rsidRDefault="00853D82" w:rsidP="006D7E39">
            <w:pPr>
              <w:pStyle w:val="TableNText"/>
            </w:pPr>
            <w:r>
              <w:rPr>
                <w:b/>
                <w:bCs/>
              </w:rPr>
              <w:t>Very high o</w:t>
            </w:r>
            <w:r w:rsidRPr="00A54016">
              <w:rPr>
                <w:rFonts w:eastAsiaTheme="majorEastAsia"/>
                <w:b/>
                <w:bCs/>
              </w:rPr>
              <w:t>verlap:</w:t>
            </w:r>
            <w:r w:rsidRPr="00A54016">
              <w:t xml:space="preserve"> Focuses on </w:t>
            </w:r>
            <w:r w:rsidRPr="004469A8">
              <w:rPr>
                <w:rFonts w:eastAsiaTheme="majorEastAsia"/>
              </w:rPr>
              <w:t>disengaged youth unemployment</w:t>
            </w:r>
            <w:r w:rsidRPr="00A54016">
              <w:t>, overlapping with SARC</w:t>
            </w:r>
            <w:r w:rsidR="004066B2">
              <w:t xml:space="preserve"> – </w:t>
            </w:r>
            <w:r w:rsidRPr="00A54016">
              <w:t>IC’s objective for youth to reconnect with training or employment</w:t>
            </w:r>
            <w:r>
              <w:t xml:space="preserve">. </w:t>
            </w:r>
            <w:r w:rsidRPr="00A54016">
              <w:t xml:space="preserve">Both </w:t>
            </w:r>
            <w:r w:rsidRPr="00A54016">
              <w:lastRenderedPageBreak/>
              <w:t>provide individuali</w:t>
            </w:r>
            <w:r w:rsidR="004066B2">
              <w:t>s</w:t>
            </w:r>
            <w:r w:rsidRPr="00A54016">
              <w:t>ed support to improve a young person’s “work-readiness” and engagement in education/work</w:t>
            </w:r>
            <w:r>
              <w:t xml:space="preserve">. </w:t>
            </w:r>
          </w:p>
        </w:tc>
      </w:tr>
      <w:tr w:rsidR="009B30ED" w:rsidRPr="00A54016" w14:paraId="5D509355" w14:textId="77777777" w:rsidTr="4AF1E856">
        <w:trPr>
          <w:cnfStyle w:val="000000100000" w:firstRow="0" w:lastRow="0" w:firstColumn="0" w:lastColumn="0" w:oddVBand="0" w:evenVBand="0" w:oddHBand="1" w:evenHBand="0" w:firstRowFirstColumn="0" w:firstRowLastColumn="0" w:lastRowFirstColumn="0" w:lastRowLastColumn="0"/>
        </w:trPr>
        <w:tc>
          <w:tcPr>
            <w:tcW w:w="946" w:type="pct"/>
            <w:hideMark/>
          </w:tcPr>
          <w:p w14:paraId="66C543F1" w14:textId="5AD5440A" w:rsidR="00853D82" w:rsidRPr="00A54016" w:rsidRDefault="00853D82" w:rsidP="00A54016">
            <w:pPr>
              <w:spacing w:line="259" w:lineRule="auto"/>
              <w:rPr>
                <w:lang w:eastAsia="en-AU"/>
              </w:rPr>
            </w:pPr>
            <w:r w:rsidRPr="00A54016">
              <w:rPr>
                <w:b/>
                <w:bCs/>
                <w:lang w:eastAsia="en-AU"/>
              </w:rPr>
              <w:lastRenderedPageBreak/>
              <w:t>Information, Linkages and Capacity Building (ILC)</w:t>
            </w:r>
            <w:r>
              <w:rPr>
                <w:b/>
                <w:bCs/>
                <w:lang w:eastAsia="en-AU"/>
              </w:rPr>
              <w:t>: Economic and Community Participation Program</w:t>
            </w:r>
            <w:r w:rsidRPr="00A54016">
              <w:rPr>
                <w:lang w:eastAsia="en-AU"/>
              </w:rPr>
              <w:t xml:space="preserve"> – </w:t>
            </w:r>
            <w:r w:rsidRPr="003702CC">
              <w:rPr>
                <w:i/>
                <w:iCs/>
                <w:lang w:eastAsia="en-AU"/>
              </w:rPr>
              <w:t>DHDA</w:t>
            </w:r>
            <w:r w:rsidR="002B29BE">
              <w:rPr>
                <w:rFonts w:ascii="ZWAdobeF" w:hAnsi="ZWAdobeF" w:cs="ZWAdobeF"/>
                <w:iCs/>
                <w:sz w:val="2"/>
                <w:szCs w:val="2"/>
                <w:lang w:eastAsia="en-AU"/>
              </w:rPr>
              <w:t>65F</w:t>
            </w:r>
            <w:r>
              <w:rPr>
                <w:rStyle w:val="FootnoteReference"/>
                <w:i/>
                <w:iCs/>
                <w:lang w:eastAsia="en-AU"/>
              </w:rPr>
              <w:footnoteReference w:id="71"/>
            </w:r>
          </w:p>
        </w:tc>
        <w:tc>
          <w:tcPr>
            <w:tcW w:w="1086" w:type="pct"/>
            <w:hideMark/>
          </w:tcPr>
          <w:p w14:paraId="38CC70C8" w14:textId="2C80EA1A" w:rsidR="00853D82" w:rsidRPr="00A54016" w:rsidRDefault="00853D82" w:rsidP="00513BE2">
            <w:pPr>
              <w:pStyle w:val="TableNText"/>
            </w:pPr>
            <w:r w:rsidRPr="00A54016">
              <w:t xml:space="preserve">Funds community-led projects to </w:t>
            </w:r>
            <w:r w:rsidRPr="00A54016">
              <w:rPr>
                <w:rFonts w:eastAsiaTheme="majorEastAsia"/>
              </w:rPr>
              <w:t>increase social and economic participation of people with disability</w:t>
            </w:r>
            <w:r w:rsidR="00063FF7">
              <w:rPr>
                <w:rFonts w:eastAsiaTheme="majorEastAsia"/>
              </w:rPr>
              <w:t>.</w:t>
            </w:r>
            <w:r w:rsidRPr="00A54016">
              <w:t xml:space="preserve">  </w:t>
            </w:r>
          </w:p>
        </w:tc>
        <w:tc>
          <w:tcPr>
            <w:tcW w:w="1332" w:type="pct"/>
            <w:hideMark/>
          </w:tcPr>
          <w:p w14:paraId="2E2A6CD5" w14:textId="77777777" w:rsidR="00853D82" w:rsidRPr="00BF14BB" w:rsidRDefault="00853D82" w:rsidP="00513BE2">
            <w:pPr>
              <w:pStyle w:val="TableExpBullet0"/>
            </w:pPr>
            <w:r w:rsidRPr="00BF14BB">
              <w:t>Greater independence, choice and control</w:t>
            </w:r>
          </w:p>
          <w:p w14:paraId="2C9DE07A" w14:textId="75833FAA" w:rsidR="00853D82" w:rsidRPr="00BF14BB" w:rsidRDefault="00853D82" w:rsidP="00513BE2">
            <w:pPr>
              <w:pStyle w:val="TableExpBullet0"/>
            </w:pPr>
            <w:r w:rsidRPr="00BF14BB">
              <w:t>Increased connection to community and sense of belonging</w:t>
            </w:r>
          </w:p>
          <w:p w14:paraId="3FB96B88" w14:textId="7D034624" w:rsidR="00853D82" w:rsidRPr="00BF14BB" w:rsidRDefault="00853D82" w:rsidP="00513BE2">
            <w:pPr>
              <w:pStyle w:val="TableExpBullet0"/>
            </w:pPr>
            <w:r w:rsidRPr="00BF14BB">
              <w:t>Greater economic, social and community participation</w:t>
            </w:r>
          </w:p>
          <w:p w14:paraId="160F88A4" w14:textId="42A020F4" w:rsidR="00853D82" w:rsidRPr="00A54016" w:rsidRDefault="00853D82" w:rsidP="00513BE2">
            <w:pPr>
              <w:pStyle w:val="TableExpBullet0"/>
            </w:pPr>
            <w:r w:rsidRPr="00BF14BB">
              <w:t>People with disability are represented in leadership and high</w:t>
            </w:r>
            <w:r w:rsidR="009E5677" w:rsidRPr="00BF14BB">
              <w:t>-</w:t>
            </w:r>
            <w:r w:rsidRPr="00BF14BB">
              <w:t>profile positions</w:t>
            </w:r>
            <w:r w:rsidR="002B29BE">
              <w:rPr>
                <w:rFonts w:ascii="ZWAdobeF" w:hAnsi="ZWAdobeF" w:cs="ZWAdobeF"/>
                <w:sz w:val="2"/>
                <w:szCs w:val="2"/>
              </w:rPr>
              <w:t>66F</w:t>
            </w:r>
            <w:r>
              <w:rPr>
                <w:rStyle w:val="FootnoteReference"/>
              </w:rPr>
              <w:footnoteReference w:id="72"/>
            </w:r>
          </w:p>
        </w:tc>
        <w:tc>
          <w:tcPr>
            <w:tcW w:w="995" w:type="pct"/>
            <w:hideMark/>
          </w:tcPr>
          <w:p w14:paraId="6CF9C934" w14:textId="18D7F8B2" w:rsidR="00853D82" w:rsidRPr="00A54016" w:rsidRDefault="00853D82" w:rsidP="00513BE2">
            <w:pPr>
              <w:pStyle w:val="TableNText"/>
            </w:pPr>
            <w:r w:rsidRPr="00A54016">
              <w:rPr>
                <w:rFonts w:eastAsiaTheme="majorEastAsia"/>
              </w:rPr>
              <w:t>People with disability</w:t>
            </w:r>
            <w:r w:rsidRPr="00A54016">
              <w:t xml:space="preserve"> (physical, intellectual, psychosocial) of all ages, and their families/carers. Recent rounds emphasi</w:t>
            </w:r>
            <w:r w:rsidR="00B60F4A">
              <w:t>s</w:t>
            </w:r>
            <w:r w:rsidRPr="00A54016">
              <w:t xml:space="preserve">ed </w:t>
            </w:r>
            <w:r w:rsidRPr="00A54016">
              <w:rPr>
                <w:rFonts w:eastAsiaTheme="majorEastAsia"/>
              </w:rPr>
              <w:t>autistic people and those with mental health conditions</w:t>
            </w:r>
            <w:r w:rsidRPr="00A54016">
              <w:t xml:space="preserve"> as high-need subgroups</w:t>
            </w:r>
            <w:r>
              <w:t>.</w:t>
            </w:r>
          </w:p>
        </w:tc>
        <w:tc>
          <w:tcPr>
            <w:tcW w:w="641" w:type="pct"/>
            <w:hideMark/>
          </w:tcPr>
          <w:p w14:paraId="45A8B09F" w14:textId="731DC872" w:rsidR="00853D82" w:rsidRPr="00A54016" w:rsidRDefault="00853D82" w:rsidP="00513BE2">
            <w:pPr>
              <w:pStyle w:val="TableNText"/>
            </w:pPr>
            <w:r w:rsidRPr="001E361D">
              <w:rPr>
                <w:rFonts w:eastAsiaTheme="majorEastAsia"/>
                <w:b/>
                <w:bCs/>
              </w:rPr>
              <w:t>Very high overlap:</w:t>
            </w:r>
            <w:r w:rsidRPr="00A54016">
              <w:t xml:space="preserve"> Directly aligns with SARC</w:t>
            </w:r>
            <w:r w:rsidR="00EB6BB5">
              <w:t xml:space="preserve"> – </w:t>
            </w:r>
            <w:r w:rsidRPr="00A54016">
              <w:t xml:space="preserve">IC’s goal to </w:t>
            </w:r>
            <w:r w:rsidRPr="00A54016">
              <w:rPr>
                <w:rFonts w:eastAsiaTheme="majorEastAsia"/>
              </w:rPr>
              <w:t>support people with disabilities/mental health issues to participate socially and economically</w:t>
            </w:r>
            <w:r>
              <w:t xml:space="preserve">. </w:t>
            </w:r>
          </w:p>
        </w:tc>
      </w:tr>
      <w:tr w:rsidR="009B30ED" w:rsidRPr="00A54016" w14:paraId="0C7C1CFD" w14:textId="77777777" w:rsidTr="4AF1E856">
        <w:trPr>
          <w:cnfStyle w:val="000000010000" w:firstRow="0" w:lastRow="0" w:firstColumn="0" w:lastColumn="0" w:oddVBand="0" w:evenVBand="0" w:oddHBand="0" w:evenHBand="1" w:firstRowFirstColumn="0" w:firstRowLastColumn="0" w:lastRowFirstColumn="0" w:lastRowLastColumn="0"/>
        </w:trPr>
        <w:tc>
          <w:tcPr>
            <w:tcW w:w="946" w:type="pct"/>
            <w:hideMark/>
          </w:tcPr>
          <w:p w14:paraId="77310189" w14:textId="141D0B02" w:rsidR="00853D82" w:rsidRPr="00A54016" w:rsidRDefault="00853D82" w:rsidP="00A54016">
            <w:pPr>
              <w:spacing w:line="259" w:lineRule="auto"/>
              <w:rPr>
                <w:lang w:eastAsia="en-AU"/>
              </w:rPr>
            </w:pPr>
            <w:r w:rsidRPr="00A54016">
              <w:rPr>
                <w:b/>
                <w:bCs/>
                <w:lang w:eastAsia="en-AU"/>
              </w:rPr>
              <w:t>Women’s Leadership &amp; Development Program (WLDP)</w:t>
            </w:r>
            <w:r>
              <w:rPr>
                <w:b/>
                <w:bCs/>
                <w:lang w:eastAsia="en-AU"/>
              </w:rPr>
              <w:t xml:space="preserve"> Project Grants</w:t>
            </w:r>
            <w:r w:rsidR="002B29BE">
              <w:rPr>
                <w:rFonts w:ascii="ZWAdobeF" w:hAnsi="ZWAdobeF" w:cs="ZWAdobeF"/>
                <w:bCs/>
                <w:sz w:val="2"/>
                <w:szCs w:val="2"/>
                <w:lang w:eastAsia="en-AU"/>
              </w:rPr>
              <w:t>67F</w:t>
            </w:r>
            <w:r w:rsidR="00E94AC7">
              <w:rPr>
                <w:rStyle w:val="FootnoteReference"/>
                <w:b/>
                <w:bCs/>
                <w:lang w:eastAsia="en-AU"/>
              </w:rPr>
              <w:footnoteReference w:id="73"/>
            </w:r>
            <w:r w:rsidRPr="00A54016">
              <w:rPr>
                <w:lang w:eastAsia="en-AU"/>
              </w:rPr>
              <w:t xml:space="preserve"> –</w:t>
            </w:r>
            <w:r w:rsidRPr="00A54016">
              <w:rPr>
                <w:i/>
                <w:iCs/>
                <w:lang w:eastAsia="en-AU"/>
              </w:rPr>
              <w:t>Office for Women</w:t>
            </w:r>
            <w:r>
              <w:rPr>
                <w:i/>
                <w:iCs/>
                <w:lang w:eastAsia="en-AU"/>
              </w:rPr>
              <w:t>, Prime Minister &amp; Cabinet</w:t>
            </w:r>
          </w:p>
        </w:tc>
        <w:tc>
          <w:tcPr>
            <w:tcW w:w="1086" w:type="pct"/>
            <w:hideMark/>
          </w:tcPr>
          <w:p w14:paraId="2E14E6EC" w14:textId="4C71BA4E" w:rsidR="00853D82" w:rsidRPr="00A54016" w:rsidRDefault="00853D82" w:rsidP="00F901DC">
            <w:pPr>
              <w:pStyle w:val="TableNText"/>
            </w:pPr>
            <w:r w:rsidRPr="00A54016">
              <w:t xml:space="preserve">A grants program to </w:t>
            </w:r>
            <w:r w:rsidRPr="00A54016">
              <w:rPr>
                <w:rFonts w:eastAsiaTheme="majorEastAsia"/>
              </w:rPr>
              <w:t>improve outcomes for women</w:t>
            </w:r>
            <w:r w:rsidRPr="00A54016">
              <w:t xml:space="preserve"> in key areas: </w:t>
            </w:r>
            <w:r w:rsidRPr="00A54016">
              <w:rPr>
                <w:rFonts w:eastAsiaTheme="majorEastAsia"/>
              </w:rPr>
              <w:t>economic security and employment, workforce participation, leadership, safety, and international engagement</w:t>
            </w:r>
            <w:r>
              <w:t xml:space="preserve">. </w:t>
            </w:r>
          </w:p>
        </w:tc>
        <w:tc>
          <w:tcPr>
            <w:tcW w:w="1332" w:type="pct"/>
            <w:hideMark/>
          </w:tcPr>
          <w:p w14:paraId="20CA0D57" w14:textId="475BC632" w:rsidR="00853D82" w:rsidRDefault="00BE2FC2" w:rsidP="003779AF">
            <w:pPr>
              <w:pStyle w:val="TableNBullet"/>
            </w:pPr>
            <w:r>
              <w:t>W</w:t>
            </w:r>
            <w:r w:rsidR="00853D82" w:rsidRPr="003779AF">
              <w:t>omen’s job creation</w:t>
            </w:r>
          </w:p>
          <w:p w14:paraId="14D1A861" w14:textId="7B8EE592" w:rsidR="00853D82" w:rsidRDefault="00BE2FC2" w:rsidP="003779AF">
            <w:pPr>
              <w:pStyle w:val="TableNBullet"/>
            </w:pPr>
            <w:r>
              <w:t>W</w:t>
            </w:r>
            <w:r w:rsidR="00853D82" w:rsidRPr="003779AF">
              <w:t>omen’s economic security</w:t>
            </w:r>
          </w:p>
          <w:p w14:paraId="0D826AAC" w14:textId="01900485" w:rsidR="00853D82" w:rsidRDefault="00BE2FC2" w:rsidP="003779AF">
            <w:pPr>
              <w:pStyle w:val="TableNBullet"/>
            </w:pPr>
            <w:r>
              <w:t>W</w:t>
            </w:r>
            <w:r w:rsidR="00853D82" w:rsidRPr="003779AF">
              <w:t>omen’s workforce participation; women’s leadership</w:t>
            </w:r>
          </w:p>
          <w:p w14:paraId="21DE3903" w14:textId="549A1973" w:rsidR="00853D82" w:rsidRDefault="00BE2FC2" w:rsidP="003779AF">
            <w:pPr>
              <w:pStyle w:val="TableNBullet"/>
            </w:pPr>
            <w:r>
              <w:t>W</w:t>
            </w:r>
            <w:r w:rsidR="00853D82" w:rsidRPr="003779AF">
              <w:t>omen’s safety</w:t>
            </w:r>
          </w:p>
          <w:p w14:paraId="72EBB2D7" w14:textId="393C0173" w:rsidR="00853D82" w:rsidRPr="00A54016" w:rsidRDefault="00BE2FC2" w:rsidP="003779AF">
            <w:pPr>
              <w:pStyle w:val="TableNBullet"/>
            </w:pPr>
            <w:r>
              <w:t>I</w:t>
            </w:r>
            <w:r w:rsidR="00853D82" w:rsidRPr="003779AF">
              <w:t>nternational engagement</w:t>
            </w:r>
            <w:r w:rsidR="002B29BE">
              <w:rPr>
                <w:rFonts w:ascii="ZWAdobeF" w:hAnsi="ZWAdobeF" w:cs="ZWAdobeF"/>
                <w:sz w:val="2"/>
                <w:szCs w:val="2"/>
              </w:rPr>
              <w:t>68F</w:t>
            </w:r>
            <w:r w:rsidR="00853D82">
              <w:rPr>
                <w:rStyle w:val="FootnoteReference"/>
              </w:rPr>
              <w:footnoteReference w:id="74"/>
            </w:r>
          </w:p>
        </w:tc>
        <w:tc>
          <w:tcPr>
            <w:tcW w:w="995" w:type="pct"/>
            <w:hideMark/>
          </w:tcPr>
          <w:p w14:paraId="5738CA68" w14:textId="706115FF" w:rsidR="00853D82" w:rsidRPr="00A54016" w:rsidRDefault="00853D82" w:rsidP="00F901DC">
            <w:pPr>
              <w:pStyle w:val="TableNText"/>
            </w:pPr>
            <w:r>
              <w:rPr>
                <w:rFonts w:eastAsiaTheme="majorEastAsia"/>
              </w:rPr>
              <w:t>Women</w:t>
            </w:r>
          </w:p>
        </w:tc>
        <w:tc>
          <w:tcPr>
            <w:tcW w:w="641" w:type="pct"/>
            <w:hideMark/>
          </w:tcPr>
          <w:p w14:paraId="38B9CBA0" w14:textId="3DCC6BE9" w:rsidR="00853D82" w:rsidRPr="00A54016" w:rsidRDefault="00853D82" w:rsidP="00F901DC">
            <w:pPr>
              <w:pStyle w:val="TableNText"/>
            </w:pPr>
            <w:r w:rsidRPr="003850AF">
              <w:rPr>
                <w:rFonts w:eastAsiaTheme="majorEastAsia"/>
                <w:b/>
                <w:bCs/>
              </w:rPr>
              <w:t>High overlap:</w:t>
            </w:r>
            <w:r w:rsidRPr="00A54016">
              <w:t xml:space="preserve"> In particular, WLDP’s “economic security” and “job creation” projects overlap with SARC</w:t>
            </w:r>
            <w:r w:rsidR="00EB6BB5">
              <w:t xml:space="preserve"> – </w:t>
            </w:r>
            <w:r w:rsidRPr="00A54016">
              <w:t xml:space="preserve">IC initiatives that would help women gain skills, confidence, and jobs. </w:t>
            </w:r>
          </w:p>
        </w:tc>
      </w:tr>
      <w:tr w:rsidR="009B30ED" w:rsidRPr="00A54016" w14:paraId="536BBF3D" w14:textId="77777777" w:rsidTr="4AF1E856">
        <w:trPr>
          <w:cnfStyle w:val="000000100000" w:firstRow="0" w:lastRow="0" w:firstColumn="0" w:lastColumn="0" w:oddVBand="0" w:evenVBand="0" w:oddHBand="1" w:evenHBand="0" w:firstRowFirstColumn="0" w:firstRowLastColumn="0" w:lastRowFirstColumn="0" w:lastRowLastColumn="0"/>
        </w:trPr>
        <w:tc>
          <w:tcPr>
            <w:tcW w:w="946" w:type="pct"/>
          </w:tcPr>
          <w:p w14:paraId="1070E0B1" w14:textId="4E107BAF" w:rsidR="00853D82" w:rsidRPr="00A54016" w:rsidRDefault="00853D82" w:rsidP="00A54016">
            <w:pPr>
              <w:rPr>
                <w:b/>
                <w:bCs/>
                <w:highlight w:val="green"/>
                <w:lang w:eastAsia="en-AU"/>
              </w:rPr>
            </w:pPr>
            <w:r w:rsidRPr="002117E7">
              <w:rPr>
                <w:b/>
                <w:lang w:eastAsia="en-AU"/>
              </w:rPr>
              <w:t xml:space="preserve">Skills for Education and Employment </w:t>
            </w:r>
            <w:r w:rsidR="00BF06B4" w:rsidRPr="002117E7">
              <w:rPr>
                <w:b/>
                <w:lang w:eastAsia="en-AU"/>
              </w:rPr>
              <w:t xml:space="preserve">(SEE) </w:t>
            </w:r>
            <w:r w:rsidRPr="002117E7">
              <w:rPr>
                <w:b/>
                <w:lang w:eastAsia="en-AU"/>
              </w:rPr>
              <w:lastRenderedPageBreak/>
              <w:t>Program</w:t>
            </w:r>
            <w:r w:rsidR="002B29BE">
              <w:rPr>
                <w:rFonts w:ascii="ZWAdobeF" w:hAnsi="ZWAdobeF" w:cs="ZWAdobeF"/>
                <w:sz w:val="2"/>
                <w:szCs w:val="2"/>
                <w:lang w:eastAsia="en-AU"/>
              </w:rPr>
              <w:t>69F</w:t>
            </w:r>
            <w:r w:rsidR="00E94AC7" w:rsidRPr="002117E7">
              <w:rPr>
                <w:rStyle w:val="FootnoteReference"/>
                <w:b/>
                <w:bCs/>
                <w:lang w:eastAsia="en-AU"/>
              </w:rPr>
              <w:footnoteReference w:id="75"/>
            </w:r>
            <w:r w:rsidR="005852B4" w:rsidRPr="002117E7">
              <w:rPr>
                <w:b/>
                <w:bCs/>
                <w:lang w:eastAsia="en-AU"/>
              </w:rPr>
              <w:t xml:space="preserve"> </w:t>
            </w:r>
            <w:r w:rsidR="00E94AC7" w:rsidRPr="002117E7">
              <w:rPr>
                <w:i/>
                <w:iCs/>
                <w:lang w:eastAsia="en-AU"/>
              </w:rPr>
              <w:t>Department of Employment and Workplace Relations</w:t>
            </w:r>
          </w:p>
        </w:tc>
        <w:tc>
          <w:tcPr>
            <w:tcW w:w="1086" w:type="pct"/>
          </w:tcPr>
          <w:p w14:paraId="5568A46A" w14:textId="6965B96B" w:rsidR="00853D82" w:rsidRPr="00A54016" w:rsidRDefault="00853D82" w:rsidP="006B12AF">
            <w:pPr>
              <w:pStyle w:val="TableNText"/>
            </w:pPr>
            <w:r>
              <w:lastRenderedPageBreak/>
              <w:t>A</w:t>
            </w:r>
            <w:r w:rsidRPr="00A54016">
              <w:t>n Australian Government program that delivers free language, literacy, numeracy and digital skills training to eligible Australians</w:t>
            </w:r>
            <w:r>
              <w:t xml:space="preserve"> to </w:t>
            </w:r>
            <w:r w:rsidRPr="00A33D20">
              <w:t xml:space="preserve">support </w:t>
            </w:r>
            <w:r w:rsidRPr="00A33D20">
              <w:lastRenderedPageBreak/>
              <w:t>workers and vulnerable Australians to gain secure employment choices.</w:t>
            </w:r>
            <w:r w:rsidR="002B29BE">
              <w:rPr>
                <w:rFonts w:ascii="ZWAdobeF" w:hAnsi="ZWAdobeF" w:cs="ZWAdobeF"/>
                <w:sz w:val="2"/>
                <w:szCs w:val="2"/>
              </w:rPr>
              <w:t>70F</w:t>
            </w:r>
            <w:r>
              <w:rPr>
                <w:rStyle w:val="FootnoteReference"/>
              </w:rPr>
              <w:footnoteReference w:id="76"/>
            </w:r>
          </w:p>
        </w:tc>
        <w:tc>
          <w:tcPr>
            <w:tcW w:w="1332" w:type="pct"/>
          </w:tcPr>
          <w:p w14:paraId="15D15E79" w14:textId="1A4F78AD" w:rsidR="00853D82" w:rsidRDefault="00BE2FC2" w:rsidP="00C457C8">
            <w:pPr>
              <w:pStyle w:val="TableNBullet"/>
            </w:pPr>
            <w:r>
              <w:lastRenderedPageBreak/>
              <w:t>I</w:t>
            </w:r>
            <w:r w:rsidR="00853D82">
              <w:t>mproved verbal and written communication skills</w:t>
            </w:r>
          </w:p>
          <w:p w14:paraId="1C221210" w14:textId="0F322196" w:rsidR="00853D82" w:rsidRDefault="00BE2FC2" w:rsidP="00C457C8">
            <w:pPr>
              <w:pStyle w:val="TableNBullet"/>
            </w:pPr>
            <w:r>
              <w:t>I</w:t>
            </w:r>
            <w:r w:rsidR="00853D82">
              <w:t>ncreased confidence in professional relationships with stakeholders</w:t>
            </w:r>
          </w:p>
          <w:p w14:paraId="621BBBF0" w14:textId="41E420CC" w:rsidR="00853D82" w:rsidRDefault="00BE2FC2" w:rsidP="00C457C8">
            <w:pPr>
              <w:pStyle w:val="TableNBullet"/>
            </w:pPr>
            <w:r>
              <w:lastRenderedPageBreak/>
              <w:t>E</w:t>
            </w:r>
            <w:r w:rsidR="00853D82">
              <w:t>nhanced digital and numeracy skills</w:t>
            </w:r>
          </w:p>
          <w:p w14:paraId="5D05D501" w14:textId="7328FFDC" w:rsidR="00853D82" w:rsidRDefault="00BE2FC2" w:rsidP="00C457C8">
            <w:pPr>
              <w:pStyle w:val="TableNBullet"/>
            </w:pPr>
            <w:r>
              <w:t>I</w:t>
            </w:r>
            <w:r w:rsidR="00853D82">
              <w:t>ncreased knowledge and morale</w:t>
            </w:r>
          </w:p>
          <w:p w14:paraId="3DE1529D" w14:textId="3E6F67B7" w:rsidR="00853D82" w:rsidRPr="00A54016" w:rsidRDefault="00BE2FC2" w:rsidP="00C457C8">
            <w:pPr>
              <w:pStyle w:val="TableNBullet"/>
            </w:pPr>
            <w:r>
              <w:t>R</w:t>
            </w:r>
            <w:r w:rsidR="00853D82">
              <w:t>educed staff turnover</w:t>
            </w:r>
          </w:p>
        </w:tc>
        <w:tc>
          <w:tcPr>
            <w:tcW w:w="995" w:type="pct"/>
          </w:tcPr>
          <w:p w14:paraId="4D76F961" w14:textId="685B5991" w:rsidR="00853D82" w:rsidRPr="004F462A" w:rsidRDefault="00EA271B" w:rsidP="004F462A">
            <w:pPr>
              <w:pStyle w:val="TableNBullet"/>
            </w:pPr>
            <w:r>
              <w:lastRenderedPageBreak/>
              <w:t>A</w:t>
            </w:r>
            <w:r w:rsidR="00853D82" w:rsidRPr="004F462A">
              <w:t>n Australian citizen or</w:t>
            </w:r>
          </w:p>
          <w:p w14:paraId="6849E483" w14:textId="2B0E50F7" w:rsidR="00853D82" w:rsidRPr="004F462A" w:rsidRDefault="00853D82" w:rsidP="004F462A">
            <w:pPr>
              <w:pStyle w:val="TableNBullet"/>
            </w:pPr>
            <w:r w:rsidRPr="004F462A">
              <w:t>a permanent visa holder or</w:t>
            </w:r>
          </w:p>
          <w:p w14:paraId="75D07377" w14:textId="706C6D74" w:rsidR="00853D82" w:rsidRPr="004F462A" w:rsidRDefault="00853D82" w:rsidP="004F462A">
            <w:pPr>
              <w:pStyle w:val="TableNBullet"/>
            </w:pPr>
            <w:r w:rsidRPr="004F462A">
              <w:lastRenderedPageBreak/>
              <w:t>on a provisional or temporary visa with working rights</w:t>
            </w:r>
          </w:p>
          <w:p w14:paraId="58EAA26D" w14:textId="77777777" w:rsidR="00853D82" w:rsidRPr="004F462A" w:rsidRDefault="00853D82" w:rsidP="004F462A">
            <w:pPr>
              <w:pStyle w:val="TableNBullet"/>
            </w:pPr>
            <w:r w:rsidRPr="004F462A">
              <w:t>and eligible for the Adult Migrant English Program or</w:t>
            </w:r>
          </w:p>
          <w:p w14:paraId="082B1EE4" w14:textId="7E873DB2" w:rsidR="00853D82" w:rsidRPr="00A54016" w:rsidRDefault="00853D82" w:rsidP="004F462A">
            <w:pPr>
              <w:pStyle w:val="TableNBullet"/>
            </w:pPr>
            <w:r w:rsidRPr="004F462A">
              <w:t>a Pacific Australian Labour Mobility visa holder</w:t>
            </w:r>
            <w:r w:rsidR="00851D64">
              <w:t>.</w:t>
            </w:r>
            <w:r w:rsidR="002B29BE">
              <w:rPr>
                <w:rFonts w:ascii="ZWAdobeF" w:hAnsi="ZWAdobeF" w:cs="ZWAdobeF"/>
                <w:sz w:val="2"/>
                <w:szCs w:val="2"/>
              </w:rPr>
              <w:t>71F</w:t>
            </w:r>
            <w:r>
              <w:rPr>
                <w:rStyle w:val="FootnoteReference"/>
              </w:rPr>
              <w:footnoteReference w:id="77"/>
            </w:r>
          </w:p>
        </w:tc>
        <w:tc>
          <w:tcPr>
            <w:tcW w:w="641" w:type="pct"/>
          </w:tcPr>
          <w:p w14:paraId="794CB9BC" w14:textId="73B9036F" w:rsidR="00853D82" w:rsidRPr="006E7288" w:rsidRDefault="00853D82" w:rsidP="00AE00A3">
            <w:pPr>
              <w:pStyle w:val="TableNText"/>
              <w:rPr>
                <w:rFonts w:asciiTheme="minorHAnsi" w:hAnsiTheme="minorHAnsi" w:cstheme="minorHAnsi"/>
              </w:rPr>
            </w:pPr>
            <w:r>
              <w:rPr>
                <w:rFonts w:asciiTheme="majorHAnsi" w:hAnsiTheme="majorHAnsi" w:cstheme="majorHAnsi"/>
              </w:rPr>
              <w:lastRenderedPageBreak/>
              <w:t>Very h</w:t>
            </w:r>
            <w:r w:rsidRPr="00AE00A3">
              <w:rPr>
                <w:rFonts w:asciiTheme="majorHAnsi" w:hAnsiTheme="majorHAnsi" w:cstheme="majorHAnsi"/>
              </w:rPr>
              <w:t>igh overlap</w:t>
            </w:r>
            <w:r w:rsidRPr="00AE00A3">
              <w:rPr>
                <w:rFonts w:asciiTheme="majorHAnsi" w:hAnsiTheme="majorHAnsi" w:cstheme="majorHAnsi"/>
                <w:b/>
                <w:bCs/>
              </w:rPr>
              <w:t xml:space="preserve">: </w:t>
            </w:r>
            <w:r w:rsidRPr="00160156">
              <w:rPr>
                <w:rFonts w:asciiTheme="minorHAnsi" w:hAnsiTheme="minorHAnsi" w:cstheme="minorHAnsi"/>
              </w:rPr>
              <w:t>Directly aligns with SARC</w:t>
            </w:r>
            <w:r w:rsidR="00341059">
              <w:rPr>
                <w:rFonts w:asciiTheme="minorHAnsi" w:hAnsiTheme="minorHAnsi" w:cstheme="minorHAnsi"/>
              </w:rPr>
              <w:t xml:space="preserve"> – </w:t>
            </w:r>
            <w:r w:rsidRPr="00160156">
              <w:rPr>
                <w:rFonts w:asciiTheme="minorHAnsi" w:hAnsiTheme="minorHAnsi" w:cstheme="minorHAnsi"/>
              </w:rPr>
              <w:t xml:space="preserve">IC’s goal to </w:t>
            </w:r>
            <w:r w:rsidRPr="00160156">
              <w:rPr>
                <w:rFonts w:asciiTheme="minorHAnsi" w:hAnsiTheme="minorHAnsi" w:cstheme="minorHAnsi"/>
              </w:rPr>
              <w:lastRenderedPageBreak/>
              <w:t>increase economic participation.</w:t>
            </w:r>
            <w:r>
              <w:rPr>
                <w:rFonts w:asciiTheme="majorHAnsi" w:hAnsiTheme="majorHAnsi" w:cstheme="majorHAnsi"/>
              </w:rPr>
              <w:t xml:space="preserve"> </w:t>
            </w:r>
          </w:p>
        </w:tc>
      </w:tr>
      <w:tr w:rsidR="009B30ED" w:rsidRPr="00A54016" w14:paraId="717EDABF" w14:textId="77777777" w:rsidTr="4AF1E856">
        <w:trPr>
          <w:cnfStyle w:val="000000010000" w:firstRow="0" w:lastRow="0" w:firstColumn="0" w:lastColumn="0" w:oddVBand="0" w:evenVBand="0" w:oddHBand="0" w:evenHBand="1" w:firstRowFirstColumn="0" w:firstRowLastColumn="0" w:lastRowFirstColumn="0" w:lastRowLastColumn="0"/>
        </w:trPr>
        <w:tc>
          <w:tcPr>
            <w:tcW w:w="946" w:type="pct"/>
          </w:tcPr>
          <w:p w14:paraId="19A12307" w14:textId="2556D139" w:rsidR="00F3604B" w:rsidRPr="00A54016" w:rsidRDefault="003A3C25" w:rsidP="00A54016">
            <w:pPr>
              <w:rPr>
                <w:b/>
                <w:bCs/>
                <w:highlight w:val="green"/>
                <w:lang w:eastAsia="en-AU"/>
              </w:rPr>
            </w:pPr>
            <w:r w:rsidRPr="001E6FD3">
              <w:rPr>
                <w:b/>
                <w:bCs/>
                <w:lang w:eastAsia="en-AU"/>
              </w:rPr>
              <w:lastRenderedPageBreak/>
              <w:t>Commonwealth Outcomes Fund</w:t>
            </w:r>
            <w:r w:rsidR="002B29BE">
              <w:rPr>
                <w:rFonts w:ascii="ZWAdobeF" w:hAnsi="ZWAdobeF" w:cs="ZWAdobeF"/>
                <w:bCs/>
                <w:sz w:val="2"/>
                <w:szCs w:val="2"/>
                <w:lang w:eastAsia="en-AU"/>
              </w:rPr>
              <w:t>72F</w:t>
            </w:r>
            <w:r w:rsidR="004E7E14">
              <w:rPr>
                <w:rStyle w:val="FootnoteReference"/>
                <w:b/>
                <w:bCs/>
                <w:lang w:eastAsia="en-AU"/>
              </w:rPr>
              <w:footnoteReference w:id="78"/>
            </w:r>
          </w:p>
        </w:tc>
        <w:tc>
          <w:tcPr>
            <w:tcW w:w="1086" w:type="pct"/>
          </w:tcPr>
          <w:p w14:paraId="55C980C2" w14:textId="65F51182" w:rsidR="00F3604B" w:rsidRDefault="00AC15D0" w:rsidP="00ED7022">
            <w:pPr>
              <w:pStyle w:val="TableNText"/>
            </w:pPr>
            <w:r w:rsidRPr="00AC15D0">
              <w:t>The fund aims to reduce disadvantage in Australia through innovation. It will improve the evidence base for social policy interventions and will grow social impact investing in Australia.</w:t>
            </w:r>
          </w:p>
        </w:tc>
        <w:tc>
          <w:tcPr>
            <w:tcW w:w="1332" w:type="pct"/>
          </w:tcPr>
          <w:p w14:paraId="56DE9304" w14:textId="77777777" w:rsidR="00F3604B" w:rsidRDefault="00C210DF" w:rsidP="00C210DF">
            <w:pPr>
              <w:pStyle w:val="TableNBullet"/>
              <w:numPr>
                <w:ilvl w:val="0"/>
                <w:numId w:val="0"/>
              </w:numPr>
              <w:ind w:left="227" w:hanging="227"/>
            </w:pPr>
            <w:r>
              <w:t>Focus area 1:</w:t>
            </w:r>
          </w:p>
          <w:p w14:paraId="5F1DCBCC" w14:textId="2EE2B0D6" w:rsidR="00C210DF" w:rsidRDefault="00341F19" w:rsidP="00C210DF">
            <w:pPr>
              <w:pStyle w:val="TableNBullet"/>
            </w:pPr>
            <w:r>
              <w:t>B</w:t>
            </w:r>
            <w:r w:rsidR="00415D24">
              <w:t>reak cycles of intergenerational and</w:t>
            </w:r>
            <w:r w:rsidR="00E97DB1">
              <w:t xml:space="preserve"> community disadvantage</w:t>
            </w:r>
          </w:p>
          <w:p w14:paraId="2C9E2AF2" w14:textId="77777777" w:rsidR="00E97DB1" w:rsidRDefault="00E97DB1" w:rsidP="00E97DB1">
            <w:pPr>
              <w:pStyle w:val="TableNBullet"/>
              <w:numPr>
                <w:ilvl w:val="0"/>
                <w:numId w:val="0"/>
              </w:numPr>
              <w:ind w:left="227" w:hanging="227"/>
            </w:pPr>
            <w:r>
              <w:t>Focus area 2:</w:t>
            </w:r>
          </w:p>
          <w:p w14:paraId="27A4358D" w14:textId="1DD31C60" w:rsidR="00E97DB1" w:rsidRDefault="00341F19" w:rsidP="00E97DB1">
            <w:pPr>
              <w:pStyle w:val="TableNBullet"/>
            </w:pPr>
            <w:r>
              <w:t>I</w:t>
            </w:r>
            <w:r w:rsidR="00BA59BD">
              <w:t>mprove employment</w:t>
            </w:r>
            <w:r w:rsidR="00993DA6">
              <w:t xml:space="preserve"> readiness and</w:t>
            </w:r>
            <w:r w:rsidR="00BA59BD">
              <w:t xml:space="preserve"> participation</w:t>
            </w:r>
          </w:p>
          <w:p w14:paraId="0B6E9506" w14:textId="77777777" w:rsidR="00BA59BD" w:rsidRDefault="00BA59BD" w:rsidP="00BA59BD">
            <w:pPr>
              <w:pStyle w:val="TableNBullet"/>
              <w:numPr>
                <w:ilvl w:val="0"/>
                <w:numId w:val="0"/>
              </w:numPr>
            </w:pPr>
            <w:r>
              <w:t>Focus area 3:</w:t>
            </w:r>
          </w:p>
          <w:p w14:paraId="59FB2AB3" w14:textId="74769962" w:rsidR="00993DA6" w:rsidRDefault="00040817" w:rsidP="00993DA6">
            <w:pPr>
              <w:pStyle w:val="TableNBullet"/>
            </w:pPr>
            <w:r>
              <w:t>I</w:t>
            </w:r>
            <w:r w:rsidRPr="00040817">
              <w:t xml:space="preserve">mprove access to </w:t>
            </w:r>
            <w:r>
              <w:t xml:space="preserve">homelessness </w:t>
            </w:r>
            <w:r w:rsidRPr="00040817">
              <w:t>prevention and early intervention services</w:t>
            </w:r>
          </w:p>
          <w:p w14:paraId="2E5D7BAD" w14:textId="7F11B10D" w:rsidR="00BA59BD" w:rsidRDefault="00BA59BD" w:rsidP="00BA59BD">
            <w:pPr>
              <w:pStyle w:val="TableNBullet"/>
              <w:numPr>
                <w:ilvl w:val="0"/>
                <w:numId w:val="0"/>
              </w:numPr>
            </w:pPr>
          </w:p>
        </w:tc>
        <w:tc>
          <w:tcPr>
            <w:tcW w:w="995" w:type="pct"/>
          </w:tcPr>
          <w:p w14:paraId="011951F1" w14:textId="3F36366A" w:rsidR="00653749" w:rsidRDefault="00653749" w:rsidP="00653749">
            <w:pPr>
              <w:pStyle w:val="TableNText"/>
            </w:pPr>
            <w:r>
              <w:t xml:space="preserve">Three focus areas, </w:t>
            </w:r>
            <w:r w:rsidR="001E6FD3">
              <w:t>which include these cohorts:</w:t>
            </w:r>
          </w:p>
          <w:p w14:paraId="09127458" w14:textId="5B240C3B" w:rsidR="00F3604B" w:rsidRDefault="00FF72FF" w:rsidP="004F462A">
            <w:pPr>
              <w:pStyle w:val="TableNBullet"/>
            </w:pPr>
            <w:r w:rsidRPr="00FF72FF">
              <w:t>vulnerable adolescents who have had disrupted and poor engagement with the education system and/or experience of the youth justice system</w:t>
            </w:r>
          </w:p>
          <w:p w14:paraId="3D715E6A" w14:textId="77777777" w:rsidR="00653749" w:rsidRDefault="00653749" w:rsidP="00653749">
            <w:pPr>
              <w:pStyle w:val="TableNBullet"/>
            </w:pPr>
            <w:r>
              <w:t xml:space="preserve">young Australians aged 15 to 24 years who are not considered to be in employment, education or training  </w:t>
            </w:r>
          </w:p>
          <w:p w14:paraId="535E7696" w14:textId="413FE62B" w:rsidR="00653749" w:rsidRPr="004F462A" w:rsidRDefault="00653749" w:rsidP="00653749">
            <w:pPr>
              <w:pStyle w:val="TableNBullet"/>
            </w:pPr>
            <w:r>
              <w:t>other groups of people who are at risk of long-term unemployment or who face barriers to work.</w:t>
            </w:r>
          </w:p>
        </w:tc>
        <w:tc>
          <w:tcPr>
            <w:tcW w:w="641" w:type="pct"/>
          </w:tcPr>
          <w:p w14:paraId="69F8310E" w14:textId="59AFE384" w:rsidR="00F3604B" w:rsidRDefault="002B3055" w:rsidP="00AE00A3">
            <w:pPr>
              <w:pStyle w:val="TableNText"/>
              <w:rPr>
                <w:rFonts w:asciiTheme="majorHAnsi" w:hAnsiTheme="majorHAnsi" w:cstheme="majorHAnsi"/>
              </w:rPr>
            </w:pPr>
            <w:r w:rsidRPr="003850AF">
              <w:rPr>
                <w:rFonts w:eastAsiaTheme="majorEastAsia"/>
                <w:b/>
                <w:bCs/>
              </w:rPr>
              <w:t>High overlap:</w:t>
            </w:r>
            <w:r w:rsidRPr="00A54016">
              <w:t xml:space="preserve"> </w:t>
            </w:r>
            <w:r w:rsidR="00252A92">
              <w:t xml:space="preserve">Focuses on </w:t>
            </w:r>
            <w:r w:rsidR="0088047D">
              <w:t xml:space="preserve">youth at risk of disengaging from education and </w:t>
            </w:r>
            <w:r w:rsidR="00606A40">
              <w:t>employment or NEET</w:t>
            </w:r>
            <w:r w:rsidR="004B5FE3">
              <w:t>, as well as long-term unemployed</w:t>
            </w:r>
            <w:r w:rsidRPr="00A54016">
              <w:t>.</w:t>
            </w:r>
            <w:r w:rsidR="00250C2D">
              <w:t xml:space="preserve"> Also shares similar outcomes related to these cohorts</w:t>
            </w:r>
            <w:r w:rsidR="0045649C">
              <w:t>.</w:t>
            </w:r>
          </w:p>
        </w:tc>
      </w:tr>
      <w:tr w:rsidR="00F614D5" w:rsidRPr="00A54016" w14:paraId="086004B9" w14:textId="77777777" w:rsidTr="4AF1E856">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00264D" w:themeFill="background2"/>
          </w:tcPr>
          <w:p w14:paraId="7722AD51" w14:textId="552CDDB9" w:rsidR="00723936" w:rsidRPr="00723936" w:rsidRDefault="00723936" w:rsidP="00AE00A3">
            <w:pPr>
              <w:pStyle w:val="TableNText"/>
              <w:rPr>
                <w:rFonts w:asciiTheme="majorHAnsi" w:hAnsiTheme="majorHAnsi" w:cstheme="majorHAnsi"/>
                <w:color w:val="FFFFFF" w:themeColor="background1"/>
              </w:rPr>
            </w:pPr>
            <w:r>
              <w:rPr>
                <w:rFonts w:asciiTheme="majorHAnsi" w:hAnsiTheme="majorHAnsi" w:cstheme="majorHAnsi"/>
                <w:color w:val="FFFFFF" w:themeColor="background1"/>
              </w:rPr>
              <w:t>Sample of state level initiatives and programs</w:t>
            </w:r>
          </w:p>
        </w:tc>
      </w:tr>
      <w:tr w:rsidR="009B30ED" w:rsidRPr="00A54016" w14:paraId="32129E55" w14:textId="77777777" w:rsidTr="4AF1E856">
        <w:trPr>
          <w:cnfStyle w:val="000000010000" w:firstRow="0" w:lastRow="0" w:firstColumn="0" w:lastColumn="0" w:oddVBand="0" w:evenVBand="0" w:oddHBand="0" w:evenHBand="1" w:firstRowFirstColumn="0" w:firstRowLastColumn="0" w:lastRowFirstColumn="0" w:lastRowLastColumn="0"/>
        </w:trPr>
        <w:tc>
          <w:tcPr>
            <w:tcW w:w="946" w:type="pct"/>
          </w:tcPr>
          <w:p w14:paraId="20780887" w14:textId="77777777" w:rsidR="00F72331" w:rsidRDefault="00723936" w:rsidP="00723936">
            <w:pPr>
              <w:rPr>
                <w:b/>
                <w:bCs/>
                <w:lang w:eastAsia="en-AU"/>
              </w:rPr>
            </w:pPr>
            <w:r w:rsidRPr="00723936">
              <w:rPr>
                <w:b/>
                <w:bCs/>
                <w:lang w:eastAsia="en-AU"/>
              </w:rPr>
              <w:lastRenderedPageBreak/>
              <w:t xml:space="preserve">Get Back in the Game (GBIG) </w:t>
            </w:r>
          </w:p>
          <w:p w14:paraId="03DF9A31" w14:textId="07B915CD" w:rsidR="00853D82" w:rsidRPr="00723936" w:rsidRDefault="00723936" w:rsidP="00723936">
            <w:pPr>
              <w:rPr>
                <w:i/>
                <w:iCs/>
                <w:highlight w:val="green"/>
                <w:lang w:eastAsia="en-AU"/>
              </w:rPr>
            </w:pPr>
            <w:r w:rsidRPr="00723936">
              <w:rPr>
                <w:i/>
                <w:iCs/>
                <w:lang w:eastAsia="en-AU"/>
              </w:rPr>
              <w:t>NSW Dep</w:t>
            </w:r>
            <w:r w:rsidR="002F7CFF">
              <w:rPr>
                <w:i/>
                <w:iCs/>
                <w:lang w:eastAsia="en-AU"/>
              </w:rPr>
              <w:t>artment</w:t>
            </w:r>
            <w:r w:rsidRPr="00723936">
              <w:rPr>
                <w:i/>
                <w:iCs/>
                <w:lang w:eastAsia="en-AU"/>
              </w:rPr>
              <w:t xml:space="preserve"> of Education</w:t>
            </w:r>
          </w:p>
        </w:tc>
        <w:tc>
          <w:tcPr>
            <w:tcW w:w="1086" w:type="pct"/>
          </w:tcPr>
          <w:p w14:paraId="342B0A3D" w14:textId="695810E2" w:rsidR="00853D82" w:rsidRDefault="00E4669F" w:rsidP="00ED7022">
            <w:pPr>
              <w:pStyle w:val="TableNText"/>
            </w:pPr>
            <w:r w:rsidRPr="00E4669F">
              <w:t xml:space="preserve">Reconnect disengaged youth with education or work. Funds local service providers to deliver one-on-one </w:t>
            </w:r>
            <w:r w:rsidR="005872FB">
              <w:t xml:space="preserve">case management for </w:t>
            </w:r>
            <w:r w:rsidRPr="00E4669F">
              <w:t>youths (15–21) who are not in school or training, helping them to re-</w:t>
            </w:r>
            <w:r w:rsidR="00F72331" w:rsidRPr="00E4669F">
              <w:t>enrol</w:t>
            </w:r>
            <w:r w:rsidRPr="00E4669F">
              <w:t xml:space="preserve"> in education, start vocational training, or gain employment</w:t>
            </w:r>
            <w:r w:rsidR="00FF3BA2">
              <w:t>.</w:t>
            </w:r>
          </w:p>
        </w:tc>
        <w:tc>
          <w:tcPr>
            <w:tcW w:w="1332" w:type="pct"/>
          </w:tcPr>
          <w:p w14:paraId="1802F9D3" w14:textId="77777777" w:rsidR="00853D82" w:rsidRDefault="00B3370F" w:rsidP="00C457C8">
            <w:pPr>
              <w:pStyle w:val="TableNBullet"/>
            </w:pPr>
            <w:r>
              <w:t>Enrolment and commencement of a Career and Transition Plan</w:t>
            </w:r>
          </w:p>
          <w:p w14:paraId="7234A817" w14:textId="7D9096B1" w:rsidR="00B3370F" w:rsidRDefault="00B3370F" w:rsidP="00C457C8">
            <w:pPr>
              <w:pStyle w:val="TableNBullet"/>
            </w:pPr>
            <w:r>
              <w:t>Engagement in education, employment or training</w:t>
            </w:r>
          </w:p>
        </w:tc>
        <w:tc>
          <w:tcPr>
            <w:tcW w:w="995" w:type="pct"/>
          </w:tcPr>
          <w:p w14:paraId="692163B4" w14:textId="1E7210CF" w:rsidR="00853D82" w:rsidRPr="004F462A" w:rsidRDefault="001B5EA9" w:rsidP="00653749">
            <w:pPr>
              <w:pStyle w:val="TableNBullet"/>
            </w:pPr>
            <w:r w:rsidRPr="001B5EA9">
              <w:t>Disadvantaged young people, 15–21, in NSW who are not in any other education or employment program</w:t>
            </w:r>
            <w:r w:rsidR="00CF04EB">
              <w:t>.</w:t>
            </w:r>
          </w:p>
        </w:tc>
        <w:tc>
          <w:tcPr>
            <w:tcW w:w="641" w:type="pct"/>
          </w:tcPr>
          <w:p w14:paraId="40FAD937" w14:textId="164D10CC" w:rsidR="00853D82" w:rsidRDefault="0185B201" w:rsidP="4AF1E856">
            <w:pPr>
              <w:pStyle w:val="TableNText"/>
              <w:rPr>
                <w:rFonts w:asciiTheme="majorHAnsi" w:hAnsiTheme="majorHAnsi" w:cstheme="majorBidi"/>
              </w:rPr>
            </w:pPr>
            <w:r w:rsidRPr="00585438">
              <w:rPr>
                <w:rFonts w:asciiTheme="majorHAnsi" w:hAnsiTheme="majorHAnsi" w:cstheme="majorBidi"/>
                <w:b/>
                <w:bCs/>
              </w:rPr>
              <w:t>Very high</w:t>
            </w:r>
            <w:r w:rsidRPr="4AF1E856">
              <w:rPr>
                <w:rFonts w:asciiTheme="majorHAnsi" w:hAnsiTheme="majorHAnsi" w:cstheme="majorBidi"/>
              </w:rPr>
              <w:t xml:space="preserve"> overlap: </w:t>
            </w:r>
            <w:r w:rsidRPr="4AF1E856">
              <w:rPr>
                <w:rFonts w:asciiTheme="minorHAnsi" w:hAnsiTheme="minorHAnsi"/>
              </w:rPr>
              <w:t>Directly aligns with SARC</w:t>
            </w:r>
            <w:r w:rsidR="09E2B8F2" w:rsidRPr="4AF1E856">
              <w:rPr>
                <w:rFonts w:asciiTheme="minorHAnsi" w:hAnsiTheme="minorHAnsi"/>
              </w:rPr>
              <w:t xml:space="preserve"> – </w:t>
            </w:r>
            <w:r w:rsidRPr="4AF1E856">
              <w:rPr>
                <w:rFonts w:asciiTheme="minorHAnsi" w:hAnsiTheme="minorHAnsi"/>
              </w:rPr>
              <w:t>IC’s goal to increase engagement with education and economic participation.</w:t>
            </w:r>
          </w:p>
        </w:tc>
      </w:tr>
      <w:tr w:rsidR="009B30ED" w:rsidRPr="00A54016" w14:paraId="5622232A" w14:textId="77777777" w:rsidTr="4AF1E856">
        <w:trPr>
          <w:cnfStyle w:val="000000100000" w:firstRow="0" w:lastRow="0" w:firstColumn="0" w:lastColumn="0" w:oddVBand="0" w:evenVBand="0" w:oddHBand="1" w:evenHBand="0" w:firstRowFirstColumn="0" w:firstRowLastColumn="0" w:lastRowFirstColumn="0" w:lastRowLastColumn="0"/>
        </w:trPr>
        <w:tc>
          <w:tcPr>
            <w:tcW w:w="946" w:type="pct"/>
          </w:tcPr>
          <w:p w14:paraId="072CBD4D" w14:textId="77777777" w:rsidR="00853D82" w:rsidRDefault="00FC58E5" w:rsidP="00A54016">
            <w:pPr>
              <w:rPr>
                <w:b/>
                <w:bCs/>
                <w:lang w:eastAsia="en-AU"/>
              </w:rPr>
            </w:pPr>
            <w:r w:rsidRPr="00FC58E5">
              <w:rPr>
                <w:b/>
                <w:bCs/>
                <w:lang w:eastAsia="en-AU"/>
              </w:rPr>
              <w:t>Skilling Queenslanders for Work (SQW)</w:t>
            </w:r>
          </w:p>
          <w:p w14:paraId="4F3B9AB8" w14:textId="5AAAC1B7" w:rsidR="00853D82" w:rsidRPr="00E95FC1" w:rsidRDefault="00DA5536" w:rsidP="00A54016">
            <w:pPr>
              <w:rPr>
                <w:i/>
                <w:highlight w:val="green"/>
                <w:lang w:eastAsia="en-AU"/>
              </w:rPr>
            </w:pPr>
            <w:r w:rsidRPr="00E95FC1">
              <w:rPr>
                <w:i/>
                <w:iCs/>
                <w:lang w:eastAsia="en-AU"/>
              </w:rPr>
              <w:t>Department of Tra</w:t>
            </w:r>
            <w:r w:rsidR="00E95FC1" w:rsidRPr="00E95FC1">
              <w:rPr>
                <w:i/>
                <w:iCs/>
                <w:lang w:eastAsia="en-AU"/>
              </w:rPr>
              <w:t>de</w:t>
            </w:r>
            <w:r w:rsidRPr="00E95FC1">
              <w:rPr>
                <w:i/>
                <w:iCs/>
                <w:lang w:eastAsia="en-AU"/>
              </w:rPr>
              <w:t>, Employment and</w:t>
            </w:r>
            <w:r w:rsidR="00E95FC1" w:rsidRPr="00E95FC1">
              <w:rPr>
                <w:i/>
                <w:iCs/>
                <w:lang w:eastAsia="en-AU"/>
              </w:rPr>
              <w:t xml:space="preserve"> Training</w:t>
            </w:r>
          </w:p>
        </w:tc>
        <w:tc>
          <w:tcPr>
            <w:tcW w:w="1086" w:type="pct"/>
          </w:tcPr>
          <w:p w14:paraId="3CAB7430" w14:textId="0EA53F6B" w:rsidR="00853D82" w:rsidRDefault="00C20AD0" w:rsidP="00ED7022">
            <w:pPr>
              <w:pStyle w:val="TableNText"/>
            </w:pPr>
            <w:r>
              <w:t>Funds</w:t>
            </w:r>
            <w:r w:rsidRPr="00C20AD0">
              <w:t xml:space="preserve"> NGOs,</w:t>
            </w:r>
            <w:r w:rsidR="0014036B">
              <w:t xml:space="preserve"> RTOs, peak bodies,</w:t>
            </w:r>
            <w:r w:rsidR="005A3A9F">
              <w:t xml:space="preserve"> community organisations,</w:t>
            </w:r>
            <w:r w:rsidRPr="00C20AD0">
              <w:t xml:space="preserve"> councils</w:t>
            </w:r>
            <w:r w:rsidR="003309E0">
              <w:t xml:space="preserve"> </w:t>
            </w:r>
            <w:r w:rsidRPr="00C20AD0">
              <w:t>to run training courses, paid work placements (traineeships), and job prep programs that address barriers and lead to jobs</w:t>
            </w:r>
            <w:r w:rsidR="005A3A9F">
              <w:t>.</w:t>
            </w:r>
            <w:r w:rsidR="002B29BE">
              <w:rPr>
                <w:rFonts w:ascii="ZWAdobeF" w:hAnsi="ZWAdobeF" w:cs="ZWAdobeF"/>
                <w:sz w:val="2"/>
                <w:szCs w:val="2"/>
              </w:rPr>
              <w:t>73F</w:t>
            </w:r>
            <w:r w:rsidR="00513B81">
              <w:rPr>
                <w:rStyle w:val="FootnoteReference"/>
              </w:rPr>
              <w:footnoteReference w:id="79"/>
            </w:r>
          </w:p>
        </w:tc>
        <w:tc>
          <w:tcPr>
            <w:tcW w:w="1332" w:type="pct"/>
          </w:tcPr>
          <w:p w14:paraId="55127EAA" w14:textId="5F86E3A4" w:rsidR="00415A46" w:rsidRDefault="0046313C" w:rsidP="00FC65A8">
            <w:pPr>
              <w:pStyle w:val="TableNBullet"/>
            </w:pPr>
            <w:r>
              <w:t>I</w:t>
            </w:r>
            <w:r w:rsidR="00415A46" w:rsidRPr="00415A46">
              <w:t>mprove skills</w:t>
            </w:r>
          </w:p>
          <w:p w14:paraId="237CD841" w14:textId="7A6B22A4" w:rsidR="00415A46" w:rsidRDefault="0046313C" w:rsidP="00FC65A8">
            <w:pPr>
              <w:pStyle w:val="TableNBullet"/>
            </w:pPr>
            <w:r>
              <w:t>I</w:t>
            </w:r>
            <w:r w:rsidR="00415A46">
              <w:t xml:space="preserve">mprove </w:t>
            </w:r>
            <w:r w:rsidR="00415A46" w:rsidRPr="00415A46">
              <w:t>employment opportunities</w:t>
            </w:r>
          </w:p>
          <w:p w14:paraId="18952C22" w14:textId="20761C6C" w:rsidR="00EA7AC9" w:rsidRPr="00FC65A8" w:rsidRDefault="0046313C" w:rsidP="00FC65A8">
            <w:pPr>
              <w:pStyle w:val="TableNBullet"/>
            </w:pPr>
            <w:r>
              <w:t>I</w:t>
            </w:r>
            <w:r w:rsidR="00415A46">
              <w:t xml:space="preserve">mprove </w:t>
            </w:r>
            <w:r w:rsidR="00415A46" w:rsidRPr="00415A46">
              <w:t>social inclusion of disadvantaged Queenslanders</w:t>
            </w:r>
          </w:p>
        </w:tc>
        <w:tc>
          <w:tcPr>
            <w:tcW w:w="995" w:type="pct"/>
          </w:tcPr>
          <w:p w14:paraId="1095B81E" w14:textId="17136B3F" w:rsidR="00F528A3" w:rsidRDefault="00944F16" w:rsidP="00F528A3">
            <w:pPr>
              <w:pStyle w:val="TableNBullet"/>
            </w:pPr>
            <w:r>
              <w:t>Y</w:t>
            </w:r>
            <w:r w:rsidR="00F528A3">
              <w:t>oung people</w:t>
            </w:r>
          </w:p>
          <w:p w14:paraId="5AC5165D" w14:textId="0390E5E9" w:rsidR="00F528A3" w:rsidRDefault="00944F16" w:rsidP="00F528A3">
            <w:pPr>
              <w:pStyle w:val="TableNBullet"/>
            </w:pPr>
            <w:r>
              <w:t>M</w:t>
            </w:r>
            <w:r w:rsidR="00F528A3">
              <w:t>ature-age job seekers</w:t>
            </w:r>
          </w:p>
          <w:p w14:paraId="55F7C1DB" w14:textId="77777777" w:rsidR="00F528A3" w:rsidRDefault="00F528A3" w:rsidP="00F528A3">
            <w:pPr>
              <w:pStyle w:val="TableNBullet"/>
            </w:pPr>
            <w:r>
              <w:t>Aboriginal and Torres Strait Islander people, people with disability</w:t>
            </w:r>
          </w:p>
          <w:p w14:paraId="1CD4C0C2" w14:textId="2E925F55" w:rsidR="00F528A3" w:rsidRDefault="00944F16" w:rsidP="00F528A3">
            <w:pPr>
              <w:pStyle w:val="TableNBullet"/>
            </w:pPr>
            <w:r>
              <w:t>W</w:t>
            </w:r>
            <w:r w:rsidR="00F528A3">
              <w:t>omen re-entering the workforce</w:t>
            </w:r>
          </w:p>
          <w:p w14:paraId="28F38FEB" w14:textId="77777777" w:rsidR="00F528A3" w:rsidRDefault="00F528A3" w:rsidP="00F528A3">
            <w:pPr>
              <w:pStyle w:val="TableNBullet"/>
            </w:pPr>
            <w:r>
              <w:t>Australian Defence Force veterans</w:t>
            </w:r>
          </w:p>
          <w:p w14:paraId="22E5021D" w14:textId="3D102FD5" w:rsidR="00F528A3" w:rsidRDefault="00944F16" w:rsidP="00F528A3">
            <w:pPr>
              <w:pStyle w:val="TableNBullet"/>
            </w:pPr>
            <w:r>
              <w:t>R</w:t>
            </w:r>
            <w:r w:rsidR="00F528A3">
              <w:t>ecently released prisoners</w:t>
            </w:r>
          </w:p>
          <w:p w14:paraId="2DCACDE6" w14:textId="1599E709" w:rsidR="00853D82" w:rsidRPr="004F462A" w:rsidRDefault="00944F16" w:rsidP="00F528A3">
            <w:pPr>
              <w:pStyle w:val="TableNBullet"/>
            </w:pPr>
            <w:r>
              <w:t>P</w:t>
            </w:r>
            <w:r w:rsidR="00F528A3">
              <w:t>eople from culturally and linguistically diverse backgrounds</w:t>
            </w:r>
          </w:p>
        </w:tc>
        <w:tc>
          <w:tcPr>
            <w:tcW w:w="641" w:type="pct"/>
          </w:tcPr>
          <w:p w14:paraId="5849B736" w14:textId="3F83A6FF" w:rsidR="00853D82" w:rsidRDefault="566800F0" w:rsidP="4AF1E856">
            <w:pPr>
              <w:pStyle w:val="TableNText"/>
              <w:rPr>
                <w:rFonts w:asciiTheme="majorHAnsi" w:hAnsiTheme="majorHAnsi" w:cstheme="majorBidi"/>
              </w:rPr>
            </w:pPr>
            <w:r w:rsidRPr="00585438">
              <w:rPr>
                <w:rFonts w:asciiTheme="majorHAnsi" w:hAnsiTheme="majorHAnsi" w:cstheme="majorBidi"/>
                <w:b/>
                <w:bCs/>
              </w:rPr>
              <w:t xml:space="preserve">Very high </w:t>
            </w:r>
            <w:r w:rsidRPr="4AF1E856">
              <w:rPr>
                <w:rFonts w:asciiTheme="majorHAnsi" w:hAnsiTheme="majorHAnsi" w:cstheme="majorBidi"/>
              </w:rPr>
              <w:t xml:space="preserve">overlap: </w:t>
            </w:r>
            <w:r w:rsidRPr="4AF1E856">
              <w:rPr>
                <w:rFonts w:asciiTheme="minorHAnsi" w:hAnsiTheme="minorHAnsi"/>
              </w:rPr>
              <w:t>Directly aligns with SARC</w:t>
            </w:r>
            <w:r w:rsidR="09E2B8F2" w:rsidRPr="4AF1E856">
              <w:rPr>
                <w:rFonts w:asciiTheme="minorHAnsi" w:hAnsiTheme="minorHAnsi"/>
              </w:rPr>
              <w:t xml:space="preserve"> </w:t>
            </w:r>
            <w:r w:rsidR="3CA728B9" w:rsidRPr="4AF1E856">
              <w:rPr>
                <w:rFonts w:asciiTheme="minorHAnsi" w:hAnsiTheme="minorHAnsi"/>
              </w:rPr>
              <w:t xml:space="preserve">– </w:t>
            </w:r>
            <w:r w:rsidRPr="4AF1E856">
              <w:rPr>
                <w:rFonts w:asciiTheme="minorHAnsi" w:hAnsiTheme="minorHAnsi"/>
              </w:rPr>
              <w:t xml:space="preserve">IC’s goal to increase </w:t>
            </w:r>
            <w:r w:rsidR="686C888C" w:rsidRPr="4AF1E856">
              <w:rPr>
                <w:rFonts w:asciiTheme="minorHAnsi" w:hAnsiTheme="minorHAnsi"/>
              </w:rPr>
              <w:t xml:space="preserve">employment and social and </w:t>
            </w:r>
            <w:r w:rsidRPr="4AF1E856">
              <w:rPr>
                <w:rFonts w:asciiTheme="minorHAnsi" w:hAnsiTheme="minorHAnsi"/>
              </w:rPr>
              <w:t>economic participation.</w:t>
            </w:r>
          </w:p>
        </w:tc>
      </w:tr>
      <w:tr w:rsidR="00F614D5" w:rsidRPr="00A54016" w14:paraId="5D5B1BF3" w14:textId="77777777" w:rsidTr="4AF1E856">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00264D" w:themeFill="background2"/>
          </w:tcPr>
          <w:p w14:paraId="4BCF9FB6" w14:textId="1399FC28" w:rsidR="00DD2B49" w:rsidRPr="00DD2B49" w:rsidRDefault="00DD2B49" w:rsidP="00AE00A3">
            <w:pPr>
              <w:pStyle w:val="TableNText"/>
              <w:rPr>
                <w:rFonts w:asciiTheme="majorHAnsi" w:hAnsiTheme="majorHAnsi" w:cstheme="majorHAnsi"/>
                <w:color w:val="FFFFFF" w:themeColor="background1"/>
              </w:rPr>
            </w:pPr>
            <w:r>
              <w:rPr>
                <w:b/>
                <w:bCs/>
              </w:rPr>
              <w:t xml:space="preserve">Sample of philanthropic </w:t>
            </w:r>
            <w:r w:rsidR="00E40EE0">
              <w:rPr>
                <w:b/>
                <w:bCs/>
              </w:rPr>
              <w:t>initiatives and programs</w:t>
            </w:r>
            <w:r w:rsidRPr="00DD2B49">
              <w:rPr>
                <w:b/>
                <w:bCs/>
              </w:rPr>
              <w:t xml:space="preserve"> </w:t>
            </w:r>
          </w:p>
        </w:tc>
      </w:tr>
      <w:tr w:rsidR="009B30ED" w:rsidRPr="00A54016" w14:paraId="07BF3C08" w14:textId="77777777" w:rsidTr="4AF1E856">
        <w:trPr>
          <w:cnfStyle w:val="000000100000" w:firstRow="0" w:lastRow="0" w:firstColumn="0" w:lastColumn="0" w:oddVBand="0" w:evenVBand="0" w:oddHBand="1" w:evenHBand="0" w:firstRowFirstColumn="0" w:firstRowLastColumn="0" w:lastRowFirstColumn="0" w:lastRowLastColumn="0"/>
        </w:trPr>
        <w:tc>
          <w:tcPr>
            <w:tcW w:w="946" w:type="pct"/>
          </w:tcPr>
          <w:p w14:paraId="0C4821FA" w14:textId="747E98D3" w:rsidR="00DD2B49" w:rsidRDefault="00D9695F" w:rsidP="00A54016">
            <w:pPr>
              <w:rPr>
                <w:b/>
                <w:bCs/>
                <w:lang w:eastAsia="en-AU"/>
              </w:rPr>
            </w:pPr>
            <w:r w:rsidRPr="00D9695F">
              <w:rPr>
                <w:b/>
                <w:bCs/>
                <w:lang w:eastAsia="en-AU"/>
              </w:rPr>
              <w:t>Work Integration Social Enterprise (WISE) Grant</w:t>
            </w:r>
            <w:r w:rsidR="002B29BE">
              <w:rPr>
                <w:rFonts w:ascii="ZWAdobeF" w:hAnsi="ZWAdobeF" w:cs="ZWAdobeF"/>
                <w:bCs/>
                <w:sz w:val="2"/>
                <w:szCs w:val="2"/>
                <w:lang w:eastAsia="en-AU"/>
              </w:rPr>
              <w:t>74F</w:t>
            </w:r>
            <w:r w:rsidR="00667B98">
              <w:rPr>
                <w:rStyle w:val="FootnoteReference"/>
                <w:b/>
                <w:bCs/>
                <w:lang w:eastAsia="en-AU"/>
              </w:rPr>
              <w:footnoteReference w:id="80"/>
            </w:r>
          </w:p>
          <w:p w14:paraId="20142A82" w14:textId="406A78B5" w:rsidR="00D9695F" w:rsidRPr="00CB2B36" w:rsidRDefault="00CB2B36" w:rsidP="00A54016">
            <w:pPr>
              <w:rPr>
                <w:i/>
                <w:iCs/>
                <w:highlight w:val="green"/>
                <w:lang w:eastAsia="en-AU"/>
              </w:rPr>
            </w:pPr>
            <w:r w:rsidRPr="00CB2B36">
              <w:rPr>
                <w:i/>
                <w:iCs/>
                <w:lang w:eastAsia="en-AU"/>
              </w:rPr>
              <w:t>Collaborative philanthropy with corporate foundations</w:t>
            </w:r>
          </w:p>
        </w:tc>
        <w:tc>
          <w:tcPr>
            <w:tcW w:w="1086" w:type="pct"/>
          </w:tcPr>
          <w:p w14:paraId="40AF787F" w14:textId="238A16F4" w:rsidR="00DD2B49" w:rsidRDefault="00F316BE" w:rsidP="00ED7022">
            <w:pPr>
              <w:pStyle w:val="TableNText"/>
            </w:pPr>
            <w:r w:rsidRPr="00F316BE">
              <w:t>Strengthen social enterprises that employ people with high barriers to mainstream employment.</w:t>
            </w:r>
          </w:p>
        </w:tc>
        <w:tc>
          <w:tcPr>
            <w:tcW w:w="1332" w:type="pct"/>
          </w:tcPr>
          <w:p w14:paraId="26AE6D9D" w14:textId="4E6DD131" w:rsidR="00DD2B49" w:rsidRDefault="00F00AAB" w:rsidP="00C457C8">
            <w:pPr>
              <w:pStyle w:val="TableNBullet"/>
            </w:pPr>
            <w:r>
              <w:t>Increase job placements for disadvantaged Australians</w:t>
            </w:r>
            <w:r w:rsidR="008F22A4">
              <w:t xml:space="preserve"> </w:t>
            </w:r>
          </w:p>
        </w:tc>
        <w:tc>
          <w:tcPr>
            <w:tcW w:w="995" w:type="pct"/>
          </w:tcPr>
          <w:p w14:paraId="0CAFF2D6" w14:textId="09777431" w:rsidR="00DD2B49" w:rsidRPr="004F462A" w:rsidRDefault="00B029CE" w:rsidP="004F462A">
            <w:pPr>
              <w:pStyle w:val="TableNBullet"/>
            </w:pPr>
            <w:r>
              <w:t>People facing challenges getting into the workforce</w:t>
            </w:r>
            <w:r w:rsidR="00837CDF">
              <w:t xml:space="preserve"> including </w:t>
            </w:r>
            <w:r w:rsidR="00837CDF" w:rsidRPr="00837CDF">
              <w:t xml:space="preserve">refugees and asylum seekers, First Nations people and people living with </w:t>
            </w:r>
            <w:r w:rsidR="00837CDF" w:rsidRPr="00837CDF">
              <w:lastRenderedPageBreak/>
              <w:t>disability or mental health challenges</w:t>
            </w:r>
            <w:r w:rsidR="00790ABC">
              <w:t>.</w:t>
            </w:r>
          </w:p>
        </w:tc>
        <w:tc>
          <w:tcPr>
            <w:tcW w:w="641" w:type="pct"/>
          </w:tcPr>
          <w:p w14:paraId="5503A434" w14:textId="18E57690" w:rsidR="00DD2B49" w:rsidRDefault="3F282D77" w:rsidP="4AF1E856">
            <w:pPr>
              <w:pStyle w:val="TableNText"/>
              <w:rPr>
                <w:rFonts w:asciiTheme="majorHAnsi" w:hAnsiTheme="majorHAnsi" w:cstheme="majorBidi"/>
              </w:rPr>
            </w:pPr>
            <w:r w:rsidRPr="00585438">
              <w:rPr>
                <w:rFonts w:asciiTheme="majorHAnsi" w:hAnsiTheme="majorHAnsi" w:cstheme="majorBidi"/>
                <w:b/>
                <w:bCs/>
              </w:rPr>
              <w:lastRenderedPageBreak/>
              <w:t xml:space="preserve">Moderate </w:t>
            </w:r>
            <w:r w:rsidRPr="4AF1E856">
              <w:rPr>
                <w:rFonts w:asciiTheme="majorHAnsi" w:hAnsiTheme="majorHAnsi" w:cstheme="majorBidi"/>
              </w:rPr>
              <w:t xml:space="preserve">overlap: </w:t>
            </w:r>
            <w:r w:rsidR="675F4829" w:rsidRPr="4AF1E856">
              <w:rPr>
                <w:rFonts w:asciiTheme="minorHAnsi" w:hAnsiTheme="minorHAnsi"/>
              </w:rPr>
              <w:t>By supporting social enterprises to</w:t>
            </w:r>
            <w:r w:rsidR="697580BE" w:rsidRPr="4AF1E856">
              <w:rPr>
                <w:rFonts w:asciiTheme="minorHAnsi" w:hAnsiTheme="minorHAnsi"/>
              </w:rPr>
              <w:t xml:space="preserve"> create jobs and employment </w:t>
            </w:r>
            <w:r w:rsidR="697580BE" w:rsidRPr="4AF1E856">
              <w:rPr>
                <w:rFonts w:asciiTheme="minorHAnsi" w:hAnsiTheme="minorHAnsi"/>
              </w:rPr>
              <w:lastRenderedPageBreak/>
              <w:t>pathways</w:t>
            </w:r>
            <w:r w:rsidR="5F1CA643" w:rsidRPr="4AF1E856">
              <w:rPr>
                <w:rFonts w:asciiTheme="minorHAnsi" w:hAnsiTheme="minorHAnsi"/>
              </w:rPr>
              <w:t>, WISE</w:t>
            </w:r>
            <w:r w:rsidR="675F4829" w:rsidRPr="4AF1E856">
              <w:rPr>
                <w:rFonts w:asciiTheme="minorHAnsi" w:hAnsiTheme="minorHAnsi"/>
              </w:rPr>
              <w:t xml:space="preserve"> </w:t>
            </w:r>
            <w:r w:rsidRPr="4AF1E856">
              <w:rPr>
                <w:rFonts w:asciiTheme="minorHAnsi" w:hAnsiTheme="minorHAnsi"/>
              </w:rPr>
              <w:t>aligns with SARC</w:t>
            </w:r>
            <w:r w:rsidR="64AC0461" w:rsidRPr="4AF1E856">
              <w:rPr>
                <w:rFonts w:asciiTheme="minorHAnsi" w:hAnsiTheme="minorHAnsi"/>
              </w:rPr>
              <w:t xml:space="preserve"> – </w:t>
            </w:r>
            <w:r w:rsidRPr="4AF1E856">
              <w:rPr>
                <w:rFonts w:asciiTheme="minorHAnsi" w:hAnsiTheme="minorHAnsi"/>
              </w:rPr>
              <w:t>IC’s goal to increase employment and economic participation</w:t>
            </w:r>
            <w:r w:rsidR="3E274549" w:rsidRPr="4AF1E856">
              <w:rPr>
                <w:rFonts w:asciiTheme="minorHAnsi" w:hAnsiTheme="minorHAnsi"/>
              </w:rPr>
              <w:t xml:space="preserve"> for people with disability and others</w:t>
            </w:r>
            <w:r w:rsidRPr="4AF1E856">
              <w:rPr>
                <w:rFonts w:asciiTheme="minorHAnsi" w:hAnsiTheme="minorHAnsi"/>
              </w:rPr>
              <w:t>.</w:t>
            </w:r>
          </w:p>
        </w:tc>
      </w:tr>
      <w:tr w:rsidR="009B30ED" w:rsidRPr="00A54016" w14:paraId="5185F06F" w14:textId="77777777" w:rsidTr="4AF1E856">
        <w:trPr>
          <w:cnfStyle w:val="000000010000" w:firstRow="0" w:lastRow="0" w:firstColumn="0" w:lastColumn="0" w:oddVBand="0" w:evenVBand="0" w:oddHBand="0" w:evenHBand="1" w:firstRowFirstColumn="0" w:firstRowLastColumn="0" w:lastRowFirstColumn="0" w:lastRowLastColumn="0"/>
        </w:trPr>
        <w:tc>
          <w:tcPr>
            <w:tcW w:w="946" w:type="pct"/>
          </w:tcPr>
          <w:p w14:paraId="3641541C" w14:textId="2B6713C7" w:rsidR="00DD2B49" w:rsidRDefault="001654DA" w:rsidP="00A54016">
            <w:pPr>
              <w:rPr>
                <w:b/>
                <w:bCs/>
                <w:lang w:eastAsia="en-AU"/>
              </w:rPr>
            </w:pPr>
            <w:r w:rsidRPr="001654DA">
              <w:rPr>
                <w:b/>
                <w:bCs/>
                <w:lang w:eastAsia="en-AU"/>
              </w:rPr>
              <w:lastRenderedPageBreak/>
              <w:t>Strive for Success</w:t>
            </w:r>
            <w:r w:rsidR="00E465CB">
              <w:rPr>
                <w:b/>
                <w:bCs/>
                <w:lang w:eastAsia="en-AU"/>
              </w:rPr>
              <w:t xml:space="preserve"> - </w:t>
            </w:r>
            <w:r w:rsidR="00E465CB" w:rsidRPr="00E465CB">
              <w:rPr>
                <w:b/>
                <w:bCs/>
                <w:lang w:eastAsia="en-AU"/>
              </w:rPr>
              <w:t>Youth Job Skills Training and Employment Program</w:t>
            </w:r>
          </w:p>
          <w:p w14:paraId="7052692C" w14:textId="332004D0" w:rsidR="001654DA" w:rsidRPr="001654DA" w:rsidRDefault="001654DA" w:rsidP="00A54016">
            <w:pPr>
              <w:rPr>
                <w:i/>
                <w:iCs/>
                <w:highlight w:val="green"/>
                <w:lang w:eastAsia="en-AU"/>
              </w:rPr>
            </w:pPr>
            <w:r w:rsidRPr="001654DA">
              <w:rPr>
                <w:i/>
                <w:iCs/>
                <w:lang w:eastAsia="en-AU"/>
              </w:rPr>
              <w:t>Paul Ramsay Foundation</w:t>
            </w:r>
            <w:r w:rsidR="00394F6C">
              <w:rPr>
                <w:i/>
                <w:iCs/>
                <w:lang w:eastAsia="en-AU"/>
              </w:rPr>
              <w:t>, Community Resources</w:t>
            </w:r>
            <w:r w:rsidR="00E465CB">
              <w:rPr>
                <w:i/>
                <w:iCs/>
                <w:lang w:eastAsia="en-AU"/>
              </w:rPr>
              <w:t xml:space="preserve"> and Homebase Youth Services</w:t>
            </w:r>
          </w:p>
        </w:tc>
        <w:tc>
          <w:tcPr>
            <w:tcW w:w="1086" w:type="pct"/>
          </w:tcPr>
          <w:p w14:paraId="2499AC68" w14:textId="37B9D642" w:rsidR="00DD2B49" w:rsidRDefault="006E4448" w:rsidP="006E4448">
            <w:pPr>
              <w:pStyle w:val="TableNText"/>
            </w:pPr>
            <w:r>
              <w:t>Support young people disconnected from education, training or work to re-engage, build skills and confidence, and take meaningful steps toward long-term employment</w:t>
            </w:r>
            <w:r w:rsidR="00B92643">
              <w:t>.</w:t>
            </w:r>
            <w:r w:rsidR="002B29BE">
              <w:rPr>
                <w:rFonts w:ascii="ZWAdobeF" w:hAnsi="ZWAdobeF" w:cs="ZWAdobeF"/>
                <w:sz w:val="2"/>
                <w:szCs w:val="2"/>
              </w:rPr>
              <w:t>75F</w:t>
            </w:r>
            <w:r w:rsidR="00E864B3">
              <w:rPr>
                <w:rStyle w:val="FootnoteReference"/>
              </w:rPr>
              <w:footnoteReference w:id="81"/>
            </w:r>
          </w:p>
        </w:tc>
        <w:tc>
          <w:tcPr>
            <w:tcW w:w="1332" w:type="pct"/>
          </w:tcPr>
          <w:p w14:paraId="00ACEE59" w14:textId="193F3A0E" w:rsidR="00DD2B49" w:rsidRDefault="0021462E" w:rsidP="00C457C8">
            <w:pPr>
              <w:pStyle w:val="TableNBullet"/>
            </w:pPr>
            <w:r>
              <w:t xml:space="preserve">Confidence </w:t>
            </w:r>
          </w:p>
          <w:p w14:paraId="14E0B5B7" w14:textId="405308A8" w:rsidR="0021462E" w:rsidRDefault="0086759B" w:rsidP="00C457C8">
            <w:pPr>
              <w:pStyle w:val="TableNBullet"/>
            </w:pPr>
            <w:r>
              <w:t>Employment</w:t>
            </w:r>
          </w:p>
          <w:p w14:paraId="3677C927" w14:textId="3D3CACEF" w:rsidR="0086759B" w:rsidRDefault="0086759B" w:rsidP="00C457C8">
            <w:pPr>
              <w:pStyle w:val="TableNBullet"/>
            </w:pPr>
            <w:r>
              <w:t>Increased job readiness</w:t>
            </w:r>
          </w:p>
        </w:tc>
        <w:tc>
          <w:tcPr>
            <w:tcW w:w="995" w:type="pct"/>
          </w:tcPr>
          <w:p w14:paraId="2C6CBFED" w14:textId="0A6322E8" w:rsidR="00DD2B49" w:rsidRPr="004F462A" w:rsidRDefault="006E4448" w:rsidP="004F462A">
            <w:pPr>
              <w:pStyle w:val="TableNBullet"/>
            </w:pPr>
            <w:r>
              <w:t>Young people</w:t>
            </w:r>
          </w:p>
        </w:tc>
        <w:tc>
          <w:tcPr>
            <w:tcW w:w="641" w:type="pct"/>
          </w:tcPr>
          <w:p w14:paraId="630BAA02" w14:textId="22AC67F0" w:rsidR="00DD2B49" w:rsidRDefault="069319D0" w:rsidP="4AF1E856">
            <w:pPr>
              <w:pStyle w:val="TableNText"/>
              <w:rPr>
                <w:rFonts w:asciiTheme="majorHAnsi" w:hAnsiTheme="majorHAnsi" w:cstheme="majorBidi"/>
              </w:rPr>
            </w:pPr>
            <w:r w:rsidRPr="00585438">
              <w:rPr>
                <w:rFonts w:asciiTheme="majorHAnsi" w:hAnsiTheme="majorHAnsi" w:cstheme="majorBidi"/>
                <w:b/>
                <w:bCs/>
              </w:rPr>
              <w:t>Very high</w:t>
            </w:r>
            <w:r w:rsidRPr="4AF1E856">
              <w:rPr>
                <w:rFonts w:asciiTheme="majorHAnsi" w:hAnsiTheme="majorHAnsi" w:cstheme="majorBidi"/>
              </w:rPr>
              <w:t xml:space="preserve"> overlap:</w:t>
            </w:r>
            <w:r>
              <w:t xml:space="preserve"> </w:t>
            </w:r>
            <w:r w:rsidRPr="4AF1E856">
              <w:rPr>
                <w:rFonts w:asciiTheme="minorHAnsi" w:hAnsiTheme="minorHAnsi"/>
              </w:rPr>
              <w:t>Directly aligns with SARC</w:t>
            </w:r>
            <w:r w:rsidR="437EBB42" w:rsidRPr="4AF1E856">
              <w:rPr>
                <w:rFonts w:asciiTheme="minorHAnsi" w:hAnsiTheme="minorHAnsi"/>
              </w:rPr>
              <w:t xml:space="preserve"> – </w:t>
            </w:r>
            <w:r w:rsidRPr="4AF1E856">
              <w:rPr>
                <w:rFonts w:asciiTheme="minorHAnsi" w:hAnsiTheme="minorHAnsi"/>
              </w:rPr>
              <w:t>IC’s goal to increase employment and economic participation.</w:t>
            </w:r>
          </w:p>
        </w:tc>
      </w:tr>
    </w:tbl>
    <w:p w14:paraId="058B411C" w14:textId="77777777" w:rsidR="004B1455" w:rsidRPr="004B1455" w:rsidRDefault="004B1455" w:rsidP="004B1455">
      <w:pPr>
        <w:rPr>
          <w:lang w:eastAsia="en-AU"/>
        </w:rPr>
      </w:pPr>
    </w:p>
    <w:p w14:paraId="204DE8BF" w14:textId="3DF7A457" w:rsidR="00743502" w:rsidRDefault="00743502" w:rsidP="00743502">
      <w:pPr>
        <w:sectPr w:rsidR="00743502" w:rsidSect="00843748">
          <w:pgSz w:w="16839" w:h="11907" w:orient="landscape" w:code="9"/>
          <w:pgMar w:top="1361" w:right="1361" w:bottom="1361" w:left="1361" w:header="720" w:footer="720" w:gutter="0"/>
          <w:cols w:space="720"/>
          <w:docGrid w:linePitch="360"/>
        </w:sectPr>
      </w:pPr>
    </w:p>
    <w:p w14:paraId="2C2789F3" w14:textId="1C5AF357" w:rsidR="00E94AC7" w:rsidRDefault="006A54A0" w:rsidP="006A54A0">
      <w:pPr>
        <w:pStyle w:val="Heading1"/>
        <w:numPr>
          <w:ilvl w:val="0"/>
          <w:numId w:val="0"/>
        </w:numPr>
        <w:ind w:left="360"/>
      </w:pPr>
      <w:bookmarkStart w:id="100" w:name="_Ref216369965"/>
      <w:bookmarkStart w:id="101" w:name="_Toc240883582"/>
      <w:r>
        <w:lastRenderedPageBreak/>
        <w:t xml:space="preserve">Appendix E – </w:t>
      </w:r>
      <w:r w:rsidR="006B1B7F">
        <w:t>Literature review findings</w:t>
      </w:r>
      <w:bookmarkEnd w:id="100"/>
      <w:bookmarkEnd w:id="101"/>
    </w:p>
    <w:p w14:paraId="747B0095" w14:textId="637EF653" w:rsidR="006B1B7F" w:rsidRPr="00CD35EF" w:rsidRDefault="006B1B7F" w:rsidP="006B1B7F">
      <w:pPr>
        <w:rPr>
          <w:lang w:eastAsia="en-AU"/>
        </w:rPr>
      </w:pPr>
      <w:r>
        <w:rPr>
          <w:lang w:eastAsia="en-AU"/>
        </w:rPr>
        <w:t xml:space="preserve">The </w:t>
      </w:r>
      <w:r w:rsidRPr="003F2345">
        <w:rPr>
          <w:rFonts w:asciiTheme="majorHAnsi" w:hAnsiTheme="majorHAnsi" w:cstheme="majorHAnsi"/>
          <w:lang w:eastAsia="en-AU"/>
        </w:rPr>
        <w:t xml:space="preserve">literature </w:t>
      </w:r>
      <w:r w:rsidR="002630DC" w:rsidRPr="003F2345">
        <w:rPr>
          <w:rFonts w:asciiTheme="majorHAnsi" w:hAnsiTheme="majorHAnsi" w:cstheme="majorHAnsi"/>
          <w:lang w:eastAsia="en-AU"/>
        </w:rPr>
        <w:t xml:space="preserve">across both </w:t>
      </w:r>
      <w:r w:rsidR="00F26531" w:rsidRPr="003F2345">
        <w:rPr>
          <w:rFonts w:asciiTheme="majorHAnsi" w:hAnsiTheme="majorHAnsi" w:cstheme="majorHAnsi"/>
          <w:lang w:eastAsia="en-AU"/>
        </w:rPr>
        <w:t>community-driven approaches and trialling new approaches</w:t>
      </w:r>
      <w:r w:rsidR="00F26531">
        <w:rPr>
          <w:lang w:eastAsia="en-AU"/>
        </w:rPr>
        <w:t xml:space="preserve"> </w:t>
      </w:r>
      <w:r>
        <w:rPr>
          <w:lang w:eastAsia="en-AU"/>
        </w:rPr>
        <w:t>shows that:</w:t>
      </w:r>
    </w:p>
    <w:p w14:paraId="2DD25C20" w14:textId="6F5D6256" w:rsidR="006B1B7F" w:rsidRDefault="006B1B7F" w:rsidP="006B1B7F">
      <w:pPr>
        <w:pStyle w:val="Bullet"/>
      </w:pPr>
      <w:r w:rsidRPr="001104BD">
        <w:rPr>
          <w:rFonts w:asciiTheme="majorHAnsi" w:hAnsiTheme="majorHAnsi" w:cstheme="majorHAnsi"/>
        </w:rPr>
        <w:t>Community driven and designed</w:t>
      </w:r>
      <w:r>
        <w:rPr>
          <w:rFonts w:asciiTheme="majorHAnsi" w:hAnsiTheme="majorHAnsi" w:cstheme="majorHAnsi"/>
        </w:rPr>
        <w:t xml:space="preserve">: </w:t>
      </w:r>
      <w:r w:rsidRPr="00DD70AB">
        <w:rPr>
          <w:rFonts w:asciiTheme="minorHAnsi" w:hAnsiTheme="minorHAnsi" w:cstheme="minorHAnsi"/>
        </w:rPr>
        <w:t xml:space="preserve">helps </w:t>
      </w:r>
      <w:r>
        <w:rPr>
          <w:rFonts w:asciiTheme="minorHAnsi" w:hAnsiTheme="minorHAnsi" w:cstheme="minorHAnsi"/>
        </w:rPr>
        <w:t>address</w:t>
      </w:r>
      <w:r w:rsidRPr="00DD70AB">
        <w:rPr>
          <w:rFonts w:asciiTheme="minorHAnsi" w:hAnsiTheme="minorHAnsi" w:cstheme="minorHAnsi"/>
        </w:rPr>
        <w:t xml:space="preserve"> local needs.</w:t>
      </w:r>
      <w:r>
        <w:rPr>
          <w:rFonts w:asciiTheme="majorHAnsi" w:hAnsiTheme="majorHAnsi" w:cstheme="majorHAnsi"/>
        </w:rPr>
        <w:t xml:space="preserve"> </w:t>
      </w:r>
      <w:r w:rsidRPr="003F6159">
        <w:t>Top-down, inflexible program structure</w:t>
      </w:r>
      <w:r>
        <w:t>s</w:t>
      </w:r>
      <w:r w:rsidRPr="003F6159">
        <w:t xml:space="preserve"> make it difficult to </w:t>
      </w:r>
      <w:r>
        <w:t>tailor</w:t>
      </w:r>
      <w:r w:rsidRPr="003F6159">
        <w:t xml:space="preserve"> solutions locally.</w:t>
      </w:r>
      <w:r w:rsidR="002B29BE">
        <w:rPr>
          <w:rFonts w:ascii="ZWAdobeF" w:hAnsi="ZWAdobeF" w:cs="ZWAdobeF"/>
          <w:sz w:val="2"/>
          <w:szCs w:val="2"/>
        </w:rPr>
        <w:t>76F</w:t>
      </w:r>
      <w:r>
        <w:rPr>
          <w:rStyle w:val="FootnoteReference"/>
        </w:rPr>
        <w:footnoteReference w:id="82"/>
      </w:r>
      <w:r w:rsidRPr="003F6159">
        <w:t xml:space="preserve"> </w:t>
      </w:r>
    </w:p>
    <w:p w14:paraId="7A25052C" w14:textId="4B0E6E4C" w:rsidR="006B1B7F" w:rsidRDefault="006B1B7F" w:rsidP="006B1B7F">
      <w:pPr>
        <w:pStyle w:val="Bullet"/>
      </w:pPr>
      <w:r w:rsidRPr="00392772">
        <w:rPr>
          <w:rFonts w:asciiTheme="majorHAnsi" w:hAnsiTheme="majorHAnsi" w:cstheme="majorHAnsi"/>
        </w:rPr>
        <w:t>Flexible funding:</w:t>
      </w:r>
      <w:r>
        <w:t xml:space="preserve"> </w:t>
      </w:r>
      <w:r w:rsidRPr="008A6A46">
        <w:t>enable</w:t>
      </w:r>
      <w:r>
        <w:t>s</w:t>
      </w:r>
      <w:r w:rsidRPr="008A6A46">
        <w:t xml:space="preserve"> tailored program design, </w:t>
      </w:r>
      <w:r>
        <w:t xml:space="preserve">which supports operational flexibility, local autonomy and </w:t>
      </w:r>
      <w:r w:rsidRPr="008A6A46">
        <w:t>help</w:t>
      </w:r>
      <w:r>
        <w:t>s</w:t>
      </w:r>
      <w:r w:rsidRPr="008A6A46">
        <w:t xml:space="preserve"> to remove key access barriers and target the program to local needs.</w:t>
      </w:r>
      <w:r w:rsidR="002B29BE">
        <w:rPr>
          <w:rFonts w:ascii="ZWAdobeF" w:hAnsi="ZWAdobeF" w:cs="ZWAdobeF"/>
          <w:sz w:val="2"/>
          <w:szCs w:val="2"/>
        </w:rPr>
        <w:t>77F</w:t>
      </w:r>
      <w:r>
        <w:rPr>
          <w:rStyle w:val="FootnoteReference"/>
        </w:rPr>
        <w:footnoteReference w:id="83"/>
      </w:r>
      <w:r w:rsidRPr="00316990">
        <w:rPr>
          <w:vertAlign w:val="superscript"/>
        </w:rPr>
        <w:t>,</w:t>
      </w:r>
      <w:r w:rsidR="00050488">
        <w:rPr>
          <w:vertAlign w:val="superscript"/>
        </w:rPr>
        <w:t xml:space="preserve"> </w:t>
      </w:r>
      <w:r w:rsidR="002B29BE">
        <w:rPr>
          <w:rFonts w:ascii="ZWAdobeF" w:hAnsi="ZWAdobeF" w:cs="ZWAdobeF"/>
          <w:sz w:val="2"/>
          <w:szCs w:val="2"/>
        </w:rPr>
        <w:t>78F</w:t>
      </w:r>
      <w:r>
        <w:rPr>
          <w:rStyle w:val="FootnoteReference"/>
        </w:rPr>
        <w:footnoteReference w:id="84"/>
      </w:r>
      <w:r>
        <w:t xml:space="preserve"> </w:t>
      </w:r>
    </w:p>
    <w:p w14:paraId="7944691C" w14:textId="32092585" w:rsidR="006B1B7F" w:rsidRDefault="006B1B7F" w:rsidP="006B1B7F">
      <w:pPr>
        <w:pStyle w:val="Bullet"/>
      </w:pPr>
      <w:r>
        <w:rPr>
          <w:rFonts w:asciiTheme="majorHAnsi" w:hAnsiTheme="majorHAnsi" w:cstheme="majorHAnsi"/>
        </w:rPr>
        <w:t>Early i</w:t>
      </w:r>
      <w:r w:rsidRPr="005751C0">
        <w:rPr>
          <w:rFonts w:asciiTheme="majorHAnsi" w:hAnsiTheme="majorHAnsi" w:cstheme="majorHAnsi"/>
        </w:rPr>
        <w:t>nvestment in local capability</w:t>
      </w:r>
      <w:r>
        <w:rPr>
          <w:rFonts w:asciiTheme="majorHAnsi" w:hAnsiTheme="majorHAnsi" w:cstheme="majorHAnsi"/>
        </w:rPr>
        <w:t xml:space="preserve"> and governance</w:t>
      </w:r>
      <w:r w:rsidRPr="005751C0">
        <w:rPr>
          <w:rFonts w:asciiTheme="majorHAnsi" w:hAnsiTheme="majorHAnsi" w:cstheme="majorHAnsi"/>
        </w:rPr>
        <w:t>:</w:t>
      </w:r>
      <w:r>
        <w:t xml:space="preserve"> enables place ‘readiness’ and inclusive, diverse and structured governance that enables the sharing of power and lessons learnt.</w:t>
      </w:r>
      <w:r w:rsidR="002B29BE">
        <w:rPr>
          <w:rFonts w:ascii="ZWAdobeF" w:hAnsi="ZWAdobeF" w:cs="ZWAdobeF"/>
          <w:sz w:val="2"/>
          <w:szCs w:val="2"/>
        </w:rPr>
        <w:t>79F</w:t>
      </w:r>
      <w:r>
        <w:rPr>
          <w:rStyle w:val="FootnoteReference"/>
        </w:rPr>
        <w:footnoteReference w:id="85"/>
      </w:r>
      <w:r>
        <w:t xml:space="preserve"> Staff and leadership empowerment through skills development enables stronger program delivery.</w:t>
      </w:r>
      <w:r w:rsidR="002B29BE">
        <w:rPr>
          <w:rFonts w:ascii="ZWAdobeF" w:hAnsi="ZWAdobeF" w:cs="ZWAdobeF"/>
          <w:sz w:val="2"/>
          <w:szCs w:val="2"/>
        </w:rPr>
        <w:t>80F</w:t>
      </w:r>
      <w:r>
        <w:rPr>
          <w:rStyle w:val="FootnoteReference"/>
        </w:rPr>
        <w:footnoteReference w:id="86"/>
      </w:r>
    </w:p>
    <w:p w14:paraId="50814863" w14:textId="7921BA14" w:rsidR="006B1B7F" w:rsidRDefault="006B1B7F" w:rsidP="006B1B7F">
      <w:pPr>
        <w:pStyle w:val="Bullet"/>
      </w:pPr>
      <w:r>
        <w:rPr>
          <w:rFonts w:asciiTheme="majorHAnsi" w:hAnsiTheme="majorHAnsi" w:cstheme="majorHAnsi"/>
        </w:rPr>
        <w:t>Evaluation and learning</w:t>
      </w:r>
      <w:r w:rsidRPr="00B2031C">
        <w:rPr>
          <w:rFonts w:asciiTheme="majorHAnsi" w:hAnsiTheme="majorHAnsi" w:cstheme="majorHAnsi"/>
        </w:rPr>
        <w:t>:</w:t>
      </w:r>
      <w:r>
        <w:t xml:space="preserve"> </w:t>
      </w:r>
      <w:r w:rsidRPr="0050456E">
        <w:t xml:space="preserve">is not only essential for building an evidence base when </w:t>
      </w:r>
      <w:r w:rsidR="00E1501A" w:rsidRPr="0050456E">
        <w:t>tr</w:t>
      </w:r>
      <w:r w:rsidR="00E1501A">
        <w:t>iall</w:t>
      </w:r>
      <w:r w:rsidR="00E1501A" w:rsidRPr="0050456E">
        <w:t>ing</w:t>
      </w:r>
      <w:r w:rsidRPr="0050456E">
        <w:t xml:space="preserve"> new service</w:t>
      </w:r>
      <w:r w:rsidR="0039073E">
        <w:t>s and</w:t>
      </w:r>
      <w:r w:rsidRPr="0050456E">
        <w:t xml:space="preserve"> delivery models, but also best practice in refining approaches for vulnerable populations and community-led programs in general</w:t>
      </w:r>
      <w:r>
        <w:t>. Shared monitoring, evaluation and learning frameworks support meaningful data collection and learning at the whole of government policy level.</w:t>
      </w:r>
      <w:r w:rsidR="002B29BE">
        <w:rPr>
          <w:rFonts w:ascii="ZWAdobeF" w:hAnsi="ZWAdobeF" w:cs="ZWAdobeF"/>
          <w:sz w:val="2"/>
          <w:szCs w:val="2"/>
        </w:rPr>
        <w:t>81F</w:t>
      </w:r>
      <w:r>
        <w:rPr>
          <w:rStyle w:val="FootnoteReference"/>
        </w:rPr>
        <w:footnoteReference w:id="87"/>
      </w:r>
      <w:r w:rsidRPr="00430F6E">
        <w:t xml:space="preserve"> </w:t>
      </w:r>
      <w:r>
        <w:t>For funders, s</w:t>
      </w:r>
      <w:r w:rsidRPr="003F71CD">
        <w:t>ystematic learning helps to inform future funding directions</w:t>
      </w:r>
      <w:r>
        <w:t>. For grant recipients, a culture of learning</w:t>
      </w:r>
      <w:r w:rsidRPr="0050456E">
        <w:t xml:space="preserve"> and </w:t>
      </w:r>
      <w:r>
        <w:t xml:space="preserve">sharing supports continuous feedback loops to foster continuous improvement such as through effective use of local data and evaluation across the lifecycle of the </w:t>
      </w:r>
      <w:r w:rsidRPr="0050456E">
        <w:t xml:space="preserve">program </w:t>
      </w:r>
      <w:r>
        <w:t>not only at the completion.</w:t>
      </w:r>
      <w:r w:rsidR="002B29BE">
        <w:rPr>
          <w:rFonts w:ascii="ZWAdobeF" w:hAnsi="ZWAdobeF" w:cs="ZWAdobeF"/>
          <w:sz w:val="2"/>
          <w:szCs w:val="2"/>
        </w:rPr>
        <w:t>82F</w:t>
      </w:r>
      <w:r>
        <w:rPr>
          <w:rStyle w:val="FootnoteReference"/>
        </w:rPr>
        <w:footnoteReference w:id="88"/>
      </w:r>
    </w:p>
    <w:p w14:paraId="72842CFC" w14:textId="6B6B8EE3" w:rsidR="006B1B7F" w:rsidRPr="00BF23B2" w:rsidRDefault="006B1B7F" w:rsidP="006B1B7F">
      <w:pPr>
        <w:rPr>
          <w:lang w:eastAsia="en-AU"/>
        </w:rPr>
      </w:pPr>
      <w:r>
        <w:rPr>
          <w:lang w:eastAsia="en-AU"/>
        </w:rPr>
        <w:t xml:space="preserve">For </w:t>
      </w:r>
      <w:r w:rsidRPr="003F2345">
        <w:rPr>
          <w:rFonts w:asciiTheme="majorHAnsi" w:hAnsiTheme="majorHAnsi" w:cstheme="majorHAnsi"/>
          <w:lang w:eastAsia="en-AU"/>
        </w:rPr>
        <w:t>community-driven approaches</w:t>
      </w:r>
      <w:r w:rsidR="00F26531" w:rsidRPr="003F2345">
        <w:rPr>
          <w:rFonts w:asciiTheme="majorHAnsi" w:hAnsiTheme="majorHAnsi" w:cstheme="majorHAnsi"/>
          <w:lang w:eastAsia="en-AU"/>
        </w:rPr>
        <w:t xml:space="preserve"> specifically</w:t>
      </w:r>
      <w:r>
        <w:rPr>
          <w:lang w:eastAsia="en-AU"/>
        </w:rPr>
        <w:t>, the literature shows that:</w:t>
      </w:r>
    </w:p>
    <w:p w14:paraId="53BEB1D0" w14:textId="1540C375" w:rsidR="006B1B7F" w:rsidRDefault="006B1B7F" w:rsidP="006B1B7F">
      <w:pPr>
        <w:pStyle w:val="Bullet"/>
      </w:pPr>
      <w:r w:rsidRPr="00940393">
        <w:rPr>
          <w:rFonts w:asciiTheme="majorHAnsi" w:hAnsiTheme="majorHAnsi" w:cstheme="majorHAnsi"/>
        </w:rPr>
        <w:t>Long</w:t>
      </w:r>
      <w:r w:rsidR="00F34365">
        <w:rPr>
          <w:rFonts w:asciiTheme="majorHAnsi" w:hAnsiTheme="majorHAnsi" w:cstheme="majorHAnsi"/>
        </w:rPr>
        <w:t>-</w:t>
      </w:r>
      <w:r w:rsidRPr="00940393">
        <w:rPr>
          <w:rFonts w:asciiTheme="majorHAnsi" w:hAnsiTheme="majorHAnsi" w:cstheme="majorHAnsi"/>
        </w:rPr>
        <w:t>term funding</w:t>
      </w:r>
      <w:r w:rsidR="002B29BE">
        <w:rPr>
          <w:rFonts w:ascii="ZWAdobeF" w:hAnsi="ZWAdobeF" w:cs="ZWAdobeF"/>
          <w:sz w:val="2"/>
          <w:szCs w:val="2"/>
        </w:rPr>
        <w:t>83F</w:t>
      </w:r>
      <w:r>
        <w:rPr>
          <w:rStyle w:val="FootnoteReference"/>
          <w:rFonts w:asciiTheme="majorHAnsi" w:hAnsiTheme="majorHAnsi" w:cstheme="majorHAnsi"/>
        </w:rPr>
        <w:footnoteReference w:id="89"/>
      </w:r>
      <w:r w:rsidRPr="00940393">
        <w:rPr>
          <w:rFonts w:asciiTheme="majorHAnsi" w:hAnsiTheme="majorHAnsi" w:cstheme="majorHAnsi"/>
        </w:rPr>
        <w:t xml:space="preserve"> and delivery:</w:t>
      </w:r>
      <w:r>
        <w:rPr>
          <w:rFonts w:asciiTheme="majorHAnsi" w:hAnsiTheme="majorHAnsi" w:cstheme="majorHAnsi"/>
        </w:rPr>
        <w:t xml:space="preserve"> </w:t>
      </w:r>
      <w:r>
        <w:t>S</w:t>
      </w:r>
      <w:r w:rsidRPr="00671759">
        <w:t>hort</w:t>
      </w:r>
      <w:r w:rsidR="00F34365">
        <w:t>-</w:t>
      </w:r>
      <w:r w:rsidRPr="00671759">
        <w:t xml:space="preserve">term funding and resource constraints </w:t>
      </w:r>
      <w:r>
        <w:t>are</w:t>
      </w:r>
      <w:r w:rsidRPr="00671759">
        <w:t xml:space="preserve"> </w:t>
      </w:r>
      <w:r>
        <w:t xml:space="preserve">known </w:t>
      </w:r>
      <w:r w:rsidRPr="00671759">
        <w:t>barrier</w:t>
      </w:r>
      <w:r>
        <w:t>s</w:t>
      </w:r>
      <w:r w:rsidRPr="00671759">
        <w:t xml:space="preserve"> to </w:t>
      </w:r>
      <w:r>
        <w:t>community engagement and participation.</w:t>
      </w:r>
      <w:r w:rsidR="002B29BE">
        <w:rPr>
          <w:rFonts w:ascii="ZWAdobeF" w:hAnsi="ZWAdobeF" w:cs="ZWAdobeF"/>
          <w:sz w:val="2"/>
          <w:szCs w:val="2"/>
        </w:rPr>
        <w:t>84F</w:t>
      </w:r>
      <w:r>
        <w:rPr>
          <w:rStyle w:val="FootnoteReference"/>
        </w:rPr>
        <w:footnoteReference w:id="90"/>
      </w:r>
      <w:r>
        <w:t xml:space="preserve"> Long</w:t>
      </w:r>
      <w:r w:rsidR="0068164C">
        <w:t>-</w:t>
      </w:r>
      <w:r>
        <w:t>term funding</w:t>
      </w:r>
      <w:r w:rsidRPr="00671759">
        <w:t xml:space="preserve"> allows certainty for planning</w:t>
      </w:r>
      <w:r>
        <w:t xml:space="preserve"> and provides stability </w:t>
      </w:r>
      <w:r w:rsidRPr="00671759">
        <w:t xml:space="preserve">and </w:t>
      </w:r>
      <w:r>
        <w:t>time to build an evidence base, partnerships</w:t>
      </w:r>
      <w:r w:rsidRPr="00671759">
        <w:t xml:space="preserve"> and </w:t>
      </w:r>
      <w:r>
        <w:t>local leadership</w:t>
      </w:r>
      <w:r w:rsidRPr="00671759">
        <w:t>.</w:t>
      </w:r>
      <w:r w:rsidR="002B29BE">
        <w:rPr>
          <w:rFonts w:ascii="ZWAdobeF" w:hAnsi="ZWAdobeF" w:cs="ZWAdobeF"/>
          <w:sz w:val="2"/>
          <w:szCs w:val="2"/>
        </w:rPr>
        <w:t>85F</w:t>
      </w:r>
      <w:r>
        <w:rPr>
          <w:rStyle w:val="FootnoteReference"/>
        </w:rPr>
        <w:footnoteReference w:id="91"/>
      </w:r>
      <w:r w:rsidRPr="00671759">
        <w:t xml:space="preserve"> </w:t>
      </w:r>
      <w:r>
        <w:t xml:space="preserve">Programs that </w:t>
      </w:r>
      <w:r>
        <w:lastRenderedPageBreak/>
        <w:t>are funded short</w:t>
      </w:r>
      <w:r w:rsidR="006C3C3E">
        <w:t>-</w:t>
      </w:r>
      <w:r>
        <w:t>term can face barriers to building trust, or experience distrust in staff and target communities as they emphasise short</w:t>
      </w:r>
      <w:r w:rsidR="006C3C3E">
        <w:t>-</w:t>
      </w:r>
      <w:r>
        <w:t>term outcomes and brief interventions.</w:t>
      </w:r>
      <w:r w:rsidR="002B29BE">
        <w:rPr>
          <w:rFonts w:ascii="ZWAdobeF" w:hAnsi="ZWAdobeF" w:cs="ZWAdobeF"/>
          <w:sz w:val="2"/>
          <w:szCs w:val="2"/>
        </w:rPr>
        <w:t>86F</w:t>
      </w:r>
      <w:r>
        <w:rPr>
          <w:rStyle w:val="FootnoteReference"/>
        </w:rPr>
        <w:footnoteReference w:id="92"/>
      </w:r>
      <w:r w:rsidRPr="00882D18">
        <w:t xml:space="preserve"> </w:t>
      </w:r>
      <w:r>
        <w:t>Sustained commitment and dedicated time is required to grow relationships and build trust to deliver programs.</w:t>
      </w:r>
      <w:r w:rsidR="002B29BE">
        <w:rPr>
          <w:rFonts w:ascii="ZWAdobeF" w:hAnsi="ZWAdobeF" w:cs="ZWAdobeF"/>
          <w:sz w:val="2"/>
          <w:szCs w:val="2"/>
        </w:rPr>
        <w:t>87F</w:t>
      </w:r>
      <w:r>
        <w:rPr>
          <w:rStyle w:val="FootnoteReference"/>
        </w:rPr>
        <w:footnoteReference w:id="93"/>
      </w:r>
      <w:r>
        <w:t xml:space="preserve"> Evidence is limited on the relationship between intervention length and outcomes, with the exception of addressing LTU. In this context, longer term interventions (greater than one year in this instance) produce stronger outcomes.</w:t>
      </w:r>
      <w:r w:rsidR="002B29BE">
        <w:rPr>
          <w:rFonts w:ascii="ZWAdobeF" w:hAnsi="ZWAdobeF" w:cs="ZWAdobeF"/>
          <w:sz w:val="2"/>
          <w:szCs w:val="2"/>
        </w:rPr>
        <w:t>88F</w:t>
      </w:r>
      <w:r>
        <w:rPr>
          <w:rStyle w:val="FootnoteReference"/>
        </w:rPr>
        <w:footnoteReference w:id="94"/>
      </w:r>
      <w:r>
        <w:t xml:space="preserve"> Service providers in Australia consistently call for longer funding cycles (minimum 5 years) to strengthen planning, resourcing, efficient use of funds and outcomes.</w:t>
      </w:r>
      <w:r w:rsidR="002B29BE">
        <w:rPr>
          <w:rFonts w:ascii="ZWAdobeF" w:hAnsi="ZWAdobeF" w:cs="ZWAdobeF"/>
          <w:sz w:val="2"/>
          <w:szCs w:val="2"/>
        </w:rPr>
        <w:t>89F</w:t>
      </w:r>
      <w:r>
        <w:rPr>
          <w:rStyle w:val="FootnoteReference"/>
        </w:rPr>
        <w:footnoteReference w:id="95"/>
      </w:r>
      <w:r w:rsidR="0014472C">
        <w:t xml:space="preserve"> Further</w:t>
      </w:r>
      <w:r w:rsidR="00EE7105">
        <w:t xml:space="preserve"> </w:t>
      </w:r>
      <w:r w:rsidR="0087268E">
        <w:t>s</w:t>
      </w:r>
      <w:r w:rsidR="0087268E">
        <w:rPr>
          <w:rFonts w:asciiTheme="minorHAnsi" w:hAnsiTheme="minorHAnsi" w:cstheme="minorHAnsi"/>
        </w:rPr>
        <w:t>hort-term</w:t>
      </w:r>
      <w:r w:rsidR="0014472C">
        <w:rPr>
          <w:rFonts w:asciiTheme="minorHAnsi" w:hAnsiTheme="minorHAnsi" w:cstheme="minorHAnsi"/>
        </w:rPr>
        <w:t xml:space="preserve"> funding may influence organisations to focus on ‘easier’ clients and </w:t>
      </w:r>
      <w:r w:rsidR="0087268E">
        <w:rPr>
          <w:rFonts w:asciiTheme="minorHAnsi" w:hAnsiTheme="minorHAnsi" w:cstheme="minorHAnsi"/>
        </w:rPr>
        <w:t xml:space="preserve">less ambitious </w:t>
      </w:r>
      <w:r w:rsidR="0014472C">
        <w:rPr>
          <w:rFonts w:asciiTheme="minorHAnsi" w:hAnsiTheme="minorHAnsi" w:cstheme="minorHAnsi"/>
        </w:rPr>
        <w:t>outcomes.</w:t>
      </w:r>
      <w:r w:rsidR="002B29BE">
        <w:rPr>
          <w:rFonts w:ascii="ZWAdobeF" w:hAnsi="ZWAdobeF" w:cs="ZWAdobeF"/>
          <w:sz w:val="2"/>
          <w:szCs w:val="2"/>
        </w:rPr>
        <w:t>90F</w:t>
      </w:r>
      <w:r w:rsidR="00EE7105">
        <w:rPr>
          <w:rStyle w:val="FootnoteReference"/>
          <w:rFonts w:asciiTheme="minorHAnsi" w:hAnsiTheme="minorHAnsi" w:cstheme="minorHAnsi"/>
        </w:rPr>
        <w:footnoteReference w:id="96"/>
      </w:r>
    </w:p>
    <w:p w14:paraId="55B8528D" w14:textId="6B0600B9" w:rsidR="006B1B7F" w:rsidRDefault="006B1B7F" w:rsidP="006B1B7F">
      <w:pPr>
        <w:pStyle w:val="Bullet"/>
        <w:numPr>
          <w:ilvl w:val="0"/>
          <w:numId w:val="0"/>
        </w:numPr>
        <w:ind w:left="340" w:hanging="340"/>
      </w:pPr>
      <w:r>
        <w:t>For programs that trial new approaches</w:t>
      </w:r>
      <w:r w:rsidR="00F26531">
        <w:t xml:space="preserve"> specifically</w:t>
      </w:r>
      <w:r>
        <w:t>, literature shows that:</w:t>
      </w:r>
    </w:p>
    <w:p w14:paraId="4E2F0BDE" w14:textId="7C7D8D05" w:rsidR="006B1B7F" w:rsidRPr="006B1B7F" w:rsidRDefault="006B1B7F">
      <w:pPr>
        <w:pStyle w:val="Bullet"/>
        <w:sectPr w:rsidR="006B1B7F" w:rsidRPr="006B1B7F" w:rsidSect="00030C25">
          <w:pgSz w:w="11907" w:h="16839" w:code="9"/>
          <w:pgMar w:top="1361" w:right="1361" w:bottom="1361" w:left="1361" w:header="720" w:footer="720" w:gutter="0"/>
          <w:cols w:space="720"/>
          <w:docGrid w:linePitch="360"/>
        </w:sectPr>
      </w:pPr>
      <w:r>
        <w:rPr>
          <w:rFonts w:asciiTheme="majorHAnsi" w:hAnsiTheme="majorHAnsi" w:cstheme="majorHAnsi"/>
        </w:rPr>
        <w:t>S</w:t>
      </w:r>
      <w:r w:rsidR="00F26531">
        <w:rPr>
          <w:rFonts w:asciiTheme="majorHAnsi" w:hAnsiTheme="majorHAnsi" w:cstheme="majorHAnsi"/>
        </w:rPr>
        <w:t>hort</w:t>
      </w:r>
      <w:r w:rsidR="00F34365">
        <w:rPr>
          <w:rFonts w:asciiTheme="majorHAnsi" w:hAnsiTheme="majorHAnsi" w:cstheme="majorHAnsi"/>
        </w:rPr>
        <w:t>-</w:t>
      </w:r>
      <w:r w:rsidR="00F26531">
        <w:rPr>
          <w:rFonts w:asciiTheme="majorHAnsi" w:hAnsiTheme="majorHAnsi" w:cstheme="majorHAnsi"/>
        </w:rPr>
        <w:t>term, s</w:t>
      </w:r>
      <w:r>
        <w:rPr>
          <w:rFonts w:asciiTheme="majorHAnsi" w:hAnsiTheme="majorHAnsi" w:cstheme="majorHAnsi"/>
        </w:rPr>
        <w:t>eed funding:</w:t>
      </w:r>
      <w:r w:rsidRPr="00C6312E">
        <w:t xml:space="preserve"> </w:t>
      </w:r>
      <w:r>
        <w:t>using s</w:t>
      </w:r>
      <w:r w:rsidRPr="00C71F3D">
        <w:t>mall amounts of initial funding can encourage creativity, but a pathway to ongoing delivery is required to sustain impact</w:t>
      </w:r>
      <w:r>
        <w:t>.</w:t>
      </w:r>
      <w:r w:rsidR="002B29BE">
        <w:rPr>
          <w:rFonts w:ascii="ZWAdobeF" w:hAnsi="ZWAdobeF" w:cs="ZWAdobeF"/>
          <w:sz w:val="2"/>
          <w:szCs w:val="2"/>
        </w:rPr>
        <w:t>91F</w:t>
      </w:r>
      <w:r>
        <w:rPr>
          <w:rStyle w:val="FootnoteReference"/>
        </w:rPr>
        <w:footnoteReference w:id="97"/>
      </w:r>
      <w:r w:rsidR="000A591D">
        <w:t xml:space="preserve"> </w:t>
      </w:r>
      <w:r w:rsidR="00CF675B">
        <w:t>Governments</w:t>
      </w:r>
      <w:r w:rsidR="00DD1FB1">
        <w:t xml:space="preserve"> across Australia</w:t>
      </w:r>
      <w:r w:rsidR="000A591D">
        <w:t xml:space="preserve"> increasingly partner</w:t>
      </w:r>
      <w:r w:rsidR="00CF675B">
        <w:t xml:space="preserve"> with private and non-government organisations</w:t>
      </w:r>
      <w:r w:rsidR="000A591D">
        <w:t xml:space="preserve"> to drive innovation through </w:t>
      </w:r>
      <w:r w:rsidR="006E568A">
        <w:t xml:space="preserve">Innovation Funds, </w:t>
      </w:r>
      <w:r w:rsidR="000A591D">
        <w:t xml:space="preserve">Outcomes Based Funding/Contracting and </w:t>
      </w:r>
      <w:r w:rsidR="00EA15E7">
        <w:t>Social Investment Bonds</w:t>
      </w:r>
      <w:r w:rsidR="008D58EC">
        <w:t>.</w:t>
      </w:r>
      <w:r w:rsidR="002B29BE">
        <w:rPr>
          <w:rFonts w:ascii="ZWAdobeF" w:hAnsi="ZWAdobeF" w:cs="ZWAdobeF"/>
          <w:sz w:val="2"/>
          <w:szCs w:val="2"/>
        </w:rPr>
        <w:t>92F</w:t>
      </w:r>
      <w:r w:rsidR="008D58EC">
        <w:rPr>
          <w:rStyle w:val="FootnoteReference"/>
        </w:rPr>
        <w:footnoteReference w:id="98"/>
      </w:r>
    </w:p>
    <w:p w14:paraId="35766EC2" w14:textId="52295A86" w:rsidR="00A350B4" w:rsidRDefault="006A54A0" w:rsidP="006A54A0">
      <w:pPr>
        <w:pStyle w:val="Heading1"/>
        <w:numPr>
          <w:ilvl w:val="0"/>
          <w:numId w:val="0"/>
        </w:numPr>
        <w:ind w:left="360"/>
      </w:pPr>
      <w:bookmarkStart w:id="102" w:name="_Ref216882729"/>
      <w:bookmarkStart w:id="103" w:name="_Toc240883583"/>
      <w:r>
        <w:lastRenderedPageBreak/>
        <w:t>Appendix F – Literature</w:t>
      </w:r>
      <w:r w:rsidR="002B2702">
        <w:t xml:space="preserve"> on target cohorts</w:t>
      </w:r>
      <w:bookmarkEnd w:id="102"/>
      <w:bookmarkEnd w:id="103"/>
    </w:p>
    <w:p w14:paraId="2D3FC6B5" w14:textId="3FB2DE41" w:rsidR="00D26DC7" w:rsidRPr="00EB7A93" w:rsidRDefault="00D26DC7" w:rsidP="00D26DC7">
      <w:r>
        <w:rPr>
          <w:noProof/>
        </w:rPr>
        <w:drawing>
          <wp:anchor distT="0" distB="0" distL="114300" distR="114300" simplePos="0" relativeHeight="251658246" behindDoc="0" locked="0" layoutInCell="1" allowOverlap="1" wp14:anchorId="09B93E01" wp14:editId="47A350C0">
            <wp:simplePos x="0" y="0"/>
            <wp:positionH relativeFrom="margin">
              <wp:posOffset>5281456</wp:posOffset>
            </wp:positionH>
            <wp:positionV relativeFrom="paragraph">
              <wp:posOffset>13335</wp:posOffset>
            </wp:positionV>
            <wp:extent cx="518160" cy="518160"/>
            <wp:effectExtent l="0" t="0" r="0" b="0"/>
            <wp:wrapNone/>
            <wp:docPr id="88641372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13722" name="Picture 4">
                      <a:extLs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anchor>
        </w:drawing>
      </w:r>
    </w:p>
    <w:p w14:paraId="02B6D551" w14:textId="6CFCF794" w:rsidR="00D26DC7" w:rsidRDefault="00D26DC7" w:rsidP="00756A4F">
      <w:pPr>
        <w:pStyle w:val="Heading5"/>
        <w:numPr>
          <w:ilvl w:val="4"/>
          <w:numId w:val="19"/>
        </w:numPr>
        <w:pBdr>
          <w:top w:val="single" w:sz="12" w:space="1" w:color="FED13B" w:themeColor="accent4"/>
          <w:left w:val="single" w:sz="12" w:space="4" w:color="FED13B" w:themeColor="accent4"/>
          <w:bottom w:val="single" w:sz="12" w:space="1" w:color="FED13B" w:themeColor="accent4"/>
          <w:right w:val="single" w:sz="12" w:space="4" w:color="FED13B" w:themeColor="accent4"/>
        </w:pBdr>
        <w:shd w:val="clear" w:color="auto" w:fill="FED13B" w:themeFill="accent4"/>
        <w:ind w:left="357" w:hanging="357"/>
      </w:pPr>
      <w:r w:rsidRPr="00904BF7">
        <w:t>Young people</w:t>
      </w:r>
      <w:r w:rsidRPr="00D26DC7">
        <w:rPr>
          <w:noProof/>
        </w:rPr>
        <w:t xml:space="preserve"> </w:t>
      </w:r>
    </w:p>
    <w:p w14:paraId="3B222372" w14:textId="27408026" w:rsidR="00D26DC7" w:rsidRDefault="00D26DC7" w:rsidP="00D26DC7">
      <w:r>
        <w:t>While much of the evidence on</w:t>
      </w:r>
      <w:r>
        <w:rPr>
          <w:rFonts w:asciiTheme="minorHAnsi" w:hAnsiTheme="minorHAnsi" w:cstheme="minorHAnsi"/>
        </w:rPr>
        <w:t xml:space="preserve"> what works for NEET individuals is low quality,</w:t>
      </w:r>
      <w:r w:rsidR="002B29BE">
        <w:rPr>
          <w:rFonts w:ascii="ZWAdobeF" w:hAnsi="ZWAdobeF" w:cs="ZWAdobeF"/>
          <w:sz w:val="2"/>
          <w:szCs w:val="2"/>
        </w:rPr>
        <w:t>93F</w:t>
      </w:r>
      <w:r>
        <w:rPr>
          <w:rStyle w:val="FootnoteReference"/>
          <w:rFonts w:asciiTheme="minorHAnsi" w:hAnsiTheme="minorHAnsi" w:cstheme="minorHAnsi"/>
        </w:rPr>
        <w:footnoteReference w:id="99"/>
      </w:r>
      <w:r w:rsidR="009829B4">
        <w:rPr>
          <w:rFonts w:asciiTheme="minorHAnsi" w:hAnsiTheme="minorHAnsi" w:cstheme="minorHAnsi"/>
        </w:rPr>
        <w:t xml:space="preserve"> </w:t>
      </w:r>
      <w:r>
        <w:rPr>
          <w:rFonts w:asciiTheme="minorHAnsi" w:hAnsiTheme="minorHAnsi" w:cstheme="minorHAnsi"/>
        </w:rPr>
        <w:t xml:space="preserve">one meta-analysis found </w:t>
      </w:r>
      <w:r w:rsidRPr="00E07C1F">
        <w:t>there is a</w:t>
      </w:r>
      <w:r>
        <w:t xml:space="preserve"> strong</w:t>
      </w:r>
      <w:r w:rsidRPr="00E07C1F">
        <w:t xml:space="preserve"> benefit in receiving multiple or complementary supports at the same time</w:t>
      </w:r>
      <w:r>
        <w:t>, which is further supported by single</w:t>
      </w:r>
      <w:r w:rsidR="00DE5508">
        <w:t xml:space="preserve"> </w:t>
      </w:r>
      <w:r>
        <w:t>studies in the literature.</w:t>
      </w:r>
      <w:r w:rsidR="002B29BE">
        <w:rPr>
          <w:rFonts w:ascii="ZWAdobeF" w:hAnsi="ZWAdobeF" w:cs="ZWAdobeF"/>
          <w:sz w:val="2"/>
          <w:szCs w:val="2"/>
        </w:rPr>
        <w:t>94F</w:t>
      </w:r>
      <w:r>
        <w:rPr>
          <w:rStyle w:val="FootnoteReference"/>
        </w:rPr>
        <w:footnoteReference w:id="100"/>
      </w:r>
      <w:r>
        <w:t xml:space="preserve"> </w:t>
      </w:r>
      <w:r w:rsidRPr="00E07C1F">
        <w:t>For vulnerable youth this may look like access to industry-specific and transferable skill development programs as well as more personalised supports</w:t>
      </w:r>
      <w:r>
        <w:t>,</w:t>
      </w:r>
      <w:r w:rsidR="002B29BE">
        <w:rPr>
          <w:rFonts w:ascii="ZWAdobeF" w:hAnsi="ZWAdobeF" w:cs="ZWAdobeF"/>
          <w:sz w:val="2"/>
          <w:szCs w:val="2"/>
        </w:rPr>
        <w:t>95F</w:t>
      </w:r>
      <w:r>
        <w:rPr>
          <w:rStyle w:val="FootnoteReference"/>
        </w:rPr>
        <w:footnoteReference w:id="101"/>
      </w:r>
      <w:r w:rsidRPr="00E07C1F">
        <w:t xml:space="preserve"> including explicitly addressing needs across the whole school and learning environment, not just in the curriculum.</w:t>
      </w:r>
      <w:r w:rsidR="002B29BE">
        <w:rPr>
          <w:rFonts w:ascii="ZWAdobeF" w:hAnsi="ZWAdobeF" w:cs="ZWAdobeF"/>
          <w:sz w:val="2"/>
          <w:szCs w:val="2"/>
        </w:rPr>
        <w:t>96F</w:t>
      </w:r>
      <w:r>
        <w:rPr>
          <w:rStyle w:val="FootnoteReference"/>
        </w:rPr>
        <w:footnoteReference w:id="102"/>
      </w:r>
      <w:r>
        <w:t xml:space="preserve"> Young people benefit from integrated support at key transition periods, such as transitioning from school to the workforce.</w:t>
      </w:r>
      <w:r w:rsidR="002B29BE">
        <w:rPr>
          <w:rFonts w:ascii="ZWAdobeF" w:hAnsi="ZWAdobeF" w:cs="ZWAdobeF"/>
          <w:sz w:val="2"/>
          <w:szCs w:val="2"/>
        </w:rPr>
        <w:t>97F</w:t>
      </w:r>
      <w:r>
        <w:rPr>
          <w:rStyle w:val="FootnoteReference"/>
        </w:rPr>
        <w:footnoteReference w:id="103"/>
      </w:r>
      <w:r w:rsidR="00D64674">
        <w:t xml:space="preserve"> </w:t>
      </w:r>
      <w:r>
        <w:t>They also benefit from ongoing support and real-world training through ‘place train approaches.’</w:t>
      </w:r>
      <w:r w:rsidR="002B29BE">
        <w:rPr>
          <w:rFonts w:ascii="ZWAdobeF" w:hAnsi="ZWAdobeF" w:cs="ZWAdobeF"/>
          <w:sz w:val="2"/>
          <w:szCs w:val="2"/>
        </w:rPr>
        <w:t>98F</w:t>
      </w:r>
      <w:r>
        <w:rPr>
          <w:rStyle w:val="FootnoteReference"/>
        </w:rPr>
        <w:footnoteReference w:id="104"/>
      </w:r>
    </w:p>
    <w:p w14:paraId="27B6ADE6" w14:textId="77777777" w:rsidR="00D26DC7" w:rsidRPr="00380639" w:rsidRDefault="00D26DC7" w:rsidP="00756A4F">
      <w:pPr>
        <w:pStyle w:val="Heading5"/>
        <w:numPr>
          <w:ilvl w:val="4"/>
          <w:numId w:val="19"/>
        </w:numPr>
        <w:pBdr>
          <w:top w:val="single" w:sz="12" w:space="1" w:color="F8981D" w:themeColor="accent3"/>
          <w:left w:val="single" w:sz="12" w:space="4" w:color="F8981D" w:themeColor="accent3"/>
          <w:bottom w:val="single" w:sz="12" w:space="1" w:color="F8981D" w:themeColor="accent3"/>
          <w:right w:val="single" w:sz="12" w:space="4" w:color="F8981D" w:themeColor="accent3"/>
        </w:pBdr>
        <w:shd w:val="clear" w:color="auto" w:fill="F8981D" w:themeFill="accent3"/>
        <w:ind w:left="357" w:hanging="357"/>
      </w:pPr>
      <w:r>
        <w:rPr>
          <w:noProof/>
        </w:rPr>
        <w:drawing>
          <wp:anchor distT="0" distB="0" distL="114300" distR="114300" simplePos="0" relativeHeight="251658244" behindDoc="0" locked="0" layoutInCell="1" allowOverlap="1" wp14:anchorId="05AFB9A5" wp14:editId="28E0DD1F">
            <wp:simplePos x="0" y="0"/>
            <wp:positionH relativeFrom="margin">
              <wp:posOffset>5326049</wp:posOffset>
            </wp:positionH>
            <wp:positionV relativeFrom="paragraph">
              <wp:posOffset>-220345</wp:posOffset>
            </wp:positionV>
            <wp:extent cx="450850" cy="469265"/>
            <wp:effectExtent l="0" t="0" r="6350" b="6985"/>
            <wp:wrapNone/>
            <wp:docPr id="142953282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32825" name="Picture 5">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0850" cy="469265"/>
                    </a:xfrm>
                    <a:prstGeom prst="rect">
                      <a:avLst/>
                    </a:prstGeom>
                    <a:noFill/>
                  </pic:spPr>
                </pic:pic>
              </a:graphicData>
            </a:graphic>
          </wp:anchor>
        </w:drawing>
      </w:r>
      <w:r>
        <w:t>People with disability</w:t>
      </w:r>
    </w:p>
    <w:p w14:paraId="263A2719" w14:textId="028180CA" w:rsidR="00D26DC7" w:rsidRDefault="00D26DC7" w:rsidP="00D26DC7">
      <w:r>
        <w:t>Best practice for improving economic inclusion of people with disability differs depending on the nature of the disability. For people with intellectual disability, t</w:t>
      </w:r>
      <w:r w:rsidRPr="00831CFE">
        <w:t>he open employment (OE) model is highlighted as an effective evidence-based practice, leading to superior employment outcomes compared to other approaches.</w:t>
      </w:r>
      <w:r w:rsidR="002B29BE">
        <w:rPr>
          <w:rFonts w:ascii="ZWAdobeF" w:hAnsi="ZWAdobeF" w:cs="ZWAdobeF"/>
          <w:sz w:val="2"/>
          <w:szCs w:val="2"/>
        </w:rPr>
        <w:t>99F</w:t>
      </w:r>
      <w:r>
        <w:rPr>
          <w:rStyle w:val="FootnoteReference"/>
        </w:rPr>
        <w:footnoteReference w:id="105"/>
      </w:r>
      <w:r w:rsidR="00511800">
        <w:t xml:space="preserve"> </w:t>
      </w:r>
      <w:r w:rsidRPr="00831CFE">
        <w:t>This model includes personalised client assessments, individualised job development and placement, intensive job site training, and ongoing support throughout employment.</w:t>
      </w:r>
      <w:r>
        <w:t xml:space="preserve"> For people with psychosocial disability, effective programs include Individualised Placement Support (IPS).</w:t>
      </w:r>
      <w:r w:rsidR="002B29BE">
        <w:rPr>
          <w:rFonts w:ascii="ZWAdobeF" w:hAnsi="ZWAdobeF" w:cs="ZWAdobeF"/>
          <w:sz w:val="2"/>
          <w:szCs w:val="2"/>
        </w:rPr>
        <w:t>100F</w:t>
      </w:r>
      <w:r>
        <w:rPr>
          <w:rStyle w:val="FootnoteReference"/>
        </w:rPr>
        <w:footnoteReference w:id="106"/>
      </w:r>
    </w:p>
    <w:p w14:paraId="1FFABC0E" w14:textId="77777777" w:rsidR="00D26DC7" w:rsidRDefault="00D26DC7" w:rsidP="00D26DC7">
      <w:r>
        <w:t xml:space="preserve">A large, recent systematic review found that three main types of interventions showed positive results for achieving positive social, community or civic outcomes for people with disability: </w:t>
      </w:r>
    </w:p>
    <w:p w14:paraId="710D33FC" w14:textId="77777777" w:rsidR="00D26DC7" w:rsidRDefault="00D26DC7" w:rsidP="00CC7F3F">
      <w:pPr>
        <w:pStyle w:val="Listnumbered"/>
        <w:numPr>
          <w:ilvl w:val="0"/>
          <w:numId w:val="39"/>
        </w:numPr>
      </w:pPr>
      <w:r>
        <w:t>Interventions that helped people to identify and connect with participation opportunities</w:t>
      </w:r>
    </w:p>
    <w:p w14:paraId="5067FB51" w14:textId="77777777" w:rsidR="00CC7F3F" w:rsidRDefault="00D26DC7">
      <w:pPr>
        <w:pStyle w:val="Listnumbered"/>
      </w:pPr>
      <w:r>
        <w:t>Interventions that were a participation opportunity</w:t>
      </w:r>
    </w:p>
    <w:p w14:paraId="105A89EC" w14:textId="68F66AB1" w:rsidR="00D26DC7" w:rsidRDefault="00D26DC7">
      <w:pPr>
        <w:pStyle w:val="Listnumbered"/>
      </w:pPr>
      <w:r>
        <w:lastRenderedPageBreak/>
        <w:t>Interventions to build skills and capacity to participate socially and in the community.</w:t>
      </w:r>
      <w:r w:rsidR="002B29BE" w:rsidRPr="00CC7F3F">
        <w:rPr>
          <w:rFonts w:ascii="ZWAdobeF" w:hAnsi="ZWAdobeF" w:cs="ZWAdobeF"/>
          <w:sz w:val="2"/>
          <w:szCs w:val="2"/>
        </w:rPr>
        <w:t>101F</w:t>
      </w:r>
      <w:r>
        <w:rPr>
          <w:rStyle w:val="FootnoteReference"/>
        </w:rPr>
        <w:footnoteReference w:id="107"/>
      </w:r>
      <w:r w:rsidR="0099205E">
        <w:t xml:space="preserve"> </w:t>
      </w:r>
      <w:r>
        <w:t xml:space="preserve">Programs included peer support, dog walking, social prescribing, community groups, camps, horticulture, art and social skill training. </w:t>
      </w:r>
    </w:p>
    <w:p w14:paraId="7C69E09F" w14:textId="14333417" w:rsidR="00D26DC7" w:rsidRDefault="00D26DC7" w:rsidP="00D26DC7">
      <w:r>
        <w:t>Overall, evidence shows programs need to be design beyond specialist disability spaces and enable meaningful participation in community and open employment settings. Literature also supports employing skilled, empathetic support workers which are particularly important for fostering trust, engagement, and meaningful participation.</w:t>
      </w:r>
      <w:r w:rsidR="002B29BE">
        <w:rPr>
          <w:rFonts w:ascii="ZWAdobeF" w:hAnsi="ZWAdobeF" w:cs="ZWAdobeF"/>
          <w:sz w:val="2"/>
          <w:szCs w:val="2"/>
        </w:rPr>
        <w:t>102F</w:t>
      </w:r>
      <w:r>
        <w:rPr>
          <w:rStyle w:val="FootnoteReference"/>
        </w:rPr>
        <w:footnoteReference w:id="108"/>
      </w:r>
      <w:r>
        <w:t xml:space="preserve"> There should be flexibility to tailor skill building.</w:t>
      </w:r>
      <w:r w:rsidR="002B29BE">
        <w:rPr>
          <w:rFonts w:ascii="ZWAdobeF" w:hAnsi="ZWAdobeF" w:cs="ZWAdobeF"/>
          <w:sz w:val="2"/>
          <w:szCs w:val="2"/>
        </w:rPr>
        <w:t>103F</w:t>
      </w:r>
      <w:r>
        <w:rPr>
          <w:rStyle w:val="FootnoteReference"/>
        </w:rPr>
        <w:footnoteReference w:id="109"/>
      </w:r>
    </w:p>
    <w:p w14:paraId="04DB3551" w14:textId="77777777" w:rsidR="00D26DC7" w:rsidRDefault="00D26DC7" w:rsidP="00D26DC7">
      <w:r>
        <w:rPr>
          <w:noProof/>
        </w:rPr>
        <w:drawing>
          <wp:anchor distT="0" distB="0" distL="114300" distR="114300" simplePos="0" relativeHeight="251658245" behindDoc="0" locked="0" layoutInCell="1" allowOverlap="1" wp14:anchorId="3DBBC833" wp14:editId="0804FEBC">
            <wp:simplePos x="0" y="0"/>
            <wp:positionH relativeFrom="column">
              <wp:posOffset>5273675</wp:posOffset>
            </wp:positionH>
            <wp:positionV relativeFrom="paragraph">
              <wp:posOffset>49005</wp:posOffset>
            </wp:positionV>
            <wp:extent cx="487680" cy="506095"/>
            <wp:effectExtent l="0" t="0" r="7620" b="8255"/>
            <wp:wrapNone/>
            <wp:docPr id="29399568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95682" name="Picture 8">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7680" cy="506095"/>
                    </a:xfrm>
                    <a:prstGeom prst="rect">
                      <a:avLst/>
                    </a:prstGeom>
                    <a:noFill/>
                  </pic:spPr>
                </pic:pic>
              </a:graphicData>
            </a:graphic>
          </wp:anchor>
        </w:drawing>
      </w:r>
    </w:p>
    <w:p w14:paraId="68991A26" w14:textId="77777777" w:rsidR="00D26DC7" w:rsidRPr="007A7E9E" w:rsidRDefault="00D26DC7" w:rsidP="00756A4F">
      <w:pPr>
        <w:pStyle w:val="Heading5"/>
        <w:numPr>
          <w:ilvl w:val="4"/>
          <w:numId w:val="19"/>
        </w:numPr>
        <w:pBdr>
          <w:top w:val="single" w:sz="12" w:space="1" w:color="2E368F" w:themeColor="text2"/>
          <w:left w:val="single" w:sz="12" w:space="4" w:color="2E368F" w:themeColor="text2"/>
          <w:bottom w:val="single" w:sz="12" w:space="1" w:color="2E368F" w:themeColor="text2"/>
          <w:right w:val="single" w:sz="12" w:space="4" w:color="2E368F" w:themeColor="text2"/>
        </w:pBdr>
        <w:shd w:val="clear" w:color="auto" w:fill="2E368F" w:themeFill="text2"/>
        <w:ind w:left="357" w:hanging="357"/>
        <w:rPr>
          <w:color w:val="FFFFFF" w:themeColor="background1"/>
        </w:rPr>
      </w:pPr>
      <w:r w:rsidRPr="007A7E9E">
        <w:rPr>
          <w:color w:val="FFFFFF" w:themeColor="background1"/>
        </w:rPr>
        <w:t>Vulnerable women</w:t>
      </w:r>
    </w:p>
    <w:tbl>
      <w:tblPr>
        <w:tblStyle w:val="NousLongformcallout"/>
        <w:tblW w:w="4950" w:type="pct"/>
        <w:tblCellMar>
          <w:top w:w="170" w:type="dxa"/>
          <w:bottom w:w="170" w:type="dxa"/>
        </w:tblCellMar>
        <w:tblLook w:val="04A0" w:firstRow="1" w:lastRow="0" w:firstColumn="1" w:lastColumn="0" w:noHBand="0" w:noVBand="1"/>
      </w:tblPr>
      <w:tblGrid>
        <w:gridCol w:w="9093"/>
      </w:tblGrid>
      <w:tr w:rsidR="006371A6" w14:paraId="414744F7" w14:textId="77777777">
        <w:tc>
          <w:tcPr>
            <w:tcW w:w="9070" w:type="dxa"/>
            <w:tcBorders>
              <w:left w:val="nil"/>
            </w:tcBorders>
          </w:tcPr>
          <w:p w14:paraId="548D06B6" w14:textId="2C67D2FF" w:rsidR="00D26DC7" w:rsidRPr="006B2CFF" w:rsidRDefault="00D26DC7">
            <w:pPr>
              <w:pStyle w:val="longformcalloutnumber"/>
              <w:numPr>
                <w:ilvl w:val="0"/>
                <w:numId w:val="0"/>
              </w:numPr>
              <w:rPr>
                <w:rFonts w:asciiTheme="majorHAnsi" w:hAnsiTheme="majorHAnsi" w:cstheme="majorHAnsi"/>
                <w:bCs/>
              </w:rPr>
            </w:pPr>
            <w:r w:rsidRPr="006B2CFF">
              <w:rPr>
                <w:rFonts w:asciiTheme="majorHAnsi" w:hAnsiTheme="majorHAnsi" w:cstheme="majorHAnsi"/>
                <w:bCs/>
              </w:rPr>
              <w:t>Note: Overall, evidence for what works for vulnerable women in countries like Australia is limited to single</w:t>
            </w:r>
            <w:r w:rsidR="00161703">
              <w:rPr>
                <w:rFonts w:asciiTheme="majorHAnsi" w:hAnsiTheme="majorHAnsi" w:cstheme="majorHAnsi"/>
                <w:bCs/>
              </w:rPr>
              <w:t xml:space="preserve"> </w:t>
            </w:r>
            <w:r w:rsidRPr="006B2CFF">
              <w:rPr>
                <w:rFonts w:asciiTheme="majorHAnsi" w:hAnsiTheme="majorHAnsi" w:cstheme="majorHAnsi"/>
                <w:bCs/>
              </w:rPr>
              <w:t xml:space="preserve">studies, not meta-analyses or systematic reviews. </w:t>
            </w:r>
          </w:p>
        </w:tc>
      </w:tr>
    </w:tbl>
    <w:p w14:paraId="662D9131" w14:textId="0B6203C4" w:rsidR="00D26DC7" w:rsidRDefault="00D26DC7" w:rsidP="00D77E8B">
      <w:pPr>
        <w:spacing w:before="120"/>
        <w:rPr>
          <w:lang w:eastAsia="en-AU"/>
        </w:rPr>
      </w:pPr>
      <w:r>
        <w:rPr>
          <w:lang w:eastAsia="en-AU"/>
        </w:rPr>
        <w:t xml:space="preserve">There is limited evidence on what programs are effective for women in high-income countries like Australia. </w:t>
      </w:r>
      <w:r w:rsidRPr="00011AB2">
        <w:rPr>
          <w:lang w:eastAsia="en-AU"/>
        </w:rPr>
        <w:t xml:space="preserve">The diverse experiences of women, such as being migrants, refugees, victim-survivors, unemployed, or living with disability, </w:t>
      </w:r>
      <w:r>
        <w:rPr>
          <w:lang w:eastAsia="en-AU"/>
        </w:rPr>
        <w:t xml:space="preserve">also </w:t>
      </w:r>
      <w:r w:rsidRPr="00011AB2">
        <w:rPr>
          <w:lang w:eastAsia="en-AU"/>
        </w:rPr>
        <w:t>make it challenging to identify a single best practice approach.</w:t>
      </w:r>
      <w:r>
        <w:rPr>
          <w:lang w:eastAsia="en-AU"/>
        </w:rPr>
        <w:t xml:space="preserve"> Further, many analyses focus on interventions outside the scope of SARC</w:t>
      </w:r>
      <w:r w:rsidR="00BA1DD3">
        <w:rPr>
          <w:lang w:eastAsia="en-AU"/>
        </w:rPr>
        <w:t xml:space="preserve"> – </w:t>
      </w:r>
      <w:r>
        <w:rPr>
          <w:lang w:eastAsia="en-AU"/>
        </w:rPr>
        <w:t>IC such as cash transfers and family tax reforms</w:t>
      </w:r>
      <w:r w:rsidR="0011746A">
        <w:rPr>
          <w:lang w:eastAsia="en-AU"/>
        </w:rPr>
        <w:t xml:space="preserve"> to encourage economic and social inclusion</w:t>
      </w:r>
      <w:r>
        <w:rPr>
          <w:lang w:eastAsia="en-AU"/>
        </w:rPr>
        <w:t>.</w:t>
      </w:r>
      <w:r w:rsidR="002B29BE">
        <w:rPr>
          <w:rFonts w:ascii="ZWAdobeF" w:hAnsi="ZWAdobeF" w:cs="ZWAdobeF"/>
          <w:sz w:val="2"/>
          <w:szCs w:val="2"/>
          <w:lang w:eastAsia="en-AU"/>
        </w:rPr>
        <w:t>104F</w:t>
      </w:r>
      <w:r>
        <w:rPr>
          <w:rStyle w:val="FootnoteReference"/>
          <w:lang w:eastAsia="en-AU"/>
        </w:rPr>
        <w:footnoteReference w:id="110"/>
      </w:r>
      <w:r>
        <w:rPr>
          <w:lang w:eastAsia="en-AU"/>
        </w:rPr>
        <w:t xml:space="preserve"> </w:t>
      </w:r>
    </w:p>
    <w:p w14:paraId="7D28005B" w14:textId="322F7456" w:rsidR="00D26DC7" w:rsidRDefault="00D26DC7" w:rsidP="00D26DC7">
      <w:pPr>
        <w:rPr>
          <w:lang w:eastAsia="en-AU"/>
        </w:rPr>
      </w:pPr>
      <w:r>
        <w:rPr>
          <w:lang w:eastAsia="en-AU"/>
        </w:rPr>
        <w:t>Literature shows that t</w:t>
      </w:r>
      <w:r w:rsidRPr="00861A57">
        <w:rPr>
          <w:lang w:eastAsia="en-AU"/>
        </w:rPr>
        <w:t>ransport barriers, including long commutes, can affect women’s participation, by making it more difficult to manage care and work responsibilities.</w:t>
      </w:r>
      <w:r w:rsidR="002B29BE">
        <w:rPr>
          <w:rFonts w:ascii="ZWAdobeF" w:hAnsi="ZWAdobeF" w:cs="ZWAdobeF"/>
          <w:sz w:val="2"/>
          <w:szCs w:val="2"/>
          <w:lang w:eastAsia="en-AU"/>
        </w:rPr>
        <w:t>105F</w:t>
      </w:r>
      <w:r>
        <w:rPr>
          <w:rStyle w:val="FootnoteReference"/>
          <w:lang w:eastAsia="en-AU"/>
        </w:rPr>
        <w:footnoteReference w:id="111"/>
      </w:r>
      <w:r w:rsidRPr="00861A57">
        <w:rPr>
          <w:lang w:eastAsia="en-AU"/>
        </w:rPr>
        <w:t xml:space="preserve"> </w:t>
      </w:r>
      <w:r>
        <w:rPr>
          <w:lang w:eastAsia="en-AU"/>
        </w:rPr>
        <w:t>The growth and success of women’s circles reflects the potential of women-only spaces to create connections, empowerment and support, as well as improve health outcomes.</w:t>
      </w:r>
      <w:r w:rsidR="002B29BE">
        <w:rPr>
          <w:rFonts w:ascii="ZWAdobeF" w:hAnsi="ZWAdobeF" w:cs="ZWAdobeF"/>
          <w:sz w:val="2"/>
          <w:szCs w:val="2"/>
          <w:lang w:eastAsia="en-AU"/>
        </w:rPr>
        <w:t>106F</w:t>
      </w:r>
      <w:r>
        <w:rPr>
          <w:rStyle w:val="FootnoteReference"/>
          <w:lang w:eastAsia="en-AU"/>
        </w:rPr>
        <w:footnoteReference w:id="112"/>
      </w:r>
      <w:r w:rsidR="00217F28">
        <w:rPr>
          <w:lang w:eastAsia="en-AU"/>
        </w:rPr>
        <w:t xml:space="preserve"> </w:t>
      </w:r>
      <w:r>
        <w:rPr>
          <w:lang w:eastAsia="en-AU"/>
        </w:rPr>
        <w:t>For refugee women in Australia specifically, wrap around holistic supports are more effective in helping them gain employment by addressing underlying drivers such as mental health and other personal circumstances.</w:t>
      </w:r>
      <w:r w:rsidR="002B29BE">
        <w:rPr>
          <w:rFonts w:ascii="ZWAdobeF" w:hAnsi="ZWAdobeF" w:cs="ZWAdobeF"/>
          <w:sz w:val="2"/>
          <w:szCs w:val="2"/>
          <w:lang w:eastAsia="en-AU"/>
        </w:rPr>
        <w:t>107F</w:t>
      </w:r>
      <w:r>
        <w:rPr>
          <w:rStyle w:val="FootnoteReference"/>
          <w:lang w:eastAsia="en-AU"/>
        </w:rPr>
        <w:footnoteReference w:id="113"/>
      </w:r>
    </w:p>
    <w:p w14:paraId="02A2910F" w14:textId="22B8D37B" w:rsidR="00D26DC7" w:rsidRDefault="00D26DC7" w:rsidP="00D26DC7">
      <w:pPr>
        <w:rPr>
          <w:lang w:eastAsia="en-AU"/>
        </w:rPr>
      </w:pPr>
    </w:p>
    <w:p w14:paraId="31A39270" w14:textId="26115D41" w:rsidR="00D26DC7" w:rsidRPr="00213126" w:rsidRDefault="008F0476" w:rsidP="00756A4F">
      <w:pPr>
        <w:pStyle w:val="Heading5"/>
        <w:numPr>
          <w:ilvl w:val="4"/>
          <w:numId w:val="19"/>
        </w:numPr>
        <w:pBdr>
          <w:top w:val="single" w:sz="12" w:space="1" w:color="25B3E0" w:themeColor="accent6"/>
          <w:left w:val="single" w:sz="12" w:space="4" w:color="25B3E0" w:themeColor="accent6"/>
          <w:bottom w:val="single" w:sz="12" w:space="1" w:color="25B3E0" w:themeColor="accent6"/>
          <w:right w:val="single" w:sz="12" w:space="4" w:color="25B3E0" w:themeColor="accent6"/>
        </w:pBdr>
        <w:shd w:val="clear" w:color="auto" w:fill="25B3E0" w:themeFill="accent6"/>
        <w:ind w:left="357" w:hanging="357"/>
        <w:rPr>
          <w:color w:val="00264D" w:themeColor="background2"/>
        </w:rPr>
      </w:pPr>
      <w:r>
        <w:rPr>
          <w:noProof/>
          <w:color w:val="00264D" w:themeColor="background2"/>
        </w:rPr>
        <w:lastRenderedPageBreak/>
        <w:drawing>
          <wp:anchor distT="0" distB="0" distL="114300" distR="114300" simplePos="0" relativeHeight="251658266" behindDoc="0" locked="0" layoutInCell="1" allowOverlap="1" wp14:anchorId="3A7522FF" wp14:editId="05A364B8">
            <wp:simplePos x="0" y="0"/>
            <wp:positionH relativeFrom="column">
              <wp:posOffset>5290185</wp:posOffset>
            </wp:positionH>
            <wp:positionV relativeFrom="paragraph">
              <wp:posOffset>-256638</wp:posOffset>
            </wp:positionV>
            <wp:extent cx="450850" cy="457200"/>
            <wp:effectExtent l="0" t="0" r="6350" b="0"/>
            <wp:wrapNone/>
            <wp:docPr id="1096153791"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153791" name="Picture 9">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anchor>
        </w:drawing>
      </w:r>
      <w:r w:rsidR="00D26DC7" w:rsidRPr="00213126">
        <w:rPr>
          <w:color w:val="00264D" w:themeColor="background2"/>
        </w:rPr>
        <w:t>People who are unemployed and facing barriers</w:t>
      </w:r>
    </w:p>
    <w:p w14:paraId="168FC5ED" w14:textId="4EFBADAF" w:rsidR="00C056F8" w:rsidRDefault="00D26DC7" w:rsidP="0081042D">
      <w:r>
        <w:t xml:space="preserve">One recent meta-analysis of </w:t>
      </w:r>
      <w:r w:rsidRPr="004D496A">
        <w:t>Active Labour Market Policies (ALMPs)</w:t>
      </w:r>
      <w:r>
        <w:t xml:space="preserve"> found vocational training had a positive impact, with longer programs tending to be more effective.</w:t>
      </w:r>
      <w:r w:rsidR="002B29BE">
        <w:rPr>
          <w:rFonts w:ascii="ZWAdobeF" w:hAnsi="ZWAdobeF" w:cs="ZWAdobeF"/>
          <w:sz w:val="2"/>
          <w:szCs w:val="2"/>
        </w:rPr>
        <w:t>108F</w:t>
      </w:r>
      <w:r>
        <w:rPr>
          <w:rStyle w:val="FootnoteReference"/>
        </w:rPr>
        <w:footnoteReference w:id="114"/>
      </w:r>
      <w:r w:rsidR="00F02899">
        <w:t xml:space="preserve"> </w:t>
      </w:r>
      <w:r>
        <w:t xml:space="preserve">Another review identified that for </w:t>
      </w:r>
      <w:r w:rsidRPr="005B6BAC">
        <w:rPr>
          <w:rFonts w:asciiTheme="minorHAnsi" w:hAnsiTheme="minorHAnsi" w:cstheme="minorHAnsi"/>
        </w:rPr>
        <w:t>people who are unemployed and facing barriers</w:t>
      </w:r>
      <w:r>
        <w:t>, programs should c</w:t>
      </w:r>
      <w:r w:rsidRPr="001717E2">
        <w:t>ombine hard measures like training and job placement with soft supports that build confidence, motivation and readiness for work</w:t>
      </w:r>
      <w:r>
        <w:t>.</w:t>
      </w:r>
      <w:r w:rsidR="002B29BE">
        <w:rPr>
          <w:rFonts w:ascii="ZWAdobeF" w:hAnsi="ZWAdobeF" w:cs="ZWAdobeF"/>
          <w:sz w:val="2"/>
          <w:szCs w:val="2"/>
        </w:rPr>
        <w:t>109F</w:t>
      </w:r>
      <w:r>
        <w:rPr>
          <w:rStyle w:val="FootnoteReference"/>
        </w:rPr>
        <w:footnoteReference w:id="115"/>
      </w:r>
      <w:r>
        <w:t xml:space="preserve"> </w:t>
      </w:r>
      <w:r w:rsidRPr="001717E2">
        <w:t xml:space="preserve">One stop shop models </w:t>
      </w:r>
      <w:r>
        <w:t>are increasingly being adopted to provide</w:t>
      </w:r>
      <w:r w:rsidRPr="001717E2">
        <w:t xml:space="preserve"> place-based, wrap-around supports that coordinate employment, social, and community services to meet complex needs</w:t>
      </w:r>
      <w:r>
        <w:t>.</w:t>
      </w:r>
      <w:r w:rsidR="002B29BE">
        <w:rPr>
          <w:rFonts w:ascii="ZWAdobeF" w:hAnsi="ZWAdobeF" w:cs="ZWAdobeF"/>
          <w:sz w:val="2"/>
          <w:szCs w:val="2"/>
        </w:rPr>
        <w:t>110F</w:t>
      </w:r>
      <w:r>
        <w:rPr>
          <w:rStyle w:val="FootnoteReference"/>
        </w:rPr>
        <w:footnoteReference w:id="116"/>
      </w:r>
      <w:r>
        <w:t xml:space="preserve"> </w:t>
      </w:r>
      <w:r w:rsidRPr="001717E2">
        <w:t xml:space="preserve">Personalised case management and ongoing support </w:t>
      </w:r>
      <w:r>
        <w:t>address a</w:t>
      </w:r>
      <w:r w:rsidRPr="001717E2">
        <w:t xml:space="preserve"> need for continuous </w:t>
      </w:r>
      <w:r>
        <w:t>support</w:t>
      </w:r>
      <w:r w:rsidRPr="001717E2">
        <w:t xml:space="preserve"> that builds skills for </w:t>
      </w:r>
      <w:r>
        <w:t xml:space="preserve">long-term unemployed people </w:t>
      </w:r>
      <w:r w:rsidRPr="001717E2">
        <w:t>rather than repeating the cycle of ‘intensive assistance’.</w:t>
      </w:r>
      <w:r w:rsidR="002B29BE">
        <w:rPr>
          <w:rFonts w:ascii="ZWAdobeF" w:hAnsi="ZWAdobeF" w:cs="ZWAdobeF"/>
          <w:sz w:val="2"/>
          <w:szCs w:val="2"/>
        </w:rPr>
        <w:t>111F</w:t>
      </w:r>
      <w:r>
        <w:rPr>
          <w:rStyle w:val="FootnoteReference"/>
        </w:rPr>
        <w:footnoteReference w:id="117"/>
      </w:r>
    </w:p>
    <w:p w14:paraId="0748C3AE" w14:textId="4A90964F" w:rsidR="006E102A" w:rsidRDefault="00C056F8">
      <w:pPr>
        <w:spacing w:after="160"/>
      </w:pPr>
      <w:r>
        <w:br w:type="page"/>
      </w:r>
    </w:p>
    <w:p w14:paraId="45AA48C6" w14:textId="56765D67" w:rsidR="006E102A" w:rsidRDefault="006E102A" w:rsidP="006A54A0">
      <w:pPr>
        <w:pStyle w:val="Heading1"/>
        <w:numPr>
          <w:ilvl w:val="0"/>
          <w:numId w:val="0"/>
        </w:numPr>
        <w:ind w:left="360" w:hanging="360"/>
      </w:pPr>
      <w:bookmarkStart w:id="104" w:name="_Appendix_G_–"/>
      <w:bookmarkStart w:id="105" w:name="_Toc240883584"/>
      <w:bookmarkEnd w:id="104"/>
      <w:r>
        <w:lastRenderedPageBreak/>
        <w:t>Appendix G – Figure descriptions</w:t>
      </w:r>
      <w:bookmarkEnd w:id="105"/>
      <w:r>
        <w:t xml:space="preserve"> </w:t>
      </w:r>
    </w:p>
    <w:p w14:paraId="13957E90" w14:textId="246730E4" w:rsidR="006E102A" w:rsidRDefault="006E102A" w:rsidP="006C6125">
      <w:pPr>
        <w:pStyle w:val="Heading4"/>
      </w:pPr>
      <w:bookmarkStart w:id="106" w:name="_Page_3_SARC"/>
      <w:bookmarkEnd w:id="106"/>
      <w:r>
        <w:t xml:space="preserve">Page 3 </w:t>
      </w:r>
      <w:r w:rsidR="0030464E">
        <w:t>SARC – IC evaluation summary</w:t>
      </w:r>
      <w:r>
        <w:t xml:space="preserve"> </w:t>
      </w:r>
      <w:r w:rsidR="0030464E">
        <w:t>description</w:t>
      </w:r>
    </w:p>
    <w:p w14:paraId="74C48686" w14:textId="363AF47C" w:rsidR="006E102A" w:rsidRDefault="006E102A" w:rsidP="006E102A">
      <w:pPr>
        <w:rPr>
          <w:lang w:eastAsia="en-AU"/>
        </w:rPr>
      </w:pPr>
      <w:r w:rsidRPr="006E102A">
        <w:rPr>
          <w:lang w:eastAsia="en-AU"/>
        </w:rPr>
        <w:t xml:space="preserve">A blue and orange infographic titled “SARC – IC evaluation summary.” </w:t>
      </w:r>
      <w:r w:rsidR="00765040">
        <w:rPr>
          <w:lang w:eastAsia="en-AU"/>
        </w:rPr>
        <w:t xml:space="preserve">The content is as follows. </w:t>
      </w:r>
    </w:p>
    <w:p w14:paraId="27B573F8" w14:textId="77777777" w:rsidR="00765040" w:rsidRPr="00765040" w:rsidRDefault="00765040" w:rsidP="00765040">
      <w:pPr>
        <w:rPr>
          <w:lang w:eastAsia="en-AU"/>
        </w:rPr>
      </w:pPr>
      <w:r w:rsidRPr="00765040">
        <w:rPr>
          <w:lang w:eastAsia="en-AU"/>
        </w:rPr>
        <w:t>SARC – IC provides two-year grants to community organisations to deliver projects that improve social and/or economic participation for young people (12–18), people with a disability, vulnerable women, and people who have been unemployed long-term. Grants are awarded for organisations to run either a new service or provide an existing service to a new group.</w:t>
      </w:r>
    </w:p>
    <w:p w14:paraId="772EAFF5" w14:textId="7CAB8CA4" w:rsidR="00765040" w:rsidRPr="00765040" w:rsidRDefault="00765040" w:rsidP="00765040">
      <w:pPr>
        <w:rPr>
          <w:lang w:eastAsia="en-AU"/>
        </w:rPr>
      </w:pPr>
      <w:r w:rsidRPr="00765040">
        <w:rPr>
          <w:lang w:eastAsia="en-AU"/>
        </w:rPr>
        <w:t>The Evaluation was guided by 4 key Evaluation Questions:</w:t>
      </w:r>
    </w:p>
    <w:p w14:paraId="75B06D09" w14:textId="407D2793" w:rsidR="00765040" w:rsidRPr="00765040" w:rsidRDefault="00765040" w:rsidP="00765040">
      <w:pPr>
        <w:rPr>
          <w:b/>
          <w:bCs/>
          <w:lang w:eastAsia="en-AU"/>
        </w:rPr>
      </w:pPr>
      <w:r w:rsidRPr="00765040">
        <w:rPr>
          <w:b/>
          <w:bCs/>
          <w:lang w:eastAsia="en-AU"/>
        </w:rPr>
        <w:t>1. A</w:t>
      </w:r>
      <w:r>
        <w:rPr>
          <w:b/>
          <w:bCs/>
          <w:lang w:eastAsia="en-AU"/>
        </w:rPr>
        <w:t xml:space="preserve">ppropriateness: </w:t>
      </w:r>
      <w:r w:rsidRPr="00765040">
        <w:rPr>
          <w:lang w:eastAsia="en-AU"/>
        </w:rPr>
        <w:t>To what extent was SARC – IC’s design appropriate for achieving its intended aim?</w:t>
      </w:r>
    </w:p>
    <w:p w14:paraId="0C53E104" w14:textId="77777777" w:rsidR="00765040" w:rsidRPr="00765040" w:rsidRDefault="00765040" w:rsidP="00765040">
      <w:pPr>
        <w:rPr>
          <w:lang w:eastAsia="en-AU"/>
        </w:rPr>
      </w:pPr>
      <w:r w:rsidRPr="00765040">
        <w:rPr>
          <w:lang w:eastAsia="en-AU"/>
        </w:rPr>
        <w:t>SARC – IC’s decision to focus on community-driven initiatives and trialling new approaches helped it meet local need by taking a bottom-up approach to project design. However, short-term funding limits activities’ ability to be efficient and foster long-term change. Its focus overlaps with other programs funded by all layers of government, which can be complementary, and in some instances, create duplication.</w:t>
      </w:r>
    </w:p>
    <w:p w14:paraId="64F7A218" w14:textId="5171B7CA" w:rsidR="00765040" w:rsidRPr="00765040" w:rsidRDefault="00765040" w:rsidP="00765040">
      <w:pPr>
        <w:rPr>
          <w:b/>
          <w:bCs/>
          <w:lang w:eastAsia="en-AU"/>
        </w:rPr>
      </w:pPr>
      <w:r w:rsidRPr="00765040">
        <w:rPr>
          <w:b/>
          <w:bCs/>
          <w:lang w:eastAsia="en-AU"/>
        </w:rPr>
        <w:t>2. I</w:t>
      </w:r>
      <w:r>
        <w:rPr>
          <w:b/>
          <w:bCs/>
          <w:lang w:eastAsia="en-AU"/>
        </w:rPr>
        <w:t xml:space="preserve">mplementation: </w:t>
      </w:r>
      <w:r w:rsidRPr="00765040">
        <w:rPr>
          <w:lang w:eastAsia="en-AU"/>
        </w:rPr>
        <w:t>To what extent was the SARC – IC implemented as expected to deliver economic participation, wellbeing and social participation measures?</w:t>
      </w:r>
    </w:p>
    <w:p w14:paraId="0B125481" w14:textId="77777777" w:rsidR="00765040" w:rsidRPr="00765040" w:rsidRDefault="00765040" w:rsidP="00765040">
      <w:pPr>
        <w:rPr>
          <w:lang w:eastAsia="en-AU"/>
        </w:rPr>
      </w:pPr>
      <w:r w:rsidRPr="00765040">
        <w:rPr>
          <w:lang w:eastAsia="en-AU"/>
        </w:rPr>
        <w:t>SARC – IC was generally implemented as intended, with successful recipients finding the guidance useful and process straightforward. Some SARC – IC grant recipients reported challenges with recruitment and networking in the two-year timeframe, the assessment process was broad which created an inefficient process for the Department and the sector, and participants had issues with DEX reporting.</w:t>
      </w:r>
    </w:p>
    <w:p w14:paraId="1C911490" w14:textId="5AF490E5" w:rsidR="00765040" w:rsidRPr="00765040" w:rsidRDefault="00765040" w:rsidP="00765040">
      <w:pPr>
        <w:rPr>
          <w:b/>
          <w:bCs/>
          <w:lang w:eastAsia="en-AU"/>
        </w:rPr>
      </w:pPr>
      <w:r w:rsidRPr="00765040">
        <w:rPr>
          <w:b/>
          <w:bCs/>
          <w:lang w:eastAsia="en-AU"/>
        </w:rPr>
        <w:t>3. E</w:t>
      </w:r>
      <w:r>
        <w:rPr>
          <w:b/>
          <w:bCs/>
          <w:lang w:eastAsia="en-AU"/>
        </w:rPr>
        <w:t xml:space="preserve">ffectiveness: </w:t>
      </w:r>
      <w:r w:rsidRPr="00765040">
        <w:rPr>
          <w:lang w:eastAsia="en-AU"/>
        </w:rPr>
        <w:t>How effective is SARC – IC’s design in delivering program objectives and short, medium and long-term outcomes?</w:t>
      </w:r>
    </w:p>
    <w:p w14:paraId="04CEA7E4" w14:textId="5B4CF7A8" w:rsidR="00765040" w:rsidRPr="00765040" w:rsidRDefault="00765040" w:rsidP="00765040">
      <w:pPr>
        <w:rPr>
          <w:lang w:eastAsia="en-AU"/>
        </w:rPr>
      </w:pPr>
      <w:r w:rsidRPr="00765040">
        <w:rPr>
          <w:lang w:eastAsia="en-AU"/>
        </w:rPr>
        <w:t>SARC – IC participants generally experienced the greatest improvements in pre/post SCORE measures for community participation (55%, n = 2,304), mental health (49%, n = 2,671), employment status (48%, n = 2,100)*, and education (45%, n = 2,578). SARC participants reported in interviews it helped them feel a sense of belonging, feel more positively about education and helped them find employment pathways they might not have thought of.</w:t>
      </w:r>
    </w:p>
    <w:p w14:paraId="600F8D79" w14:textId="2D3A0AC0" w:rsidR="00765040" w:rsidRPr="00765040" w:rsidRDefault="00765040" w:rsidP="00765040">
      <w:pPr>
        <w:rPr>
          <w:b/>
          <w:bCs/>
          <w:lang w:eastAsia="en-AU"/>
        </w:rPr>
      </w:pPr>
      <w:r w:rsidRPr="00765040">
        <w:rPr>
          <w:b/>
          <w:bCs/>
          <w:lang w:eastAsia="en-AU"/>
        </w:rPr>
        <w:t xml:space="preserve">4. </w:t>
      </w:r>
      <w:r>
        <w:rPr>
          <w:b/>
          <w:bCs/>
          <w:lang w:eastAsia="en-AU"/>
        </w:rPr>
        <w:t xml:space="preserve">Cost – Efficiency: </w:t>
      </w:r>
      <w:r w:rsidRPr="00765040">
        <w:rPr>
          <w:lang w:eastAsia="en-AU"/>
        </w:rPr>
        <w:t>How cost effective is SARC – IC considering expected outcomes and benefits?</w:t>
      </w:r>
    </w:p>
    <w:p w14:paraId="4FB34295" w14:textId="77777777" w:rsidR="00765040" w:rsidRPr="00765040" w:rsidRDefault="00765040" w:rsidP="00765040">
      <w:pPr>
        <w:rPr>
          <w:lang w:eastAsia="en-AU"/>
        </w:rPr>
      </w:pPr>
      <w:r w:rsidRPr="00765040">
        <w:rPr>
          <w:lang w:eastAsia="en-AU"/>
        </w:rPr>
        <w:t>SARC – IC is relatively cost-efficient to operate. The program has a weighted-average cost per participant of $5,019. Most providers saw an improvement in scores of between 0 and 0.5 points per $10,000, 12 providers had no net change, and 11 had a negative change in points. 13 providers had improvements greater than 0.5 per $10,000, mostly for projects with over 25 total participants.</w:t>
      </w:r>
    </w:p>
    <w:p w14:paraId="2B0E2FFD" w14:textId="2B6F64FA" w:rsidR="00765040" w:rsidRPr="00765040" w:rsidRDefault="00765040" w:rsidP="00765040">
      <w:pPr>
        <w:rPr>
          <w:b/>
          <w:bCs/>
          <w:lang w:eastAsia="en-AU"/>
        </w:rPr>
      </w:pPr>
      <w:r>
        <w:rPr>
          <w:b/>
          <w:bCs/>
          <w:lang w:eastAsia="en-AU"/>
        </w:rPr>
        <w:t>The Recommendations</w:t>
      </w:r>
    </w:p>
    <w:p w14:paraId="5A53B8ED" w14:textId="77777777" w:rsidR="00765040" w:rsidRPr="00765040" w:rsidRDefault="00765040" w:rsidP="00765040">
      <w:pPr>
        <w:rPr>
          <w:lang w:eastAsia="en-AU"/>
        </w:rPr>
      </w:pPr>
      <w:r w:rsidRPr="00765040">
        <w:rPr>
          <w:lang w:eastAsia="en-AU"/>
        </w:rPr>
        <w:t>This evaluation has grouped the recommendations into three options, with decreasing levels of benefit and implementation risk/effort. As outlined below, it begins with wholesale change for how government invests in programs to achieve social and economic participation, moves to things that structurally change what SARC – IC is, and ends with incremental change within the current program.</w:t>
      </w:r>
    </w:p>
    <w:p w14:paraId="2EFB4924" w14:textId="6DC76D5B" w:rsidR="00765040" w:rsidRPr="00765040" w:rsidRDefault="00765040" w:rsidP="00765040">
      <w:pPr>
        <w:rPr>
          <w:lang w:eastAsia="en-AU"/>
        </w:rPr>
      </w:pPr>
      <w:r w:rsidRPr="00765040">
        <w:rPr>
          <w:b/>
          <w:bCs/>
          <w:lang w:eastAsia="en-AU"/>
        </w:rPr>
        <w:t>O</w:t>
      </w:r>
      <w:r>
        <w:rPr>
          <w:b/>
          <w:bCs/>
          <w:lang w:eastAsia="en-AU"/>
        </w:rPr>
        <w:t>ption</w:t>
      </w:r>
      <w:r w:rsidRPr="00765040">
        <w:rPr>
          <w:b/>
          <w:bCs/>
          <w:lang w:eastAsia="en-AU"/>
        </w:rPr>
        <w:t xml:space="preserve"> 1</w:t>
      </w:r>
      <w:r>
        <w:rPr>
          <w:b/>
          <w:bCs/>
          <w:lang w:eastAsia="en-AU"/>
        </w:rPr>
        <w:t xml:space="preserve">: </w:t>
      </w:r>
      <w:r w:rsidRPr="00765040">
        <w:rPr>
          <w:lang w:eastAsia="en-AU"/>
        </w:rPr>
        <w:t>Re-design how government commissions services to improve social and economic participation for vulnerable Australians.</w:t>
      </w:r>
    </w:p>
    <w:p w14:paraId="7931BCA5" w14:textId="77777777" w:rsidR="00765040" w:rsidRPr="00765040" w:rsidRDefault="00765040" w:rsidP="00765040">
      <w:pPr>
        <w:rPr>
          <w:lang w:eastAsia="en-AU"/>
        </w:rPr>
      </w:pPr>
      <w:r w:rsidRPr="00765040">
        <w:rPr>
          <w:lang w:eastAsia="en-AU"/>
        </w:rPr>
        <w:t xml:space="preserve">Redesign the Department’s commissioning approach to focus on long-term, outcome-driven partnerships that improve social and economic participation for vulnerable Australians. This involves halting current SARC – IC funding rounds, refining target cohorts, clarifying guidance on the grant guidelines and how it is building an end-to-end service system, and adopting commissioning models that enable strategic, scalable </w:t>
      </w:r>
      <w:r w:rsidRPr="00765040">
        <w:rPr>
          <w:lang w:eastAsia="en-AU"/>
        </w:rPr>
        <w:lastRenderedPageBreak/>
        <w:t>investment. These changes will reduce duplication and administrative burden, leverage economies of scale, and deliver sustainable, community-focused outcomes. See Section 7 for more details.</w:t>
      </w:r>
    </w:p>
    <w:p w14:paraId="3632C011" w14:textId="4516ECEE" w:rsidR="00765040" w:rsidRPr="00765040" w:rsidRDefault="00765040" w:rsidP="00765040">
      <w:pPr>
        <w:rPr>
          <w:lang w:eastAsia="en-AU"/>
        </w:rPr>
      </w:pPr>
      <w:r w:rsidRPr="00765040">
        <w:rPr>
          <w:b/>
          <w:bCs/>
          <w:lang w:eastAsia="en-AU"/>
        </w:rPr>
        <w:t>O</w:t>
      </w:r>
      <w:r>
        <w:rPr>
          <w:b/>
          <w:bCs/>
          <w:lang w:eastAsia="en-AU"/>
        </w:rPr>
        <w:t>ption</w:t>
      </w:r>
      <w:r w:rsidRPr="00765040">
        <w:rPr>
          <w:b/>
          <w:bCs/>
          <w:lang w:eastAsia="en-AU"/>
        </w:rPr>
        <w:t xml:space="preserve"> 2</w:t>
      </w:r>
      <w:r>
        <w:rPr>
          <w:b/>
          <w:bCs/>
          <w:lang w:eastAsia="en-AU"/>
        </w:rPr>
        <w:t xml:space="preserve">: </w:t>
      </w:r>
      <w:r w:rsidRPr="00765040">
        <w:rPr>
          <w:lang w:eastAsia="en-AU"/>
        </w:rPr>
        <w:t>Enhance SARC – IC program with structural improvements.</w:t>
      </w:r>
    </w:p>
    <w:p w14:paraId="53FF2364" w14:textId="77777777" w:rsidR="00765040" w:rsidRPr="00765040" w:rsidRDefault="00765040" w:rsidP="00765040">
      <w:pPr>
        <w:rPr>
          <w:lang w:eastAsia="en-AU"/>
        </w:rPr>
      </w:pPr>
      <w:r w:rsidRPr="00765040">
        <w:rPr>
          <w:lang w:eastAsia="en-AU"/>
        </w:rPr>
        <w:t>This option seeks to build on SARC – IC’s success in achieving positive educational, employment, and social inclusion outcomes through moderate structural changes to improve its effectiveness. While these changes require further investment and carry manageable implementation risks, they could deliver improved program outcomes. The recommendations include:</w:t>
      </w:r>
    </w:p>
    <w:p w14:paraId="7DFD9DA6" w14:textId="77777777" w:rsidR="00765040" w:rsidRPr="00765040" w:rsidRDefault="00765040" w:rsidP="00765040">
      <w:pPr>
        <w:numPr>
          <w:ilvl w:val="0"/>
          <w:numId w:val="45"/>
        </w:numPr>
        <w:rPr>
          <w:lang w:eastAsia="en-AU"/>
        </w:rPr>
      </w:pPr>
      <w:r w:rsidRPr="00765040">
        <w:rPr>
          <w:lang w:eastAsia="en-AU"/>
        </w:rPr>
        <w:t>Refine scope and define outcomes</w:t>
      </w:r>
    </w:p>
    <w:p w14:paraId="0595DFD8" w14:textId="77777777" w:rsidR="00765040" w:rsidRPr="00765040" w:rsidRDefault="00765040" w:rsidP="00765040">
      <w:pPr>
        <w:numPr>
          <w:ilvl w:val="0"/>
          <w:numId w:val="45"/>
        </w:numPr>
        <w:rPr>
          <w:lang w:eastAsia="en-AU"/>
        </w:rPr>
      </w:pPr>
      <w:r w:rsidRPr="00765040">
        <w:rPr>
          <w:lang w:eastAsia="en-AU"/>
        </w:rPr>
        <w:t>Streamline performance data collection</w:t>
      </w:r>
    </w:p>
    <w:p w14:paraId="61B922BB" w14:textId="77777777" w:rsidR="00765040" w:rsidRPr="00765040" w:rsidRDefault="00765040" w:rsidP="00765040">
      <w:pPr>
        <w:numPr>
          <w:ilvl w:val="0"/>
          <w:numId w:val="45"/>
        </w:numPr>
        <w:rPr>
          <w:lang w:eastAsia="en-AU"/>
        </w:rPr>
      </w:pPr>
      <w:r w:rsidRPr="00765040">
        <w:rPr>
          <w:lang w:eastAsia="en-AU"/>
        </w:rPr>
        <w:t>Adopt a system stewardship role</w:t>
      </w:r>
    </w:p>
    <w:p w14:paraId="167641CB" w14:textId="77777777" w:rsidR="00765040" w:rsidRPr="00765040" w:rsidRDefault="00765040" w:rsidP="00765040">
      <w:pPr>
        <w:numPr>
          <w:ilvl w:val="0"/>
          <w:numId w:val="45"/>
        </w:numPr>
        <w:rPr>
          <w:lang w:eastAsia="en-AU"/>
        </w:rPr>
      </w:pPr>
      <w:r w:rsidRPr="00765040">
        <w:rPr>
          <w:lang w:eastAsia="en-AU"/>
        </w:rPr>
        <w:t>Promote sustainable funding pathways.</w:t>
      </w:r>
    </w:p>
    <w:p w14:paraId="517759A3" w14:textId="31EC878E" w:rsidR="00765040" w:rsidRPr="00765040" w:rsidRDefault="00765040" w:rsidP="00765040">
      <w:pPr>
        <w:rPr>
          <w:b/>
          <w:bCs/>
          <w:lang w:eastAsia="en-AU"/>
        </w:rPr>
      </w:pPr>
      <w:r w:rsidRPr="00765040">
        <w:rPr>
          <w:b/>
          <w:bCs/>
          <w:lang w:eastAsia="en-AU"/>
        </w:rPr>
        <w:t>O</w:t>
      </w:r>
      <w:r>
        <w:rPr>
          <w:b/>
          <w:bCs/>
          <w:lang w:eastAsia="en-AU"/>
        </w:rPr>
        <w:t xml:space="preserve">ption </w:t>
      </w:r>
      <w:r w:rsidRPr="00765040">
        <w:rPr>
          <w:b/>
          <w:bCs/>
          <w:lang w:eastAsia="en-AU"/>
        </w:rPr>
        <w:t>3</w:t>
      </w:r>
      <w:r>
        <w:rPr>
          <w:b/>
          <w:bCs/>
          <w:lang w:eastAsia="en-AU"/>
        </w:rPr>
        <w:t xml:space="preserve">: </w:t>
      </w:r>
      <w:r w:rsidRPr="00765040">
        <w:rPr>
          <w:lang w:eastAsia="en-AU"/>
        </w:rPr>
        <w:t>Minor adjustments to improve efficiency.</w:t>
      </w:r>
    </w:p>
    <w:p w14:paraId="6AB69229" w14:textId="77777777" w:rsidR="00765040" w:rsidRPr="00765040" w:rsidRDefault="00765040" w:rsidP="00765040">
      <w:pPr>
        <w:rPr>
          <w:lang w:eastAsia="en-AU"/>
        </w:rPr>
      </w:pPr>
      <w:r w:rsidRPr="00765040">
        <w:rPr>
          <w:lang w:eastAsia="en-AU"/>
        </w:rPr>
        <w:t>This low-risk option proposes minimal changes to the existing program, which would sustain current outcomes without substantial improvement. Recipients indicated the need for better Departmental support, particularly around administrative processes and clearer communication, to reduce the burden on applicants and improve program delivery.</w:t>
      </w:r>
    </w:p>
    <w:p w14:paraId="791227D3" w14:textId="77777777" w:rsidR="00765040" w:rsidRPr="00765040" w:rsidRDefault="00765040" w:rsidP="00765040">
      <w:pPr>
        <w:rPr>
          <w:lang w:eastAsia="en-AU"/>
        </w:rPr>
      </w:pPr>
      <w:r w:rsidRPr="00765040">
        <w:rPr>
          <w:lang w:eastAsia="en-AU"/>
        </w:rPr>
        <w:t>These adjustments could complement Option 2 if desired. Recommendations include:</w:t>
      </w:r>
    </w:p>
    <w:p w14:paraId="488ED04C" w14:textId="77777777" w:rsidR="00765040" w:rsidRPr="00765040" w:rsidRDefault="00765040" w:rsidP="00765040">
      <w:pPr>
        <w:numPr>
          <w:ilvl w:val="0"/>
          <w:numId w:val="46"/>
        </w:numPr>
        <w:rPr>
          <w:lang w:eastAsia="en-AU"/>
        </w:rPr>
      </w:pPr>
      <w:r w:rsidRPr="00765040">
        <w:rPr>
          <w:lang w:eastAsia="en-AU"/>
        </w:rPr>
        <w:t>Reduce administrative burden</w:t>
      </w:r>
    </w:p>
    <w:p w14:paraId="4D927CB4" w14:textId="2CC01FCF" w:rsidR="00765040" w:rsidRDefault="00765040" w:rsidP="006E102A">
      <w:pPr>
        <w:numPr>
          <w:ilvl w:val="0"/>
          <w:numId w:val="46"/>
        </w:numPr>
        <w:rPr>
          <w:lang w:eastAsia="en-AU"/>
        </w:rPr>
      </w:pPr>
      <w:r w:rsidRPr="00765040">
        <w:rPr>
          <w:lang w:eastAsia="en-AU"/>
        </w:rPr>
        <w:t>Provide clearer guidelines.</w:t>
      </w:r>
    </w:p>
    <w:p w14:paraId="5CEE9296" w14:textId="3E230D86" w:rsidR="00D53260" w:rsidRPr="006E102A" w:rsidRDefault="00D53260" w:rsidP="00D53260">
      <w:pPr>
        <w:rPr>
          <w:lang w:eastAsia="en-AU"/>
        </w:rPr>
      </w:pPr>
      <w:r>
        <w:rPr>
          <w:lang w:eastAsia="en-AU"/>
        </w:rPr>
        <w:t xml:space="preserve">*Rounded to maintain confidentiality </w:t>
      </w:r>
    </w:p>
    <w:p w14:paraId="011A241D" w14:textId="04DC8970" w:rsidR="006E102A" w:rsidRDefault="0030464E" w:rsidP="006E102A">
      <w:pPr>
        <w:rPr>
          <w:lang w:eastAsia="en-AU"/>
        </w:rPr>
      </w:pPr>
      <w:hyperlink w:anchor="SARC_IC_evaluation_summary" w:history="1">
        <w:r w:rsidRPr="00A75B1A">
          <w:rPr>
            <w:rStyle w:val="Hyperlink"/>
            <w:lang w:eastAsia="en-AU"/>
          </w:rPr>
          <w:t>Return to SARC – IC evaluation summary</w:t>
        </w:r>
      </w:hyperlink>
      <w:r>
        <w:rPr>
          <w:lang w:eastAsia="en-AU"/>
        </w:rPr>
        <w:t xml:space="preserve"> </w:t>
      </w:r>
    </w:p>
    <w:p w14:paraId="495255A1" w14:textId="4CC1E3CC" w:rsidR="006E102A" w:rsidRDefault="006E102A" w:rsidP="0030464E">
      <w:pPr>
        <w:pStyle w:val="Heading4"/>
      </w:pPr>
      <w:bookmarkStart w:id="107" w:name="_Figure_3_description"/>
      <w:bookmarkEnd w:id="107"/>
      <w:r>
        <w:t xml:space="preserve">Figure 3 </w:t>
      </w:r>
      <w:r w:rsidR="0030464E">
        <w:t xml:space="preserve">description </w:t>
      </w:r>
    </w:p>
    <w:p w14:paraId="0EB2C40C" w14:textId="77777777" w:rsidR="00932D88" w:rsidRDefault="006E102A" w:rsidP="006E102A">
      <w:pPr>
        <w:rPr>
          <w:lang w:eastAsia="en-AU"/>
        </w:rPr>
      </w:pPr>
      <w:r w:rsidRPr="006E102A">
        <w:rPr>
          <w:lang w:eastAsia="en-AU"/>
        </w:rPr>
        <w:t>Infographic showing the methodology for the SARC–IC evaluation.</w:t>
      </w:r>
    </w:p>
    <w:p w14:paraId="7A3EAECB" w14:textId="6CF0A8E0" w:rsidR="006E102A" w:rsidRDefault="006E102A" w:rsidP="006E102A">
      <w:pPr>
        <w:rPr>
          <w:lang w:eastAsia="en-AU"/>
        </w:rPr>
      </w:pPr>
      <w:r w:rsidRPr="006E102A">
        <w:rPr>
          <w:lang w:eastAsia="en-AU"/>
        </w:rPr>
        <w:t xml:space="preserve">The evaluation was guided by four key evaluation questions: </w:t>
      </w:r>
    </w:p>
    <w:p w14:paraId="45A1DDA6" w14:textId="00EF1A08" w:rsidR="00932D88" w:rsidRPr="0030464E" w:rsidRDefault="00932D88" w:rsidP="00932D88">
      <w:pPr>
        <w:rPr>
          <w:lang w:eastAsia="en-AU"/>
        </w:rPr>
      </w:pPr>
      <w:r w:rsidRPr="0030464E">
        <w:rPr>
          <w:lang w:eastAsia="en-AU"/>
        </w:rPr>
        <w:t xml:space="preserve">Appropriateness – To what extent was the program's design appropriate for achieving its intended aims? </w:t>
      </w:r>
    </w:p>
    <w:p w14:paraId="6DC1028B" w14:textId="594CC601" w:rsidR="00932D88" w:rsidRPr="0030464E" w:rsidRDefault="00932D88" w:rsidP="00932D88">
      <w:pPr>
        <w:rPr>
          <w:lang w:eastAsia="en-AU"/>
        </w:rPr>
      </w:pPr>
      <w:r w:rsidRPr="0030464E">
        <w:rPr>
          <w:lang w:eastAsia="en-AU"/>
        </w:rPr>
        <w:t xml:space="preserve">Implementation – To what extent was the program implemented as expected to deliver economic participation, wellbeing and social participation outcomes? </w:t>
      </w:r>
    </w:p>
    <w:p w14:paraId="208B7526" w14:textId="6EC440FE" w:rsidR="00932D88" w:rsidRPr="0030464E" w:rsidRDefault="00932D88" w:rsidP="00932D88">
      <w:pPr>
        <w:rPr>
          <w:lang w:eastAsia="en-AU"/>
        </w:rPr>
      </w:pPr>
      <w:r w:rsidRPr="0030464E">
        <w:rPr>
          <w:lang w:eastAsia="en-AU"/>
        </w:rPr>
        <w:t xml:space="preserve">Effectiveness – How effective was the program design in delivering program objectives and short-, medium- and long-term outcomes? </w:t>
      </w:r>
    </w:p>
    <w:p w14:paraId="02B03E88" w14:textId="553AC61B" w:rsidR="00D22F66" w:rsidRPr="0030464E" w:rsidRDefault="00932D88" w:rsidP="006E102A">
      <w:pPr>
        <w:rPr>
          <w:lang w:eastAsia="en-AU"/>
        </w:rPr>
      </w:pPr>
      <w:r w:rsidRPr="0030464E">
        <w:rPr>
          <w:lang w:eastAsia="en-AU"/>
        </w:rPr>
        <w:t>Cost-efficiency – How cost-effective was the program in achieving expected outcomes and benefits?</w:t>
      </w:r>
    </w:p>
    <w:p w14:paraId="7B721AC9" w14:textId="77777777" w:rsidR="00932D88" w:rsidRDefault="00932D88" w:rsidP="006E102A">
      <w:pPr>
        <w:rPr>
          <w:lang w:eastAsia="en-AU"/>
        </w:rPr>
      </w:pPr>
    </w:p>
    <w:p w14:paraId="4FCF9D74" w14:textId="77777777" w:rsidR="00932D88" w:rsidRPr="00932D88" w:rsidRDefault="00932D88" w:rsidP="00932D88">
      <w:pPr>
        <w:rPr>
          <w:lang w:eastAsia="en-AU"/>
        </w:rPr>
      </w:pPr>
      <w:r w:rsidRPr="00932D88">
        <w:rPr>
          <w:lang w:eastAsia="en-AU"/>
        </w:rPr>
        <w:t>To address these questions, the evaluation drew on three key evidence sources:</w:t>
      </w:r>
    </w:p>
    <w:p w14:paraId="6AD847F9" w14:textId="7BC68F08" w:rsidR="00932D88" w:rsidRPr="00932D88" w:rsidRDefault="00932D88" w:rsidP="00932D88">
      <w:pPr>
        <w:pStyle w:val="ListParagraph"/>
        <w:numPr>
          <w:ilvl w:val="0"/>
          <w:numId w:val="42"/>
        </w:numPr>
        <w:rPr>
          <w:lang w:eastAsia="en-AU"/>
        </w:rPr>
      </w:pPr>
      <w:r w:rsidRPr="0030464E">
        <w:rPr>
          <w:lang w:eastAsia="en-AU"/>
        </w:rPr>
        <w:t>DEX and program data, including 9,902 DEX participant records (approximately 15 per cent of participants had pre- and post-SCORE</w:t>
      </w:r>
      <w:r w:rsidRPr="00932D88">
        <w:rPr>
          <w:lang w:eastAsia="en-AU"/>
        </w:rPr>
        <w:t xml:space="preserve"> data available) and the grants master list.</w:t>
      </w:r>
    </w:p>
    <w:p w14:paraId="064E1DB0" w14:textId="77777777" w:rsidR="00932D88" w:rsidRPr="0030464E" w:rsidRDefault="00932D88" w:rsidP="00932D88">
      <w:pPr>
        <w:numPr>
          <w:ilvl w:val="0"/>
          <w:numId w:val="42"/>
        </w:numPr>
        <w:rPr>
          <w:lang w:eastAsia="en-AU"/>
        </w:rPr>
      </w:pPr>
      <w:r w:rsidRPr="0030464E">
        <w:rPr>
          <w:lang w:eastAsia="en-AU"/>
        </w:rPr>
        <w:t>Program documentation and literature, including 72 Activity Work Plans (AWPs), grant opportunity guidelines, and a review of evidence on community-based approaches, innovation trials, and programs supporting economic and social participation for target cohorts.</w:t>
      </w:r>
    </w:p>
    <w:p w14:paraId="7DD590B9" w14:textId="77777777" w:rsidR="00932D88" w:rsidRPr="0030464E" w:rsidRDefault="00932D88" w:rsidP="00932D88">
      <w:pPr>
        <w:numPr>
          <w:ilvl w:val="0"/>
          <w:numId w:val="42"/>
        </w:numPr>
        <w:rPr>
          <w:lang w:eastAsia="en-AU"/>
        </w:rPr>
      </w:pPr>
      <w:r w:rsidRPr="0030464E">
        <w:rPr>
          <w:lang w:eastAsia="en-AU"/>
        </w:rPr>
        <w:t>Interviews, surveys and focus groups, including 23 interviews and 51 survey responses from grant recipients, and 39 interviews and 21 survey responses from service users.</w:t>
      </w:r>
    </w:p>
    <w:p w14:paraId="051DF45C" w14:textId="77777777" w:rsidR="00932D88" w:rsidRPr="00932D88" w:rsidRDefault="00932D88" w:rsidP="00932D88">
      <w:pPr>
        <w:rPr>
          <w:lang w:eastAsia="en-AU"/>
        </w:rPr>
      </w:pPr>
      <w:r w:rsidRPr="0030464E">
        <w:rPr>
          <w:lang w:eastAsia="en-AU"/>
        </w:rPr>
        <w:lastRenderedPageBreak/>
        <w:t>The evaluation applied a mixed-methods approach</w:t>
      </w:r>
      <w:r w:rsidRPr="00932D88">
        <w:rPr>
          <w:lang w:eastAsia="en-AU"/>
        </w:rPr>
        <w:t>. Quantitative analysis involved descriptive analysis of outcome data to assess program effectiveness and cost-efficiency. Qualitative analysis used thematic analysis of program documentation, literature, interviews, focus groups and surveys to identify key themes and explain how and why outcomes were achieved.</w:t>
      </w:r>
    </w:p>
    <w:p w14:paraId="64860531" w14:textId="22A0E5CF" w:rsidR="00932D88" w:rsidRDefault="0030464E" w:rsidP="006E102A">
      <w:pPr>
        <w:rPr>
          <w:lang w:eastAsia="en-AU"/>
        </w:rPr>
      </w:pPr>
      <w:hyperlink w:anchor="figure_3" w:history="1">
        <w:r w:rsidRPr="00A75B1A">
          <w:rPr>
            <w:rStyle w:val="Hyperlink"/>
            <w:lang w:eastAsia="en-AU"/>
          </w:rPr>
          <w:t>Return to Figure 3</w:t>
        </w:r>
      </w:hyperlink>
      <w:r>
        <w:rPr>
          <w:lang w:eastAsia="en-AU"/>
        </w:rPr>
        <w:t xml:space="preserve"> </w:t>
      </w:r>
    </w:p>
    <w:p w14:paraId="5A4EED6A" w14:textId="7954A5CF" w:rsidR="00D22F66" w:rsidRDefault="00932D88" w:rsidP="0030464E">
      <w:pPr>
        <w:pStyle w:val="Heading4"/>
      </w:pPr>
      <w:bookmarkStart w:id="108" w:name="_Figure_5_description"/>
      <w:bookmarkEnd w:id="108"/>
      <w:r>
        <w:t>Figure</w:t>
      </w:r>
      <w:r w:rsidR="00D22F66">
        <w:t xml:space="preserve"> 5 </w:t>
      </w:r>
      <w:r w:rsidR="0030464E">
        <w:t>description</w:t>
      </w:r>
    </w:p>
    <w:p w14:paraId="1757CEEC" w14:textId="006C94FA" w:rsidR="00932D88" w:rsidRDefault="00D22F66" w:rsidP="00D22F66">
      <w:pPr>
        <w:rPr>
          <w:lang w:eastAsia="en-AU"/>
        </w:rPr>
      </w:pPr>
      <w:r w:rsidRPr="00D22F66">
        <w:rPr>
          <w:lang w:eastAsia="en-AU"/>
        </w:rPr>
        <w:t xml:space="preserve">The figure demonstrates </w:t>
      </w:r>
      <w:r w:rsidR="00932D88" w:rsidRPr="00D22F66">
        <w:rPr>
          <w:lang w:eastAsia="en-AU"/>
        </w:rPr>
        <w:t>how the SARC–IC program objectives align with Australian Government policy priorities for four target cohorts.</w:t>
      </w:r>
    </w:p>
    <w:p w14:paraId="3FFD6770" w14:textId="77777777" w:rsidR="00932D88" w:rsidRPr="0030464E" w:rsidRDefault="00932D88" w:rsidP="00932D88">
      <w:pPr>
        <w:rPr>
          <w:lang w:eastAsia="en-AU"/>
        </w:rPr>
      </w:pPr>
      <w:r w:rsidRPr="0030464E">
        <w:rPr>
          <w:lang w:eastAsia="en-AU"/>
        </w:rPr>
        <w:t>For young people aged 12–18 years who are disengaged or at risk of disengaging from education, SARC–IC aims to support reconnection with community, school, training and employment. This aligns with the National Youth Policy Framework, which promotes education, training, employment and community participation opportunities for young people.</w:t>
      </w:r>
    </w:p>
    <w:p w14:paraId="7775FB8A" w14:textId="77777777" w:rsidR="00932D88" w:rsidRPr="0030464E" w:rsidRDefault="00932D88" w:rsidP="00932D88">
      <w:pPr>
        <w:rPr>
          <w:lang w:eastAsia="en-AU"/>
        </w:rPr>
      </w:pPr>
      <w:r w:rsidRPr="0030464E">
        <w:rPr>
          <w:lang w:eastAsia="en-AU"/>
        </w:rPr>
        <w:t>For people with disability and/or mental health issues, SARC–IC aims to increase community participation, independence and engagement in economic and social life. This aligns with Australia’s Disability Strategy 2021–2031, which seeks to create an inclusive society where people with disability can participate fully in social, economic and community life.</w:t>
      </w:r>
    </w:p>
    <w:p w14:paraId="043FE4C2" w14:textId="77777777" w:rsidR="00932D88" w:rsidRPr="0030464E" w:rsidRDefault="00932D88" w:rsidP="00932D88">
      <w:pPr>
        <w:rPr>
          <w:lang w:eastAsia="en-AU"/>
        </w:rPr>
      </w:pPr>
      <w:r w:rsidRPr="0030464E">
        <w:rPr>
          <w:lang w:eastAsia="en-AU"/>
        </w:rPr>
        <w:t>For women experiencing, or at risk of experiencing, violence, isolation or discrimination, SARC–IC aims to increase participation in the community and economy and strengthen self-agency. This aligns with the National Plan to End Violence Against Women and Children 2022–2032, the 10-year Plan to Unleash the Full Capacity and Contribution of Women to the Australian Economy 2023–2033, and Working for Women: A Strategy for Gender Equality 2024–2034, all of which focus on preventing gender-based violence and advancing women's economic equality, participation and financial security.</w:t>
      </w:r>
    </w:p>
    <w:p w14:paraId="22379143" w14:textId="77777777" w:rsidR="00932D88" w:rsidRPr="00932D88" w:rsidRDefault="00932D88" w:rsidP="00932D88">
      <w:pPr>
        <w:rPr>
          <w:lang w:eastAsia="en-AU"/>
        </w:rPr>
      </w:pPr>
      <w:r w:rsidRPr="0030464E">
        <w:rPr>
          <w:lang w:eastAsia="en-AU"/>
        </w:rPr>
        <w:t>For people who are unemployed, SARC–IC aims to increase participation in community life and improve capacity to engage in employment,</w:t>
      </w:r>
      <w:r w:rsidRPr="00932D88">
        <w:rPr>
          <w:lang w:eastAsia="en-AU"/>
        </w:rPr>
        <w:t xml:space="preserve"> training and employment services. This aligns with the National Skills Agreement 2024–2029 and the National Foundational Skills Strategy 2025–2035, which focus on developing workforce skills, improving employability and supporting pathways to secure employment.</w:t>
      </w:r>
    </w:p>
    <w:p w14:paraId="15BAD7C5" w14:textId="707B94A8" w:rsidR="00D22F66" w:rsidRPr="006E102A" w:rsidRDefault="0030464E" w:rsidP="006E102A">
      <w:pPr>
        <w:rPr>
          <w:lang w:eastAsia="en-AU"/>
        </w:rPr>
      </w:pPr>
      <w:hyperlink w:anchor="figure_5" w:history="1">
        <w:r w:rsidRPr="00A75B1A">
          <w:rPr>
            <w:rStyle w:val="Hyperlink"/>
            <w:lang w:eastAsia="en-AU"/>
          </w:rPr>
          <w:t>Return to Figure 5</w:t>
        </w:r>
      </w:hyperlink>
      <w:r>
        <w:rPr>
          <w:lang w:eastAsia="en-AU"/>
        </w:rPr>
        <w:t xml:space="preserve"> </w:t>
      </w:r>
    </w:p>
    <w:p w14:paraId="1558B516" w14:textId="3F69E2C5" w:rsidR="00865A72" w:rsidRDefault="00026748" w:rsidP="0030464E">
      <w:pPr>
        <w:pStyle w:val="Heading4"/>
      </w:pPr>
      <w:bookmarkStart w:id="109" w:name="_Figure_6_description"/>
      <w:bookmarkEnd w:id="109"/>
      <w:r>
        <w:t xml:space="preserve">Figure 6 </w:t>
      </w:r>
      <w:r w:rsidR="0030464E">
        <w:t>description</w:t>
      </w:r>
    </w:p>
    <w:p w14:paraId="43A8ADA4" w14:textId="2B82B02C" w:rsidR="00865A72" w:rsidRDefault="00865A72" w:rsidP="00865A72">
      <w:pPr>
        <w:rPr>
          <w:lang w:eastAsia="en-AU"/>
        </w:rPr>
      </w:pPr>
      <w:r w:rsidRPr="00865A72">
        <w:rPr>
          <w:lang w:eastAsia="en-AU"/>
        </w:rPr>
        <w:t xml:space="preserve">Table comparing SARC–IC target cohorts with existing government and philanthropic programs and assessing the level of overlap. </w:t>
      </w:r>
      <w:r w:rsidRPr="00026748">
        <w:rPr>
          <w:lang w:eastAsia="en-AU"/>
        </w:rPr>
        <w:t xml:space="preserve">Reconnect (DSS), Transition to Work (DEWR), </w:t>
      </w:r>
      <w:r>
        <w:rPr>
          <w:lang w:eastAsia="en-AU"/>
        </w:rPr>
        <w:t>Information, Linkages and Capacity Building (ILC): Economic and Community Participation Program (DOHDA), Women’s Leadership and Development Program (WLDP</w:t>
      </w:r>
      <w:r w:rsidRPr="0030464E">
        <w:rPr>
          <w:lang w:eastAsia="en-AU"/>
        </w:rPr>
        <w:t>) Project Grants (PMC), Get Back in the Game (NSW), Skilling Queenslanders for Work (QLD) and Strive for Success – Youth Job Skills Training and Employment Program were assessed as having very high overlap with SARC–IC. Skills for Education and Employment (SEE) Program (DEWR) and the Commonwealth Outcomes Fund were assessed as having high overlap, while the Work Integration Social Enterprise (WISE) Grant was assessed as having moderate overlap. The figure indicates substantial alignment between SARC–IC and existing programs targeting similar cohorts and</w:t>
      </w:r>
      <w:r w:rsidRPr="00865A72">
        <w:rPr>
          <w:lang w:eastAsia="en-AU"/>
        </w:rPr>
        <w:t xml:space="preserve"> outcomes.</w:t>
      </w:r>
    </w:p>
    <w:p w14:paraId="499CBDE8" w14:textId="45CA2ECE" w:rsidR="002324B0" w:rsidRPr="00865A72" w:rsidRDefault="0030464E" w:rsidP="00865A72">
      <w:pPr>
        <w:rPr>
          <w:lang w:eastAsia="en-AU"/>
        </w:rPr>
      </w:pPr>
      <w:hyperlink w:anchor="figure_6" w:history="1">
        <w:r w:rsidRPr="006D3381">
          <w:rPr>
            <w:rStyle w:val="Hyperlink"/>
            <w:lang w:eastAsia="en-AU"/>
          </w:rPr>
          <w:t>Return to Figure 6</w:t>
        </w:r>
      </w:hyperlink>
    </w:p>
    <w:p w14:paraId="1A77341F" w14:textId="5C2D810C" w:rsidR="00865A72" w:rsidRDefault="002324B0" w:rsidP="0030464E">
      <w:pPr>
        <w:pStyle w:val="Heading4"/>
      </w:pPr>
      <w:bookmarkStart w:id="110" w:name="_Figure_8_description"/>
      <w:bookmarkEnd w:id="110"/>
      <w:r>
        <w:t xml:space="preserve">Figure 8 </w:t>
      </w:r>
      <w:r w:rsidR="0030464E">
        <w:t>description</w:t>
      </w:r>
    </w:p>
    <w:p w14:paraId="1E61677B" w14:textId="53927864" w:rsidR="002324B0" w:rsidRPr="002324B0" w:rsidRDefault="002324B0" w:rsidP="002324B0">
      <w:pPr>
        <w:rPr>
          <w:lang w:eastAsia="en-AU"/>
        </w:rPr>
      </w:pPr>
      <w:r w:rsidRPr="002324B0">
        <w:rPr>
          <w:lang w:eastAsia="en-AU"/>
        </w:rPr>
        <w:t xml:space="preserve">Stacked bar chart comparing participant </w:t>
      </w:r>
      <w:r>
        <w:rPr>
          <w:lang w:eastAsia="en-AU"/>
        </w:rPr>
        <w:t xml:space="preserve">mental health, wellbeing </w:t>
      </w:r>
      <w:r w:rsidRPr="002324B0">
        <w:rPr>
          <w:lang w:eastAsia="en-AU"/>
        </w:rPr>
        <w:t>self-assessment scores</w:t>
      </w:r>
      <w:r>
        <w:rPr>
          <w:lang w:eastAsia="en-AU"/>
        </w:rPr>
        <w:t xml:space="preserve"> </w:t>
      </w:r>
      <w:r w:rsidRPr="002324B0">
        <w:rPr>
          <w:lang w:eastAsia="en-AU"/>
        </w:rPr>
        <w:t xml:space="preserve">before and after participation in SARC–IC activities across all four target cohorts: young people aged 12–18, disadvantaged women, people with disability, and unemployed people. Scores range from 1 (lowest) to 5 (highest). </w:t>
      </w:r>
    </w:p>
    <w:p w14:paraId="19CB903C" w14:textId="77777777" w:rsidR="002324B0" w:rsidRDefault="002324B0" w:rsidP="002324B0">
      <w:pPr>
        <w:rPr>
          <w:lang w:eastAsia="en-AU"/>
        </w:rPr>
      </w:pPr>
      <w:r w:rsidRPr="002324B0">
        <w:rPr>
          <w:lang w:eastAsia="en-AU"/>
        </w:rPr>
        <w:t xml:space="preserve">Overall, the proportion of participants scoring 4 or 5 increased from 40% before participation to 63% after participation, while those scoring 1 or 2 decreased from 30% to 11%. Similar patterns are evident across all </w:t>
      </w:r>
      <w:r w:rsidRPr="002324B0">
        <w:rPr>
          <w:lang w:eastAsia="en-AU"/>
        </w:rPr>
        <w:lastRenderedPageBreak/>
        <w:t>target cohorts. For young people aged 12–18, scores of 4 or 5 increased from 32% to 63%; for disadvantaged women, from 34% to 57%; for people with disability, from 28% to 46%; and for unemployed participants, from 35% to 56%. The proportion of participants recording the lowest scores (1 or 2) decreased substantially across all cohorts, suggesting positive changes in participant outcomes following program involvement.</w:t>
      </w:r>
    </w:p>
    <w:p w14:paraId="76FAED31" w14:textId="01F732C4" w:rsidR="00D61198" w:rsidRDefault="0030464E" w:rsidP="002324B0">
      <w:pPr>
        <w:rPr>
          <w:lang w:eastAsia="en-AU"/>
        </w:rPr>
      </w:pPr>
      <w:hyperlink w:anchor="figure_8" w:history="1">
        <w:r w:rsidRPr="006D3381">
          <w:rPr>
            <w:rStyle w:val="Hyperlink"/>
            <w:lang w:eastAsia="en-AU"/>
          </w:rPr>
          <w:t>Return to Figure 8</w:t>
        </w:r>
      </w:hyperlink>
    </w:p>
    <w:p w14:paraId="72CF03F1" w14:textId="58BC8F43" w:rsidR="00D61198" w:rsidRDefault="00D61198" w:rsidP="0030464E">
      <w:pPr>
        <w:pStyle w:val="Heading4"/>
      </w:pPr>
      <w:bookmarkStart w:id="111" w:name="_Figure_9_description"/>
      <w:bookmarkEnd w:id="111"/>
      <w:r>
        <w:t xml:space="preserve">Figure 9 </w:t>
      </w:r>
      <w:r w:rsidR="0030464E">
        <w:t>description</w:t>
      </w:r>
    </w:p>
    <w:p w14:paraId="237A752B" w14:textId="77777777" w:rsidR="00D61198" w:rsidRPr="00D61198" w:rsidRDefault="00D61198" w:rsidP="00D61198">
      <w:pPr>
        <w:rPr>
          <w:lang w:eastAsia="en-AU"/>
        </w:rPr>
      </w:pPr>
      <w:r w:rsidRPr="00D61198">
        <w:rPr>
          <w:lang w:eastAsia="en-AU"/>
        </w:rPr>
        <w:t>Stacked bar chart comparing participant self-assessment employment outcomes before and after participation in SARC–IC activities across all participants and four target cohorts: young people aged 12–18, disadvantaged women, people with disability, and unemployed people. Scores range from 1 (lowest) to 5 (highest). Across all cohorts, the distribution shifts from lower scores (1 and 2) before participation toward higher scores (3, 4 and 5) after participation, indicating improved employment-related outcomes following program involvement.</w:t>
      </w:r>
    </w:p>
    <w:p w14:paraId="2BEDBD07" w14:textId="77777777" w:rsidR="00D61198" w:rsidRDefault="00D61198" w:rsidP="00D61198">
      <w:pPr>
        <w:rPr>
          <w:lang w:eastAsia="en-AU"/>
        </w:rPr>
      </w:pPr>
      <w:r w:rsidRPr="00D61198">
        <w:rPr>
          <w:lang w:eastAsia="en-AU"/>
        </w:rPr>
        <w:t>Overall, the proportion of participants reporting higher employment outcome scores (4 or 5) increased from 27% before participation to 50% after participation, while those reporting lower scores (1 or 2) decreased from 52% to 21%. Improvements were evident across all target cohorts. For young people aged 12–18, scores of 4 or 5 increased from 12% to 40%; for disadvantaged women, from 26% to 51%; for people with disability, from 23% to 37%; and for unemployed participants, from 26% to 50%. The proportion of participants reporting the lowest employment outcome scores (1 or 2) declined substantially across all cohorts, particularly among young people, disadvantaged women and unemployed participants.</w:t>
      </w:r>
    </w:p>
    <w:p w14:paraId="5A66E5C1" w14:textId="251AB1F8" w:rsidR="00A73565" w:rsidRDefault="0030464E" w:rsidP="00D61198">
      <w:pPr>
        <w:rPr>
          <w:lang w:eastAsia="en-AU"/>
        </w:rPr>
      </w:pPr>
      <w:hyperlink w:anchor="figure_9" w:history="1">
        <w:r w:rsidRPr="006D3381">
          <w:rPr>
            <w:rStyle w:val="Hyperlink"/>
            <w:lang w:eastAsia="en-AU"/>
          </w:rPr>
          <w:t>Return to Figure 9</w:t>
        </w:r>
      </w:hyperlink>
    </w:p>
    <w:p w14:paraId="7CEEF859" w14:textId="54D0D860" w:rsidR="00A73565" w:rsidRDefault="00A73565" w:rsidP="0030464E">
      <w:pPr>
        <w:pStyle w:val="Heading4"/>
      </w:pPr>
      <w:bookmarkStart w:id="112" w:name="_Figure_10_description"/>
      <w:bookmarkEnd w:id="112"/>
      <w:r>
        <w:t xml:space="preserve">Figure 10 </w:t>
      </w:r>
      <w:r w:rsidR="0030464E">
        <w:t>description</w:t>
      </w:r>
    </w:p>
    <w:p w14:paraId="72A18B99" w14:textId="23BEADF4" w:rsidR="00A73565" w:rsidRDefault="00A73565" w:rsidP="00A73565">
      <w:pPr>
        <w:rPr>
          <w:lang w:eastAsia="en-AU"/>
        </w:rPr>
      </w:pPr>
      <w:r w:rsidRPr="00A73565">
        <w:rPr>
          <w:lang w:eastAsia="en-AU"/>
        </w:rPr>
        <w:t xml:space="preserve">Stacked bar chart comparing self-reported ratings </w:t>
      </w:r>
      <w:r w:rsidR="00A6045C">
        <w:rPr>
          <w:lang w:eastAsia="en-AU"/>
        </w:rPr>
        <w:t xml:space="preserve">of community participation and network scores </w:t>
      </w:r>
      <w:r w:rsidRPr="00A73565">
        <w:rPr>
          <w:lang w:eastAsia="en-AU"/>
        </w:rPr>
        <w:t xml:space="preserve">(1 to 5) before and after participation </w:t>
      </w:r>
      <w:r w:rsidR="00A6045C">
        <w:rPr>
          <w:lang w:eastAsia="en-AU"/>
        </w:rPr>
        <w:t xml:space="preserve">in SARC – IC activities </w:t>
      </w:r>
      <w:r w:rsidRPr="00A73565">
        <w:rPr>
          <w:lang w:eastAsia="en-AU"/>
        </w:rPr>
        <w:t xml:space="preserve">for overall respondents and four cohorts: 12-18 year-olds, disadvantaged women, people with disability, and unemployed participants. Across all groups, ratings shift from lower scores (1-2) before participation to higher scores (4-5) after participation. Overall, the proportion rating 4 or 5 increased from 41% before to 73% after, while ratings 1 or 2 decreased from 31% to </w:t>
      </w:r>
      <w:r>
        <w:rPr>
          <w:lang w:eastAsia="en-AU"/>
        </w:rPr>
        <w:t>5</w:t>
      </w:r>
      <w:r w:rsidRPr="00A73565">
        <w:rPr>
          <w:lang w:eastAsia="en-AU"/>
        </w:rPr>
        <w:t xml:space="preserve">%. Similar improvements are evident across all cohorts, </w:t>
      </w:r>
      <w:r>
        <w:rPr>
          <w:lang w:eastAsia="en-AU"/>
        </w:rPr>
        <w:t>with scores of 4 -5 increasing. The largest increase in positive ratings was for</w:t>
      </w:r>
      <w:r w:rsidRPr="00D61198">
        <w:rPr>
          <w:lang w:eastAsia="en-AU"/>
        </w:rPr>
        <w:t xml:space="preserve"> young people aged 12–18, scores of 4 or 5 increased from </w:t>
      </w:r>
      <w:r>
        <w:rPr>
          <w:lang w:eastAsia="en-AU"/>
        </w:rPr>
        <w:t>30%</w:t>
      </w:r>
      <w:r w:rsidRPr="00D61198">
        <w:rPr>
          <w:lang w:eastAsia="en-AU"/>
        </w:rPr>
        <w:t xml:space="preserve"> to </w:t>
      </w:r>
      <w:r>
        <w:rPr>
          <w:lang w:eastAsia="en-AU"/>
        </w:rPr>
        <w:t>72</w:t>
      </w:r>
      <w:r w:rsidRPr="00D61198">
        <w:rPr>
          <w:lang w:eastAsia="en-AU"/>
        </w:rPr>
        <w:t xml:space="preserve">%; for disadvantaged women, from </w:t>
      </w:r>
      <w:r>
        <w:rPr>
          <w:lang w:eastAsia="en-AU"/>
        </w:rPr>
        <w:t>28</w:t>
      </w:r>
      <w:r w:rsidRPr="00D61198">
        <w:rPr>
          <w:lang w:eastAsia="en-AU"/>
        </w:rPr>
        <w:t xml:space="preserve">% to </w:t>
      </w:r>
      <w:r>
        <w:rPr>
          <w:lang w:eastAsia="en-AU"/>
        </w:rPr>
        <w:t>68</w:t>
      </w:r>
      <w:r w:rsidRPr="00D61198">
        <w:rPr>
          <w:lang w:eastAsia="en-AU"/>
        </w:rPr>
        <w:t>%; for people with disability, from 2</w:t>
      </w:r>
      <w:r>
        <w:rPr>
          <w:lang w:eastAsia="en-AU"/>
        </w:rPr>
        <w:t>5</w:t>
      </w:r>
      <w:r w:rsidRPr="00D61198">
        <w:rPr>
          <w:lang w:eastAsia="en-AU"/>
        </w:rPr>
        <w:t xml:space="preserve">% to </w:t>
      </w:r>
      <w:r>
        <w:rPr>
          <w:lang w:eastAsia="en-AU"/>
        </w:rPr>
        <w:t>61</w:t>
      </w:r>
      <w:r w:rsidRPr="00D61198">
        <w:rPr>
          <w:lang w:eastAsia="en-AU"/>
        </w:rPr>
        <w:t xml:space="preserve">%; and for unemployed participants, from </w:t>
      </w:r>
      <w:r>
        <w:rPr>
          <w:lang w:eastAsia="en-AU"/>
        </w:rPr>
        <w:t>27</w:t>
      </w:r>
      <w:r w:rsidRPr="00D61198">
        <w:rPr>
          <w:lang w:eastAsia="en-AU"/>
        </w:rPr>
        <w:t xml:space="preserve">% to </w:t>
      </w:r>
      <w:r>
        <w:rPr>
          <w:lang w:eastAsia="en-AU"/>
        </w:rPr>
        <w:t>67</w:t>
      </w:r>
      <w:r w:rsidRPr="00D61198">
        <w:rPr>
          <w:lang w:eastAsia="en-AU"/>
        </w:rPr>
        <w:t xml:space="preserve">%. </w:t>
      </w:r>
    </w:p>
    <w:p w14:paraId="26C44C93" w14:textId="39209EE9" w:rsidR="00A6045C" w:rsidRDefault="0030464E" w:rsidP="00A73565">
      <w:pPr>
        <w:rPr>
          <w:lang w:eastAsia="en-AU"/>
        </w:rPr>
      </w:pPr>
      <w:hyperlink w:anchor="figure_10" w:history="1">
        <w:r w:rsidRPr="006D3381">
          <w:rPr>
            <w:rStyle w:val="Hyperlink"/>
            <w:lang w:eastAsia="en-AU"/>
          </w:rPr>
          <w:t>Return to Figure 10</w:t>
        </w:r>
      </w:hyperlink>
    </w:p>
    <w:p w14:paraId="79C0C063" w14:textId="6B09CF50" w:rsidR="00A73565" w:rsidRDefault="00A6045C" w:rsidP="0030464E">
      <w:pPr>
        <w:pStyle w:val="Heading4"/>
      </w:pPr>
      <w:bookmarkStart w:id="113" w:name="_Figure_11_description"/>
      <w:bookmarkEnd w:id="113"/>
      <w:r>
        <w:t xml:space="preserve">Figure 11 </w:t>
      </w:r>
      <w:r w:rsidR="0030464E">
        <w:t>description</w:t>
      </w:r>
    </w:p>
    <w:p w14:paraId="49FC21AD" w14:textId="73954290" w:rsidR="00A6045C" w:rsidRDefault="00A6045C" w:rsidP="00A6045C">
      <w:pPr>
        <w:rPr>
          <w:lang w:eastAsia="en-AU"/>
        </w:rPr>
      </w:pPr>
      <w:r w:rsidRPr="00A6045C">
        <w:rPr>
          <w:lang w:eastAsia="en-AU"/>
        </w:rPr>
        <w:t>This</w:t>
      </w:r>
      <w:r>
        <w:rPr>
          <w:lang w:eastAsia="en-AU"/>
        </w:rPr>
        <w:t xml:space="preserve"> </w:t>
      </w:r>
      <w:r w:rsidRPr="00A6045C">
        <w:rPr>
          <w:lang w:eastAsia="en-AU"/>
        </w:rPr>
        <w:t xml:space="preserve">stacked bar chart compares participant ratings </w:t>
      </w:r>
      <w:r>
        <w:rPr>
          <w:lang w:eastAsia="en-AU"/>
        </w:rPr>
        <w:t xml:space="preserve">of education and skills training scores </w:t>
      </w:r>
      <w:r w:rsidRPr="00A6045C">
        <w:rPr>
          <w:lang w:eastAsia="en-AU"/>
        </w:rPr>
        <w:t xml:space="preserve">on a five-point scale (1 = lowest, 5 = highest) before and after participation </w:t>
      </w:r>
      <w:r>
        <w:rPr>
          <w:lang w:eastAsia="en-AU"/>
        </w:rPr>
        <w:t xml:space="preserve">in SARC – IC activities </w:t>
      </w:r>
      <w:r w:rsidRPr="00A6045C">
        <w:rPr>
          <w:lang w:eastAsia="en-AU"/>
        </w:rPr>
        <w:t>for all respondents and four target cohorts: 12-18 year-olds, disadvantaged women, people with disability, and unemployed participants. Across all cohorts, responses shifted towards higher ratings following participation</w:t>
      </w:r>
      <w:r>
        <w:rPr>
          <w:lang w:eastAsia="en-AU"/>
        </w:rPr>
        <w:t>.</w:t>
      </w:r>
      <w:r w:rsidRPr="00A6045C">
        <w:rPr>
          <w:lang w:eastAsia="en-AU"/>
        </w:rPr>
        <w:t xml:space="preserve"> </w:t>
      </w:r>
      <w:r w:rsidRPr="00D61198">
        <w:rPr>
          <w:lang w:eastAsia="en-AU"/>
        </w:rPr>
        <w:t xml:space="preserve">Overall, the proportion of participants reporting higher </w:t>
      </w:r>
      <w:r>
        <w:rPr>
          <w:lang w:eastAsia="en-AU"/>
        </w:rPr>
        <w:t>education and training</w:t>
      </w:r>
      <w:r w:rsidRPr="00D61198">
        <w:rPr>
          <w:lang w:eastAsia="en-AU"/>
        </w:rPr>
        <w:t xml:space="preserve"> outcome scores (4 or 5) increased from </w:t>
      </w:r>
      <w:r>
        <w:rPr>
          <w:lang w:eastAsia="en-AU"/>
        </w:rPr>
        <w:t>50</w:t>
      </w:r>
      <w:r w:rsidRPr="00D61198">
        <w:rPr>
          <w:lang w:eastAsia="en-AU"/>
        </w:rPr>
        <w:t xml:space="preserve">% before participation to </w:t>
      </w:r>
      <w:r>
        <w:rPr>
          <w:lang w:eastAsia="en-AU"/>
        </w:rPr>
        <w:t>72</w:t>
      </w:r>
      <w:r w:rsidRPr="00D61198">
        <w:rPr>
          <w:lang w:eastAsia="en-AU"/>
        </w:rPr>
        <w:t xml:space="preserve">% after participation, </w:t>
      </w:r>
      <w:r w:rsidRPr="00A6045C">
        <w:rPr>
          <w:lang w:eastAsia="en-AU"/>
        </w:rPr>
        <w:t>while ratings of 1 or 2 decreased from 30% to 8%.</w:t>
      </w:r>
      <w:r>
        <w:rPr>
          <w:lang w:eastAsia="en-AU"/>
        </w:rPr>
        <w:t xml:space="preserve"> I</w:t>
      </w:r>
      <w:r w:rsidRPr="00D61198">
        <w:rPr>
          <w:lang w:eastAsia="en-AU"/>
        </w:rPr>
        <w:t xml:space="preserve">mprovements were evident across all target cohorts. For young people aged 12–18, scores of 4 or 5 increased from </w:t>
      </w:r>
      <w:r w:rsidR="007F157D">
        <w:rPr>
          <w:lang w:eastAsia="en-AU"/>
        </w:rPr>
        <w:t>36</w:t>
      </w:r>
      <w:r>
        <w:rPr>
          <w:lang w:eastAsia="en-AU"/>
        </w:rPr>
        <w:t xml:space="preserve">% </w:t>
      </w:r>
      <w:r w:rsidRPr="00D61198">
        <w:rPr>
          <w:lang w:eastAsia="en-AU"/>
        </w:rPr>
        <w:t xml:space="preserve">to </w:t>
      </w:r>
      <w:r w:rsidR="007F157D">
        <w:rPr>
          <w:lang w:eastAsia="en-AU"/>
        </w:rPr>
        <w:t>74</w:t>
      </w:r>
      <w:r w:rsidRPr="00D61198">
        <w:rPr>
          <w:lang w:eastAsia="en-AU"/>
        </w:rPr>
        <w:t xml:space="preserve">%; for disadvantaged women, from </w:t>
      </w:r>
      <w:r w:rsidR="007F157D">
        <w:rPr>
          <w:lang w:eastAsia="en-AU"/>
        </w:rPr>
        <w:t>41</w:t>
      </w:r>
      <w:r w:rsidRPr="00D61198">
        <w:rPr>
          <w:lang w:eastAsia="en-AU"/>
        </w:rPr>
        <w:t xml:space="preserve">% to </w:t>
      </w:r>
      <w:r w:rsidR="007F157D">
        <w:rPr>
          <w:lang w:eastAsia="en-AU"/>
        </w:rPr>
        <w:t>67</w:t>
      </w:r>
      <w:r w:rsidRPr="00D61198">
        <w:rPr>
          <w:lang w:eastAsia="en-AU"/>
        </w:rPr>
        <w:t xml:space="preserve">%; for people with disability, from </w:t>
      </w:r>
      <w:r w:rsidR="007F157D">
        <w:rPr>
          <w:lang w:eastAsia="en-AU"/>
        </w:rPr>
        <w:t>34</w:t>
      </w:r>
      <w:r w:rsidRPr="00D61198">
        <w:rPr>
          <w:lang w:eastAsia="en-AU"/>
        </w:rPr>
        <w:t xml:space="preserve">% to </w:t>
      </w:r>
      <w:r w:rsidR="007F157D">
        <w:rPr>
          <w:lang w:eastAsia="en-AU"/>
        </w:rPr>
        <w:t>52</w:t>
      </w:r>
      <w:r w:rsidRPr="00D61198">
        <w:rPr>
          <w:lang w:eastAsia="en-AU"/>
        </w:rPr>
        <w:t xml:space="preserve">%; and for unemployed participants, from </w:t>
      </w:r>
      <w:r w:rsidR="007F157D">
        <w:rPr>
          <w:lang w:eastAsia="en-AU"/>
        </w:rPr>
        <w:t>37</w:t>
      </w:r>
      <w:r w:rsidRPr="00D61198">
        <w:rPr>
          <w:lang w:eastAsia="en-AU"/>
        </w:rPr>
        <w:t xml:space="preserve">% to </w:t>
      </w:r>
      <w:r w:rsidR="007F157D">
        <w:rPr>
          <w:lang w:eastAsia="en-AU"/>
        </w:rPr>
        <w:t>67</w:t>
      </w:r>
      <w:r w:rsidRPr="00D61198">
        <w:rPr>
          <w:lang w:eastAsia="en-AU"/>
        </w:rPr>
        <w:t xml:space="preserve">%. </w:t>
      </w:r>
    </w:p>
    <w:p w14:paraId="4C1D32C6" w14:textId="4535BD89" w:rsidR="00A6045C" w:rsidRDefault="0030464E" w:rsidP="00A6045C">
      <w:pPr>
        <w:rPr>
          <w:lang w:eastAsia="en-AU"/>
        </w:rPr>
      </w:pPr>
      <w:hyperlink w:anchor="figure_11" w:history="1">
        <w:r w:rsidRPr="006D3381">
          <w:rPr>
            <w:rStyle w:val="Hyperlink"/>
            <w:lang w:eastAsia="en-AU"/>
          </w:rPr>
          <w:t>Return to Figure 11</w:t>
        </w:r>
      </w:hyperlink>
    </w:p>
    <w:p w14:paraId="66A43C15" w14:textId="6BEBC440" w:rsidR="00A6045C" w:rsidRDefault="0030464E" w:rsidP="0030464E">
      <w:pPr>
        <w:pStyle w:val="Heading4"/>
      </w:pPr>
      <w:bookmarkStart w:id="114" w:name="_Appendix_A-_Program"/>
      <w:bookmarkEnd w:id="114"/>
      <w:r>
        <w:lastRenderedPageBreak/>
        <w:t xml:space="preserve">Appendix A- </w:t>
      </w:r>
      <w:r w:rsidR="00404CE9">
        <w:t xml:space="preserve">Program Logic </w:t>
      </w:r>
      <w:r>
        <w:t>description</w:t>
      </w:r>
    </w:p>
    <w:p w14:paraId="2A02CACC" w14:textId="5A2A3AED" w:rsidR="00404CE9" w:rsidRPr="00404CE9" w:rsidRDefault="00404CE9" w:rsidP="00404CE9">
      <w:pPr>
        <w:rPr>
          <w:lang w:eastAsia="en-AU"/>
        </w:rPr>
      </w:pPr>
      <w:r w:rsidRPr="00404CE9">
        <w:rPr>
          <w:i/>
          <w:iCs/>
          <w:lang w:eastAsia="en-AU"/>
        </w:rPr>
        <w:t xml:space="preserve">Program logic diagram for the SARC–IC program showing how policy objectives are translated into inputs, activities, outputs and outcomes for the Department, grant recipients and service users. The overall program goal is to improve social and economic engagement for vulnerable cohorts. The theory of change is that locally designed and delivered initiatives that </w:t>
      </w:r>
      <w:r>
        <w:rPr>
          <w:i/>
          <w:iCs/>
          <w:lang w:eastAsia="en-AU"/>
        </w:rPr>
        <w:t>reflect the unique needs of their community are best placed to increase social and economic engagement of people experience vulnerabilities. T</w:t>
      </w:r>
      <w:r w:rsidRPr="00404CE9">
        <w:rPr>
          <w:i/>
          <w:iCs/>
          <w:lang w:eastAsia="en-AU"/>
        </w:rPr>
        <w:t>esting innovative approaches</w:t>
      </w:r>
      <w:r>
        <w:rPr>
          <w:i/>
          <w:iCs/>
          <w:lang w:eastAsia="en-AU"/>
        </w:rPr>
        <w:t xml:space="preserve"> will help to develop and evidence </w:t>
      </w:r>
      <w:r w:rsidR="00C560B2">
        <w:rPr>
          <w:i/>
          <w:iCs/>
          <w:lang w:eastAsia="en-AU"/>
        </w:rPr>
        <w:t>based</w:t>
      </w:r>
      <w:r>
        <w:rPr>
          <w:i/>
          <w:iCs/>
          <w:lang w:eastAsia="en-AU"/>
        </w:rPr>
        <w:t xml:space="preserve"> on what works to improve outcomes. </w:t>
      </w:r>
    </w:p>
    <w:p w14:paraId="482AB586" w14:textId="77777777" w:rsidR="00404CE9" w:rsidRPr="00404CE9" w:rsidRDefault="00404CE9" w:rsidP="00404CE9">
      <w:pPr>
        <w:rPr>
          <w:lang w:eastAsia="en-AU"/>
        </w:rPr>
      </w:pPr>
      <w:r w:rsidRPr="00404CE9">
        <w:rPr>
          <w:i/>
          <w:iCs/>
          <w:lang w:eastAsia="en-AU"/>
        </w:rPr>
        <w:t>The policy context explains that SARC–IC supports the Department’s objective of supporting families and communities through place-based and community-led approaches. The program targets four cohorts: young people at risk of disengaging from education or employment, women experiencing disadvantage or isolation, people with disability including mental health conditions, and unemployed people. Core design elements are targeted cohorts, place-based delivery, and testing new approaches rather than ongoing service delivery.</w:t>
      </w:r>
    </w:p>
    <w:p w14:paraId="29829F1C" w14:textId="77777777" w:rsidR="00404CE9" w:rsidRPr="00404CE9" w:rsidRDefault="00404CE9" w:rsidP="00404CE9">
      <w:pPr>
        <w:rPr>
          <w:lang w:eastAsia="en-AU"/>
        </w:rPr>
      </w:pPr>
      <w:r w:rsidRPr="00404CE9">
        <w:rPr>
          <w:i/>
          <w:iCs/>
          <w:lang w:eastAsia="en-AU"/>
        </w:rPr>
        <w:t>For the Department, inputs include policy frameworks, approximately $63 million in funding over five rounds, funding agreements, grant management and operating resources. Activities include program design and governance, grants administration, stakeholder engagement, communications and monitoring of financial and outcomes reporting. Outputs include service delivery and outcomes data and capability-building products. Outcomes include increased sector capability, evidence on innovative service models, greater understanding of what works in different circumstances, and increased capacity to support innovation.</w:t>
      </w:r>
    </w:p>
    <w:p w14:paraId="131ECF50" w14:textId="77777777" w:rsidR="00404CE9" w:rsidRPr="00404CE9" w:rsidRDefault="00404CE9" w:rsidP="00404CE9">
      <w:pPr>
        <w:rPr>
          <w:lang w:eastAsia="en-AU"/>
        </w:rPr>
      </w:pPr>
      <w:r w:rsidRPr="00404CE9">
        <w:rPr>
          <w:i/>
          <w:iCs/>
          <w:lang w:eastAsia="en-AU"/>
        </w:rPr>
        <w:t>For grant recipients, activities include consulting communities to identify priorities and delivering innovative service models focused on vocational capacity building, employment linkages, education and skills, health linkages, personal capacity building and social connection. Outputs include development of new service models, staff capability building, improved impact measurement and communication, and implementation of technologies or systems to improve service delivery. Outcomes include improved understanding of effective service delivery approaches, increased capability to deliver and evaluate innovative services, stronger communication of impact and lessons learned, and greater sustainability for successful pilots.</w:t>
      </w:r>
    </w:p>
    <w:p w14:paraId="11216506" w14:textId="77777777" w:rsidR="00C560B2" w:rsidRDefault="00404CE9" w:rsidP="00404CE9">
      <w:pPr>
        <w:rPr>
          <w:i/>
          <w:iCs/>
          <w:lang w:eastAsia="en-AU"/>
        </w:rPr>
      </w:pPr>
      <w:r w:rsidRPr="00404CE9">
        <w:rPr>
          <w:i/>
          <w:iCs/>
          <w:lang w:eastAsia="en-AU"/>
        </w:rPr>
        <w:t xml:space="preserve">For service users, activities consist of participation in program activities. Outputs are measured as the number of sessions or supports delivered and participant engagement in those activities. Outcomes include increased engagement in employment, education and training, improved wellbeing, and increased social participation and community engagement. </w:t>
      </w:r>
    </w:p>
    <w:p w14:paraId="2003F73F" w14:textId="492D543F" w:rsidR="00404CE9" w:rsidRPr="00404CE9" w:rsidRDefault="00404CE9" w:rsidP="00404CE9">
      <w:pPr>
        <w:rPr>
          <w:lang w:eastAsia="en-AU"/>
        </w:rPr>
      </w:pPr>
      <w:r w:rsidRPr="00404CE9">
        <w:rPr>
          <w:i/>
          <w:iCs/>
          <w:lang w:eastAsia="en-AU"/>
        </w:rPr>
        <w:t xml:space="preserve">Arrows connecting each stage show the intended pathway from </w:t>
      </w:r>
      <w:r w:rsidR="00C560B2">
        <w:rPr>
          <w:i/>
          <w:iCs/>
          <w:lang w:eastAsia="en-AU"/>
        </w:rPr>
        <w:t xml:space="preserve">inputs to </w:t>
      </w:r>
      <w:r w:rsidRPr="00404CE9">
        <w:rPr>
          <w:i/>
          <w:iCs/>
          <w:lang w:eastAsia="en-AU"/>
        </w:rPr>
        <w:t>activities through to outputs and outcomes for all stakeholder groups.</w:t>
      </w:r>
    </w:p>
    <w:p w14:paraId="359755EE" w14:textId="2FC0E68B" w:rsidR="00404CE9" w:rsidRDefault="0030464E" w:rsidP="00A6045C">
      <w:pPr>
        <w:rPr>
          <w:lang w:eastAsia="en-AU"/>
        </w:rPr>
      </w:pPr>
      <w:hyperlink w:anchor="appendix_a" w:history="1">
        <w:r w:rsidRPr="006D3381">
          <w:rPr>
            <w:rStyle w:val="Hyperlink"/>
            <w:lang w:eastAsia="en-AU"/>
          </w:rPr>
          <w:t>Return to Appendix A – Program Logic</w:t>
        </w:r>
      </w:hyperlink>
      <w:r>
        <w:rPr>
          <w:lang w:eastAsia="en-AU"/>
        </w:rPr>
        <w:t xml:space="preserve"> </w:t>
      </w:r>
    </w:p>
    <w:p w14:paraId="6FB35677" w14:textId="77777777" w:rsidR="00A6045C" w:rsidRDefault="00A6045C" w:rsidP="00A6045C">
      <w:pPr>
        <w:rPr>
          <w:lang w:eastAsia="en-AU"/>
        </w:rPr>
      </w:pPr>
    </w:p>
    <w:p w14:paraId="2787F692" w14:textId="6B668906" w:rsidR="00A6045C" w:rsidRDefault="00A6045C" w:rsidP="00A73565">
      <w:pPr>
        <w:rPr>
          <w:lang w:eastAsia="en-AU"/>
        </w:rPr>
      </w:pPr>
    </w:p>
    <w:p w14:paraId="2E4F33A4" w14:textId="77777777" w:rsidR="00A73565" w:rsidRPr="00D61198" w:rsidRDefault="00A73565" w:rsidP="00D61198">
      <w:pPr>
        <w:rPr>
          <w:lang w:eastAsia="en-AU"/>
        </w:rPr>
      </w:pPr>
    </w:p>
    <w:p w14:paraId="3FB6EDBB" w14:textId="77777777" w:rsidR="00D61198" w:rsidRPr="002324B0" w:rsidRDefault="00D61198" w:rsidP="002324B0">
      <w:pPr>
        <w:rPr>
          <w:lang w:eastAsia="en-AU"/>
        </w:rPr>
      </w:pPr>
    </w:p>
    <w:p w14:paraId="60726914" w14:textId="77777777" w:rsidR="002324B0" w:rsidRDefault="002324B0" w:rsidP="006E102A">
      <w:pPr>
        <w:rPr>
          <w:lang w:eastAsia="en-AU"/>
        </w:rPr>
      </w:pPr>
    </w:p>
    <w:p w14:paraId="27E3264C" w14:textId="69447940" w:rsidR="006E102A" w:rsidRDefault="006E102A">
      <w:pPr>
        <w:spacing w:after="160"/>
      </w:pPr>
      <w:r>
        <w:br w:type="page"/>
      </w:r>
      <w:r>
        <w:lastRenderedPageBreak/>
        <w:t>A</w:t>
      </w:r>
    </w:p>
    <w:p w14:paraId="1D1505EA" w14:textId="77777777" w:rsidR="00C056F8" w:rsidRDefault="00C056F8">
      <w:pPr>
        <w:spacing w:after="160"/>
      </w:pPr>
    </w:p>
    <w:p w14:paraId="5148989B" w14:textId="77777777" w:rsidR="006E102A" w:rsidRDefault="006E102A">
      <w:pPr>
        <w:spacing w:after="160"/>
      </w:pPr>
    </w:p>
    <w:p w14:paraId="2579B2AD" w14:textId="77777777" w:rsidR="006E102A" w:rsidRDefault="006E102A">
      <w:pPr>
        <w:spacing w:after="160"/>
      </w:pPr>
    </w:p>
    <w:p w14:paraId="48E06C6A" w14:textId="77777777" w:rsidR="006E102A" w:rsidRDefault="006E102A">
      <w:pPr>
        <w:spacing w:after="160"/>
      </w:pPr>
    </w:p>
    <w:p w14:paraId="37853BEC" w14:textId="77777777" w:rsidR="006E102A" w:rsidRDefault="006E102A">
      <w:pPr>
        <w:spacing w:after="160"/>
      </w:pPr>
    </w:p>
    <w:p w14:paraId="4C6E873C" w14:textId="6414C06D" w:rsidR="00C056F8" w:rsidRDefault="00C056F8">
      <w:pPr>
        <w:spacing w:after="160"/>
      </w:pPr>
    </w:p>
    <w:p w14:paraId="47857E30" w14:textId="3BAC826F" w:rsidR="00BC0F96" w:rsidRPr="001B6D21" w:rsidRDefault="00C056F8" w:rsidP="00C056F8">
      <w:pPr>
        <w:spacing w:after="160"/>
      </w:pPr>
      <w:r>
        <w:rPr>
          <w:noProof/>
        </w:rPr>
        <w:drawing>
          <wp:anchor distT="0" distB="0" distL="114300" distR="114300" simplePos="0" relativeHeight="251658280" behindDoc="0" locked="0" layoutInCell="1" allowOverlap="1" wp14:anchorId="2105B76B" wp14:editId="1F4A15CC">
            <wp:simplePos x="0" y="0"/>
            <wp:positionH relativeFrom="page">
              <wp:align>left</wp:align>
            </wp:positionH>
            <wp:positionV relativeFrom="page">
              <wp:align>bottom</wp:align>
            </wp:positionV>
            <wp:extent cx="7563599" cy="9788187"/>
            <wp:effectExtent l="0" t="0" r="0" b="3810"/>
            <wp:wrapNone/>
            <wp:docPr id="280299926"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99926" name="Picture 69">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563599" cy="9788187"/>
                    </a:xfrm>
                    <a:prstGeom prst="rect">
                      <a:avLst/>
                    </a:prstGeom>
                  </pic:spPr>
                </pic:pic>
              </a:graphicData>
            </a:graphic>
            <wp14:sizeRelH relativeFrom="margin">
              <wp14:pctWidth>0</wp14:pctWidth>
            </wp14:sizeRelH>
            <wp14:sizeRelV relativeFrom="margin">
              <wp14:pctHeight>0</wp14:pctHeight>
            </wp14:sizeRelV>
          </wp:anchor>
        </w:drawing>
      </w:r>
    </w:p>
    <w:sectPr w:rsidR="00BC0F96" w:rsidRPr="001B6D21" w:rsidSect="00030C25">
      <w:pgSz w:w="11907" w:h="16839" w:code="9"/>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E665" w14:textId="77777777" w:rsidR="00493FD4" w:rsidRPr="001B6D21" w:rsidRDefault="00493FD4" w:rsidP="00302076">
      <w:pPr>
        <w:spacing w:after="0"/>
      </w:pPr>
      <w:r w:rsidRPr="001B6D21">
        <w:separator/>
      </w:r>
    </w:p>
  </w:endnote>
  <w:endnote w:type="continuationSeparator" w:id="0">
    <w:p w14:paraId="6A5D14C3" w14:textId="77777777" w:rsidR="00493FD4" w:rsidRPr="001B6D21" w:rsidRDefault="00493FD4" w:rsidP="00302076">
      <w:pPr>
        <w:spacing w:after="0"/>
      </w:pPr>
      <w:r w:rsidRPr="001B6D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ZWAdobeF">
    <w:altName w:val="Calibri"/>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0C19" w14:textId="0C073D5D" w:rsidR="0049607F" w:rsidRPr="00FD4AB1" w:rsidRDefault="0049607F" w:rsidP="00FD4AB1">
    <w:pPr>
      <w:pStyle w:val="Footer"/>
      <w:rPr>
        <w:rFonts w:ascii="Segoe UI Semibold" w:hAnsi="Segoe UI Semibold" w:cs="Segoe UI"/>
        <w:b/>
      </w:rPr>
    </w:pPr>
    <w:r>
      <w:rPr>
        <w:color w:val="808080" w:themeColor="background1" w:themeShade="80"/>
        <w:szCs w:val="15"/>
        <w:lang w:eastAsia="en-AU"/>
      </w:rPr>
      <w:t xml:space="preserve">Nous Group | </w:t>
    </w:r>
    <w:r w:rsidR="00DE0370">
      <w:rPr>
        <w:color w:val="808080" w:themeColor="background1" w:themeShade="80"/>
        <w:szCs w:val="15"/>
        <w:lang w:eastAsia="en-AU"/>
      </w:rPr>
      <w:t>Strong and Resilient Communities – Inclusive Communities Grant Evaluation | Final Report</w:t>
    </w:r>
    <w:r>
      <w:rPr>
        <w:color w:val="808080" w:themeColor="background1" w:themeShade="80"/>
        <w:szCs w:val="15"/>
        <w:lang w:eastAsia="en-AU"/>
      </w:rPr>
      <w:t xml:space="preserve"> | </w:t>
    </w:r>
    <w:r w:rsidR="00E641BA">
      <w:rPr>
        <w:color w:val="808080" w:themeColor="background1" w:themeShade="80"/>
        <w:szCs w:val="15"/>
        <w:lang w:eastAsia="en-AU"/>
      </w:rPr>
      <w:t>10 April 2026</w:t>
    </w:r>
    <w:r w:rsidRPr="00FD4AB1">
      <w:rPr>
        <w:rFonts w:ascii="Segoe UI Semibold" w:hAnsi="Segoe UI Semibold" w:cs="Segoe UI"/>
        <w:color w:val="A5A5A5"/>
      </w:rPr>
      <w:ptab w:relativeTo="margin" w:alignment="right" w:leader="none"/>
    </w:r>
    <w:r w:rsidRPr="00FD4AB1">
      <w:rPr>
        <w:rFonts w:cs="Segoe UI"/>
        <w:color w:val="A5A5A5"/>
      </w:rPr>
      <w:t xml:space="preserve">| </w:t>
    </w:r>
    <w:r w:rsidRPr="003B464C">
      <w:rPr>
        <w:rFonts w:cs="Segoe UI"/>
        <w:b/>
        <w:color w:val="A5A5A5"/>
        <w:sz w:val="16"/>
        <w:szCs w:val="16"/>
      </w:rPr>
      <w:fldChar w:fldCharType="begin"/>
    </w:r>
    <w:r w:rsidRPr="003B464C">
      <w:rPr>
        <w:rFonts w:cs="Segoe UI"/>
        <w:color w:val="A5A5A5"/>
        <w:sz w:val="16"/>
        <w:szCs w:val="16"/>
      </w:rPr>
      <w:instrText xml:space="preserve"> PAGE  \* roman  \* MERGEFORMAT </w:instrText>
    </w:r>
    <w:r w:rsidRPr="003B464C">
      <w:rPr>
        <w:rFonts w:cs="Segoe UI"/>
        <w:b/>
        <w:color w:val="A5A5A5"/>
        <w:sz w:val="16"/>
        <w:szCs w:val="16"/>
      </w:rPr>
      <w:fldChar w:fldCharType="separate"/>
    </w:r>
    <w:r w:rsidRPr="00F75386">
      <w:rPr>
        <w:rFonts w:cs="Segoe UI"/>
        <w:b/>
        <w:noProof/>
        <w:color w:val="A5A5A5"/>
        <w:sz w:val="16"/>
        <w:szCs w:val="16"/>
      </w:rPr>
      <w:t>i</w:t>
    </w:r>
    <w:r w:rsidRPr="003B464C">
      <w:rPr>
        <w:rFonts w:cs="Segoe UI"/>
        <w:b/>
        <w:color w:val="A5A5A5"/>
        <w:sz w:val="16"/>
        <w:szCs w:val="16"/>
      </w:rPr>
      <w:fldChar w:fldCharType="end"/>
    </w:r>
    <w:r w:rsidRPr="003B464C">
      <w:rPr>
        <w:rFonts w:cs="Segoe UI"/>
        <w:color w:val="A5A5A5"/>
        <w:sz w:val="16"/>
        <w:szCs w:val="16"/>
      </w:rPr>
      <w:t xml:space="preserve"> </w:t>
    </w:r>
    <w:r w:rsidRPr="00FD4AB1">
      <w:rPr>
        <w:rFonts w:cs="Segoe UI"/>
        <w:color w:val="A5A5A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1A98" w14:textId="357A0ED5" w:rsidR="00FD4AB1" w:rsidRPr="001B6D21" w:rsidRDefault="00294C7F" w:rsidP="00FD4AB1">
    <w:pPr>
      <w:pStyle w:val="Footer"/>
      <w:rPr>
        <w:rFonts w:ascii="Segoe UI Semibold" w:hAnsi="Segoe UI Semibold" w:cs="Segoe UI"/>
        <w:b/>
      </w:rPr>
    </w:pPr>
    <w:r w:rsidRPr="001B6D21">
      <w:rPr>
        <w:color w:val="808080" w:themeColor="background1" w:themeShade="80"/>
        <w:szCs w:val="15"/>
        <w:lang w:eastAsia="en-AU"/>
      </w:rPr>
      <w:t xml:space="preserve">Nous Group | </w:t>
    </w:r>
    <w:r w:rsidR="00DE0370">
      <w:rPr>
        <w:color w:val="808080" w:themeColor="background1" w:themeShade="80"/>
        <w:szCs w:val="15"/>
        <w:lang w:eastAsia="en-AU"/>
      </w:rPr>
      <w:t>Strong and Resilient Communities – Inclusive Communities Grant Evaluation | Final Report</w:t>
    </w:r>
    <w:r w:rsidRPr="001B6D21">
      <w:rPr>
        <w:color w:val="808080" w:themeColor="background1" w:themeShade="80"/>
        <w:szCs w:val="15"/>
        <w:lang w:eastAsia="en-AU"/>
      </w:rPr>
      <w:t xml:space="preserve"> | </w:t>
    </w:r>
    <w:r w:rsidR="00E641BA">
      <w:rPr>
        <w:color w:val="808080" w:themeColor="background1" w:themeShade="80"/>
        <w:szCs w:val="15"/>
        <w:lang w:eastAsia="en-AU"/>
      </w:rPr>
      <w:t>10 April 2026</w:t>
    </w:r>
    <w:r w:rsidR="00FD4AB1" w:rsidRPr="001B6D21">
      <w:rPr>
        <w:rFonts w:ascii="Segoe UI Semibold" w:hAnsi="Segoe UI Semibold" w:cs="Segoe UI"/>
        <w:color w:val="A5A5A5"/>
      </w:rPr>
      <w:ptab w:relativeTo="margin" w:alignment="right" w:leader="none"/>
    </w:r>
    <w:r w:rsidR="00FD4AB1" w:rsidRPr="001B6D21">
      <w:rPr>
        <w:rFonts w:cs="Segoe UI"/>
        <w:color w:val="A5A5A5"/>
      </w:rPr>
      <w:t xml:space="preserve">| </w:t>
    </w:r>
    <w:r w:rsidR="00FD4AB1" w:rsidRPr="001B6D21">
      <w:rPr>
        <w:rFonts w:cs="Segoe UI"/>
        <w:color w:val="A5A5A5"/>
        <w:sz w:val="16"/>
        <w:szCs w:val="16"/>
      </w:rPr>
      <w:fldChar w:fldCharType="begin"/>
    </w:r>
    <w:r w:rsidR="00FD4AB1" w:rsidRPr="001B6D21">
      <w:rPr>
        <w:rFonts w:cs="Segoe UI"/>
        <w:color w:val="A5A5A5"/>
        <w:sz w:val="16"/>
        <w:szCs w:val="16"/>
      </w:rPr>
      <w:instrText xml:space="preserve"> PAGE  \* roman  \* MERGEFORMAT </w:instrText>
    </w:r>
    <w:r w:rsidR="00FD4AB1" w:rsidRPr="001B6D21">
      <w:rPr>
        <w:rFonts w:cs="Segoe UI"/>
        <w:color w:val="A5A5A5"/>
        <w:sz w:val="16"/>
        <w:szCs w:val="16"/>
      </w:rPr>
      <w:fldChar w:fldCharType="separate"/>
    </w:r>
    <w:r w:rsidR="00836AA0" w:rsidRPr="001B6D21">
      <w:rPr>
        <w:rFonts w:cs="Segoe UI"/>
        <w:color w:val="A5A5A5"/>
        <w:sz w:val="16"/>
        <w:szCs w:val="16"/>
      </w:rPr>
      <w:t>ii</w:t>
    </w:r>
    <w:r w:rsidR="00FD4AB1" w:rsidRPr="001B6D21">
      <w:rPr>
        <w:rFonts w:cs="Segoe UI"/>
        <w:color w:val="A5A5A5"/>
        <w:sz w:val="16"/>
        <w:szCs w:val="16"/>
      </w:rPr>
      <w:fldChar w:fldCharType="end"/>
    </w:r>
    <w:r w:rsidR="00FD4AB1" w:rsidRPr="001B6D21">
      <w:rPr>
        <w:rFonts w:cs="Segoe UI"/>
        <w:color w:val="A5A5A5"/>
        <w:sz w:val="16"/>
        <w:szCs w:val="16"/>
      </w:rPr>
      <w:t xml:space="preserve"> </w:t>
    </w:r>
    <w:r w:rsidR="00FD4AB1" w:rsidRPr="001B6D21">
      <w:rPr>
        <w:rFonts w:cs="Segoe UI"/>
        <w:color w:val="A5A5A5"/>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4BB7" w14:textId="2715CF4F" w:rsidR="009414E0" w:rsidRPr="001B6D21" w:rsidRDefault="009414E0" w:rsidP="00FD4AB1">
    <w:pPr>
      <w:pStyle w:val="Footer"/>
      <w:rPr>
        <w:rFonts w:cs="Segoe UI"/>
        <w:b/>
      </w:rPr>
    </w:pPr>
    <w:r w:rsidRPr="001B6D21">
      <w:rPr>
        <w:rFonts w:cs="Segoe UI"/>
        <w:color w:val="808080" w:themeColor="background1" w:themeShade="80"/>
        <w:szCs w:val="15"/>
        <w:lang w:eastAsia="en-AU"/>
      </w:rPr>
      <w:t xml:space="preserve">Nous Group | </w:t>
    </w:r>
    <w:r w:rsidR="00DE0370">
      <w:rPr>
        <w:rFonts w:cs="Segoe UI"/>
        <w:color w:val="808080" w:themeColor="background1" w:themeShade="80"/>
        <w:szCs w:val="15"/>
        <w:lang w:eastAsia="en-AU"/>
      </w:rPr>
      <w:t>Strong and Resilient Communities – Inclusive Communities Grant Evaluation | Final Report</w:t>
    </w:r>
    <w:r w:rsidRPr="001B6D21">
      <w:rPr>
        <w:rFonts w:cs="Segoe UI"/>
        <w:color w:val="808080" w:themeColor="background1" w:themeShade="80"/>
        <w:szCs w:val="15"/>
        <w:lang w:eastAsia="en-AU"/>
      </w:rPr>
      <w:t xml:space="preserve"> | </w:t>
    </w:r>
    <w:r w:rsidR="00E641BA">
      <w:rPr>
        <w:rFonts w:cs="Segoe UI"/>
        <w:color w:val="808080" w:themeColor="background1" w:themeShade="80"/>
        <w:szCs w:val="15"/>
        <w:lang w:eastAsia="en-AU"/>
      </w:rPr>
      <w:t>10 April 2026</w:t>
    </w:r>
    <w:r w:rsidRPr="001B6D21">
      <w:rPr>
        <w:rFonts w:cs="Segoe UI"/>
        <w:color w:val="A5A5A5"/>
      </w:rPr>
      <w:ptab w:relativeTo="margin" w:alignment="right" w:leader="none"/>
    </w:r>
    <w:r w:rsidRPr="001B6D21">
      <w:rPr>
        <w:rFonts w:cs="Segoe UI"/>
        <w:color w:val="A5A5A5"/>
      </w:rPr>
      <w:t>|</w:t>
    </w:r>
    <w:r w:rsidRPr="001B6D21">
      <w:rPr>
        <w:rFonts w:cs="Segoe UI"/>
        <w:color w:val="808080" w:themeColor="background1" w:themeShade="80"/>
      </w:rPr>
      <w:t xml:space="preserve"> </w:t>
    </w:r>
    <w:r w:rsidRPr="001B6D21">
      <w:rPr>
        <w:rFonts w:cs="Segoe UI"/>
        <w:color w:val="808080" w:themeColor="background1" w:themeShade="80"/>
        <w:sz w:val="16"/>
        <w:szCs w:val="16"/>
      </w:rPr>
      <w:fldChar w:fldCharType="begin"/>
    </w:r>
    <w:r w:rsidRPr="001B6D21">
      <w:rPr>
        <w:rFonts w:cs="Segoe UI"/>
        <w:color w:val="808080" w:themeColor="background1" w:themeShade="80"/>
        <w:sz w:val="16"/>
        <w:szCs w:val="16"/>
      </w:rPr>
      <w:instrText xml:space="preserve"> PAGE  \* Arabic  \* MERGEFORMAT </w:instrText>
    </w:r>
    <w:r w:rsidRPr="001B6D21">
      <w:rPr>
        <w:rFonts w:cs="Segoe UI"/>
        <w:color w:val="808080" w:themeColor="background1" w:themeShade="80"/>
        <w:sz w:val="16"/>
        <w:szCs w:val="16"/>
      </w:rPr>
      <w:fldChar w:fldCharType="separate"/>
    </w:r>
    <w:r w:rsidRPr="001B6D21">
      <w:rPr>
        <w:rFonts w:cs="Segoe UI"/>
        <w:color w:val="808080" w:themeColor="background1" w:themeShade="80"/>
        <w:sz w:val="16"/>
        <w:szCs w:val="16"/>
      </w:rPr>
      <w:t>1</w:t>
    </w:r>
    <w:r w:rsidRPr="001B6D21">
      <w:rPr>
        <w:rFonts w:cs="Segoe UI"/>
        <w:color w:val="808080" w:themeColor="background1" w:themeShade="80"/>
        <w:sz w:val="16"/>
        <w:szCs w:val="16"/>
      </w:rPr>
      <w:fldChar w:fldCharType="end"/>
    </w:r>
    <w:r w:rsidRPr="001B6D21">
      <w:rPr>
        <w:rFonts w:cs="Segoe UI"/>
        <w:b/>
        <w:color w:val="808080" w:themeColor="background1" w:themeShade="80"/>
      </w:rPr>
      <w:t xml:space="preserve"> </w:t>
    </w:r>
    <w:r w:rsidRPr="001B6D21">
      <w:rPr>
        <w:rFonts w:cs="Segoe UI"/>
        <w:color w:val="A5A5A5"/>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8404" w14:textId="5315D163" w:rsidR="003B464C" w:rsidRPr="001B6D21" w:rsidRDefault="00294C7F" w:rsidP="00FD4AB1">
    <w:pPr>
      <w:pStyle w:val="Footer"/>
      <w:rPr>
        <w:rFonts w:cs="Segoe UI"/>
        <w:b/>
      </w:rPr>
    </w:pPr>
    <w:r w:rsidRPr="001B6D21">
      <w:rPr>
        <w:rFonts w:cs="Segoe UI"/>
        <w:color w:val="808080" w:themeColor="background1" w:themeShade="80"/>
        <w:szCs w:val="15"/>
        <w:lang w:eastAsia="en-AU"/>
      </w:rPr>
      <w:t xml:space="preserve">Nous Group | </w:t>
    </w:r>
    <w:r w:rsidR="00DE0370">
      <w:rPr>
        <w:rFonts w:cs="Segoe UI"/>
        <w:color w:val="808080" w:themeColor="background1" w:themeShade="80"/>
        <w:szCs w:val="15"/>
        <w:lang w:eastAsia="en-AU"/>
      </w:rPr>
      <w:t>Strong and Resilient Communities – Inclusive Communities Grant Evaluation | Final Report</w:t>
    </w:r>
    <w:r w:rsidRPr="001B6D21">
      <w:rPr>
        <w:rFonts w:cs="Segoe UI"/>
        <w:color w:val="808080" w:themeColor="background1" w:themeShade="80"/>
        <w:szCs w:val="15"/>
        <w:lang w:eastAsia="en-AU"/>
      </w:rPr>
      <w:t xml:space="preserve"> | </w:t>
    </w:r>
    <w:r w:rsidR="00E641BA">
      <w:rPr>
        <w:rFonts w:cs="Segoe UI"/>
        <w:color w:val="808080" w:themeColor="background1" w:themeShade="80"/>
        <w:szCs w:val="15"/>
        <w:lang w:eastAsia="en-AU"/>
      </w:rPr>
      <w:t>10 April 2026</w:t>
    </w:r>
    <w:r w:rsidR="003B464C" w:rsidRPr="001B6D21">
      <w:rPr>
        <w:rFonts w:cs="Segoe UI"/>
        <w:color w:val="A5A5A5"/>
      </w:rPr>
      <w:ptab w:relativeTo="margin" w:alignment="right" w:leader="none"/>
    </w:r>
    <w:r w:rsidR="003B464C" w:rsidRPr="001B6D21">
      <w:rPr>
        <w:rFonts w:cs="Segoe UI"/>
        <w:color w:val="A5A5A5"/>
      </w:rPr>
      <w:t>|</w:t>
    </w:r>
    <w:r w:rsidR="003B464C" w:rsidRPr="001B6D21">
      <w:rPr>
        <w:rFonts w:cs="Segoe UI"/>
        <w:color w:val="808080" w:themeColor="background1" w:themeShade="80"/>
      </w:rPr>
      <w:t xml:space="preserve"> </w:t>
    </w:r>
    <w:r w:rsidR="003B464C" w:rsidRPr="001B6D21">
      <w:rPr>
        <w:rFonts w:cs="Segoe UI"/>
        <w:color w:val="808080" w:themeColor="background1" w:themeShade="80"/>
        <w:sz w:val="16"/>
        <w:szCs w:val="16"/>
      </w:rPr>
      <w:fldChar w:fldCharType="begin"/>
    </w:r>
    <w:r w:rsidR="003B464C" w:rsidRPr="001B6D21">
      <w:rPr>
        <w:rFonts w:cs="Segoe UI"/>
        <w:color w:val="808080" w:themeColor="background1" w:themeShade="80"/>
        <w:sz w:val="16"/>
        <w:szCs w:val="16"/>
      </w:rPr>
      <w:instrText xml:space="preserve"> PAGE  \* Arabic  \* MERGEFORMAT </w:instrText>
    </w:r>
    <w:r w:rsidR="003B464C" w:rsidRPr="001B6D21">
      <w:rPr>
        <w:rFonts w:cs="Segoe UI"/>
        <w:color w:val="808080" w:themeColor="background1" w:themeShade="80"/>
        <w:sz w:val="16"/>
        <w:szCs w:val="16"/>
      </w:rPr>
      <w:fldChar w:fldCharType="separate"/>
    </w:r>
    <w:r w:rsidR="00836AA0" w:rsidRPr="001B6D21">
      <w:rPr>
        <w:rFonts w:cs="Segoe UI"/>
        <w:color w:val="808080" w:themeColor="background1" w:themeShade="80"/>
        <w:sz w:val="16"/>
        <w:szCs w:val="16"/>
      </w:rPr>
      <w:t>1</w:t>
    </w:r>
    <w:r w:rsidR="003B464C" w:rsidRPr="001B6D21">
      <w:rPr>
        <w:rFonts w:cs="Segoe UI"/>
        <w:color w:val="808080" w:themeColor="background1" w:themeShade="80"/>
        <w:sz w:val="16"/>
        <w:szCs w:val="16"/>
      </w:rPr>
      <w:fldChar w:fldCharType="end"/>
    </w:r>
    <w:r w:rsidR="003B464C" w:rsidRPr="001B6D21">
      <w:rPr>
        <w:rFonts w:cs="Segoe UI"/>
        <w:b/>
        <w:color w:val="808080" w:themeColor="background1" w:themeShade="80"/>
      </w:rPr>
      <w:t xml:space="preserve"> </w:t>
    </w:r>
    <w:r w:rsidR="003B464C" w:rsidRPr="001B6D21">
      <w:rPr>
        <w:rFonts w:cs="Segoe UI"/>
        <w:color w:val="A5A5A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EF78E" w14:textId="77777777" w:rsidR="00493FD4" w:rsidRPr="001B6D21" w:rsidRDefault="00493FD4" w:rsidP="00302076">
      <w:pPr>
        <w:spacing w:after="0"/>
      </w:pPr>
      <w:r w:rsidRPr="001B6D21">
        <w:separator/>
      </w:r>
    </w:p>
  </w:footnote>
  <w:footnote w:type="continuationSeparator" w:id="0">
    <w:p w14:paraId="4836304B" w14:textId="77777777" w:rsidR="00493FD4" w:rsidRPr="001B6D21" w:rsidRDefault="00493FD4" w:rsidP="00302076">
      <w:pPr>
        <w:spacing w:after="0"/>
      </w:pPr>
      <w:r w:rsidRPr="001B6D21">
        <w:continuationSeparator/>
      </w:r>
    </w:p>
  </w:footnote>
  <w:footnote w:id="1">
    <w:p w14:paraId="38883697" w14:textId="1C13B851" w:rsidR="00265DB9" w:rsidRPr="002E0D7D" w:rsidRDefault="00265DB9" w:rsidP="00265DB9">
      <w:pPr>
        <w:pStyle w:val="FootnoteText"/>
        <w:rPr>
          <w:szCs w:val="15"/>
          <w:lang w:val="en-US"/>
        </w:rPr>
      </w:pPr>
      <w:r w:rsidRPr="002E0D7D">
        <w:rPr>
          <w:rStyle w:val="FootnoteReference"/>
          <w:szCs w:val="15"/>
        </w:rPr>
        <w:footnoteRef/>
      </w:r>
      <w:r w:rsidRPr="002E0D7D">
        <w:rPr>
          <w:szCs w:val="15"/>
        </w:rPr>
        <w:t xml:space="preserve"> Brotherhood of St Laurence, Social Exclusion Monitor, https://www.bsl.org.au/research/our-research-and-policy-work/social-exclusion-monitor/. Accessed on 22 April, 2025</w:t>
      </w:r>
    </w:p>
  </w:footnote>
  <w:footnote w:id="2">
    <w:p w14:paraId="3C68DF31" w14:textId="77777777" w:rsidR="00265DB9" w:rsidRPr="002E0D7D" w:rsidRDefault="00265DB9" w:rsidP="00265DB9">
      <w:pPr>
        <w:pStyle w:val="FootnoteText"/>
        <w:rPr>
          <w:szCs w:val="15"/>
        </w:rPr>
      </w:pPr>
      <w:r w:rsidRPr="002E0D7D">
        <w:rPr>
          <w:rStyle w:val="FootnoteReference"/>
          <w:szCs w:val="15"/>
        </w:rPr>
        <w:footnoteRef/>
      </w:r>
      <w:r w:rsidRPr="002E0D7D">
        <w:rPr>
          <w:szCs w:val="15"/>
        </w:rPr>
        <w:t xml:space="preserve"> O’Donnell, James, Alice Falkiner and Katarzyna Szachna. Mapping Social Cohesion 2025. Scanlon Foundation Research Institute, 2025. https://scanloninstitute.org.au/mapping-social</w:t>
      </w:r>
    </w:p>
  </w:footnote>
  <w:footnote w:id="3">
    <w:p w14:paraId="7B57CF40" w14:textId="1F0473AC" w:rsidR="00F0043F" w:rsidRPr="002E0D7D" w:rsidRDefault="00F0043F">
      <w:pPr>
        <w:pStyle w:val="FootnoteText"/>
        <w:rPr>
          <w:szCs w:val="15"/>
        </w:rPr>
      </w:pPr>
      <w:r w:rsidRPr="002E0D7D">
        <w:rPr>
          <w:rStyle w:val="FootnoteReference"/>
          <w:szCs w:val="15"/>
        </w:rPr>
        <w:footnoteRef/>
      </w:r>
      <w:r w:rsidRPr="002E0D7D">
        <w:rPr>
          <w:szCs w:val="15"/>
        </w:rPr>
        <w:t xml:space="preserve"> Macdonald, S. J., Deacon, L., Nixon, J., Akintola, A., Gillingham, A., Kent, J., … Highmore, L. (2018). ‘The invisible enemy’: disability, loneliness and isolation. Disability &amp; Society, 33(7), 1138–1159. https://doi.org/10.1080/09687599.2018.1476224</w:t>
      </w:r>
    </w:p>
  </w:footnote>
  <w:footnote w:id="4">
    <w:p w14:paraId="16F0FC76" w14:textId="1C1AE9EC" w:rsidR="00367D30" w:rsidRPr="002E0D7D" w:rsidRDefault="00367D30">
      <w:pPr>
        <w:pStyle w:val="FootnoteText"/>
        <w:rPr>
          <w:szCs w:val="15"/>
        </w:rPr>
      </w:pPr>
      <w:r w:rsidRPr="002E0D7D">
        <w:rPr>
          <w:rStyle w:val="FootnoteReference"/>
          <w:szCs w:val="15"/>
        </w:rPr>
        <w:footnoteRef/>
      </w:r>
      <w:r w:rsidRPr="002E0D7D">
        <w:rPr>
          <w:szCs w:val="15"/>
        </w:rPr>
        <w:t xml:space="preserve"> Albath, E. A., Büttner, C. M., Rudert, S. C., Sibley, C. G., &amp; Greifeneder, R. (2023). Young, unemployed, excluded: Unemployed young adults report more ostracism. European Journal of Social Psychology, 53, 1078–1097. https://doi.org/10.1002/ejsp.2953</w:t>
      </w:r>
    </w:p>
  </w:footnote>
  <w:footnote w:id="5">
    <w:p w14:paraId="4A202467" w14:textId="131DD979" w:rsidR="00627E33" w:rsidRPr="002E0D7D" w:rsidRDefault="00627E33" w:rsidP="00627E33">
      <w:pPr>
        <w:pStyle w:val="FootnoteText"/>
        <w:rPr>
          <w:szCs w:val="15"/>
        </w:rPr>
      </w:pPr>
      <w:r w:rsidRPr="002E0D7D">
        <w:rPr>
          <w:rStyle w:val="FootnoteReference"/>
          <w:szCs w:val="15"/>
        </w:rPr>
        <w:footnoteRef/>
      </w:r>
      <w:r w:rsidRPr="002E0D7D">
        <w:rPr>
          <w:szCs w:val="15"/>
        </w:rPr>
        <w:t xml:space="preserve"> Australian Institute of Health and Welfare, Social determinants of health, Social determinants of health - Australian Institute of Health and Welfare. Social determinants of health - Australian Institute of Health and Welfare. Accessed on 22 April 2025 </w:t>
      </w:r>
    </w:p>
  </w:footnote>
  <w:footnote w:id="6">
    <w:p w14:paraId="33BD7209" w14:textId="77777777" w:rsidR="00E25379" w:rsidRDefault="00E25379">
      <w:pPr>
        <w:pStyle w:val="FootnoteText"/>
      </w:pPr>
      <w:r w:rsidRPr="002E0D7D">
        <w:rPr>
          <w:rStyle w:val="FootnoteReference"/>
          <w:szCs w:val="15"/>
        </w:rPr>
        <w:footnoteRef/>
      </w:r>
      <w:r w:rsidRPr="002E0D7D">
        <w:rPr>
          <w:szCs w:val="15"/>
        </w:rPr>
        <w:t xml:space="preserve"> </w:t>
      </w:r>
      <w:r w:rsidR="004A55C3" w:rsidRPr="002E0D7D">
        <w:rPr>
          <w:szCs w:val="15"/>
        </w:rPr>
        <w:t>Department of Social Services administrative data.</w:t>
      </w:r>
    </w:p>
  </w:footnote>
  <w:footnote w:id="7">
    <w:p w14:paraId="05CC800A" w14:textId="77777777" w:rsidR="00B74649" w:rsidRPr="002E0D7D" w:rsidRDefault="00B74649" w:rsidP="00B74649">
      <w:pPr>
        <w:pStyle w:val="FootnoteText"/>
        <w:rPr>
          <w:sz w:val="16"/>
          <w:szCs w:val="16"/>
        </w:rPr>
      </w:pPr>
      <w:r>
        <w:rPr>
          <w:rStyle w:val="FootnoteReference"/>
        </w:rPr>
        <w:footnoteRef/>
      </w:r>
      <w:r>
        <w:t xml:space="preserve"> </w:t>
      </w:r>
      <w:r w:rsidRPr="00D840F8">
        <w:t>Outcomes analysis therefore compares participants to themselves over time or examines associations between target groups, or organisations, and outcomes.</w:t>
      </w:r>
    </w:p>
  </w:footnote>
  <w:footnote w:id="8">
    <w:p w14:paraId="5CFE34BA" w14:textId="77777777" w:rsidR="005B355F" w:rsidRDefault="005B355F" w:rsidP="005B355F">
      <w:pPr>
        <w:pStyle w:val="FootnoteText"/>
      </w:pPr>
      <w:r>
        <w:rPr>
          <w:rStyle w:val="FootnoteReference"/>
        </w:rPr>
        <w:footnoteRef/>
      </w:r>
      <w:r>
        <w:t xml:space="preserve"> </w:t>
      </w:r>
      <w:r>
        <w:rPr>
          <w:lang w:eastAsia="en-AU"/>
        </w:rPr>
        <w:t xml:space="preserve">These include the </w:t>
      </w:r>
      <w:r w:rsidRPr="008260B5">
        <w:rPr>
          <w:i/>
          <w:iCs/>
          <w:lang w:eastAsia="en-AU"/>
        </w:rPr>
        <w:t>Stronger Places, Stronger People</w:t>
      </w:r>
      <w:r>
        <w:rPr>
          <w:lang w:eastAsia="en-AU"/>
        </w:rPr>
        <w:t xml:space="preserve"> initiative, </w:t>
      </w:r>
      <w:r w:rsidRPr="00E203AB">
        <w:rPr>
          <w:i/>
          <w:lang w:eastAsia="en-AU"/>
        </w:rPr>
        <w:t>Partnerships for Local Action and Community Empowerment</w:t>
      </w:r>
      <w:r w:rsidRPr="00D73D94">
        <w:rPr>
          <w:lang w:eastAsia="en-AU"/>
        </w:rPr>
        <w:t xml:space="preserve"> (PLACE</w:t>
      </w:r>
      <w:r>
        <w:rPr>
          <w:lang w:eastAsia="en-AU"/>
        </w:rPr>
        <w:t>)</w:t>
      </w:r>
    </w:p>
  </w:footnote>
  <w:footnote w:id="9">
    <w:p w14:paraId="1F39B204" w14:textId="77777777" w:rsidR="005B355F" w:rsidRPr="00425062" w:rsidRDefault="005B355F" w:rsidP="005B355F">
      <w:pPr>
        <w:pStyle w:val="FootnoteText"/>
        <w:rPr>
          <w:sz w:val="16"/>
          <w:szCs w:val="16"/>
        </w:rPr>
      </w:pPr>
      <w:r w:rsidRPr="00425062">
        <w:rPr>
          <w:rStyle w:val="FootnoteReference"/>
          <w:sz w:val="16"/>
          <w:szCs w:val="16"/>
        </w:rPr>
        <w:footnoteRef/>
      </w:r>
      <w:r w:rsidRPr="00425062">
        <w:rPr>
          <w:sz w:val="16"/>
          <w:szCs w:val="16"/>
        </w:rPr>
        <w:t xml:space="preserve"> Department of Social Services, Reforms to strengthen the community sector, March 2024, p 13 </w:t>
      </w:r>
      <w:hyperlink r:id="rId1" w:history="1">
        <w:r w:rsidRPr="00425062">
          <w:rPr>
            <w:rStyle w:val="Hyperlink"/>
            <w:sz w:val="16"/>
            <w:szCs w:val="16"/>
          </w:rPr>
          <w:t>https://engage.dss.gov.au/wp-content/uploads/2024/05/summary-reportfinal23-april-2024.pdf</w:t>
        </w:r>
      </w:hyperlink>
      <w:r w:rsidRPr="00425062">
        <w:rPr>
          <w:sz w:val="16"/>
          <w:szCs w:val="16"/>
        </w:rPr>
        <w:t xml:space="preserve"> </w:t>
      </w:r>
    </w:p>
  </w:footnote>
  <w:footnote w:id="10">
    <w:p w14:paraId="52CAA2FE" w14:textId="77777777" w:rsidR="003F2A3E" w:rsidRDefault="003F2A3E" w:rsidP="003F2A3E">
      <w:pPr>
        <w:pStyle w:val="FootnoteText"/>
      </w:pPr>
      <w:r>
        <w:rPr>
          <w:rStyle w:val="FootnoteReference"/>
        </w:rPr>
        <w:footnoteRef/>
      </w:r>
      <w:r>
        <w:t xml:space="preserve"> Australian Government. (2024). Commonwealth Grants Rules and Principles 2024. Accessed from, </w:t>
      </w:r>
      <w:hyperlink r:id="rId2" w:history="1">
        <w:r w:rsidRPr="00DC4EA3">
          <w:rPr>
            <w:rStyle w:val="Hyperlink"/>
          </w:rPr>
          <w:t>https://www.legislation.gov.au/F2024L00854/latest/downloads</w:t>
        </w:r>
      </w:hyperlink>
      <w:r>
        <w:t xml:space="preserve"> </w:t>
      </w:r>
    </w:p>
  </w:footnote>
  <w:footnote w:id="11">
    <w:p w14:paraId="7DC50BEF" w14:textId="1018B401" w:rsidR="00E80A88" w:rsidRDefault="00E80A88">
      <w:pPr>
        <w:pStyle w:val="FootnoteText"/>
      </w:pPr>
      <w:r>
        <w:rPr>
          <w:rStyle w:val="FootnoteReference"/>
        </w:rPr>
        <w:footnoteRef/>
      </w:r>
      <w:r>
        <w:t xml:space="preserve"> Nous notes the assessment centre </w:t>
      </w:r>
      <w:r w:rsidR="00025E34">
        <w:t>looked at all applications, just the Selection Advisory Panel manually assessed 700 applications at a later stage in the assessment process.</w:t>
      </w:r>
    </w:p>
  </w:footnote>
  <w:footnote w:id="12">
    <w:p w14:paraId="2B7DA9EE" w14:textId="1248231E" w:rsidR="004D3D45" w:rsidRDefault="004D3D45">
      <w:pPr>
        <w:pStyle w:val="FootnoteText"/>
      </w:pPr>
      <w:r>
        <w:rPr>
          <w:rStyle w:val="FootnoteReference"/>
        </w:rPr>
        <w:footnoteRef/>
      </w:r>
      <w:r>
        <w:t xml:space="preserve"> Rounded to maintain confidentiality. </w:t>
      </w:r>
    </w:p>
  </w:footnote>
  <w:footnote w:id="13">
    <w:p w14:paraId="19F473A3" w14:textId="21AE860D" w:rsidR="00C83631" w:rsidRDefault="00C83631">
      <w:pPr>
        <w:pStyle w:val="FootnoteText"/>
      </w:pPr>
      <w:r>
        <w:rPr>
          <w:rStyle w:val="FootnoteReference"/>
        </w:rPr>
        <w:footnoteRef/>
      </w:r>
      <w:r>
        <w:t xml:space="preserve"> </w:t>
      </w:r>
      <w:r w:rsidR="00BD05B2" w:rsidRPr="00BD05B2">
        <w:t>The reported sample sizes represent the number of clients with both pre- and post-assessment scores for each outcome. These may vary between cohorts and may be lower than the total number of clients with pre- and post assessment scores</w:t>
      </w:r>
      <w:r w:rsidR="00776EBA">
        <w:t xml:space="preserve"> (n = 9,902)</w:t>
      </w:r>
      <w:r w:rsidR="00BD05B2" w:rsidRPr="00BD05B2">
        <w:t>, as not all clients have scores recorded for every outcome.</w:t>
      </w:r>
    </w:p>
  </w:footnote>
  <w:footnote w:id="14">
    <w:p w14:paraId="582DA33A" w14:textId="2CF27F80" w:rsidR="000766DD" w:rsidRPr="004859BD" w:rsidRDefault="000766DD" w:rsidP="000766DD">
      <w:pPr>
        <w:pStyle w:val="FootnoteText"/>
        <w:rPr>
          <w:sz w:val="16"/>
          <w:szCs w:val="16"/>
          <w:lang w:val="en-US"/>
        </w:rPr>
      </w:pPr>
      <w:r w:rsidRPr="004859BD">
        <w:rPr>
          <w:rStyle w:val="FootnoteReference"/>
          <w:sz w:val="16"/>
          <w:szCs w:val="16"/>
        </w:rPr>
        <w:footnoteRef/>
      </w:r>
      <w:r w:rsidRPr="004859BD">
        <w:rPr>
          <w:sz w:val="16"/>
          <w:szCs w:val="16"/>
        </w:rPr>
        <w:t xml:space="preserve"> </w:t>
      </w:r>
      <w:r w:rsidRPr="004859BD">
        <w:rPr>
          <w:sz w:val="16"/>
          <w:szCs w:val="16"/>
          <w:lang w:val="en-US"/>
        </w:rPr>
        <w:t>SARC</w:t>
      </w:r>
      <w:r w:rsidR="00895991">
        <w:rPr>
          <w:sz w:val="16"/>
          <w:szCs w:val="16"/>
          <w:lang w:val="en-US"/>
        </w:rPr>
        <w:t xml:space="preserve"> – </w:t>
      </w:r>
      <w:r w:rsidRPr="004859BD">
        <w:rPr>
          <w:sz w:val="16"/>
          <w:szCs w:val="16"/>
          <w:lang w:val="en-US"/>
        </w:rPr>
        <w:t>IC’s objectives include: a)</w:t>
      </w:r>
      <w:r w:rsidRPr="004859BD">
        <w:rPr>
          <w:sz w:val="16"/>
          <w:szCs w:val="16"/>
        </w:rPr>
        <w:t xml:space="preserve"> </w:t>
      </w:r>
      <w:r w:rsidRPr="004859BD">
        <w:rPr>
          <w:sz w:val="16"/>
          <w:szCs w:val="16"/>
          <w:lang w:val="en-US"/>
        </w:rPr>
        <w:t>Support young people 12 to 18 years who are disengaged, or at risk of disengaging, from education to reconnect with their community, school, training and/or employment, b)</w:t>
      </w:r>
      <w:r w:rsidRPr="004859BD">
        <w:rPr>
          <w:sz w:val="16"/>
          <w:szCs w:val="16"/>
        </w:rPr>
        <w:t xml:space="preserve"> </w:t>
      </w:r>
      <w:r w:rsidRPr="004859BD">
        <w:rPr>
          <w:sz w:val="16"/>
          <w:szCs w:val="16"/>
          <w:lang w:val="en-US"/>
        </w:rPr>
        <w:t>Support people with disabilities and/or mental health issues to participate in the community, and work towards becoming or remaining independent and engaged in the economy and/or society, c) Support women who experience, or are at risk of experiencing</w:t>
      </w:r>
      <w:r w:rsidR="008D2CB4">
        <w:rPr>
          <w:sz w:val="16"/>
          <w:szCs w:val="16"/>
          <w:lang w:val="en-US"/>
        </w:rPr>
        <w:t>,</w:t>
      </w:r>
      <w:r w:rsidRPr="004859BD">
        <w:rPr>
          <w:sz w:val="16"/>
          <w:szCs w:val="16"/>
          <w:lang w:val="en-US"/>
        </w:rPr>
        <w:t xml:space="preserve"> isolation or discrimination to participate in the community and/or economy and increase their self-agency, d)</w:t>
      </w:r>
      <w:r w:rsidRPr="004859BD">
        <w:rPr>
          <w:sz w:val="16"/>
          <w:szCs w:val="16"/>
        </w:rPr>
        <w:t xml:space="preserve"> </w:t>
      </w:r>
      <w:r w:rsidRPr="004859BD">
        <w:rPr>
          <w:sz w:val="16"/>
          <w:szCs w:val="16"/>
          <w:lang w:val="en-US"/>
        </w:rPr>
        <w:t>Support people who are unemployed to increase participation in their community and/or increase their capacity to engage in employment, training, or existing employment services.</w:t>
      </w:r>
    </w:p>
  </w:footnote>
  <w:footnote w:id="15">
    <w:p w14:paraId="55103FC9" w14:textId="77777777" w:rsidR="00EC29AD" w:rsidRPr="00AB4ACD" w:rsidRDefault="00EC29AD" w:rsidP="00EC29AD">
      <w:pPr>
        <w:pStyle w:val="FootnoteText"/>
        <w:rPr>
          <w:sz w:val="16"/>
          <w:szCs w:val="16"/>
        </w:rPr>
      </w:pPr>
      <w:r w:rsidRPr="00AB4ACD">
        <w:rPr>
          <w:rStyle w:val="FootnoteReference"/>
          <w:sz w:val="16"/>
          <w:szCs w:val="16"/>
        </w:rPr>
        <w:footnoteRef/>
      </w:r>
      <w:r w:rsidRPr="00AB4ACD">
        <w:rPr>
          <w:sz w:val="16"/>
          <w:szCs w:val="16"/>
        </w:rPr>
        <w:t xml:space="preserve"> Australian Institute of Health and Welfare, Social determinants of health, Social determinants of health - Australian Institute of Health and Welfare. Social determinants of health - Australian Institute of Health and Welfare. Accessed on 22 April 2025 </w:t>
      </w:r>
    </w:p>
  </w:footnote>
  <w:footnote w:id="16">
    <w:p w14:paraId="1BFF7AB7" w14:textId="5DA571BE" w:rsidR="00EC29AD" w:rsidRPr="0069606B" w:rsidRDefault="00EC29AD" w:rsidP="00EC29AD">
      <w:pPr>
        <w:pStyle w:val="FootnoteText"/>
        <w:rPr>
          <w:sz w:val="16"/>
          <w:szCs w:val="16"/>
        </w:rPr>
      </w:pPr>
      <w:r w:rsidRPr="00AB4ACD">
        <w:rPr>
          <w:rStyle w:val="FootnoteReference"/>
          <w:sz w:val="16"/>
          <w:szCs w:val="16"/>
        </w:rPr>
        <w:footnoteRef/>
      </w:r>
      <w:r w:rsidR="0069606B">
        <w:rPr>
          <w:sz w:val="16"/>
          <w:szCs w:val="16"/>
        </w:rPr>
        <w:t xml:space="preserve"> </w:t>
      </w:r>
      <w:r w:rsidR="00D106B6" w:rsidRPr="00425062">
        <w:rPr>
          <w:sz w:val="16"/>
          <w:szCs w:val="16"/>
        </w:rPr>
        <w:t>Productivity Commission</w:t>
      </w:r>
      <w:r w:rsidR="00D106B6">
        <w:rPr>
          <w:sz w:val="16"/>
          <w:szCs w:val="16"/>
        </w:rPr>
        <w:t>. (</w:t>
      </w:r>
      <w:r w:rsidR="00D106B6" w:rsidRPr="00425062">
        <w:rPr>
          <w:sz w:val="16"/>
          <w:szCs w:val="16"/>
        </w:rPr>
        <w:t>2020</w:t>
      </w:r>
      <w:r w:rsidR="00D106B6">
        <w:rPr>
          <w:sz w:val="16"/>
          <w:szCs w:val="16"/>
        </w:rPr>
        <w:t>).</w:t>
      </w:r>
      <w:r w:rsidR="00D106B6" w:rsidRPr="00425062">
        <w:rPr>
          <w:sz w:val="16"/>
          <w:szCs w:val="16"/>
        </w:rPr>
        <w:t xml:space="preserve"> Mental Health, Report no. 95, Canberra, p 149-162</w:t>
      </w:r>
      <w:r w:rsidR="00D106B6">
        <w:rPr>
          <w:sz w:val="16"/>
          <w:szCs w:val="16"/>
        </w:rPr>
        <w:t>. Accessed from,</w:t>
      </w:r>
      <w:r w:rsidR="00D106B6" w:rsidRPr="00425062">
        <w:rPr>
          <w:sz w:val="16"/>
          <w:szCs w:val="16"/>
        </w:rPr>
        <w:t xml:space="preserve"> </w:t>
      </w:r>
      <w:hyperlink r:id="rId3" w:history="1">
        <w:r w:rsidR="00D106B6" w:rsidRPr="00425062">
          <w:rPr>
            <w:rStyle w:val="Hyperlink"/>
            <w:sz w:val="16"/>
            <w:szCs w:val="16"/>
          </w:rPr>
          <w:t>https://assets.pc.gov.au/inquiries/completed/mental-health/report/mental-health-volume2.pdf</w:t>
        </w:r>
      </w:hyperlink>
    </w:p>
  </w:footnote>
  <w:footnote w:id="17">
    <w:p w14:paraId="762AA3EF" w14:textId="3B92AD7A" w:rsidR="00D95CD2" w:rsidRPr="003D18AD" w:rsidRDefault="00D95CD2" w:rsidP="00D95CD2">
      <w:pPr>
        <w:pStyle w:val="FootnoteText"/>
        <w:rPr>
          <w:sz w:val="16"/>
          <w:szCs w:val="16"/>
          <w:lang w:val="en-US"/>
        </w:rPr>
      </w:pPr>
      <w:r w:rsidRPr="00AB4ACD">
        <w:rPr>
          <w:rStyle w:val="FootnoteReference"/>
          <w:sz w:val="16"/>
          <w:szCs w:val="16"/>
        </w:rPr>
        <w:footnoteRef/>
      </w:r>
      <w:r w:rsidRPr="00AB4ACD">
        <w:rPr>
          <w:sz w:val="16"/>
          <w:szCs w:val="16"/>
        </w:rPr>
        <w:t xml:space="preserve"> Brotherhood of St Laurence, Social Exclusion Monitor, https://www.bsl.org.au/research/our-research-and-policy-work/social-exclusion-monitor</w:t>
      </w:r>
      <w:r w:rsidRPr="003D18AD">
        <w:rPr>
          <w:sz w:val="16"/>
          <w:szCs w:val="16"/>
        </w:rPr>
        <w:t>/. Accessed on 22 April, 2025</w:t>
      </w:r>
    </w:p>
  </w:footnote>
  <w:footnote w:id="18">
    <w:p w14:paraId="74561EA0" w14:textId="10BFD361" w:rsidR="008467B1" w:rsidRDefault="008467B1" w:rsidP="008467B1">
      <w:pPr>
        <w:pStyle w:val="FootnoteText"/>
      </w:pPr>
      <w:r>
        <w:rPr>
          <w:rStyle w:val="FootnoteReference"/>
        </w:rPr>
        <w:footnoteRef/>
      </w:r>
      <w:r>
        <w:t xml:space="preserve"> </w:t>
      </w:r>
      <w:r w:rsidRPr="00425062">
        <w:rPr>
          <w:sz w:val="16"/>
          <w:szCs w:val="16"/>
        </w:rPr>
        <w:t>Deloitte Access Economics</w:t>
      </w:r>
      <w:r w:rsidR="009873C1">
        <w:rPr>
          <w:sz w:val="16"/>
          <w:szCs w:val="16"/>
        </w:rPr>
        <w:t>. (2019).</w:t>
      </w:r>
      <w:r w:rsidRPr="00425062">
        <w:rPr>
          <w:sz w:val="16"/>
          <w:szCs w:val="16"/>
        </w:rPr>
        <w:t xml:space="preserve"> The economic benefits of improving social inclusion: A report commissioned by SBS</w:t>
      </w:r>
      <w:r w:rsidR="009873C1">
        <w:rPr>
          <w:sz w:val="16"/>
          <w:szCs w:val="16"/>
        </w:rPr>
        <w:t>. Access from,</w:t>
      </w:r>
      <w:r w:rsidRPr="00425062">
        <w:rPr>
          <w:sz w:val="16"/>
          <w:szCs w:val="16"/>
        </w:rPr>
        <w:t xml:space="preserve"> </w:t>
      </w:r>
      <w:hyperlink r:id="rId4" w:history="1">
        <w:r w:rsidRPr="00425062">
          <w:rPr>
            <w:rStyle w:val="Hyperlink"/>
            <w:sz w:val="16"/>
            <w:szCs w:val="16"/>
          </w:rPr>
          <w:t>https://www.deloitte.com/content/dam/assets-zone1/au/en/docs/services/economics/deloitte-au-economics-benefits-improving-social-inclusion-181119.pdf</w:t>
        </w:r>
      </w:hyperlink>
    </w:p>
  </w:footnote>
  <w:footnote w:id="19">
    <w:p w14:paraId="0FE2CACE" w14:textId="2F3FBD49" w:rsidR="00684B24" w:rsidRPr="00585438" w:rsidRDefault="00684B24" w:rsidP="00585438">
      <w:pPr>
        <w:pStyle w:val="TableNText"/>
        <w:spacing w:before="0" w:after="0" w:line="240" w:lineRule="auto"/>
        <w:rPr>
          <w:b/>
          <w:sz w:val="16"/>
          <w:szCs w:val="16"/>
        </w:rPr>
      </w:pPr>
      <w:r>
        <w:rPr>
          <w:rStyle w:val="FootnoteReference"/>
        </w:rPr>
        <w:footnoteRef/>
      </w:r>
      <w:r>
        <w:t xml:space="preserve"> </w:t>
      </w:r>
      <w:r w:rsidR="0018708A" w:rsidRPr="009C7C93">
        <w:rPr>
          <w:sz w:val="16"/>
          <w:szCs w:val="16"/>
        </w:rPr>
        <w:t xml:space="preserve">Mawn et al. “Are we failing young people not in employment, education or training (NEETs)?A systematic review and meta-analysis of re-engagement interventions”. Systematic Reviews (2017) 6:16, DOI 10.1186/s13643-016-0394-2; </w:t>
      </w:r>
      <w:r w:rsidR="0018708A">
        <w:rPr>
          <w:sz w:val="16"/>
          <w:szCs w:val="16"/>
        </w:rPr>
        <w:t xml:space="preserve">Wilks, S., Lahausse, J., Edwards, B.. (2015). </w:t>
      </w:r>
      <w:r w:rsidR="0018708A" w:rsidRPr="00BA2862">
        <w:rPr>
          <w:sz w:val="16"/>
          <w:szCs w:val="16"/>
          <w:lang w:val="en-US"/>
        </w:rPr>
        <w:t>Commonwealth Place-Based Service Delivery Initiatives: Key Learnings project</w:t>
      </w:r>
      <w:r w:rsidR="0018708A">
        <w:rPr>
          <w:sz w:val="16"/>
          <w:szCs w:val="16"/>
          <w:lang w:val="en-US"/>
        </w:rPr>
        <w:t xml:space="preserve">. Accessed from, </w:t>
      </w:r>
      <w:hyperlink r:id="rId5" w:history="1">
        <w:r w:rsidR="0018708A" w:rsidRPr="00CD5732">
          <w:rPr>
            <w:rStyle w:val="Hyperlink"/>
            <w:sz w:val="16"/>
            <w:szCs w:val="16"/>
            <w:lang w:val="en-US"/>
          </w:rPr>
          <w:t>https://aifs.gov.au/sites/default/files/publication-documents/rr32_0.pdf</w:t>
        </w:r>
      </w:hyperlink>
      <w:r w:rsidR="0018708A">
        <w:rPr>
          <w:sz w:val="16"/>
          <w:szCs w:val="16"/>
          <w:lang w:val="en-US"/>
        </w:rPr>
        <w:t xml:space="preserve">; </w:t>
      </w:r>
      <w:r w:rsidR="00840444" w:rsidRPr="009C7C93">
        <w:rPr>
          <w:sz w:val="16"/>
          <w:szCs w:val="16"/>
        </w:rPr>
        <w:t>National Disability Insurance Agency 2021. Interventions to improve social, community &amp; civic participation of adults on the Autism Spectrum or living with Intellectual or Psychosocial Disability, National Disability Insurance Agency, Australian Government. Prepared by MJ Giummarrra, I Randjelovic &amp; L O’Brien.</w:t>
      </w:r>
    </w:p>
  </w:footnote>
  <w:footnote w:id="20">
    <w:p w14:paraId="792989C0" w14:textId="77777777" w:rsidR="009414E0" w:rsidRPr="003D18AD" w:rsidRDefault="009414E0" w:rsidP="009414E0">
      <w:pPr>
        <w:pStyle w:val="FootnoteText"/>
        <w:rPr>
          <w:sz w:val="16"/>
          <w:szCs w:val="16"/>
        </w:rPr>
      </w:pPr>
      <w:r w:rsidRPr="003D18AD">
        <w:rPr>
          <w:rStyle w:val="FootnoteReference"/>
          <w:sz w:val="16"/>
          <w:szCs w:val="16"/>
        </w:rPr>
        <w:footnoteRef/>
      </w:r>
      <w:r w:rsidRPr="003D18AD">
        <w:rPr>
          <w:sz w:val="16"/>
          <w:szCs w:val="16"/>
        </w:rPr>
        <w:t xml:space="preserve"> O’Donnell, James, Alice Falkiner and Katarzyna Szachna. Mapping Social Cohesion 2025. Scanlon Foundation Research Institute, 2025. https://scanloninstitute.org.au/mapping-social</w:t>
      </w:r>
    </w:p>
  </w:footnote>
  <w:footnote w:id="21">
    <w:p w14:paraId="0F7A7BA9" w14:textId="4D85B89E" w:rsidR="00D77615" w:rsidRPr="00BE3BA5" w:rsidRDefault="00D77615">
      <w:pPr>
        <w:pStyle w:val="FootnoteText"/>
        <w:rPr>
          <w:sz w:val="16"/>
          <w:szCs w:val="16"/>
        </w:rPr>
      </w:pPr>
      <w:r w:rsidRPr="00BE3BA5">
        <w:rPr>
          <w:rStyle w:val="FootnoteReference"/>
          <w:sz w:val="16"/>
          <w:szCs w:val="16"/>
        </w:rPr>
        <w:footnoteRef/>
      </w:r>
      <w:r w:rsidRPr="00BE3BA5">
        <w:rPr>
          <w:sz w:val="16"/>
          <w:szCs w:val="16"/>
        </w:rPr>
        <w:t xml:space="preserve"> </w:t>
      </w:r>
      <w:r w:rsidR="00BE3BA5" w:rsidRPr="00BE3BA5">
        <w:rPr>
          <w:sz w:val="16"/>
          <w:szCs w:val="16"/>
        </w:rPr>
        <w:t>1. Productivity Commission, Closing the Gap Dashboard – Economic Participation, 2021 (accessed 24 November 2025). https://www.pc.gov.au/closing-the-gap-data/dashboard/outcome-area/economic-participation/; Australian Bureau of Statistics, 2. Labour Force, Australia, December 2024 (accessed 24 November 2025) https://www.abs.gov.au/articles/spotlight-changes-participation-rates-men-and-women-australia#recent-changes-in-the-participation-rate; 3. Australian Institute of Health and Welfare (AIHW), Employment and Unemployment, 16 October 2025 (accessed 24 November 2025) Employment and unemployment - Australian Institute of Health and Welfare; 4. Australian Bureau of Statistics, Disability and the labour force, 24 July 2020 (accessed 24 November 2025) https://www.abs.gov.au/articles/disability-and-labour-force ; 5. Regional Australia Institute, Regional Labour Markets Update – September 2025, October 2025 (accessed 24 November), https://regionalaustralia.org.au/Web/Web/Toolkits-Indexes/Regional-Jobs-. Update/Updates/2025/Regional_Labour_Markets_Update_September_2025.aspx; Australian Bureau of Statistics, Labour Force, Australia, (accessed 24 November 2025) https://www.abs.gov.au/statistics/labour/employment-and-unemployment/labour-force-australia/oct-2025; 7. AIHW, Employment and unemployment, 16 October 2025 (accessed 3 December 2025) https://www.aihw.gov.au/reports/australias-welfare/employment-unemployment</w:t>
      </w:r>
    </w:p>
  </w:footnote>
  <w:footnote w:id="22">
    <w:p w14:paraId="3AB88F62" w14:textId="0107F33E" w:rsidR="0016663C" w:rsidRPr="0016663C" w:rsidRDefault="0016663C">
      <w:pPr>
        <w:pStyle w:val="FootnoteText"/>
        <w:rPr>
          <w:sz w:val="16"/>
          <w:szCs w:val="16"/>
        </w:rPr>
      </w:pPr>
      <w:r w:rsidRPr="0016663C">
        <w:rPr>
          <w:rStyle w:val="FootnoteReference"/>
          <w:sz w:val="16"/>
          <w:szCs w:val="16"/>
        </w:rPr>
        <w:footnoteRef/>
      </w:r>
      <w:r w:rsidRPr="0016663C">
        <w:rPr>
          <w:sz w:val="16"/>
          <w:szCs w:val="16"/>
        </w:rPr>
        <w:t xml:space="preserve"> Paul Ramsay Foundation, </w:t>
      </w:r>
      <w:r w:rsidRPr="0016663C">
        <w:rPr>
          <w:i/>
          <w:iCs/>
          <w:sz w:val="16"/>
          <w:szCs w:val="16"/>
        </w:rPr>
        <w:t>Where are We? Place-based approaches to tackling community challenges in Australia</w:t>
      </w:r>
      <w:r w:rsidRPr="0016663C">
        <w:rPr>
          <w:sz w:val="16"/>
          <w:szCs w:val="16"/>
        </w:rPr>
        <w:t>, June 2023</w:t>
      </w:r>
    </w:p>
  </w:footnote>
  <w:footnote w:id="23">
    <w:p w14:paraId="4996846F" w14:textId="799DCFB1" w:rsidR="00C406F6" w:rsidRPr="00425062" w:rsidRDefault="00C406F6" w:rsidP="00C406F6">
      <w:pPr>
        <w:pStyle w:val="FootnoteText"/>
        <w:rPr>
          <w:sz w:val="16"/>
          <w:szCs w:val="16"/>
          <w:lang w:val="en-US"/>
        </w:rPr>
      </w:pPr>
      <w:r w:rsidRPr="00425062">
        <w:rPr>
          <w:rStyle w:val="FootnoteReference"/>
          <w:sz w:val="16"/>
          <w:szCs w:val="16"/>
        </w:rPr>
        <w:footnoteRef/>
      </w:r>
      <w:r w:rsidRPr="00425062">
        <w:rPr>
          <w:sz w:val="16"/>
          <w:szCs w:val="16"/>
        </w:rPr>
        <w:t xml:space="preserve"> </w:t>
      </w:r>
      <w:r w:rsidR="00CD60E6">
        <w:rPr>
          <w:sz w:val="16"/>
          <w:szCs w:val="16"/>
        </w:rPr>
        <w:t xml:space="preserve">Department of Social Services. (2024). Stronger Places, Stronger People. Accessed from, </w:t>
      </w:r>
      <w:hyperlink r:id="rId6" w:history="1">
        <w:r w:rsidR="00CD60E6" w:rsidRPr="00DC4EA3">
          <w:rPr>
            <w:rStyle w:val="Hyperlink"/>
            <w:sz w:val="16"/>
            <w:szCs w:val="16"/>
          </w:rPr>
          <w:t>https://www.dss.gov.au/stronger-places-stronger-people</w:t>
        </w:r>
      </w:hyperlink>
      <w:r w:rsidRPr="00425062">
        <w:rPr>
          <w:sz w:val="16"/>
          <w:szCs w:val="16"/>
        </w:rPr>
        <w:t xml:space="preserve"> </w:t>
      </w:r>
    </w:p>
  </w:footnote>
  <w:footnote w:id="24">
    <w:p w14:paraId="2E636F91" w14:textId="0740F940" w:rsidR="00C406F6" w:rsidRPr="00425062" w:rsidRDefault="00C406F6" w:rsidP="00C406F6">
      <w:pPr>
        <w:pStyle w:val="FootnoteText"/>
        <w:rPr>
          <w:sz w:val="16"/>
          <w:szCs w:val="16"/>
          <w:lang w:val="en-US"/>
        </w:rPr>
      </w:pPr>
      <w:r w:rsidRPr="00425062">
        <w:rPr>
          <w:rStyle w:val="FootnoteReference"/>
          <w:sz w:val="16"/>
          <w:szCs w:val="16"/>
        </w:rPr>
        <w:footnoteRef/>
      </w:r>
      <w:r w:rsidRPr="00425062">
        <w:rPr>
          <w:sz w:val="16"/>
          <w:szCs w:val="16"/>
        </w:rPr>
        <w:t xml:space="preserve"> </w:t>
      </w:r>
      <w:r w:rsidR="003543F7">
        <w:rPr>
          <w:sz w:val="16"/>
          <w:szCs w:val="16"/>
        </w:rPr>
        <w:t>Department of Social Services. (202</w:t>
      </w:r>
      <w:r w:rsidR="00D30688">
        <w:rPr>
          <w:sz w:val="16"/>
          <w:szCs w:val="16"/>
        </w:rPr>
        <w:t>5</w:t>
      </w:r>
      <w:r w:rsidR="003543F7">
        <w:rPr>
          <w:sz w:val="16"/>
          <w:szCs w:val="16"/>
        </w:rPr>
        <w:t xml:space="preserve">). </w:t>
      </w:r>
      <w:r w:rsidR="00D30688">
        <w:rPr>
          <w:sz w:val="16"/>
          <w:szCs w:val="16"/>
        </w:rPr>
        <w:t xml:space="preserve">Partnerships for Local Action and Community Empowerment. Accessed from, </w:t>
      </w:r>
      <w:hyperlink r:id="rId7" w:history="1">
        <w:r w:rsidR="00D30688" w:rsidRPr="00DC4EA3">
          <w:rPr>
            <w:rStyle w:val="Hyperlink"/>
            <w:sz w:val="16"/>
            <w:szCs w:val="16"/>
          </w:rPr>
          <w:t>https://www.dss.gov.au/supporting-community-change/partnerships-local-action-and-community-empowerment</w:t>
        </w:r>
      </w:hyperlink>
      <w:r w:rsidRPr="00425062">
        <w:rPr>
          <w:sz w:val="16"/>
          <w:szCs w:val="16"/>
        </w:rPr>
        <w:t xml:space="preserve"> </w:t>
      </w:r>
    </w:p>
  </w:footnote>
  <w:footnote w:id="25">
    <w:p w14:paraId="37BBCDF7" w14:textId="77777777" w:rsidR="00C406F6" w:rsidRPr="00425062" w:rsidRDefault="00C406F6" w:rsidP="00C406F6">
      <w:pPr>
        <w:pStyle w:val="FootnoteText"/>
        <w:rPr>
          <w:sz w:val="16"/>
          <w:szCs w:val="16"/>
        </w:rPr>
      </w:pPr>
      <w:r w:rsidRPr="00425062">
        <w:rPr>
          <w:rStyle w:val="FootnoteReference"/>
          <w:sz w:val="16"/>
          <w:szCs w:val="16"/>
        </w:rPr>
        <w:footnoteRef/>
      </w:r>
      <w:r w:rsidRPr="00425062">
        <w:rPr>
          <w:sz w:val="16"/>
          <w:szCs w:val="16"/>
        </w:rPr>
        <w:t xml:space="preserve"> Department of Social Services, Reforms to strengthen the community sector, March 2024, p 13 </w:t>
      </w:r>
      <w:hyperlink r:id="rId8" w:history="1">
        <w:r w:rsidRPr="00425062">
          <w:rPr>
            <w:rStyle w:val="Hyperlink"/>
            <w:sz w:val="16"/>
            <w:szCs w:val="16"/>
          </w:rPr>
          <w:t>https://engage.dss.gov.au/wp-content/uploads/2024/05/summary-reportfinal23-april-2024.pdf</w:t>
        </w:r>
      </w:hyperlink>
      <w:r w:rsidRPr="00425062">
        <w:rPr>
          <w:sz w:val="16"/>
          <w:szCs w:val="16"/>
        </w:rPr>
        <w:t xml:space="preserve"> </w:t>
      </w:r>
    </w:p>
  </w:footnote>
  <w:footnote w:id="26">
    <w:p w14:paraId="13C8F4EF" w14:textId="2B8DDEB2" w:rsidR="00F75168" w:rsidRPr="006B5A5D" w:rsidRDefault="00F75168">
      <w:pPr>
        <w:pStyle w:val="FootnoteText"/>
        <w:rPr>
          <w:sz w:val="16"/>
          <w:szCs w:val="16"/>
        </w:rPr>
      </w:pPr>
      <w:r w:rsidRPr="006B5A5D">
        <w:rPr>
          <w:rStyle w:val="FootnoteReference"/>
          <w:sz w:val="16"/>
          <w:szCs w:val="16"/>
        </w:rPr>
        <w:footnoteRef/>
      </w:r>
      <w:r w:rsidRPr="006B5A5D">
        <w:rPr>
          <w:sz w:val="16"/>
          <w:szCs w:val="16"/>
        </w:rPr>
        <w:t xml:space="preserve"> </w:t>
      </w:r>
      <w:r w:rsidR="00BF59BF">
        <w:t xml:space="preserve">Australian Government. (2024). Commonwealth Grants Rules and Principles 2024. Accessed from, </w:t>
      </w:r>
      <w:hyperlink r:id="rId9" w:history="1">
        <w:r w:rsidR="00BF59BF" w:rsidRPr="00DC4EA3">
          <w:rPr>
            <w:rStyle w:val="Hyperlink"/>
          </w:rPr>
          <w:t>https://www.legislation.gov.au/F2024L00854/latest/downloads</w:t>
        </w:r>
      </w:hyperlink>
    </w:p>
  </w:footnote>
  <w:footnote w:id="27">
    <w:p w14:paraId="7D56B8CC" w14:textId="72934E8B" w:rsidR="00CA38B6" w:rsidRPr="00875541" w:rsidRDefault="00CA38B6" w:rsidP="00875541">
      <w:pPr>
        <w:pStyle w:val="FootnoteText"/>
      </w:pPr>
      <w:r>
        <w:rPr>
          <w:rStyle w:val="FootnoteReference"/>
        </w:rPr>
        <w:footnoteRef/>
      </w:r>
      <w:r>
        <w:t xml:space="preserve"> </w:t>
      </w:r>
      <w:r w:rsidR="00875541">
        <w:t xml:space="preserve">Department of Social Services (2025), </w:t>
      </w:r>
      <w:r w:rsidR="00875541" w:rsidRPr="00585438">
        <w:rPr>
          <w:i/>
          <w:iCs/>
        </w:rPr>
        <w:t xml:space="preserve">A new approach to programs for families and children: </w:t>
      </w:r>
      <w:r w:rsidR="00E543B1" w:rsidRPr="00E543B1">
        <w:rPr>
          <w:i/>
          <w:iCs/>
        </w:rPr>
        <w:t>Discussion</w:t>
      </w:r>
      <w:r w:rsidR="00875541" w:rsidRPr="00585438">
        <w:rPr>
          <w:i/>
          <w:iCs/>
        </w:rPr>
        <w:t xml:space="preserve"> paper</w:t>
      </w:r>
      <w:r w:rsidR="00875541">
        <w:rPr>
          <w:i/>
          <w:iCs/>
        </w:rPr>
        <w:t xml:space="preserve">, </w:t>
      </w:r>
      <w:r w:rsidR="00897FC5">
        <w:rPr>
          <w:i/>
          <w:iCs/>
        </w:rPr>
        <w:t xml:space="preserve">accessed January 12 2025, </w:t>
      </w:r>
      <w:hyperlink r:id="rId10" w:history="1">
        <w:r w:rsidR="00E543B1" w:rsidRPr="005612E5">
          <w:rPr>
            <w:rStyle w:val="Hyperlink"/>
            <w:i/>
            <w:iCs/>
          </w:rPr>
          <w:t>https://engage.dss.gov.au/wp-content/uploads/2025/11/discussion-paper-1.pdf</w:t>
        </w:r>
      </w:hyperlink>
      <w:r w:rsidR="00E543B1">
        <w:rPr>
          <w:i/>
          <w:iCs/>
        </w:rPr>
        <w:t xml:space="preserve"> </w:t>
      </w:r>
    </w:p>
  </w:footnote>
  <w:footnote w:id="28">
    <w:p w14:paraId="3AD950BA" w14:textId="4B77524F" w:rsidR="009414E0" w:rsidRPr="009C7C93" w:rsidRDefault="009414E0" w:rsidP="008B283E">
      <w:pPr>
        <w:pStyle w:val="TableNText"/>
        <w:spacing w:before="0" w:after="0" w:line="240" w:lineRule="auto"/>
        <w:rPr>
          <w:b/>
          <w:sz w:val="16"/>
          <w:szCs w:val="16"/>
        </w:rPr>
      </w:pPr>
      <w:r w:rsidRPr="009C7C93">
        <w:rPr>
          <w:rStyle w:val="FootnoteReference"/>
          <w:sz w:val="16"/>
          <w:szCs w:val="16"/>
        </w:rPr>
        <w:footnoteRef/>
      </w:r>
      <w:r w:rsidRPr="00B30818">
        <w:rPr>
          <w:sz w:val="16"/>
          <w:szCs w:val="16"/>
        </w:rPr>
        <w:t xml:space="preserve"> </w:t>
      </w:r>
      <w:r w:rsidR="00A57C01" w:rsidRPr="00A57C01">
        <w:rPr>
          <w:sz w:val="16"/>
          <w:szCs w:val="16"/>
          <w:lang w:val="en-US"/>
        </w:rPr>
        <w:t>Jesuit Social Services Centre for Just Places, RMIT University and Centre for Community Child Health, What works for place based approaches in Victoria – A review of the literature, 2022</w:t>
      </w:r>
      <w:r w:rsidR="00B30818" w:rsidRPr="00B30818">
        <w:rPr>
          <w:sz w:val="16"/>
          <w:szCs w:val="16"/>
          <w:lang w:val="en-US"/>
        </w:rPr>
        <w:t>; Rong</w:t>
      </w:r>
      <w:r w:rsidR="00B57243">
        <w:rPr>
          <w:sz w:val="16"/>
          <w:szCs w:val="16"/>
          <w:lang w:val="en-US"/>
        </w:rPr>
        <w:t>, T., R</w:t>
      </w:r>
      <w:r w:rsidR="00454244">
        <w:rPr>
          <w:sz w:val="16"/>
          <w:szCs w:val="16"/>
          <w:lang w:val="en-US"/>
        </w:rPr>
        <w:t xml:space="preserve">estevski, E., </w:t>
      </w:r>
      <w:r w:rsidR="006E3A72">
        <w:rPr>
          <w:sz w:val="16"/>
          <w:szCs w:val="16"/>
          <w:lang w:val="en-US"/>
        </w:rPr>
        <w:t xml:space="preserve">Carroll, M.. (2023). </w:t>
      </w:r>
      <w:r w:rsidR="001634FA" w:rsidRPr="001634FA">
        <w:rPr>
          <w:sz w:val="16"/>
          <w:szCs w:val="16"/>
          <w:lang w:val="en-US"/>
        </w:rPr>
        <w:t>Exploring community engagement in place-based approaches in areas of poor health and disadvantage: A scoping review</w:t>
      </w:r>
      <w:r w:rsidR="001634FA">
        <w:rPr>
          <w:sz w:val="16"/>
          <w:szCs w:val="16"/>
          <w:lang w:val="en-US"/>
        </w:rPr>
        <w:t xml:space="preserve">. Health &amp; Place. </w:t>
      </w:r>
      <w:hyperlink r:id="rId11" w:history="1">
        <w:r w:rsidR="003944E6" w:rsidRPr="00DC4EA3">
          <w:rPr>
            <w:rStyle w:val="Hyperlink"/>
            <w:sz w:val="16"/>
            <w:szCs w:val="16"/>
            <w:lang w:val="en-US"/>
          </w:rPr>
          <w:t>https://doi.org/10.1016/j.healthplace.2023.103026</w:t>
        </w:r>
      </w:hyperlink>
      <w:r w:rsidR="003944E6">
        <w:rPr>
          <w:sz w:val="16"/>
          <w:szCs w:val="16"/>
          <w:lang w:val="en-US"/>
        </w:rPr>
        <w:t xml:space="preserve">; </w:t>
      </w:r>
      <w:r w:rsidR="003944E6">
        <w:rPr>
          <w:sz w:val="16"/>
          <w:szCs w:val="16"/>
        </w:rPr>
        <w:t>Wilks, S., Lahausse, J., Edwards, B.. (2015).</w:t>
      </w:r>
      <w:r w:rsidR="00B30818">
        <w:rPr>
          <w:sz w:val="16"/>
          <w:szCs w:val="16"/>
        </w:rPr>
        <w:t xml:space="preserve"> </w:t>
      </w:r>
      <w:r w:rsidR="00B30818" w:rsidRPr="00B30818">
        <w:rPr>
          <w:sz w:val="16"/>
          <w:szCs w:val="16"/>
          <w:lang w:val="en-US"/>
        </w:rPr>
        <w:t>Commonwealth Place-Based Service Delivery Initiatives: Key Learnings project</w:t>
      </w:r>
      <w:r w:rsidR="003944E6">
        <w:rPr>
          <w:sz w:val="16"/>
          <w:szCs w:val="16"/>
          <w:lang w:val="en-US"/>
        </w:rPr>
        <w:t xml:space="preserve">. Accessed from, </w:t>
      </w:r>
      <w:r w:rsidR="003944E6" w:rsidRPr="00B67DA1">
        <w:rPr>
          <w:sz w:val="16"/>
          <w:szCs w:val="16"/>
          <w:lang w:val="en-US"/>
        </w:rPr>
        <w:t>https://aifs.gov.au/sites/default/files/publication-documents/rr32_0.pdf</w:t>
      </w:r>
    </w:p>
  </w:footnote>
  <w:footnote w:id="29">
    <w:p w14:paraId="3DFABACC" w14:textId="46758E62" w:rsidR="009414E0" w:rsidRPr="009C7C93" w:rsidRDefault="009414E0" w:rsidP="009414E0">
      <w:pPr>
        <w:pStyle w:val="FootnoteText"/>
        <w:rPr>
          <w:sz w:val="16"/>
          <w:szCs w:val="16"/>
          <w:lang w:val="en-US"/>
        </w:rPr>
      </w:pPr>
      <w:r w:rsidRPr="009C7C93">
        <w:rPr>
          <w:rStyle w:val="FootnoteReference"/>
          <w:sz w:val="16"/>
          <w:szCs w:val="16"/>
        </w:rPr>
        <w:footnoteRef/>
      </w:r>
      <w:r w:rsidRPr="00B30818">
        <w:rPr>
          <w:sz w:val="16"/>
          <w:szCs w:val="16"/>
        </w:rPr>
        <w:t xml:space="preserve"> </w:t>
      </w:r>
      <w:r w:rsidR="00B30818">
        <w:rPr>
          <w:sz w:val="16"/>
          <w:szCs w:val="16"/>
        </w:rPr>
        <w:t>Department of Social Services</w:t>
      </w:r>
      <w:r w:rsidR="00093551">
        <w:rPr>
          <w:sz w:val="16"/>
          <w:szCs w:val="16"/>
        </w:rPr>
        <w:t>,</w:t>
      </w:r>
      <w:r w:rsidRPr="009C7C93">
        <w:rPr>
          <w:sz w:val="16"/>
          <w:szCs w:val="16"/>
        </w:rPr>
        <w:t xml:space="preserve"> </w:t>
      </w:r>
      <w:r w:rsidRPr="009C7C93">
        <w:rPr>
          <w:sz w:val="16"/>
          <w:szCs w:val="16"/>
          <w:lang w:val="en-US"/>
        </w:rPr>
        <w:t>G</w:t>
      </w:r>
      <w:r w:rsidR="0006422D">
        <w:rPr>
          <w:sz w:val="16"/>
          <w:szCs w:val="16"/>
          <w:lang w:val="en-US"/>
        </w:rPr>
        <w:t xml:space="preserve">rant Opportunity Guidelines: Strong and Resilient Communities – Inclusive Communities </w:t>
      </w:r>
    </w:p>
  </w:footnote>
  <w:footnote w:id="30">
    <w:p w14:paraId="56DD0C09" w14:textId="4DA18558" w:rsidR="009414E0" w:rsidRPr="00B30818" w:rsidRDefault="009414E0" w:rsidP="008B283E">
      <w:pPr>
        <w:pStyle w:val="TableNText"/>
        <w:spacing w:before="0" w:after="0" w:line="240" w:lineRule="auto"/>
        <w:rPr>
          <w:b/>
          <w:sz w:val="16"/>
          <w:szCs w:val="16"/>
        </w:rPr>
      </w:pPr>
      <w:r w:rsidRPr="00425062">
        <w:rPr>
          <w:rStyle w:val="FootnoteReference"/>
          <w:sz w:val="16"/>
          <w:szCs w:val="16"/>
        </w:rPr>
        <w:footnoteRef/>
      </w:r>
      <w:r w:rsidRPr="00B30818">
        <w:rPr>
          <w:sz w:val="16"/>
          <w:szCs w:val="16"/>
        </w:rPr>
        <w:t xml:space="preserve"> </w:t>
      </w:r>
      <w:r w:rsidR="00A57C01" w:rsidRPr="00B30818">
        <w:rPr>
          <w:sz w:val="16"/>
          <w:szCs w:val="16"/>
          <w:lang w:val="en-US"/>
        </w:rPr>
        <w:t>Jesuit</w:t>
      </w:r>
      <w:r w:rsidR="00A57C01" w:rsidRPr="00A57C01">
        <w:rPr>
          <w:sz w:val="16"/>
          <w:szCs w:val="16"/>
          <w:lang w:val="en-US"/>
        </w:rPr>
        <w:t xml:space="preserve"> Social Services Centre for Just Places, </w:t>
      </w:r>
      <w:r w:rsidR="00A57C01" w:rsidRPr="00B30818">
        <w:rPr>
          <w:sz w:val="16"/>
          <w:szCs w:val="16"/>
          <w:lang w:val="en-US"/>
        </w:rPr>
        <w:t>RMIT</w:t>
      </w:r>
      <w:r w:rsidR="00A57C01" w:rsidRPr="00A57C01">
        <w:rPr>
          <w:sz w:val="16"/>
          <w:szCs w:val="16"/>
          <w:lang w:val="en-US"/>
        </w:rPr>
        <w:t xml:space="preserve"> University and Centre for Community Child Health, What works for place based approaches in Victoria – A review of the literature, 2022</w:t>
      </w:r>
      <w:r w:rsidR="00B30818" w:rsidRPr="00B30818">
        <w:rPr>
          <w:sz w:val="16"/>
          <w:szCs w:val="16"/>
          <w:lang w:val="en-US"/>
        </w:rPr>
        <w:t>; Rong</w:t>
      </w:r>
      <w:r w:rsidR="003944E6">
        <w:rPr>
          <w:sz w:val="16"/>
          <w:szCs w:val="16"/>
          <w:lang w:val="en-US"/>
        </w:rPr>
        <w:t xml:space="preserve">, T., Restevski, E., Carroll, M.. (2023). </w:t>
      </w:r>
      <w:r w:rsidR="003944E6" w:rsidRPr="001634FA">
        <w:rPr>
          <w:sz w:val="16"/>
          <w:szCs w:val="16"/>
          <w:lang w:val="en-US"/>
        </w:rPr>
        <w:t>Exploring community engagement in place-based approaches in areas of poor health and disadvantage: A scoping review</w:t>
      </w:r>
      <w:r w:rsidR="003944E6">
        <w:rPr>
          <w:sz w:val="16"/>
          <w:szCs w:val="16"/>
          <w:lang w:val="en-US"/>
        </w:rPr>
        <w:t xml:space="preserve">. Health &amp; Place. </w:t>
      </w:r>
      <w:hyperlink r:id="rId12" w:history="1">
        <w:r w:rsidR="003944E6" w:rsidRPr="00DC4EA3">
          <w:rPr>
            <w:rStyle w:val="Hyperlink"/>
            <w:sz w:val="16"/>
            <w:szCs w:val="16"/>
            <w:lang w:val="en-US"/>
          </w:rPr>
          <w:t>https://doi.org/10.1016/j.healthplace.2023.103026</w:t>
        </w:r>
      </w:hyperlink>
      <w:r w:rsidR="003944E6">
        <w:rPr>
          <w:sz w:val="16"/>
          <w:szCs w:val="16"/>
          <w:lang w:val="en-US"/>
        </w:rPr>
        <w:t xml:space="preserve">; </w:t>
      </w:r>
      <w:r w:rsidR="003944E6">
        <w:rPr>
          <w:sz w:val="16"/>
          <w:szCs w:val="16"/>
        </w:rPr>
        <w:t>Wilks, S., Lahausse, J., Edwards, B.. (2015).</w:t>
      </w:r>
      <w:r w:rsidR="00B30818">
        <w:rPr>
          <w:sz w:val="16"/>
          <w:szCs w:val="16"/>
        </w:rPr>
        <w:t xml:space="preserve"> </w:t>
      </w:r>
      <w:r w:rsidR="00B30818" w:rsidRPr="00B30818">
        <w:rPr>
          <w:sz w:val="16"/>
          <w:szCs w:val="16"/>
          <w:lang w:val="en-US"/>
        </w:rPr>
        <w:t>Commonwealth Place-Based Service Delivery Initiatives: Key Learnings project</w:t>
      </w:r>
      <w:r w:rsidR="003944E6">
        <w:rPr>
          <w:sz w:val="16"/>
          <w:szCs w:val="16"/>
          <w:lang w:val="en-US"/>
        </w:rPr>
        <w:t xml:space="preserve">. Accessed from, </w:t>
      </w:r>
      <w:r w:rsidR="003944E6" w:rsidRPr="00B67DA1">
        <w:rPr>
          <w:sz w:val="16"/>
          <w:szCs w:val="16"/>
          <w:lang w:val="en-US"/>
        </w:rPr>
        <w:t>https://aifs.gov.au/sites/default/files/publication-documents/rr32_0.pdf</w:t>
      </w:r>
    </w:p>
  </w:footnote>
  <w:footnote w:id="31">
    <w:p w14:paraId="79238CA2" w14:textId="77777777" w:rsidR="009414E0" w:rsidRPr="0006422D" w:rsidRDefault="009414E0" w:rsidP="009414E0">
      <w:pPr>
        <w:pStyle w:val="FootnoteText"/>
        <w:rPr>
          <w:sz w:val="16"/>
          <w:szCs w:val="16"/>
        </w:rPr>
      </w:pPr>
      <w:r w:rsidRPr="0006422D">
        <w:rPr>
          <w:rStyle w:val="FootnoteReference"/>
          <w:sz w:val="16"/>
          <w:szCs w:val="16"/>
        </w:rPr>
        <w:footnoteRef/>
      </w:r>
      <w:r w:rsidRPr="0006422D">
        <w:rPr>
          <w:sz w:val="16"/>
          <w:szCs w:val="16"/>
        </w:rPr>
        <w:t xml:space="preserve"> Alderton, A., et al. (2022). What works for place-based approaches in Victoria. Part 1: A review of the literature. Report prepared for the Victorian Department of Jobs, Precincts and Regions. DOI:10.25439/rmt.19304123.v1, p 12, 28, 36, 53.  </w:t>
      </w:r>
    </w:p>
  </w:footnote>
  <w:footnote w:id="32">
    <w:p w14:paraId="4E37EF8A" w14:textId="6EA6C51B" w:rsidR="009414E0" w:rsidRPr="0006422D" w:rsidRDefault="009414E0" w:rsidP="009414E0">
      <w:pPr>
        <w:pStyle w:val="FootnoteText"/>
        <w:rPr>
          <w:sz w:val="16"/>
          <w:szCs w:val="16"/>
          <w:lang w:val="en-US"/>
        </w:rPr>
      </w:pPr>
      <w:r w:rsidRPr="0006422D">
        <w:rPr>
          <w:rStyle w:val="FootnoteReference"/>
          <w:sz w:val="16"/>
          <w:szCs w:val="16"/>
        </w:rPr>
        <w:footnoteRef/>
      </w:r>
      <w:r w:rsidRPr="0006422D">
        <w:rPr>
          <w:sz w:val="16"/>
          <w:szCs w:val="16"/>
        </w:rPr>
        <w:t xml:space="preserve"> </w:t>
      </w:r>
      <w:r w:rsidR="000D4859" w:rsidRPr="00B30818">
        <w:rPr>
          <w:sz w:val="16"/>
          <w:szCs w:val="16"/>
          <w:lang w:val="en-US"/>
        </w:rPr>
        <w:t>Jesuit</w:t>
      </w:r>
      <w:r w:rsidR="000D4859" w:rsidRPr="00A57C01">
        <w:rPr>
          <w:sz w:val="16"/>
          <w:szCs w:val="16"/>
          <w:lang w:val="en-US"/>
        </w:rPr>
        <w:t xml:space="preserve"> Social Services Centre for Just Places, </w:t>
      </w:r>
      <w:r w:rsidR="000D4859" w:rsidRPr="00B30818">
        <w:rPr>
          <w:sz w:val="16"/>
          <w:szCs w:val="16"/>
          <w:lang w:val="en-US"/>
        </w:rPr>
        <w:t>RMIT</w:t>
      </w:r>
      <w:r w:rsidR="000D4859" w:rsidRPr="00A57C01">
        <w:rPr>
          <w:sz w:val="16"/>
          <w:szCs w:val="16"/>
          <w:lang w:val="en-US"/>
        </w:rPr>
        <w:t xml:space="preserve"> University and Centre for Community Child Health, What works for place based approaches in Victoria – A review of the literature, 2022</w:t>
      </w:r>
      <w:r w:rsidRPr="00B30818">
        <w:rPr>
          <w:sz w:val="16"/>
          <w:szCs w:val="16"/>
          <w:lang w:val="en-US"/>
        </w:rPr>
        <w:t xml:space="preserve">; </w:t>
      </w:r>
      <w:r w:rsidRPr="0006422D">
        <w:rPr>
          <w:sz w:val="16"/>
          <w:szCs w:val="16"/>
          <w:lang w:val="en-US"/>
        </w:rPr>
        <w:t>Rong</w:t>
      </w:r>
      <w:r w:rsidR="003944E6">
        <w:rPr>
          <w:sz w:val="16"/>
          <w:szCs w:val="16"/>
          <w:lang w:val="en-US"/>
        </w:rPr>
        <w:t xml:space="preserve">, T., Restevski, E., Carroll, M.. (2023). </w:t>
      </w:r>
      <w:r w:rsidR="003944E6" w:rsidRPr="001634FA">
        <w:rPr>
          <w:sz w:val="16"/>
          <w:szCs w:val="16"/>
          <w:lang w:val="en-US"/>
        </w:rPr>
        <w:t>Exploring community engagement in place-based approaches in areas of poor health and disadvantage: A scoping review</w:t>
      </w:r>
      <w:r w:rsidR="003944E6">
        <w:rPr>
          <w:sz w:val="16"/>
          <w:szCs w:val="16"/>
          <w:lang w:val="en-US"/>
        </w:rPr>
        <w:t xml:space="preserve">. Health &amp; Place. </w:t>
      </w:r>
      <w:hyperlink r:id="rId13" w:history="1">
        <w:r w:rsidR="003944E6" w:rsidRPr="00DC4EA3">
          <w:rPr>
            <w:rStyle w:val="Hyperlink"/>
            <w:sz w:val="16"/>
            <w:szCs w:val="16"/>
            <w:lang w:val="en-US"/>
          </w:rPr>
          <w:t>https://doi.org/10.1016/j.healthplace.2023.103026</w:t>
        </w:r>
      </w:hyperlink>
      <w:r w:rsidR="003944E6">
        <w:rPr>
          <w:sz w:val="16"/>
          <w:szCs w:val="16"/>
          <w:lang w:val="en-US"/>
        </w:rPr>
        <w:t xml:space="preserve">; </w:t>
      </w:r>
      <w:r w:rsidR="003944E6">
        <w:rPr>
          <w:sz w:val="16"/>
          <w:szCs w:val="16"/>
        </w:rPr>
        <w:t>Wilks, S., Lahausse, J., Edwards, B.. (2015).</w:t>
      </w:r>
      <w:r>
        <w:rPr>
          <w:sz w:val="16"/>
          <w:szCs w:val="16"/>
        </w:rPr>
        <w:t xml:space="preserve"> </w:t>
      </w:r>
      <w:r w:rsidRPr="00BA2862">
        <w:rPr>
          <w:sz w:val="16"/>
          <w:szCs w:val="16"/>
          <w:lang w:val="en-US"/>
        </w:rPr>
        <w:t>Commonwealth Place-Based Service Delivery Initiatives: Key Learnings project</w:t>
      </w:r>
      <w:r w:rsidR="003944E6">
        <w:rPr>
          <w:sz w:val="16"/>
          <w:szCs w:val="16"/>
          <w:lang w:val="en-US"/>
        </w:rPr>
        <w:t xml:space="preserve">. Accessed from, </w:t>
      </w:r>
      <w:r w:rsidR="003944E6" w:rsidRPr="00B67DA1">
        <w:rPr>
          <w:sz w:val="16"/>
          <w:szCs w:val="16"/>
          <w:lang w:val="en-US"/>
        </w:rPr>
        <w:t>https://aifs.gov.au/sites/default/files/publication-documents/rr32_0.pdf</w:t>
      </w:r>
      <w:r w:rsidRPr="0006422D">
        <w:rPr>
          <w:sz w:val="16"/>
          <w:szCs w:val="16"/>
          <w:lang w:val="en-US"/>
        </w:rPr>
        <w:t xml:space="preserve"> </w:t>
      </w:r>
    </w:p>
  </w:footnote>
  <w:footnote w:id="33">
    <w:p w14:paraId="15FF1B7D" w14:textId="70CC039F" w:rsidR="00881A3E" w:rsidRPr="0093418B" w:rsidRDefault="00881A3E" w:rsidP="00881A3E">
      <w:pPr>
        <w:pStyle w:val="FootnoteText"/>
        <w:rPr>
          <w:sz w:val="16"/>
          <w:szCs w:val="16"/>
          <w:lang w:val="en-US"/>
        </w:rPr>
      </w:pPr>
      <w:r w:rsidRPr="0093418B">
        <w:rPr>
          <w:rStyle w:val="FootnoteReference"/>
          <w:sz w:val="16"/>
          <w:szCs w:val="16"/>
        </w:rPr>
        <w:footnoteRef/>
      </w:r>
      <w:r w:rsidRPr="0093418B">
        <w:rPr>
          <w:sz w:val="16"/>
          <w:szCs w:val="16"/>
        </w:rPr>
        <w:t xml:space="preserve"> </w:t>
      </w:r>
      <w:r w:rsidR="0041724A">
        <w:rPr>
          <w:sz w:val="16"/>
          <w:szCs w:val="16"/>
        </w:rPr>
        <w:t xml:space="preserve">Department of Social Services. (2025). A new approach to programs for families and children. Accessed from, </w:t>
      </w:r>
      <w:hyperlink r:id="rId14" w:history="1">
        <w:r w:rsidR="0041724A" w:rsidRPr="00DC4EA3">
          <w:rPr>
            <w:rStyle w:val="Hyperlink"/>
            <w:sz w:val="16"/>
            <w:szCs w:val="16"/>
          </w:rPr>
          <w:t>https://engage.dss.gov.au/wp-content/uploads/2025/11/discussion-paper-1.pdf</w:t>
        </w:r>
      </w:hyperlink>
      <w:r w:rsidRPr="0093418B">
        <w:rPr>
          <w:sz w:val="16"/>
          <w:szCs w:val="16"/>
        </w:rPr>
        <w:t xml:space="preserve"> </w:t>
      </w:r>
    </w:p>
  </w:footnote>
  <w:footnote w:id="34">
    <w:p w14:paraId="79FB0F45" w14:textId="77777777" w:rsidR="009414E0" w:rsidRPr="0093418B" w:rsidRDefault="009414E0" w:rsidP="009414E0">
      <w:pPr>
        <w:pStyle w:val="FootnoteText"/>
        <w:rPr>
          <w:sz w:val="16"/>
          <w:szCs w:val="16"/>
          <w:lang w:val="en-US"/>
        </w:rPr>
      </w:pPr>
      <w:r w:rsidRPr="0093418B">
        <w:rPr>
          <w:rStyle w:val="FootnoteReference"/>
          <w:sz w:val="16"/>
          <w:szCs w:val="16"/>
        </w:rPr>
        <w:footnoteRef/>
      </w:r>
      <w:r w:rsidRPr="0093418B">
        <w:rPr>
          <w:sz w:val="16"/>
          <w:szCs w:val="16"/>
        </w:rPr>
        <w:t xml:space="preserve"> Note: longer programs were defined as ‘more than a year’ but dose and contact hours were not available. Yeyati, Eduardo Levy, et al. "What Works for Active Labor Market Policies? A Meta-Analysis of RCT Findings." Economía LACEA Journal 24.1 (2025). https://economia.lse.ac.uk/articles/10.31389/eco.450</w:t>
      </w:r>
    </w:p>
  </w:footnote>
  <w:footnote w:id="35">
    <w:p w14:paraId="2F85B238" w14:textId="1C6AD3FB" w:rsidR="009414E0" w:rsidRPr="0093418B" w:rsidRDefault="009414E0" w:rsidP="009414E0">
      <w:pPr>
        <w:pStyle w:val="FootnoteText"/>
        <w:rPr>
          <w:sz w:val="16"/>
          <w:szCs w:val="16"/>
          <w:lang w:val="en-US"/>
        </w:rPr>
      </w:pPr>
      <w:r w:rsidRPr="0093418B">
        <w:rPr>
          <w:rStyle w:val="FootnoteReference"/>
          <w:sz w:val="16"/>
          <w:szCs w:val="16"/>
        </w:rPr>
        <w:footnoteRef/>
      </w:r>
      <w:r w:rsidRPr="0093418B">
        <w:rPr>
          <w:sz w:val="16"/>
          <w:szCs w:val="16"/>
        </w:rPr>
        <w:t xml:space="preserve"> </w:t>
      </w:r>
      <w:r w:rsidR="00BC6960" w:rsidRPr="00BC6960">
        <w:rPr>
          <w:sz w:val="16"/>
          <w:szCs w:val="16"/>
        </w:rPr>
        <w:t>Perla</w:t>
      </w:r>
      <w:r w:rsidR="00D46889" w:rsidRPr="00D46889">
        <w:rPr>
          <w:sz w:val="16"/>
          <w:szCs w:val="16"/>
        </w:rPr>
        <w:t>, R. J., Pham, H., Gilfillan, R., Berwick, D. M., Baron, R. J., Lee, P., McCannon, C. J., Progar, K., &amp; Shrank, W. H. (2018).</w:t>
      </w:r>
      <w:r w:rsidR="00BC6960" w:rsidRPr="00BC6960">
        <w:rPr>
          <w:sz w:val="16"/>
          <w:szCs w:val="16"/>
        </w:rPr>
        <w:t xml:space="preserve"> Government </w:t>
      </w:r>
      <w:r w:rsidR="00D46889" w:rsidRPr="00D46889">
        <w:rPr>
          <w:sz w:val="16"/>
          <w:szCs w:val="16"/>
        </w:rPr>
        <w:t>As</w:t>
      </w:r>
      <w:r w:rsidR="00BC6960" w:rsidRPr="00BC6960">
        <w:rPr>
          <w:sz w:val="16"/>
          <w:szCs w:val="16"/>
        </w:rPr>
        <w:t xml:space="preserve"> Innovation Catalyst: Lessons </w:t>
      </w:r>
      <w:r w:rsidR="00D46889" w:rsidRPr="00D46889">
        <w:rPr>
          <w:sz w:val="16"/>
          <w:szCs w:val="16"/>
        </w:rPr>
        <w:t>From The</w:t>
      </w:r>
      <w:r w:rsidR="00BC6960" w:rsidRPr="00BC6960">
        <w:rPr>
          <w:sz w:val="16"/>
          <w:szCs w:val="16"/>
        </w:rPr>
        <w:t xml:space="preserve"> Early </w:t>
      </w:r>
      <w:r w:rsidR="00D46889" w:rsidRPr="00D46889">
        <w:rPr>
          <w:sz w:val="16"/>
          <w:szCs w:val="16"/>
        </w:rPr>
        <w:t>Center For Medicare And</w:t>
      </w:r>
      <w:r w:rsidR="00BC6960" w:rsidRPr="00BC6960">
        <w:rPr>
          <w:sz w:val="16"/>
          <w:szCs w:val="16"/>
        </w:rPr>
        <w:t xml:space="preserve"> Medicaid Innovation </w:t>
      </w:r>
      <w:r w:rsidR="00D46889" w:rsidRPr="00D46889">
        <w:rPr>
          <w:sz w:val="16"/>
          <w:szCs w:val="16"/>
        </w:rPr>
        <w:t>Models. Health affairs (Project Hope), 37(2), 213–221. https://doi.org/10.1377/hlthaff.2017.1109</w:t>
      </w:r>
    </w:p>
  </w:footnote>
  <w:footnote w:id="36">
    <w:p w14:paraId="5F26D4EF" w14:textId="320DF968" w:rsidR="00390988" w:rsidRDefault="00390988" w:rsidP="00385E80">
      <w:pPr>
        <w:pStyle w:val="FootnoteText"/>
      </w:pPr>
      <w:r>
        <w:rPr>
          <w:rStyle w:val="FootnoteReference"/>
        </w:rPr>
        <w:footnoteRef/>
      </w:r>
      <w:r>
        <w:t xml:space="preserve"> </w:t>
      </w:r>
      <w:r w:rsidR="00B42F0E">
        <w:t xml:space="preserve">DSS (2023), </w:t>
      </w:r>
      <w:r>
        <w:t>SARC</w:t>
      </w:r>
      <w:r w:rsidR="00447AE6">
        <w:t xml:space="preserve"> – </w:t>
      </w:r>
      <w:r>
        <w:t xml:space="preserve">IC </w:t>
      </w:r>
      <w:r w:rsidR="00385E80">
        <w:t xml:space="preserve">Inclusive Communities Grants Round 3 Grant Opportunity Guidelines, </w:t>
      </w:r>
      <w:r w:rsidR="00A16190">
        <w:t>p 7</w:t>
      </w:r>
    </w:p>
  </w:footnote>
  <w:footnote w:id="37">
    <w:p w14:paraId="686B46E3" w14:textId="0D5D6853" w:rsidR="009414E0" w:rsidRPr="009C7C93" w:rsidRDefault="009414E0" w:rsidP="009414E0">
      <w:pPr>
        <w:pStyle w:val="FootnoteText"/>
        <w:rPr>
          <w:sz w:val="16"/>
          <w:szCs w:val="16"/>
          <w:lang w:val="en-US"/>
        </w:rPr>
      </w:pPr>
      <w:r w:rsidRPr="009C7C93">
        <w:rPr>
          <w:rStyle w:val="FootnoteReference"/>
          <w:sz w:val="16"/>
          <w:szCs w:val="16"/>
        </w:rPr>
        <w:footnoteRef/>
      </w:r>
      <w:r w:rsidRPr="009C7C93">
        <w:rPr>
          <w:sz w:val="16"/>
          <w:szCs w:val="16"/>
        </w:rPr>
        <w:t xml:space="preserve"> </w:t>
      </w:r>
      <w:r w:rsidR="003944E6" w:rsidRPr="00B30818">
        <w:rPr>
          <w:sz w:val="16"/>
          <w:szCs w:val="16"/>
          <w:lang w:val="en-US"/>
        </w:rPr>
        <w:t>Jesuit</w:t>
      </w:r>
      <w:r w:rsidR="003944E6" w:rsidRPr="00A57C01">
        <w:rPr>
          <w:sz w:val="16"/>
          <w:szCs w:val="16"/>
          <w:lang w:val="en-US"/>
        </w:rPr>
        <w:t xml:space="preserve"> Social Services Centre for Just Places, </w:t>
      </w:r>
      <w:r w:rsidR="003944E6" w:rsidRPr="00B30818">
        <w:rPr>
          <w:sz w:val="16"/>
          <w:szCs w:val="16"/>
          <w:lang w:val="en-US"/>
        </w:rPr>
        <w:t>RMIT</w:t>
      </w:r>
      <w:r w:rsidR="003944E6" w:rsidRPr="00A57C01">
        <w:rPr>
          <w:sz w:val="16"/>
          <w:szCs w:val="16"/>
          <w:lang w:val="en-US"/>
        </w:rPr>
        <w:t xml:space="preserve"> University and Centre for Community Child Health, What works for place based approaches in Victoria – A review of the literature, 2022</w:t>
      </w:r>
      <w:r w:rsidR="003944E6" w:rsidRPr="00B30818">
        <w:rPr>
          <w:sz w:val="16"/>
          <w:szCs w:val="16"/>
          <w:lang w:val="en-US"/>
        </w:rPr>
        <w:t xml:space="preserve">; </w:t>
      </w:r>
      <w:r w:rsidR="003944E6">
        <w:rPr>
          <w:sz w:val="16"/>
          <w:szCs w:val="16"/>
          <w:lang w:val="en-US"/>
        </w:rPr>
        <w:t xml:space="preserve">Rong, T., Restevski, E., Carroll, M.. (2023). </w:t>
      </w:r>
      <w:r w:rsidR="003944E6" w:rsidRPr="001634FA">
        <w:rPr>
          <w:sz w:val="16"/>
          <w:szCs w:val="16"/>
          <w:lang w:val="en-US"/>
        </w:rPr>
        <w:t>Exploring community engagement in place-based approaches in areas of poor health and disadvantage: A scoping review</w:t>
      </w:r>
      <w:r w:rsidR="003944E6">
        <w:rPr>
          <w:sz w:val="16"/>
          <w:szCs w:val="16"/>
          <w:lang w:val="en-US"/>
        </w:rPr>
        <w:t xml:space="preserve">. Health &amp; Place. </w:t>
      </w:r>
      <w:hyperlink r:id="rId15" w:history="1">
        <w:r w:rsidR="003944E6" w:rsidRPr="00DC4EA3">
          <w:rPr>
            <w:rStyle w:val="Hyperlink"/>
            <w:sz w:val="16"/>
            <w:szCs w:val="16"/>
            <w:lang w:val="en-US"/>
          </w:rPr>
          <w:t>https://doi.org/10.1016/j.healthplace.2023.103026</w:t>
        </w:r>
      </w:hyperlink>
      <w:r w:rsidR="003944E6">
        <w:rPr>
          <w:sz w:val="16"/>
          <w:szCs w:val="16"/>
          <w:lang w:val="en-US"/>
        </w:rPr>
        <w:t xml:space="preserve">; </w:t>
      </w:r>
      <w:r w:rsidR="003944E6">
        <w:rPr>
          <w:sz w:val="16"/>
          <w:szCs w:val="16"/>
        </w:rPr>
        <w:t xml:space="preserve">Wilks, S., Lahausse, J., Edwards, B.. (2015). </w:t>
      </w:r>
      <w:r w:rsidR="003944E6" w:rsidRPr="00BA2862">
        <w:rPr>
          <w:sz w:val="16"/>
          <w:szCs w:val="16"/>
          <w:lang w:val="en-US"/>
        </w:rPr>
        <w:t>Commonwealth Place-Based Service Delivery Initiatives: Key Learnings project</w:t>
      </w:r>
      <w:r w:rsidR="003944E6">
        <w:rPr>
          <w:sz w:val="16"/>
          <w:szCs w:val="16"/>
          <w:lang w:val="en-US"/>
        </w:rPr>
        <w:t xml:space="preserve">. Accessed from, </w:t>
      </w:r>
      <w:r w:rsidR="003944E6" w:rsidRPr="00B67DA1">
        <w:rPr>
          <w:sz w:val="16"/>
          <w:szCs w:val="16"/>
          <w:lang w:val="en-US"/>
        </w:rPr>
        <w:t>https://aifs.gov.au/sites/default/files/publication-documents/rr32_0.pdf</w:t>
      </w:r>
      <w:r w:rsidRPr="009C7C93">
        <w:rPr>
          <w:sz w:val="16"/>
          <w:szCs w:val="16"/>
          <w:lang w:val="en-US"/>
        </w:rPr>
        <w:t xml:space="preserve"> </w:t>
      </w:r>
    </w:p>
  </w:footnote>
  <w:footnote w:id="38">
    <w:p w14:paraId="768B59A3" w14:textId="48A8EEC2" w:rsidR="009414E0" w:rsidRPr="000F3EBB" w:rsidRDefault="009414E0" w:rsidP="009414E0">
      <w:pPr>
        <w:pStyle w:val="FootnoteText"/>
        <w:rPr>
          <w:sz w:val="16"/>
          <w:szCs w:val="16"/>
          <w:highlight w:val="yellow"/>
          <w:lang w:val="it-IT"/>
        </w:rPr>
      </w:pPr>
      <w:r w:rsidRPr="008B4491">
        <w:rPr>
          <w:rStyle w:val="FootnoteReference"/>
          <w:sz w:val="16"/>
          <w:szCs w:val="16"/>
        </w:rPr>
        <w:footnoteRef/>
      </w:r>
      <w:r w:rsidR="00BA7EE6">
        <w:rPr>
          <w:sz w:val="16"/>
          <w:szCs w:val="16"/>
          <w:lang w:val="it-IT"/>
        </w:rPr>
        <w:t xml:space="preserve"> </w:t>
      </w:r>
      <w:r w:rsidR="008B4491" w:rsidRPr="008B4491">
        <w:rPr>
          <w:sz w:val="16"/>
          <w:szCs w:val="16"/>
          <w:lang w:val="it-IT"/>
        </w:rPr>
        <w:t>Lata et al</w:t>
      </w:r>
      <w:r w:rsidR="001F27A2">
        <w:rPr>
          <w:sz w:val="16"/>
          <w:szCs w:val="16"/>
          <w:lang w:val="it-IT"/>
        </w:rPr>
        <w:t>. (2024).</w:t>
      </w:r>
      <w:r w:rsidR="008B4491" w:rsidRPr="008B4491">
        <w:rPr>
          <w:sz w:val="16"/>
          <w:szCs w:val="16"/>
          <w:lang w:val="it-IT"/>
        </w:rPr>
        <w:t xml:space="preserve"> Advancing collaborative social outcomes through place based solutions – aligning policy and funding systems</w:t>
      </w:r>
      <w:r w:rsidR="001F27A2">
        <w:rPr>
          <w:sz w:val="16"/>
          <w:szCs w:val="16"/>
          <w:lang w:val="it-IT"/>
        </w:rPr>
        <w:t xml:space="preserve">. Policy and Society. </w:t>
      </w:r>
      <w:hyperlink r:id="rId16" w:history="1">
        <w:r w:rsidR="00723244" w:rsidRPr="00DC4EA3">
          <w:rPr>
            <w:rStyle w:val="Hyperlink"/>
            <w:sz w:val="16"/>
            <w:szCs w:val="16"/>
            <w:lang w:val="it-IT"/>
          </w:rPr>
          <w:t>https://doi.org/10.1093/polsoc/puae018</w:t>
        </w:r>
      </w:hyperlink>
      <w:r w:rsidR="00723244">
        <w:rPr>
          <w:sz w:val="16"/>
          <w:szCs w:val="16"/>
          <w:lang w:val="it-IT"/>
        </w:rPr>
        <w:t xml:space="preserve"> </w:t>
      </w:r>
    </w:p>
  </w:footnote>
  <w:footnote w:id="39">
    <w:p w14:paraId="5AFAC6FD" w14:textId="6B0056C4" w:rsidR="009414E0" w:rsidRPr="00BA2862" w:rsidRDefault="009414E0" w:rsidP="009414E0">
      <w:pPr>
        <w:pStyle w:val="FootnoteText"/>
        <w:rPr>
          <w:sz w:val="16"/>
          <w:szCs w:val="16"/>
          <w:lang w:val="it-IT"/>
        </w:rPr>
      </w:pPr>
      <w:r w:rsidRPr="00BA2862">
        <w:rPr>
          <w:rStyle w:val="FootnoteReference"/>
          <w:sz w:val="16"/>
          <w:szCs w:val="16"/>
        </w:rPr>
        <w:footnoteRef/>
      </w:r>
      <w:r w:rsidRPr="00BA2862">
        <w:rPr>
          <w:sz w:val="16"/>
          <w:szCs w:val="16"/>
          <w:lang w:val="it-IT"/>
        </w:rPr>
        <w:t xml:space="preserve"> </w:t>
      </w:r>
      <w:r w:rsidR="00317A28">
        <w:rPr>
          <w:sz w:val="16"/>
          <w:szCs w:val="16"/>
          <w:lang w:val="it-IT"/>
        </w:rPr>
        <w:t xml:space="preserve">Department of </w:t>
      </w:r>
      <w:r w:rsidR="00BD0F86">
        <w:rPr>
          <w:sz w:val="16"/>
          <w:szCs w:val="16"/>
          <w:lang w:val="it-IT"/>
        </w:rPr>
        <w:t>Social Services</w:t>
      </w:r>
      <w:r w:rsidR="00317A28">
        <w:rPr>
          <w:sz w:val="16"/>
          <w:szCs w:val="16"/>
          <w:lang w:val="it-IT"/>
        </w:rPr>
        <w:t>.</w:t>
      </w:r>
      <w:r w:rsidRPr="00BA2862">
        <w:rPr>
          <w:sz w:val="16"/>
          <w:szCs w:val="16"/>
          <w:lang w:val="it-IT"/>
        </w:rPr>
        <w:t xml:space="preserve"> </w:t>
      </w:r>
      <w:r w:rsidR="008E5CC9" w:rsidRPr="00BA2862">
        <w:rPr>
          <w:sz w:val="16"/>
          <w:szCs w:val="16"/>
          <w:lang w:val="it-IT"/>
        </w:rPr>
        <w:t>G</w:t>
      </w:r>
      <w:r w:rsidR="00BA2862" w:rsidRPr="00BA2862">
        <w:rPr>
          <w:sz w:val="16"/>
          <w:szCs w:val="16"/>
          <w:lang w:val="it-IT"/>
        </w:rPr>
        <w:t>rant Opportunity Guidelines</w:t>
      </w:r>
      <w:r w:rsidRPr="00BA2862">
        <w:rPr>
          <w:sz w:val="16"/>
          <w:szCs w:val="16"/>
          <w:lang w:val="it-IT"/>
        </w:rPr>
        <w:t xml:space="preserve"> p 11</w:t>
      </w:r>
    </w:p>
  </w:footnote>
  <w:footnote w:id="40">
    <w:p w14:paraId="3839510A" w14:textId="1551C3E5" w:rsidR="00CF420F" w:rsidRPr="00BA2862" w:rsidRDefault="00CF420F" w:rsidP="00CF420F">
      <w:pPr>
        <w:pStyle w:val="FootnoteText"/>
        <w:rPr>
          <w:sz w:val="16"/>
          <w:szCs w:val="16"/>
          <w:lang w:val="en-US"/>
        </w:rPr>
      </w:pPr>
      <w:r w:rsidRPr="00BA2862">
        <w:rPr>
          <w:rStyle w:val="FootnoteReference"/>
          <w:sz w:val="16"/>
          <w:szCs w:val="16"/>
        </w:rPr>
        <w:footnoteRef/>
      </w:r>
      <w:r w:rsidRPr="00BA2862">
        <w:rPr>
          <w:sz w:val="16"/>
          <w:szCs w:val="16"/>
        </w:rPr>
        <w:t xml:space="preserve"> </w:t>
      </w:r>
      <w:r w:rsidR="000D4859" w:rsidRPr="00BA2862">
        <w:rPr>
          <w:sz w:val="16"/>
          <w:szCs w:val="16"/>
        </w:rPr>
        <w:t>Jesuit Social Services Centre for Just Places, RMIT University and Centre for Community Child Health, What works for place based approaches in Victoria – A review of the literature, 2022</w:t>
      </w:r>
    </w:p>
  </w:footnote>
  <w:footnote w:id="41">
    <w:p w14:paraId="09E6CF18" w14:textId="16EBD090" w:rsidR="00CF420F" w:rsidRPr="00BA2862" w:rsidRDefault="00CF420F" w:rsidP="00CF420F">
      <w:pPr>
        <w:pStyle w:val="FootnoteText"/>
        <w:rPr>
          <w:sz w:val="16"/>
          <w:szCs w:val="16"/>
          <w:lang w:val="en-US"/>
        </w:rPr>
      </w:pPr>
      <w:r w:rsidRPr="00BA2862">
        <w:rPr>
          <w:rStyle w:val="FootnoteReference"/>
          <w:sz w:val="16"/>
          <w:szCs w:val="16"/>
        </w:rPr>
        <w:footnoteRef/>
      </w:r>
      <w:r w:rsidRPr="00BA2862">
        <w:rPr>
          <w:sz w:val="16"/>
          <w:szCs w:val="16"/>
        </w:rPr>
        <w:t xml:space="preserve"> </w:t>
      </w:r>
      <w:r w:rsidR="009F4BA3">
        <w:rPr>
          <w:sz w:val="16"/>
          <w:szCs w:val="16"/>
        </w:rPr>
        <w:t>Wilks, S., Lahausse, J., Edwards, B.. (</w:t>
      </w:r>
      <w:r w:rsidR="009C5014">
        <w:rPr>
          <w:sz w:val="16"/>
          <w:szCs w:val="16"/>
        </w:rPr>
        <w:t>2015).</w:t>
      </w:r>
      <w:r w:rsidR="00BA2862">
        <w:rPr>
          <w:sz w:val="16"/>
          <w:szCs w:val="16"/>
        </w:rPr>
        <w:t xml:space="preserve"> </w:t>
      </w:r>
      <w:r w:rsidR="00BA2862" w:rsidRPr="00BA2862">
        <w:rPr>
          <w:sz w:val="16"/>
          <w:szCs w:val="16"/>
          <w:lang w:val="en-US"/>
        </w:rPr>
        <w:t>Commonwealth Place-Based Service Delivery Initiatives: Key Learnings project</w:t>
      </w:r>
      <w:r w:rsidR="009F3713">
        <w:rPr>
          <w:sz w:val="16"/>
          <w:szCs w:val="16"/>
          <w:lang w:val="en-US"/>
        </w:rPr>
        <w:t xml:space="preserve">. Accessed from, </w:t>
      </w:r>
      <w:r w:rsidR="00B67DA1" w:rsidRPr="00B67DA1">
        <w:rPr>
          <w:sz w:val="16"/>
          <w:szCs w:val="16"/>
          <w:lang w:val="en-US"/>
        </w:rPr>
        <w:t>https://aifs.gov.au/sites/default/files/publication-documents/rr32_0.pdf</w:t>
      </w:r>
      <w:r w:rsidR="0053034C">
        <w:rPr>
          <w:sz w:val="16"/>
          <w:szCs w:val="16"/>
          <w:lang w:val="en-US"/>
        </w:rPr>
        <w:t xml:space="preserve"> </w:t>
      </w:r>
    </w:p>
  </w:footnote>
  <w:footnote w:id="42">
    <w:p w14:paraId="61B0ACA7" w14:textId="1CA178A9" w:rsidR="009414E0" w:rsidRPr="009C7C93" w:rsidRDefault="009414E0" w:rsidP="009414E0">
      <w:pPr>
        <w:pStyle w:val="FootnoteText"/>
        <w:rPr>
          <w:sz w:val="16"/>
          <w:szCs w:val="16"/>
          <w:lang w:val="en-US"/>
        </w:rPr>
      </w:pPr>
      <w:r w:rsidRPr="00BA2862">
        <w:rPr>
          <w:rStyle w:val="FootnoteReference"/>
          <w:sz w:val="16"/>
          <w:szCs w:val="16"/>
        </w:rPr>
        <w:footnoteRef/>
      </w:r>
      <w:r w:rsidRPr="00BA2862">
        <w:rPr>
          <w:sz w:val="16"/>
          <w:szCs w:val="16"/>
        </w:rPr>
        <w:t xml:space="preserve"> </w:t>
      </w:r>
      <w:r w:rsidR="00BD0F86">
        <w:rPr>
          <w:sz w:val="16"/>
          <w:szCs w:val="16"/>
          <w:lang w:val="it-IT"/>
        </w:rPr>
        <w:t>Department of Social Services</w:t>
      </w:r>
      <w:r w:rsidR="00A23979">
        <w:rPr>
          <w:sz w:val="16"/>
          <w:szCs w:val="16"/>
          <w:lang w:val="it-IT"/>
        </w:rPr>
        <w:t>.</w:t>
      </w:r>
      <w:r w:rsidRPr="00BA2862">
        <w:rPr>
          <w:sz w:val="16"/>
          <w:szCs w:val="16"/>
          <w:lang w:val="it-IT"/>
        </w:rPr>
        <w:t xml:space="preserve"> </w:t>
      </w:r>
      <w:r w:rsidR="00BA2862" w:rsidRPr="00BA2862">
        <w:rPr>
          <w:sz w:val="16"/>
          <w:szCs w:val="16"/>
          <w:lang w:val="it-IT"/>
        </w:rPr>
        <w:t>Grant Opportunity Guidelines p 11</w:t>
      </w:r>
    </w:p>
  </w:footnote>
  <w:footnote w:id="43">
    <w:p w14:paraId="51DC6D37" w14:textId="54D8FE5B" w:rsidR="009414E0" w:rsidRPr="00BA2862" w:rsidRDefault="009414E0" w:rsidP="009414E0">
      <w:pPr>
        <w:pStyle w:val="FootnoteText"/>
        <w:rPr>
          <w:sz w:val="16"/>
          <w:szCs w:val="16"/>
          <w:lang w:val="it-IT"/>
        </w:rPr>
      </w:pPr>
      <w:r w:rsidRPr="009C7C93">
        <w:rPr>
          <w:rStyle w:val="FootnoteReference"/>
          <w:sz w:val="16"/>
          <w:szCs w:val="16"/>
        </w:rPr>
        <w:footnoteRef/>
      </w:r>
      <w:r w:rsidRPr="009C7C93">
        <w:rPr>
          <w:sz w:val="16"/>
          <w:szCs w:val="16"/>
        </w:rPr>
        <w:t xml:space="preserve"> </w:t>
      </w:r>
      <w:r w:rsidR="00BD0F86">
        <w:rPr>
          <w:sz w:val="16"/>
          <w:szCs w:val="16"/>
          <w:lang w:val="it-IT"/>
        </w:rPr>
        <w:t>Department of Social Services.</w:t>
      </w:r>
      <w:r>
        <w:rPr>
          <w:sz w:val="16"/>
          <w:szCs w:val="16"/>
          <w:lang w:val="it-IT"/>
        </w:rPr>
        <w:t xml:space="preserve"> </w:t>
      </w:r>
      <w:r w:rsidR="00BA2862" w:rsidRPr="00BA2862">
        <w:rPr>
          <w:sz w:val="16"/>
          <w:szCs w:val="16"/>
          <w:lang w:val="it-IT"/>
        </w:rPr>
        <w:t>Grant Opportunity Guidelines p 11</w:t>
      </w:r>
    </w:p>
  </w:footnote>
  <w:footnote w:id="44">
    <w:p w14:paraId="1056BC10" w14:textId="5F055B04" w:rsidR="009414E0" w:rsidRPr="009C7C93" w:rsidRDefault="009414E0" w:rsidP="009414E0">
      <w:pPr>
        <w:pStyle w:val="FootnoteText"/>
        <w:rPr>
          <w:sz w:val="16"/>
          <w:szCs w:val="16"/>
          <w:lang w:val="en-US"/>
        </w:rPr>
      </w:pPr>
      <w:r w:rsidRPr="009C7C93">
        <w:rPr>
          <w:rStyle w:val="FootnoteReference"/>
          <w:sz w:val="16"/>
          <w:szCs w:val="16"/>
        </w:rPr>
        <w:footnoteRef/>
      </w:r>
      <w:r w:rsidRPr="009C7C93">
        <w:rPr>
          <w:sz w:val="16"/>
          <w:szCs w:val="16"/>
        </w:rPr>
        <w:t xml:space="preserve"> </w:t>
      </w:r>
      <w:r w:rsidR="00095724" w:rsidRPr="00095724">
        <w:rPr>
          <w:sz w:val="16"/>
          <w:szCs w:val="16"/>
          <w:lang w:val="en-US"/>
        </w:rPr>
        <w:t>Liebman,</w:t>
      </w:r>
      <w:r w:rsidR="009E62FD">
        <w:rPr>
          <w:sz w:val="16"/>
          <w:szCs w:val="16"/>
          <w:lang w:val="en-US"/>
        </w:rPr>
        <w:t xml:space="preserve"> J.. (2013).</w:t>
      </w:r>
      <w:r w:rsidR="00095724" w:rsidRPr="00095724">
        <w:rPr>
          <w:sz w:val="16"/>
          <w:szCs w:val="16"/>
          <w:lang w:val="en-US"/>
        </w:rPr>
        <w:t xml:space="preserve"> Building on recent advances in </w:t>
      </w:r>
      <w:r w:rsidR="009E62FD" w:rsidRPr="00095724">
        <w:rPr>
          <w:sz w:val="16"/>
          <w:szCs w:val="16"/>
          <w:lang w:val="en-US"/>
        </w:rPr>
        <w:t>evidence-based</w:t>
      </w:r>
      <w:r w:rsidR="00095724" w:rsidRPr="00095724">
        <w:rPr>
          <w:sz w:val="16"/>
          <w:szCs w:val="16"/>
          <w:lang w:val="en-US"/>
        </w:rPr>
        <w:t xml:space="preserve"> policy making</w:t>
      </w:r>
      <w:r w:rsidR="009E62FD">
        <w:rPr>
          <w:sz w:val="16"/>
          <w:szCs w:val="16"/>
          <w:lang w:val="en-US"/>
        </w:rPr>
        <w:t xml:space="preserve">. Accessed from, </w:t>
      </w:r>
      <w:r w:rsidR="009E62FD" w:rsidRPr="009E62FD">
        <w:rPr>
          <w:sz w:val="16"/>
          <w:szCs w:val="16"/>
          <w:lang w:val="en-US"/>
        </w:rPr>
        <w:t>https://www.hamiltonproject.org/assets/legacy/files/downloads_and_links/THP_LiebmanF2_4-13_1.pdf</w:t>
      </w:r>
    </w:p>
  </w:footnote>
  <w:footnote w:id="45">
    <w:p w14:paraId="133BD81E" w14:textId="45D85246" w:rsidR="00AC0D7D" w:rsidRPr="00BA7EE6" w:rsidRDefault="00AC0D7D" w:rsidP="00AC0D7D">
      <w:pPr>
        <w:pStyle w:val="FootnoteText"/>
        <w:rPr>
          <w:sz w:val="16"/>
          <w:szCs w:val="16"/>
          <w:highlight w:val="yellow"/>
          <w:lang w:val="it-IT"/>
        </w:rPr>
      </w:pPr>
      <w:r w:rsidRPr="009C7C93">
        <w:rPr>
          <w:rStyle w:val="FootnoteReference"/>
          <w:sz w:val="16"/>
          <w:szCs w:val="16"/>
        </w:rPr>
        <w:footnoteRef/>
      </w:r>
      <w:r w:rsidRPr="009C7C93">
        <w:rPr>
          <w:sz w:val="16"/>
          <w:szCs w:val="16"/>
        </w:rPr>
        <w:t xml:space="preserve"> </w:t>
      </w:r>
      <w:r w:rsidR="00BA7EE6" w:rsidRPr="008B4491">
        <w:rPr>
          <w:sz w:val="16"/>
          <w:szCs w:val="16"/>
          <w:lang w:val="it-IT"/>
        </w:rPr>
        <w:t>Lata et al</w:t>
      </w:r>
      <w:r w:rsidR="00BA7EE6">
        <w:rPr>
          <w:sz w:val="16"/>
          <w:szCs w:val="16"/>
          <w:lang w:val="it-IT"/>
        </w:rPr>
        <w:t>. (2024).</w:t>
      </w:r>
      <w:r w:rsidR="00BA7EE6" w:rsidRPr="008B4491">
        <w:rPr>
          <w:sz w:val="16"/>
          <w:szCs w:val="16"/>
          <w:lang w:val="it-IT"/>
        </w:rPr>
        <w:t xml:space="preserve"> Advancing collaborative social outcomes through place based solutions – aligning policy and funding systems</w:t>
      </w:r>
      <w:r w:rsidR="00BA7EE6">
        <w:rPr>
          <w:sz w:val="16"/>
          <w:szCs w:val="16"/>
          <w:lang w:val="it-IT"/>
        </w:rPr>
        <w:t xml:space="preserve">. Policy and Society. </w:t>
      </w:r>
      <w:r w:rsidR="00BA7EE6" w:rsidRPr="00BA7EE6">
        <w:rPr>
          <w:sz w:val="16"/>
          <w:szCs w:val="16"/>
          <w:lang w:val="it-IT"/>
        </w:rPr>
        <w:t>https://doi.org/10.1093/polsoc/puae018</w:t>
      </w:r>
    </w:p>
  </w:footnote>
  <w:footnote w:id="46">
    <w:p w14:paraId="4E60775B" w14:textId="2A503589" w:rsidR="009414E0" w:rsidRPr="009C7C93" w:rsidRDefault="009414E0" w:rsidP="009414E0">
      <w:pPr>
        <w:pStyle w:val="FootnoteText"/>
        <w:rPr>
          <w:sz w:val="16"/>
          <w:szCs w:val="16"/>
          <w:lang w:val="en-US"/>
        </w:rPr>
      </w:pPr>
      <w:r w:rsidRPr="009C7C93">
        <w:rPr>
          <w:rStyle w:val="FootnoteReference"/>
          <w:sz w:val="16"/>
          <w:szCs w:val="16"/>
        </w:rPr>
        <w:footnoteRef/>
      </w:r>
      <w:r w:rsidRPr="009C7C93">
        <w:rPr>
          <w:sz w:val="16"/>
          <w:szCs w:val="16"/>
        </w:rPr>
        <w:t xml:space="preserve"> </w:t>
      </w:r>
      <w:r w:rsidR="00EB14E2" w:rsidRPr="00EB14E2">
        <w:rPr>
          <w:sz w:val="16"/>
          <w:szCs w:val="16"/>
          <w:lang w:val="en-US"/>
        </w:rPr>
        <w:t>Paul Ramsay Foundation</w:t>
      </w:r>
      <w:r w:rsidR="00B97EA6">
        <w:rPr>
          <w:sz w:val="16"/>
          <w:szCs w:val="16"/>
          <w:lang w:val="en-US"/>
        </w:rPr>
        <w:t>. (2023).</w:t>
      </w:r>
      <w:r w:rsidR="00EB14E2" w:rsidRPr="00EB14E2">
        <w:rPr>
          <w:sz w:val="16"/>
          <w:szCs w:val="16"/>
          <w:lang w:val="en-US"/>
        </w:rPr>
        <w:t xml:space="preserve"> Where are We? Place-based approaches to tackling community challenges in Australia</w:t>
      </w:r>
      <w:r w:rsidR="00B97EA6">
        <w:rPr>
          <w:sz w:val="16"/>
          <w:szCs w:val="16"/>
          <w:lang w:val="en-US"/>
        </w:rPr>
        <w:t xml:space="preserve">. Accessed from, </w:t>
      </w:r>
      <w:r w:rsidR="00B97EA6" w:rsidRPr="00B97EA6">
        <w:rPr>
          <w:sz w:val="16"/>
          <w:szCs w:val="16"/>
          <w:lang w:val="en-US"/>
        </w:rPr>
        <w:t>https://www.paulramsayfoundation.org.au/news-resources/where-are-we-place-based-approaches-to-tackling-community-challenges-in-australia</w:t>
      </w:r>
    </w:p>
  </w:footnote>
  <w:footnote w:id="47">
    <w:p w14:paraId="65CFBE1D" w14:textId="6DA56A95" w:rsidR="009414E0" w:rsidRPr="00BA2862" w:rsidRDefault="009414E0" w:rsidP="009414E0">
      <w:pPr>
        <w:pStyle w:val="FootnoteText"/>
        <w:rPr>
          <w:sz w:val="16"/>
          <w:szCs w:val="16"/>
          <w:lang w:val="it-IT"/>
        </w:rPr>
      </w:pPr>
      <w:r w:rsidRPr="009C7C93">
        <w:rPr>
          <w:rStyle w:val="FootnoteReference"/>
          <w:sz w:val="16"/>
          <w:szCs w:val="16"/>
        </w:rPr>
        <w:footnoteRef/>
      </w:r>
      <w:r w:rsidRPr="009C7C93">
        <w:rPr>
          <w:sz w:val="16"/>
          <w:szCs w:val="16"/>
        </w:rPr>
        <w:t xml:space="preserve"> </w:t>
      </w:r>
      <w:r w:rsidR="009C7D12">
        <w:rPr>
          <w:sz w:val="16"/>
          <w:szCs w:val="16"/>
          <w:lang w:val="it-IT"/>
        </w:rPr>
        <w:t>Department of Social Services.</w:t>
      </w:r>
      <w:r>
        <w:rPr>
          <w:sz w:val="16"/>
          <w:szCs w:val="16"/>
          <w:lang w:val="it-IT"/>
        </w:rPr>
        <w:t xml:space="preserve"> </w:t>
      </w:r>
      <w:r w:rsidR="00BA2862" w:rsidRPr="00BA2862">
        <w:rPr>
          <w:sz w:val="16"/>
          <w:szCs w:val="16"/>
          <w:lang w:val="it-IT"/>
        </w:rPr>
        <w:t>Grant Opportunity Guidelines p 11</w:t>
      </w:r>
    </w:p>
  </w:footnote>
  <w:footnote w:id="48">
    <w:p w14:paraId="79B5B431" w14:textId="0C115D6B" w:rsidR="00564E32" w:rsidRDefault="00564E32">
      <w:pPr>
        <w:pStyle w:val="FootnoteText"/>
      </w:pPr>
      <w:r>
        <w:rPr>
          <w:rStyle w:val="FootnoteReference"/>
        </w:rPr>
        <w:footnoteRef/>
      </w:r>
      <w:r>
        <w:t xml:space="preserve"> </w:t>
      </w:r>
      <w:r w:rsidR="00CC5DC8" w:rsidRPr="00CC5DC8">
        <w:t>Department of Social Services</w:t>
      </w:r>
      <w:r w:rsidR="00CC5DC8">
        <w:t xml:space="preserve"> (2022), </w:t>
      </w:r>
      <w:r w:rsidR="00BE5FAE" w:rsidRPr="00BE5FAE">
        <w:t>DEX Program Specific Guidance</w:t>
      </w:r>
      <w:r w:rsidR="00BE5FAE">
        <w:t xml:space="preserve">. Accessed from, </w:t>
      </w:r>
      <w:r w:rsidR="0009640E" w:rsidRPr="0009640E">
        <w:t>https://dex.dss.gov.au/sites/default/files/documents/2022-08/1471-program-specific-guidance.pdf</w:t>
      </w:r>
    </w:p>
  </w:footnote>
  <w:footnote w:id="49">
    <w:p w14:paraId="073783ED" w14:textId="4F48D559" w:rsidR="005C79FA" w:rsidRPr="00425062" w:rsidRDefault="005C79FA" w:rsidP="005C79FA">
      <w:pPr>
        <w:pStyle w:val="FootnoteText"/>
        <w:rPr>
          <w:sz w:val="16"/>
          <w:szCs w:val="16"/>
          <w:highlight w:val="cyan"/>
          <w:lang w:val="en-US"/>
        </w:rPr>
      </w:pPr>
      <w:r w:rsidRPr="00425062">
        <w:rPr>
          <w:rStyle w:val="FootnoteReference"/>
          <w:sz w:val="16"/>
          <w:szCs w:val="16"/>
        </w:rPr>
        <w:footnoteRef/>
      </w:r>
      <w:r w:rsidRPr="00425062">
        <w:rPr>
          <w:sz w:val="16"/>
          <w:szCs w:val="16"/>
        </w:rPr>
        <w:t xml:space="preserve"> </w:t>
      </w:r>
      <w:r w:rsidRPr="00425062">
        <w:rPr>
          <w:sz w:val="16"/>
          <w:szCs w:val="16"/>
          <w:lang w:val="en-US"/>
        </w:rPr>
        <w:t>Department of Social Services</w:t>
      </w:r>
      <w:r w:rsidR="00B97EA6">
        <w:rPr>
          <w:sz w:val="16"/>
          <w:szCs w:val="16"/>
          <w:lang w:val="en-US"/>
        </w:rPr>
        <w:t>. (2025).</w:t>
      </w:r>
      <w:r w:rsidRPr="00425062">
        <w:rPr>
          <w:sz w:val="16"/>
          <w:szCs w:val="16"/>
          <w:lang w:val="en-US"/>
        </w:rPr>
        <w:t xml:space="preserve"> Corporate Plan 2025-26</w:t>
      </w:r>
      <w:r w:rsidR="00B97EA6">
        <w:rPr>
          <w:sz w:val="16"/>
          <w:szCs w:val="16"/>
          <w:lang w:val="en-US"/>
        </w:rPr>
        <w:t xml:space="preserve">. </w:t>
      </w:r>
      <w:r w:rsidRPr="00425062">
        <w:rPr>
          <w:sz w:val="16"/>
          <w:szCs w:val="16"/>
          <w:lang w:val="en-US"/>
        </w:rPr>
        <w:t xml:space="preserve">Accessed </w:t>
      </w:r>
      <w:r w:rsidR="00B97EA6">
        <w:rPr>
          <w:sz w:val="16"/>
          <w:szCs w:val="16"/>
          <w:lang w:val="en-US"/>
        </w:rPr>
        <w:t>from,</w:t>
      </w:r>
      <w:r w:rsidRPr="00425062">
        <w:rPr>
          <w:sz w:val="16"/>
          <w:szCs w:val="16"/>
          <w:lang w:val="en-US"/>
        </w:rPr>
        <w:t xml:space="preserve"> </w:t>
      </w:r>
      <w:hyperlink r:id="rId17" w:history="1">
        <w:r w:rsidRPr="00425062">
          <w:rPr>
            <w:rStyle w:val="Hyperlink"/>
            <w:sz w:val="16"/>
            <w:szCs w:val="16"/>
            <w:lang w:val="en-US"/>
          </w:rPr>
          <w:t>https://www.dss.gov.au/system/files/documents/2025-08/dss-corporate-plan-2025-26.pdf</w:t>
        </w:r>
      </w:hyperlink>
      <w:r w:rsidRPr="00425062">
        <w:rPr>
          <w:sz w:val="16"/>
          <w:szCs w:val="16"/>
          <w:lang w:val="en-US"/>
        </w:rPr>
        <w:t xml:space="preserve"> </w:t>
      </w:r>
    </w:p>
  </w:footnote>
  <w:footnote w:id="50">
    <w:p w14:paraId="77CCCF18" w14:textId="10C514A0" w:rsidR="00D41402" w:rsidRPr="00425062" w:rsidRDefault="00D41402">
      <w:pPr>
        <w:pStyle w:val="FootnoteText"/>
        <w:rPr>
          <w:sz w:val="16"/>
          <w:szCs w:val="16"/>
          <w:lang w:val="en-US"/>
        </w:rPr>
      </w:pPr>
      <w:r w:rsidRPr="00425062">
        <w:rPr>
          <w:rStyle w:val="FootnoteReference"/>
          <w:sz w:val="16"/>
          <w:szCs w:val="16"/>
        </w:rPr>
        <w:footnoteRef/>
      </w:r>
      <w:r w:rsidRPr="00425062">
        <w:rPr>
          <w:sz w:val="16"/>
          <w:szCs w:val="16"/>
        </w:rPr>
        <w:t xml:space="preserve"> </w:t>
      </w:r>
      <w:r w:rsidR="00B97EA6">
        <w:rPr>
          <w:sz w:val="16"/>
          <w:szCs w:val="16"/>
        </w:rPr>
        <w:t>Department of Social Services. (202</w:t>
      </w:r>
      <w:r w:rsidR="00C35BDA">
        <w:rPr>
          <w:sz w:val="16"/>
          <w:szCs w:val="16"/>
        </w:rPr>
        <w:t>5). Economic Inclusion Advisory Committee. Accessed from,</w:t>
      </w:r>
      <w:r w:rsidRPr="00425062">
        <w:rPr>
          <w:sz w:val="16"/>
          <w:szCs w:val="16"/>
        </w:rPr>
        <w:t xml:space="preserve"> </w:t>
      </w:r>
      <w:hyperlink r:id="rId18" w:history="1">
        <w:r w:rsidR="005974F8" w:rsidRPr="00425062">
          <w:rPr>
            <w:rStyle w:val="Hyperlink"/>
            <w:sz w:val="16"/>
            <w:szCs w:val="16"/>
          </w:rPr>
          <w:t>https://www.dss.gov.au/committees/economic-inclusion-advisory-committee</w:t>
        </w:r>
      </w:hyperlink>
      <w:r w:rsidR="005974F8" w:rsidRPr="00425062">
        <w:rPr>
          <w:sz w:val="16"/>
          <w:szCs w:val="16"/>
        </w:rPr>
        <w:t xml:space="preserve"> </w:t>
      </w:r>
    </w:p>
  </w:footnote>
  <w:footnote w:id="51">
    <w:p w14:paraId="129A2601" w14:textId="2B3680BB" w:rsidR="00C35BDA" w:rsidRDefault="00C35BDA" w:rsidP="004C647A">
      <w:pPr>
        <w:pStyle w:val="FootnoteText"/>
      </w:pPr>
      <w:r w:rsidRPr="00193DCA">
        <w:rPr>
          <w:rStyle w:val="FootnoteReference"/>
          <w:sz w:val="16"/>
          <w:szCs w:val="16"/>
        </w:rPr>
        <w:footnoteRef/>
      </w:r>
      <w:r w:rsidRPr="00193DCA">
        <w:rPr>
          <w:sz w:val="16"/>
          <w:szCs w:val="16"/>
        </w:rPr>
        <w:t xml:space="preserve"> </w:t>
      </w:r>
      <w:r w:rsidR="005A7291" w:rsidRPr="00193DCA">
        <w:rPr>
          <w:sz w:val="16"/>
          <w:szCs w:val="16"/>
        </w:rPr>
        <w:t>Ending loneliness together. (</w:t>
      </w:r>
      <w:r w:rsidR="00193DCA">
        <w:rPr>
          <w:sz w:val="16"/>
          <w:szCs w:val="16"/>
        </w:rPr>
        <w:t xml:space="preserve">2025). </w:t>
      </w:r>
      <w:r w:rsidR="004C647A" w:rsidRPr="004C647A">
        <w:rPr>
          <w:sz w:val="16"/>
          <w:szCs w:val="16"/>
        </w:rPr>
        <w:t>A National Strategy to Address</w:t>
      </w:r>
      <w:r w:rsidR="004C647A">
        <w:rPr>
          <w:sz w:val="16"/>
          <w:szCs w:val="16"/>
        </w:rPr>
        <w:t xml:space="preserve"> </w:t>
      </w:r>
      <w:r w:rsidR="004C647A" w:rsidRPr="004C647A">
        <w:rPr>
          <w:sz w:val="16"/>
          <w:szCs w:val="16"/>
        </w:rPr>
        <w:t>Loneliness and Social Isolation</w:t>
      </w:r>
      <w:r w:rsidR="004C647A">
        <w:rPr>
          <w:sz w:val="16"/>
          <w:szCs w:val="16"/>
        </w:rPr>
        <w:t xml:space="preserve">. </w:t>
      </w:r>
      <w:r w:rsidR="00193DCA">
        <w:rPr>
          <w:sz w:val="16"/>
          <w:szCs w:val="16"/>
        </w:rPr>
        <w:t xml:space="preserve">Accessed from, </w:t>
      </w:r>
      <w:hyperlink r:id="rId19" w:history="1">
        <w:r w:rsidR="00193DCA" w:rsidRPr="00425062">
          <w:rPr>
            <w:rStyle w:val="Hyperlink"/>
            <w:sz w:val="16"/>
            <w:szCs w:val="16"/>
          </w:rPr>
          <w:t>https://treasury.gov.au/sites/default/files/2021-05/171663_ending_loneliness_together.pdf</w:t>
        </w:r>
      </w:hyperlink>
    </w:p>
  </w:footnote>
  <w:footnote w:id="52">
    <w:p w14:paraId="5139A3C8" w14:textId="4D921E18" w:rsidR="006117C6" w:rsidRDefault="006117C6">
      <w:pPr>
        <w:pStyle w:val="FootnoteText"/>
      </w:pPr>
      <w:r>
        <w:rPr>
          <w:rStyle w:val="FootnoteReference"/>
        </w:rPr>
        <w:footnoteRef/>
      </w:r>
      <w:r>
        <w:t xml:space="preserve"> DSS, Commonwealth Outcomes Fund, Accessed 2</w:t>
      </w:r>
      <w:r w:rsidR="00006310">
        <w:t>0</w:t>
      </w:r>
      <w:r>
        <w:t xml:space="preserve"> January 2025</w:t>
      </w:r>
      <w:r w:rsidR="00006310">
        <w:t xml:space="preserve">, </w:t>
      </w:r>
      <w:hyperlink r:id="rId20" w:history="1">
        <w:r w:rsidR="000049E2" w:rsidRPr="005612E5">
          <w:rPr>
            <w:rStyle w:val="Hyperlink"/>
          </w:rPr>
          <w:t>https://www.dss.gov.au/social-impact-investing/commonwealth-outcomes-fund</w:t>
        </w:r>
      </w:hyperlink>
      <w:r w:rsidR="000049E2">
        <w:t xml:space="preserve"> </w:t>
      </w:r>
    </w:p>
  </w:footnote>
  <w:footnote w:id="53">
    <w:p w14:paraId="64BAF7DE" w14:textId="6D61C207" w:rsidR="00940949" w:rsidRPr="00940949" w:rsidRDefault="00940949">
      <w:pPr>
        <w:pStyle w:val="FootnoteText"/>
        <w:rPr>
          <w:sz w:val="16"/>
          <w:szCs w:val="16"/>
        </w:rPr>
      </w:pPr>
      <w:r>
        <w:rPr>
          <w:rStyle w:val="FootnoteReference"/>
        </w:rPr>
        <w:footnoteRef/>
      </w:r>
      <w:r>
        <w:t xml:space="preserve"> </w:t>
      </w:r>
      <w:r>
        <w:rPr>
          <w:sz w:val="16"/>
          <w:szCs w:val="16"/>
        </w:rPr>
        <w:t xml:space="preserve">Based on data provided in the Department’s Lessons Learned </w:t>
      </w:r>
      <w:r w:rsidR="00373A79">
        <w:rPr>
          <w:sz w:val="16"/>
          <w:szCs w:val="16"/>
        </w:rPr>
        <w:t>and Feedback Reports (Rounds 1-3)</w:t>
      </w:r>
    </w:p>
  </w:footnote>
  <w:footnote w:id="54">
    <w:p w14:paraId="265D21C7" w14:textId="77777777" w:rsidR="00F437AD" w:rsidRPr="00D55139" w:rsidRDefault="00F437AD" w:rsidP="00F437AD">
      <w:pPr>
        <w:pStyle w:val="FootnoteText"/>
        <w:rPr>
          <w:sz w:val="16"/>
          <w:szCs w:val="16"/>
          <w:lang w:val="en-US"/>
        </w:rPr>
      </w:pPr>
      <w:r w:rsidRPr="00D55139">
        <w:rPr>
          <w:rStyle w:val="FootnoteReference"/>
          <w:sz w:val="16"/>
          <w:szCs w:val="16"/>
        </w:rPr>
        <w:footnoteRef/>
      </w:r>
      <w:r w:rsidRPr="00D55139">
        <w:rPr>
          <w:sz w:val="16"/>
          <w:szCs w:val="16"/>
        </w:rPr>
        <w:t xml:space="preserve"> </w:t>
      </w:r>
      <w:r w:rsidRPr="004169A8">
        <w:rPr>
          <w:sz w:val="16"/>
          <w:szCs w:val="16"/>
          <w:lang w:val="en-US"/>
        </w:rPr>
        <w:t>Interviews with Departmental staff</w:t>
      </w:r>
      <w:r w:rsidR="00ED7123">
        <w:rPr>
          <w:sz w:val="16"/>
          <w:szCs w:val="16"/>
          <w:lang w:val="en-US"/>
        </w:rPr>
        <w:t xml:space="preserve">; </w:t>
      </w:r>
      <w:r w:rsidR="00DD153A">
        <w:rPr>
          <w:sz w:val="16"/>
          <w:szCs w:val="16"/>
          <w:lang w:val="en-US"/>
        </w:rPr>
        <w:t xml:space="preserve">Round One Lessons Learned and Feedback Report </w:t>
      </w:r>
    </w:p>
  </w:footnote>
  <w:footnote w:id="55">
    <w:p w14:paraId="1BBE74F8" w14:textId="50B44E5E" w:rsidR="00376E3E" w:rsidRPr="00D55139" w:rsidRDefault="00376E3E" w:rsidP="00376E3E">
      <w:pPr>
        <w:pStyle w:val="FootnoteText"/>
        <w:rPr>
          <w:sz w:val="16"/>
          <w:szCs w:val="16"/>
          <w:lang w:val="en-US"/>
        </w:rPr>
      </w:pPr>
      <w:r w:rsidRPr="00D55139">
        <w:rPr>
          <w:rStyle w:val="FootnoteReference"/>
          <w:sz w:val="16"/>
          <w:szCs w:val="16"/>
        </w:rPr>
        <w:footnoteRef/>
      </w:r>
      <w:r w:rsidRPr="00D55139">
        <w:rPr>
          <w:sz w:val="16"/>
          <w:szCs w:val="16"/>
        </w:rPr>
        <w:t xml:space="preserve"> </w:t>
      </w:r>
      <w:r w:rsidR="00BE473C">
        <w:rPr>
          <w:sz w:val="16"/>
          <w:szCs w:val="16"/>
          <w:lang w:val="en-US"/>
        </w:rPr>
        <w:t>G</w:t>
      </w:r>
      <w:r>
        <w:rPr>
          <w:sz w:val="16"/>
          <w:szCs w:val="16"/>
          <w:lang w:val="en-US"/>
        </w:rPr>
        <w:t xml:space="preserve">rant recipients who participated in the survey </w:t>
      </w:r>
      <w:r w:rsidR="00BE473C">
        <w:rPr>
          <w:sz w:val="16"/>
          <w:szCs w:val="16"/>
          <w:lang w:val="en-US"/>
        </w:rPr>
        <w:t>who</w:t>
      </w:r>
      <w:r>
        <w:rPr>
          <w:sz w:val="16"/>
          <w:szCs w:val="16"/>
          <w:lang w:val="en-US"/>
        </w:rPr>
        <w:t xml:space="preserve"> responded ‘somewhat agree’ or ‘strongly agree’ to ‘to what extent do you agree it was easy to understand the </w:t>
      </w:r>
      <w:r w:rsidR="00BE473C">
        <w:rPr>
          <w:sz w:val="16"/>
          <w:szCs w:val="16"/>
          <w:lang w:val="en-US"/>
        </w:rPr>
        <w:t>grant guidelines</w:t>
      </w:r>
      <w:r>
        <w:rPr>
          <w:sz w:val="16"/>
          <w:szCs w:val="16"/>
          <w:lang w:val="en-US"/>
        </w:rPr>
        <w:t xml:space="preserve">?’ </w:t>
      </w:r>
    </w:p>
  </w:footnote>
  <w:footnote w:id="56">
    <w:p w14:paraId="33822A42" w14:textId="517B656D" w:rsidR="005B4DFC" w:rsidRPr="000E3033" w:rsidRDefault="005B4DFC">
      <w:pPr>
        <w:pStyle w:val="FootnoteText"/>
        <w:rPr>
          <w:sz w:val="16"/>
          <w:szCs w:val="16"/>
        </w:rPr>
      </w:pPr>
      <w:r w:rsidRPr="00D55139">
        <w:rPr>
          <w:rStyle w:val="FootnoteReference"/>
          <w:sz w:val="16"/>
          <w:szCs w:val="16"/>
        </w:rPr>
        <w:footnoteRef/>
      </w:r>
      <w:r w:rsidRPr="00D55139">
        <w:rPr>
          <w:sz w:val="16"/>
          <w:szCs w:val="16"/>
        </w:rPr>
        <w:t xml:space="preserve"> </w:t>
      </w:r>
      <w:r w:rsidR="00BD1D1A">
        <w:rPr>
          <w:sz w:val="16"/>
          <w:szCs w:val="16"/>
        </w:rPr>
        <w:t>8</w:t>
      </w:r>
      <w:r w:rsidR="00FD7280" w:rsidRPr="00D55139">
        <w:rPr>
          <w:sz w:val="16"/>
          <w:szCs w:val="16"/>
          <w:lang w:val="en-US"/>
        </w:rPr>
        <w:t xml:space="preserve"> per cent</w:t>
      </w:r>
      <w:r w:rsidR="00BD1D1A">
        <w:rPr>
          <w:sz w:val="16"/>
          <w:szCs w:val="16"/>
        </w:rPr>
        <w:t xml:space="preserve"> of AWPs </w:t>
      </w:r>
      <w:r w:rsidR="00753287">
        <w:rPr>
          <w:sz w:val="16"/>
          <w:szCs w:val="16"/>
        </w:rPr>
        <w:t>also</w:t>
      </w:r>
      <w:r w:rsidR="00BD1D1A">
        <w:rPr>
          <w:sz w:val="16"/>
          <w:szCs w:val="16"/>
        </w:rPr>
        <w:t xml:space="preserve"> referenced a high turnover of FAMs, and 5/51 survey respondent</w:t>
      </w:r>
      <w:r w:rsidR="007D637A">
        <w:rPr>
          <w:sz w:val="16"/>
          <w:szCs w:val="16"/>
        </w:rPr>
        <w:t xml:space="preserve">s referenced high turnover in a non compulsory open text response. </w:t>
      </w:r>
    </w:p>
  </w:footnote>
  <w:footnote w:id="57">
    <w:p w14:paraId="468BFE7B" w14:textId="75EFA137" w:rsidR="003753D8" w:rsidRPr="001927C1" w:rsidRDefault="003753D8">
      <w:pPr>
        <w:pStyle w:val="FootnoteText"/>
        <w:rPr>
          <w:sz w:val="16"/>
          <w:szCs w:val="16"/>
        </w:rPr>
      </w:pPr>
      <w:r w:rsidRPr="001927C1">
        <w:rPr>
          <w:rStyle w:val="FootnoteReference"/>
          <w:sz w:val="16"/>
          <w:szCs w:val="16"/>
        </w:rPr>
        <w:footnoteRef/>
      </w:r>
      <w:r w:rsidRPr="001927C1">
        <w:rPr>
          <w:sz w:val="16"/>
          <w:szCs w:val="16"/>
        </w:rPr>
        <w:t xml:space="preserve"> 10</w:t>
      </w:r>
      <w:r w:rsidR="00FD7280" w:rsidRPr="00D55139">
        <w:rPr>
          <w:sz w:val="16"/>
          <w:szCs w:val="16"/>
          <w:lang w:val="en-US"/>
        </w:rPr>
        <w:t xml:space="preserve"> per cent</w:t>
      </w:r>
      <w:r w:rsidRPr="001927C1">
        <w:rPr>
          <w:sz w:val="16"/>
          <w:szCs w:val="16"/>
        </w:rPr>
        <w:t xml:space="preserve"> of AWPs </w:t>
      </w:r>
      <w:r w:rsidR="000023C8" w:rsidRPr="001927C1">
        <w:rPr>
          <w:sz w:val="16"/>
          <w:szCs w:val="16"/>
        </w:rPr>
        <w:t xml:space="preserve">mentioned low attendance </w:t>
      </w:r>
      <w:r w:rsidR="005102D0" w:rsidRPr="001927C1">
        <w:rPr>
          <w:sz w:val="16"/>
          <w:szCs w:val="16"/>
        </w:rPr>
        <w:t xml:space="preserve">and time taken to build stronger attendance numbers </w:t>
      </w:r>
      <w:r w:rsidR="000023C8" w:rsidRPr="001927C1">
        <w:rPr>
          <w:sz w:val="16"/>
          <w:szCs w:val="16"/>
        </w:rPr>
        <w:t xml:space="preserve">as </w:t>
      </w:r>
      <w:r w:rsidR="005102D0" w:rsidRPr="001927C1">
        <w:rPr>
          <w:sz w:val="16"/>
          <w:szCs w:val="16"/>
        </w:rPr>
        <w:t xml:space="preserve">a barrier. </w:t>
      </w:r>
      <w:r w:rsidR="001927C1" w:rsidRPr="001927C1">
        <w:rPr>
          <w:sz w:val="16"/>
          <w:szCs w:val="16"/>
        </w:rPr>
        <w:t>Roughly 20-30</w:t>
      </w:r>
      <w:r w:rsidR="00FD7280" w:rsidRPr="00D55139">
        <w:rPr>
          <w:sz w:val="16"/>
          <w:szCs w:val="16"/>
          <w:lang w:val="en-US"/>
        </w:rPr>
        <w:t xml:space="preserve"> per cent</w:t>
      </w:r>
      <w:r w:rsidR="001927C1" w:rsidRPr="001927C1">
        <w:rPr>
          <w:sz w:val="16"/>
          <w:szCs w:val="16"/>
        </w:rPr>
        <w:t xml:space="preserve"> of grant recipients interviewed noted that it took 3-6 months to build attendance numbers.</w:t>
      </w:r>
    </w:p>
  </w:footnote>
  <w:footnote w:id="58">
    <w:p w14:paraId="69230BD9" w14:textId="13A3FC95" w:rsidR="004D3D45" w:rsidRDefault="004D3D45">
      <w:pPr>
        <w:pStyle w:val="FootnoteText"/>
      </w:pPr>
      <w:r>
        <w:rPr>
          <w:rStyle w:val="FootnoteReference"/>
        </w:rPr>
        <w:footnoteRef/>
      </w:r>
      <w:r>
        <w:t xml:space="preserve"> Rounded to maintain confidentiality.</w:t>
      </w:r>
    </w:p>
  </w:footnote>
  <w:footnote w:id="59">
    <w:p w14:paraId="227E2C6D" w14:textId="7D81253A" w:rsidR="00F40321" w:rsidRPr="00DC564E" w:rsidRDefault="00F40321" w:rsidP="00F40321">
      <w:pPr>
        <w:pStyle w:val="FootnoteText"/>
        <w:rPr>
          <w:sz w:val="16"/>
          <w:szCs w:val="16"/>
        </w:rPr>
      </w:pPr>
      <w:r w:rsidRPr="00DC564E">
        <w:rPr>
          <w:rStyle w:val="FootnoteReference"/>
          <w:sz w:val="16"/>
          <w:szCs w:val="16"/>
        </w:rPr>
        <w:footnoteRef/>
      </w:r>
      <w:r w:rsidRPr="00DC564E">
        <w:rPr>
          <w:sz w:val="16"/>
          <w:szCs w:val="16"/>
        </w:rPr>
        <w:t xml:space="preserve"> Centre for Evidence and Implementation, Monash University, The Behavioural Insights Team. (2020</w:t>
      </w:r>
      <w:r>
        <w:rPr>
          <w:sz w:val="16"/>
          <w:szCs w:val="16"/>
        </w:rPr>
        <w:t>)</w:t>
      </w:r>
      <w:r w:rsidRPr="00DC564E">
        <w:rPr>
          <w:sz w:val="16"/>
          <w:szCs w:val="16"/>
        </w:rPr>
        <w:t xml:space="preserve">. Evaluation of the Homeless Youth Assistance </w:t>
      </w:r>
      <w:r>
        <w:rPr>
          <w:sz w:val="16"/>
          <w:szCs w:val="16"/>
        </w:rPr>
        <w:t>P</w:t>
      </w:r>
      <w:r w:rsidRPr="00DC564E">
        <w:rPr>
          <w:sz w:val="16"/>
          <w:szCs w:val="16"/>
        </w:rPr>
        <w:t xml:space="preserve">rogram. Access from, </w:t>
      </w:r>
      <w:hyperlink r:id="rId21" w:history="1">
        <w:r w:rsidR="00850A7A" w:rsidRPr="00DC4EA3">
          <w:rPr>
            <w:rStyle w:val="Hyperlink"/>
            <w:sz w:val="16"/>
            <w:szCs w:val="16"/>
          </w:rPr>
          <w:t>https://www.ceiglobal.org/sites/default/files/uploads/files/Evaluation%20of%20the%20Homeless%20Youth%20Assistance%20Program.pdf</w:t>
        </w:r>
      </w:hyperlink>
      <w:r w:rsidR="00850A7A">
        <w:rPr>
          <w:sz w:val="16"/>
          <w:szCs w:val="16"/>
        </w:rPr>
        <w:t xml:space="preserve"> </w:t>
      </w:r>
    </w:p>
  </w:footnote>
  <w:footnote w:id="60">
    <w:p w14:paraId="5D7B23DE" w14:textId="5634AC07" w:rsidR="00F40321" w:rsidRPr="00E763B9" w:rsidRDefault="00F40321" w:rsidP="00F40321">
      <w:pPr>
        <w:pStyle w:val="FootnoteText"/>
        <w:rPr>
          <w:sz w:val="16"/>
          <w:szCs w:val="16"/>
        </w:rPr>
      </w:pPr>
      <w:r w:rsidRPr="00E763B9">
        <w:rPr>
          <w:rStyle w:val="FootnoteReference"/>
          <w:sz w:val="16"/>
          <w:szCs w:val="16"/>
        </w:rPr>
        <w:footnoteRef/>
      </w:r>
      <w:r w:rsidRPr="00E763B9">
        <w:rPr>
          <w:sz w:val="16"/>
          <w:szCs w:val="16"/>
        </w:rPr>
        <w:t xml:space="preserve"> Acil Allen Consulting. (2015). SEE Programme Evaluation. Accessed from, </w:t>
      </w:r>
      <w:hyperlink r:id="rId22" w:history="1">
        <w:r w:rsidR="00850A7A" w:rsidRPr="00DC4EA3">
          <w:rPr>
            <w:rStyle w:val="Hyperlink"/>
            <w:sz w:val="16"/>
            <w:szCs w:val="16"/>
          </w:rPr>
          <w:t>https://www.dewr.gov.au/download/7096/see-programme-evaluation-report/11100/see-programme-evaluation-report/pdf</w:t>
        </w:r>
      </w:hyperlink>
      <w:r w:rsidR="00850A7A">
        <w:rPr>
          <w:sz w:val="16"/>
          <w:szCs w:val="16"/>
        </w:rPr>
        <w:t xml:space="preserve"> </w:t>
      </w:r>
    </w:p>
  </w:footnote>
  <w:footnote w:id="61">
    <w:p w14:paraId="581BE66C" w14:textId="121A45DF" w:rsidR="00F40321" w:rsidRPr="00E763B9" w:rsidRDefault="00F40321" w:rsidP="00F40321">
      <w:pPr>
        <w:pStyle w:val="FootnoteText"/>
        <w:rPr>
          <w:sz w:val="16"/>
          <w:szCs w:val="16"/>
        </w:rPr>
      </w:pPr>
      <w:r w:rsidRPr="00E763B9">
        <w:rPr>
          <w:rStyle w:val="FootnoteReference"/>
          <w:sz w:val="16"/>
          <w:szCs w:val="16"/>
        </w:rPr>
        <w:footnoteRef/>
      </w:r>
      <w:r w:rsidRPr="00E763B9">
        <w:rPr>
          <w:sz w:val="16"/>
          <w:szCs w:val="16"/>
        </w:rPr>
        <w:t xml:space="preserve"> Nous Group. (2024). Review of the Reconnect program. Accessed from, </w:t>
      </w:r>
      <w:hyperlink r:id="rId23" w:history="1">
        <w:r w:rsidR="00850A7A" w:rsidRPr="00DC4EA3">
          <w:rPr>
            <w:rStyle w:val="Hyperlink"/>
            <w:sz w:val="16"/>
            <w:szCs w:val="16"/>
          </w:rPr>
          <w:t>https://treasury.gov.au/sites/default/files/2025-07/review-reconnect-program-final-report.pdf</w:t>
        </w:r>
      </w:hyperlink>
      <w:r w:rsidR="00850A7A">
        <w:rPr>
          <w:sz w:val="16"/>
          <w:szCs w:val="16"/>
        </w:rPr>
        <w:t xml:space="preserve"> </w:t>
      </w:r>
    </w:p>
  </w:footnote>
  <w:footnote w:id="62">
    <w:p w14:paraId="416390DB" w14:textId="78F76F93" w:rsidR="00F40321" w:rsidRDefault="00F40321" w:rsidP="00F40321">
      <w:pPr>
        <w:pStyle w:val="FootnoteText"/>
      </w:pPr>
      <w:r w:rsidRPr="00E763B9">
        <w:rPr>
          <w:rStyle w:val="FootnoteReference"/>
          <w:sz w:val="16"/>
          <w:szCs w:val="16"/>
        </w:rPr>
        <w:footnoteRef/>
      </w:r>
      <w:r w:rsidRPr="00E763B9">
        <w:rPr>
          <w:sz w:val="16"/>
          <w:szCs w:val="16"/>
        </w:rPr>
        <w:t xml:space="preserve"> Deloitte. (2012). Evaluation of Skilling Queenslanders for Work. Accessed from, </w:t>
      </w:r>
      <w:hyperlink r:id="rId24" w:history="1">
        <w:r w:rsidR="00850A7A" w:rsidRPr="00DC4EA3">
          <w:rPr>
            <w:rStyle w:val="Hyperlink"/>
            <w:sz w:val="16"/>
            <w:szCs w:val="16"/>
          </w:rPr>
          <w:t>https://alt-qed.qed.qld.gov.au/our-publications/reports/Documents/evaluation/evaluation-skilling-queenslanders-work.pdf</w:t>
        </w:r>
      </w:hyperlink>
      <w:r w:rsidR="00850A7A">
        <w:rPr>
          <w:sz w:val="16"/>
          <w:szCs w:val="16"/>
        </w:rPr>
        <w:t xml:space="preserve"> </w:t>
      </w:r>
    </w:p>
  </w:footnote>
  <w:footnote w:id="63">
    <w:p w14:paraId="4F79B0A6" w14:textId="62B4BCED" w:rsidR="00FC4A23" w:rsidRPr="00941C3D" w:rsidRDefault="00FC4A23">
      <w:pPr>
        <w:pStyle w:val="FootnoteText"/>
        <w:rPr>
          <w:sz w:val="16"/>
          <w:szCs w:val="16"/>
        </w:rPr>
      </w:pPr>
      <w:r w:rsidRPr="00941C3D">
        <w:rPr>
          <w:rStyle w:val="FootnoteReference"/>
          <w:sz w:val="16"/>
          <w:szCs w:val="16"/>
        </w:rPr>
        <w:footnoteRef/>
      </w:r>
      <w:r w:rsidRPr="00B646C0">
        <w:rPr>
          <w:sz w:val="16"/>
          <w:szCs w:val="16"/>
        </w:rPr>
        <w:t xml:space="preserve"> GrantConnect. (2025). GrantC</w:t>
      </w:r>
      <w:r w:rsidR="00460D47" w:rsidRPr="00B646C0">
        <w:rPr>
          <w:sz w:val="16"/>
          <w:szCs w:val="16"/>
        </w:rPr>
        <w:t>o</w:t>
      </w:r>
      <w:r w:rsidRPr="00B646C0">
        <w:rPr>
          <w:sz w:val="16"/>
          <w:szCs w:val="16"/>
        </w:rPr>
        <w:t>nnect</w:t>
      </w:r>
      <w:r w:rsidR="00460D47" w:rsidRPr="00B646C0">
        <w:rPr>
          <w:sz w:val="16"/>
          <w:szCs w:val="16"/>
        </w:rPr>
        <w:t>io</w:t>
      </w:r>
      <w:r w:rsidRPr="00B646C0">
        <w:rPr>
          <w:sz w:val="16"/>
          <w:szCs w:val="16"/>
        </w:rPr>
        <w:t xml:space="preserve">n Grant Award List. Retrieved from </w:t>
      </w:r>
      <w:hyperlink r:id="rId25" w:history="1">
        <w:r w:rsidR="00850A7A" w:rsidRPr="00DC4EA3">
          <w:rPr>
            <w:rStyle w:val="Hyperlink"/>
            <w:sz w:val="16"/>
            <w:szCs w:val="16"/>
          </w:rPr>
          <w:t>https://www.grants.gov.au/Ga/DownloadResult?Type=Ga&amp;AgencyStatus=-1&amp;Keyword=strong+and+resilient+communities&amp;KeywordTypeSearch=AllWord&amp;DateType=Publish+Date&amp;page=13</w:t>
        </w:r>
      </w:hyperlink>
      <w:r w:rsidR="00850A7A">
        <w:rPr>
          <w:sz w:val="16"/>
          <w:szCs w:val="16"/>
        </w:rPr>
        <w:t xml:space="preserve"> </w:t>
      </w:r>
    </w:p>
  </w:footnote>
  <w:footnote w:id="64">
    <w:p w14:paraId="4878CEAE" w14:textId="26427994" w:rsidR="00137E61" w:rsidRDefault="00137E61">
      <w:pPr>
        <w:pStyle w:val="FootnoteText"/>
      </w:pPr>
      <w:r w:rsidRPr="00941C3D">
        <w:rPr>
          <w:rStyle w:val="FootnoteReference"/>
          <w:sz w:val="16"/>
          <w:szCs w:val="16"/>
        </w:rPr>
        <w:footnoteRef/>
      </w:r>
      <w:r w:rsidRPr="00941C3D">
        <w:rPr>
          <w:sz w:val="16"/>
          <w:szCs w:val="16"/>
        </w:rPr>
        <w:t xml:space="preserve"> </w:t>
      </w:r>
      <w:r w:rsidR="00CB4BF7" w:rsidRPr="00941C3D">
        <w:rPr>
          <w:sz w:val="16"/>
          <w:szCs w:val="16"/>
        </w:rPr>
        <w:t>Retrieved from internal</w:t>
      </w:r>
      <w:r w:rsidR="00F26C60" w:rsidRPr="00941C3D">
        <w:rPr>
          <w:sz w:val="16"/>
          <w:szCs w:val="16"/>
        </w:rPr>
        <w:t xml:space="preserve"> </w:t>
      </w:r>
      <w:r w:rsidR="00CB4BF7" w:rsidRPr="00941C3D">
        <w:rPr>
          <w:sz w:val="16"/>
          <w:szCs w:val="16"/>
        </w:rPr>
        <w:t>DSS</w:t>
      </w:r>
      <w:r w:rsidR="00F26C60" w:rsidRPr="00941C3D">
        <w:rPr>
          <w:sz w:val="16"/>
          <w:szCs w:val="16"/>
        </w:rPr>
        <w:t xml:space="preserve"> grants reporting</w:t>
      </w:r>
      <w:r w:rsidR="00941C3D" w:rsidRPr="00941C3D">
        <w:rPr>
          <w:sz w:val="16"/>
          <w:szCs w:val="16"/>
        </w:rPr>
        <w:t xml:space="preserve"> system.</w:t>
      </w:r>
    </w:p>
  </w:footnote>
  <w:footnote w:id="65">
    <w:p w14:paraId="43664758" w14:textId="5EEA6F68" w:rsidR="00D41219" w:rsidRDefault="00D41219">
      <w:pPr>
        <w:pStyle w:val="FootnoteText"/>
      </w:pPr>
      <w:r>
        <w:rPr>
          <w:rStyle w:val="FootnoteReference"/>
        </w:rPr>
        <w:footnoteRef/>
      </w:r>
      <w:r>
        <w:t xml:space="preserve"> The data was</w:t>
      </w:r>
      <w:r w:rsidR="00907BCB">
        <w:t xml:space="preserve"> for the period </w:t>
      </w:r>
      <w:r w:rsidR="00DA15A7">
        <w:t>2022/07/</w:t>
      </w:r>
      <w:r w:rsidR="00907BCB">
        <w:t xml:space="preserve">01 to </w:t>
      </w:r>
      <w:r w:rsidR="00DA15A7">
        <w:t>2025/10/</w:t>
      </w:r>
      <w:r w:rsidR="00907BCB">
        <w:t>31</w:t>
      </w:r>
      <w:r w:rsidR="00A63F33">
        <w:t xml:space="preserve">, </w:t>
      </w:r>
      <w:r w:rsidR="00907BCB">
        <w:t xml:space="preserve">was current as at </w:t>
      </w:r>
      <w:r w:rsidR="00DA15A7" w:rsidRPr="00DA15A7">
        <w:t>2025</w:t>
      </w:r>
      <w:r w:rsidR="00DA15A7">
        <w:t>/</w:t>
      </w:r>
      <w:r w:rsidR="00DA15A7" w:rsidRPr="00DA15A7">
        <w:t>11</w:t>
      </w:r>
      <w:r w:rsidR="00DA15A7">
        <w:t>/</w:t>
      </w:r>
      <w:r w:rsidR="00DA15A7" w:rsidRPr="00DA15A7">
        <w:t>18 13:21:19 AEDT</w:t>
      </w:r>
      <w:r w:rsidR="00A63F33">
        <w:t xml:space="preserve">, and </w:t>
      </w:r>
      <w:r w:rsidR="005966D5">
        <w:t>was requestor-provided</w:t>
      </w:r>
      <w:r w:rsidR="00A63F33">
        <w:t>.</w:t>
      </w:r>
    </w:p>
  </w:footnote>
  <w:footnote w:id="66">
    <w:p w14:paraId="0F087E3B" w14:textId="77777777" w:rsidR="00852534" w:rsidRDefault="00852534" w:rsidP="00852534">
      <w:pPr>
        <w:pStyle w:val="FootnoteText"/>
      </w:pPr>
      <w:r w:rsidRPr="0018305D">
        <w:rPr>
          <w:rStyle w:val="FootnoteReference"/>
          <w:sz w:val="14"/>
          <w:szCs w:val="14"/>
        </w:rPr>
        <w:footnoteRef/>
      </w:r>
      <w:r w:rsidRPr="0018305D">
        <w:rPr>
          <w:sz w:val="14"/>
          <w:szCs w:val="14"/>
        </w:rPr>
        <w:t xml:space="preserve"> The Program Specific Guidance assists service providers on entering data into the Data Exchange in a consistent way.</w:t>
      </w:r>
    </w:p>
  </w:footnote>
  <w:footnote w:id="67">
    <w:p w14:paraId="53DF51A8" w14:textId="77777777" w:rsidR="00852534" w:rsidRDefault="00852534" w:rsidP="00852534">
      <w:pPr>
        <w:pStyle w:val="FootnoteText"/>
      </w:pPr>
      <w:r w:rsidRPr="004B1CC4">
        <w:rPr>
          <w:rStyle w:val="FootnoteReference"/>
          <w:sz w:val="16"/>
          <w:szCs w:val="16"/>
        </w:rPr>
        <w:footnoteRef/>
      </w:r>
      <w:r w:rsidRPr="004B1CC4">
        <w:rPr>
          <w:sz w:val="16"/>
          <w:szCs w:val="16"/>
        </w:rPr>
        <w:t xml:space="preserve"> Remoteness Areas divide Australia into five classes of remoteness which are characterised by a measure of relative geographic access to services.</w:t>
      </w:r>
    </w:p>
  </w:footnote>
  <w:footnote w:id="68">
    <w:p w14:paraId="394C8B06" w14:textId="77777777" w:rsidR="00852534" w:rsidRDefault="00852534" w:rsidP="00852534">
      <w:pPr>
        <w:pStyle w:val="FootnoteText"/>
      </w:pPr>
      <w:r w:rsidRPr="008C77B3">
        <w:rPr>
          <w:rStyle w:val="FootnoteReference"/>
          <w:sz w:val="16"/>
          <w:szCs w:val="16"/>
        </w:rPr>
        <w:footnoteRef/>
      </w:r>
      <w:r w:rsidRPr="008C77B3">
        <w:rPr>
          <w:sz w:val="16"/>
          <w:szCs w:val="16"/>
        </w:rPr>
        <w:t xml:space="preserve"> A geographical area built from whole Mesh Blocks, it is the smallest geographic area available in DEX.</w:t>
      </w:r>
    </w:p>
  </w:footnote>
  <w:footnote w:id="69">
    <w:p w14:paraId="27332038" w14:textId="629A289B" w:rsidR="00853D82" w:rsidRPr="008869A4" w:rsidRDefault="00853D82">
      <w:pPr>
        <w:pStyle w:val="FootnoteText"/>
        <w:rPr>
          <w:lang w:val="en-US"/>
        </w:rPr>
      </w:pPr>
      <w:r>
        <w:rPr>
          <w:rStyle w:val="FootnoteReference"/>
        </w:rPr>
        <w:footnoteRef/>
      </w:r>
      <w:r>
        <w:t xml:space="preserve"> </w:t>
      </w:r>
      <w:r w:rsidR="00B646C0">
        <w:t xml:space="preserve">Department of Social Services. (2023). </w:t>
      </w:r>
      <w:r w:rsidR="00AD2FF2" w:rsidRPr="00AD2FF2">
        <w:t>Reconnect Program</w:t>
      </w:r>
      <w:r w:rsidR="00AD2FF2">
        <w:t xml:space="preserve"> </w:t>
      </w:r>
      <w:r w:rsidR="00AD2FF2" w:rsidRPr="00AD2FF2">
        <w:t>Operational Guidelines1 July 2023 to 30 June 2026</w:t>
      </w:r>
      <w:r w:rsidR="00AD2FF2">
        <w:t>. Accessed from,</w:t>
      </w:r>
      <w:r>
        <w:t xml:space="preserve"> </w:t>
      </w:r>
      <w:hyperlink r:id="rId26" w:history="1">
        <w:r w:rsidRPr="0073042B">
          <w:rPr>
            <w:rStyle w:val="Hyperlink"/>
          </w:rPr>
          <w:t>https://treasury.gov.au/sites/default/files/2025-07/reconnect-operational-guidelines-2023-2026.pdf</w:t>
        </w:r>
      </w:hyperlink>
    </w:p>
  </w:footnote>
  <w:footnote w:id="70">
    <w:p w14:paraId="2A4CCDEF" w14:textId="1161FA52" w:rsidR="00853D82" w:rsidRPr="002E7820" w:rsidRDefault="00853D82">
      <w:pPr>
        <w:pStyle w:val="FootnoteText"/>
        <w:rPr>
          <w:lang w:val="en-US"/>
        </w:rPr>
      </w:pPr>
      <w:r>
        <w:rPr>
          <w:rStyle w:val="FootnoteReference"/>
        </w:rPr>
        <w:footnoteRef/>
      </w:r>
      <w:r>
        <w:t xml:space="preserve"> </w:t>
      </w:r>
      <w:r w:rsidR="00AD2FF2">
        <w:t>Workforce Australia. (2025). Transition to Work. Accessed from,</w:t>
      </w:r>
      <w:r>
        <w:t xml:space="preserve"> </w:t>
      </w:r>
      <w:hyperlink r:id="rId27" w:history="1">
        <w:r w:rsidRPr="0073042B">
          <w:rPr>
            <w:rStyle w:val="Hyperlink"/>
          </w:rPr>
          <w:t>https://www.dewr.gov.au/download/6263/transition-work-fact-sheet/37679/transition-work-fact-sheet/pdf</w:t>
        </w:r>
      </w:hyperlink>
      <w:r>
        <w:t xml:space="preserve"> </w:t>
      </w:r>
    </w:p>
  </w:footnote>
  <w:footnote w:id="71">
    <w:p w14:paraId="1F305961" w14:textId="51BC8F72" w:rsidR="00853D82" w:rsidRPr="00BF14BB" w:rsidRDefault="00853D82">
      <w:pPr>
        <w:pStyle w:val="FootnoteText"/>
        <w:rPr>
          <w:lang w:val="en-US"/>
        </w:rPr>
      </w:pPr>
      <w:r>
        <w:rPr>
          <w:rStyle w:val="FootnoteReference"/>
        </w:rPr>
        <w:footnoteRef/>
      </w:r>
      <w:r>
        <w:rPr>
          <w:lang w:val="en-US"/>
        </w:rPr>
        <w:t xml:space="preserve"> </w:t>
      </w:r>
      <w:r w:rsidR="00BF00DB">
        <w:rPr>
          <w:lang w:val="en-US"/>
        </w:rPr>
        <w:t>Department of Health, Disability, and Ageing. (2025). Funding for disability projects. Accessed from,</w:t>
      </w:r>
      <w:r>
        <w:rPr>
          <w:lang w:val="en-US"/>
        </w:rPr>
        <w:t xml:space="preserve"> </w:t>
      </w:r>
      <w:hyperlink r:id="rId28" w:history="1">
        <w:r w:rsidRPr="0073042B">
          <w:rPr>
            <w:rStyle w:val="Hyperlink"/>
            <w:lang w:val="en-US"/>
          </w:rPr>
          <w:t>https://www.health.gov.au/our-work/information-linkages-and-capacity-building?language=en</w:t>
        </w:r>
      </w:hyperlink>
      <w:r>
        <w:rPr>
          <w:lang w:val="en-US"/>
        </w:rPr>
        <w:t xml:space="preserve"> </w:t>
      </w:r>
    </w:p>
  </w:footnote>
  <w:footnote w:id="72">
    <w:p w14:paraId="1C0A192F" w14:textId="13442A32" w:rsidR="00853D82" w:rsidRPr="00982950" w:rsidRDefault="00853D82">
      <w:pPr>
        <w:pStyle w:val="FootnoteText"/>
        <w:rPr>
          <w:lang w:val="en-US"/>
        </w:rPr>
      </w:pPr>
      <w:r>
        <w:rPr>
          <w:rStyle w:val="FootnoteReference"/>
        </w:rPr>
        <w:footnoteRef/>
      </w:r>
      <w:r>
        <w:rPr>
          <w:lang w:val="en-US"/>
        </w:rPr>
        <w:t xml:space="preserve"> </w:t>
      </w:r>
      <w:r w:rsidR="00CF57D5">
        <w:rPr>
          <w:lang w:val="en-US"/>
        </w:rPr>
        <w:t xml:space="preserve">Department of Social Services. (2023). </w:t>
      </w:r>
      <w:r w:rsidR="00CF57D5" w:rsidRPr="00CF57D5">
        <w:rPr>
          <w:lang w:val="en-US"/>
        </w:rPr>
        <w:t>ILC Program Performance</w:t>
      </w:r>
      <w:r w:rsidR="00CF57D5">
        <w:rPr>
          <w:lang w:val="en-US"/>
        </w:rPr>
        <w:t xml:space="preserve"> </w:t>
      </w:r>
      <w:r w:rsidR="00CF57D5" w:rsidRPr="00CF57D5">
        <w:rPr>
          <w:lang w:val="en-US"/>
        </w:rPr>
        <w:t>Measurement Framework</w:t>
      </w:r>
      <w:r w:rsidR="00CF57D5">
        <w:rPr>
          <w:lang w:val="en-US"/>
        </w:rPr>
        <w:t xml:space="preserve">. Accessed from, </w:t>
      </w:r>
      <w:hyperlink r:id="rId29" w:history="1">
        <w:r w:rsidR="00CF57D5" w:rsidRPr="00DC4EA3">
          <w:rPr>
            <w:rStyle w:val="Hyperlink"/>
            <w:lang w:val="en-US"/>
          </w:rPr>
          <w:t>https://www.health.gov.au/sites/default/files/2025-07/ilc-outcomes-framework_0.pdf</w:t>
        </w:r>
      </w:hyperlink>
      <w:r w:rsidR="00CF57D5">
        <w:rPr>
          <w:lang w:val="en-US"/>
        </w:rPr>
        <w:t xml:space="preserve"> </w:t>
      </w:r>
    </w:p>
  </w:footnote>
  <w:footnote w:id="73">
    <w:p w14:paraId="0DFD9640" w14:textId="1F8C2401" w:rsidR="00E94AC7" w:rsidRDefault="00E94AC7">
      <w:pPr>
        <w:pStyle w:val="FootnoteText"/>
      </w:pPr>
      <w:r>
        <w:rPr>
          <w:rStyle w:val="FootnoteReference"/>
        </w:rPr>
        <w:footnoteRef/>
      </w:r>
      <w:r>
        <w:t xml:space="preserve"> </w:t>
      </w:r>
      <w:r w:rsidR="00E27671">
        <w:t>Commonwealth of Australia. (2021). Women’s</w:t>
      </w:r>
      <w:r w:rsidRPr="00E94AC7">
        <w:t xml:space="preserve"> Budget </w:t>
      </w:r>
      <w:r w:rsidR="00E27671">
        <w:t>Statement 2021-22. Accessed from</w:t>
      </w:r>
      <w:r>
        <w:t xml:space="preserve">, </w:t>
      </w:r>
      <w:hyperlink r:id="rId30" w:history="1">
        <w:r w:rsidRPr="00B527E2">
          <w:rPr>
            <w:rStyle w:val="Hyperlink"/>
          </w:rPr>
          <w:t>https://archive.budget.gov.au/2021-22/womens-statement/download/womens_budget_statement_2021-22.pdf</w:t>
        </w:r>
      </w:hyperlink>
      <w:r>
        <w:t xml:space="preserve"> </w:t>
      </w:r>
    </w:p>
  </w:footnote>
  <w:footnote w:id="74">
    <w:p w14:paraId="1A9A9D01" w14:textId="06043AEC" w:rsidR="00853D82" w:rsidRPr="009B16AC" w:rsidRDefault="00853D82">
      <w:pPr>
        <w:pStyle w:val="FootnoteText"/>
        <w:rPr>
          <w:lang w:val="en-US"/>
        </w:rPr>
      </w:pPr>
      <w:r>
        <w:rPr>
          <w:rStyle w:val="FootnoteReference"/>
        </w:rPr>
        <w:footnoteRef/>
      </w:r>
      <w:r>
        <w:t xml:space="preserve"> </w:t>
      </w:r>
      <w:r w:rsidR="000A567D">
        <w:t xml:space="preserve">Community Grants Hub. </w:t>
      </w:r>
      <w:r w:rsidR="00E71DE6">
        <w:t>(2</w:t>
      </w:r>
      <w:r w:rsidR="000A567D">
        <w:t>025).</w:t>
      </w:r>
      <w:r w:rsidR="00B52106">
        <w:t xml:space="preserve"> </w:t>
      </w:r>
      <w:r w:rsidR="00B52106" w:rsidRPr="00B52106">
        <w:t>Women's Leadership and Development Program - Project Grants</w:t>
      </w:r>
      <w:r w:rsidR="00B52106">
        <w:t>. Accessed from,</w:t>
      </w:r>
      <w:r>
        <w:t xml:space="preserve"> </w:t>
      </w:r>
      <w:hyperlink r:id="rId31" w:history="1">
        <w:r w:rsidRPr="0073042B">
          <w:rPr>
            <w:rStyle w:val="Hyperlink"/>
          </w:rPr>
          <w:t>https://www.communitygrants.gov.au/grants/womens-leadership-development</w:t>
        </w:r>
      </w:hyperlink>
      <w:r>
        <w:t xml:space="preserve"> </w:t>
      </w:r>
    </w:p>
  </w:footnote>
  <w:footnote w:id="75">
    <w:p w14:paraId="12E65071" w14:textId="3A883F72" w:rsidR="00E94AC7" w:rsidRDefault="00E94AC7" w:rsidP="00E94AC7">
      <w:pPr>
        <w:pStyle w:val="FootnoteText"/>
      </w:pPr>
      <w:r>
        <w:rPr>
          <w:rStyle w:val="FootnoteReference"/>
        </w:rPr>
        <w:footnoteRef/>
      </w:r>
      <w:r>
        <w:t xml:space="preserve"> </w:t>
      </w:r>
      <w:r w:rsidR="00B52106">
        <w:t>Department of Employment and Workplace Relations. (202</w:t>
      </w:r>
      <w:r w:rsidR="00811449">
        <w:t>2</w:t>
      </w:r>
      <w:r w:rsidR="00B52106">
        <w:t xml:space="preserve">). </w:t>
      </w:r>
      <w:r w:rsidR="00B52106" w:rsidRPr="00B52106">
        <w:t>Discussion Paper – Delivery</w:t>
      </w:r>
      <w:r>
        <w:t xml:space="preserve"> of the SEE Program </w:t>
      </w:r>
      <w:r w:rsidR="00B52106" w:rsidRPr="00B52106">
        <w:t>2023</w:t>
      </w:r>
      <w:r w:rsidR="00811449">
        <w:t xml:space="preserve">. Accessed from, </w:t>
      </w:r>
      <w:hyperlink r:id="rId32" w:history="1">
        <w:r w:rsidRPr="00B527E2">
          <w:rPr>
            <w:rStyle w:val="Hyperlink"/>
          </w:rPr>
          <w:t>https://www.dewr.gov.au/skills-education-and-employment/resources/see-discussion-paper-2023</w:t>
        </w:r>
      </w:hyperlink>
      <w:r>
        <w:t xml:space="preserve"> </w:t>
      </w:r>
    </w:p>
  </w:footnote>
  <w:footnote w:id="76">
    <w:p w14:paraId="21735B35" w14:textId="5944E70A" w:rsidR="00853D82" w:rsidRPr="00AE00A3" w:rsidRDefault="00853D82">
      <w:pPr>
        <w:pStyle w:val="FootnoteText"/>
        <w:rPr>
          <w:lang w:val="en-US"/>
        </w:rPr>
      </w:pPr>
      <w:r>
        <w:rPr>
          <w:rStyle w:val="FootnoteReference"/>
        </w:rPr>
        <w:footnoteRef/>
      </w:r>
      <w:r>
        <w:t xml:space="preserve"> </w:t>
      </w:r>
      <w:r w:rsidR="00811449">
        <w:t xml:space="preserve">Department of Employment and Workplace Relations. (2024). </w:t>
      </w:r>
      <w:r w:rsidR="00811449" w:rsidRPr="00811449">
        <w:t>Expanding language, literacy, numeracy and digital skills training opportunities</w:t>
      </w:r>
      <w:r w:rsidR="00811449">
        <w:t>. Accessed from,</w:t>
      </w:r>
      <w:r>
        <w:t xml:space="preserve"> </w:t>
      </w:r>
      <w:hyperlink r:id="rId33" w:history="1">
        <w:r w:rsidRPr="0073042B">
          <w:rPr>
            <w:rStyle w:val="Hyperlink"/>
          </w:rPr>
          <w:t>https://www.dewr.gov.au/newsroom/articles/expanding-language-literacy-numeracy-and-digital-skills-training-opportunities-0</w:t>
        </w:r>
      </w:hyperlink>
      <w:r>
        <w:t xml:space="preserve"> </w:t>
      </w:r>
    </w:p>
  </w:footnote>
  <w:footnote w:id="77">
    <w:p w14:paraId="772D8A11" w14:textId="5ED0E2E6" w:rsidR="00853D82" w:rsidRPr="00E06EA0" w:rsidRDefault="00853D82">
      <w:pPr>
        <w:pStyle w:val="FootnoteText"/>
        <w:rPr>
          <w:lang w:val="en-US"/>
        </w:rPr>
      </w:pPr>
      <w:r>
        <w:rPr>
          <w:rStyle w:val="FootnoteReference"/>
        </w:rPr>
        <w:footnoteRef/>
      </w:r>
      <w:r>
        <w:t xml:space="preserve"> </w:t>
      </w:r>
      <w:r w:rsidR="00CC3E8F">
        <w:t xml:space="preserve">Department of Employment and Workplace Relations. (2022). SEE Program factsheet. Accessed from, </w:t>
      </w:r>
      <w:hyperlink r:id="rId34" w:history="1">
        <w:r w:rsidR="00CC3E8F" w:rsidRPr="00DC4EA3">
          <w:rPr>
            <w:rStyle w:val="Hyperlink"/>
          </w:rPr>
          <w:t>https://www.dewr.gov.au/skills-education-and-employment/resources/see-program-factsheet</w:t>
        </w:r>
      </w:hyperlink>
      <w:r w:rsidR="00CC3E8F">
        <w:t xml:space="preserve"> </w:t>
      </w:r>
    </w:p>
  </w:footnote>
  <w:footnote w:id="78">
    <w:p w14:paraId="74C38855" w14:textId="5CA66910" w:rsidR="004E7E14" w:rsidRPr="004E7E14" w:rsidRDefault="004E7E14">
      <w:pPr>
        <w:pStyle w:val="FootnoteText"/>
        <w:rPr>
          <w:lang w:val="en-US"/>
        </w:rPr>
      </w:pPr>
      <w:r>
        <w:rPr>
          <w:rStyle w:val="FootnoteReference"/>
        </w:rPr>
        <w:footnoteRef/>
      </w:r>
      <w:r>
        <w:t xml:space="preserve"> </w:t>
      </w:r>
      <w:r w:rsidR="00CC3E8F">
        <w:t>Department of Social Services. (2025). Commonwealth Outcomes Fund. Accessed from,</w:t>
      </w:r>
      <w:r>
        <w:t xml:space="preserve"> </w:t>
      </w:r>
      <w:hyperlink r:id="rId35" w:history="1">
        <w:r w:rsidRPr="005C3F9B">
          <w:rPr>
            <w:rStyle w:val="Hyperlink"/>
          </w:rPr>
          <w:t>https://www.dss.gov.au/social-impact-investing/commonwealth-outcomes-fund</w:t>
        </w:r>
      </w:hyperlink>
      <w:r>
        <w:t xml:space="preserve"> </w:t>
      </w:r>
    </w:p>
  </w:footnote>
  <w:footnote w:id="79">
    <w:p w14:paraId="7182C2D9" w14:textId="3C3BCBFC" w:rsidR="00513B81" w:rsidRPr="00513B81" w:rsidRDefault="00513B81">
      <w:pPr>
        <w:pStyle w:val="FootnoteText"/>
        <w:rPr>
          <w:lang w:val="en-US"/>
        </w:rPr>
      </w:pPr>
      <w:r>
        <w:rPr>
          <w:rStyle w:val="FootnoteReference"/>
        </w:rPr>
        <w:footnoteRef/>
      </w:r>
      <w:r>
        <w:t xml:space="preserve"> </w:t>
      </w:r>
      <w:r w:rsidR="00800EF1">
        <w:t xml:space="preserve">Queensland Government. (2025). Skilling Queenslanders for Work – General. Accessed from, </w:t>
      </w:r>
      <w:hyperlink r:id="rId36" w:history="1">
        <w:r w:rsidR="003A1EAF" w:rsidRPr="00DC4EA3">
          <w:rPr>
            <w:rStyle w:val="Hyperlink"/>
          </w:rPr>
          <w:t>https://dtet.qld.gov.au/__data/assets/pdf_file/0021/7833/sqw-fact-sheet.pdf</w:t>
        </w:r>
      </w:hyperlink>
      <w:r w:rsidR="003A1EAF">
        <w:t xml:space="preserve"> </w:t>
      </w:r>
    </w:p>
  </w:footnote>
  <w:footnote w:id="80">
    <w:p w14:paraId="3F550CD1" w14:textId="5814C462" w:rsidR="00667B98" w:rsidRPr="00667B98" w:rsidRDefault="00667B98">
      <w:pPr>
        <w:pStyle w:val="FootnoteText"/>
        <w:rPr>
          <w:lang w:val="en-US"/>
        </w:rPr>
      </w:pPr>
      <w:r>
        <w:rPr>
          <w:rStyle w:val="FootnoteReference"/>
        </w:rPr>
        <w:footnoteRef/>
      </w:r>
      <w:r>
        <w:t xml:space="preserve"> </w:t>
      </w:r>
      <w:r w:rsidR="002B3DCC">
        <w:t xml:space="preserve">Greater Melbourne Foundation. (2025). Work Integration Social Enterprise (WISE). Accessed from, </w:t>
      </w:r>
      <w:hyperlink r:id="rId37" w:history="1">
        <w:r w:rsidR="002B3DCC" w:rsidRPr="00DC4EA3">
          <w:rPr>
            <w:rStyle w:val="Hyperlink"/>
          </w:rPr>
          <w:t>https://www.greatermelbournefoundation.org.au/strategy-2030/initiatives/work-integration-social-enterprise-wise</w:t>
        </w:r>
      </w:hyperlink>
      <w:r w:rsidR="002B3DCC">
        <w:t xml:space="preserve"> </w:t>
      </w:r>
    </w:p>
  </w:footnote>
  <w:footnote w:id="81">
    <w:p w14:paraId="4D5F4423" w14:textId="5A2D5367" w:rsidR="00E864B3" w:rsidRPr="00E864B3" w:rsidRDefault="00E864B3">
      <w:pPr>
        <w:pStyle w:val="FootnoteText"/>
        <w:rPr>
          <w:lang w:val="en-US"/>
        </w:rPr>
      </w:pPr>
      <w:r>
        <w:rPr>
          <w:rStyle w:val="FootnoteReference"/>
        </w:rPr>
        <w:footnoteRef/>
      </w:r>
      <w:r>
        <w:t xml:space="preserve"> </w:t>
      </w:r>
      <w:r w:rsidR="00896BB2">
        <w:t xml:space="preserve">Community Resources. (2025). </w:t>
      </w:r>
      <w:r w:rsidR="00F91661" w:rsidRPr="00F91661">
        <w:t>With 89% Job Retention, Strive for Success Shows a New Way to Solve Youth</w:t>
      </w:r>
      <w:r w:rsidR="00F91661">
        <w:t xml:space="preserve"> </w:t>
      </w:r>
      <w:r w:rsidR="00F91661" w:rsidRPr="00F91661">
        <w:t>Unemployment</w:t>
      </w:r>
      <w:r w:rsidR="00F91661">
        <w:t>. Accessed from,</w:t>
      </w:r>
      <w:r>
        <w:t xml:space="preserve"> </w:t>
      </w:r>
      <w:hyperlink r:id="rId38" w:history="1">
        <w:r w:rsidR="002D3CCE" w:rsidRPr="0073042B">
          <w:rPr>
            <w:rStyle w:val="Hyperlink"/>
          </w:rPr>
          <w:t>https://static1.squarespace.com/static/5b2b4577b10598b2166a065f/t/68a513558da0a82c77028484/1755648853734/MEDIA+RELEASE+-+Strive+for+Success+Shows+a+New+Way+to+Solve+Youth+Unemployment+-+August+2025.pdf</w:t>
        </w:r>
      </w:hyperlink>
      <w:r w:rsidR="002D3CCE">
        <w:t xml:space="preserve"> </w:t>
      </w:r>
    </w:p>
  </w:footnote>
  <w:footnote w:id="82">
    <w:p w14:paraId="58038E18" w14:textId="263AC736" w:rsidR="006B1B7F" w:rsidRPr="009C7C93" w:rsidRDefault="006B1B7F" w:rsidP="006B1B7F">
      <w:pPr>
        <w:pStyle w:val="FootnoteText"/>
        <w:rPr>
          <w:sz w:val="16"/>
          <w:szCs w:val="16"/>
          <w:lang w:val="en-US"/>
        </w:rPr>
      </w:pPr>
      <w:r w:rsidRPr="009C7C93">
        <w:rPr>
          <w:rStyle w:val="FootnoteReference"/>
          <w:sz w:val="16"/>
          <w:szCs w:val="16"/>
        </w:rPr>
        <w:footnoteRef/>
      </w:r>
      <w:r w:rsidRPr="009C7C93">
        <w:rPr>
          <w:sz w:val="16"/>
          <w:szCs w:val="16"/>
        </w:rPr>
        <w:t xml:space="preserve"> </w:t>
      </w:r>
      <w:r w:rsidR="00C24053" w:rsidRPr="00C24053">
        <w:rPr>
          <w:sz w:val="16"/>
          <w:szCs w:val="16"/>
          <w:lang w:val="en-US"/>
        </w:rPr>
        <w:t>Paul Ramsay Foundation, Where are We? Place-based approaches to tackling community challenges in Australia, June 2023</w:t>
      </w:r>
      <w:r w:rsidR="00046E4C">
        <w:rPr>
          <w:sz w:val="16"/>
          <w:szCs w:val="16"/>
          <w:lang w:val="en-US"/>
        </w:rPr>
        <w:t xml:space="preserve">; </w:t>
      </w:r>
      <w:r w:rsidR="00995D79" w:rsidRPr="00995D79">
        <w:rPr>
          <w:sz w:val="16"/>
          <w:szCs w:val="16"/>
          <w:lang w:val="en-US"/>
        </w:rPr>
        <w:t>Jacob Torfing</w:t>
      </w:r>
      <w:r w:rsidR="00995D79">
        <w:rPr>
          <w:sz w:val="16"/>
          <w:szCs w:val="16"/>
          <w:lang w:val="en-US"/>
        </w:rPr>
        <w:t xml:space="preserve">, </w:t>
      </w:r>
      <w:r w:rsidR="00995D79" w:rsidRPr="00995D79">
        <w:rPr>
          <w:sz w:val="16"/>
          <w:szCs w:val="16"/>
          <w:lang w:val="en-US"/>
        </w:rPr>
        <w:t>Collaborative innovation in the public sector: the argument, Public Management Review</w:t>
      </w:r>
      <w:r w:rsidR="00995D79">
        <w:rPr>
          <w:sz w:val="16"/>
          <w:szCs w:val="16"/>
          <w:lang w:val="en-US"/>
        </w:rPr>
        <w:t xml:space="preserve"> </w:t>
      </w:r>
      <w:r w:rsidR="00995D79" w:rsidRPr="00995D79">
        <w:rPr>
          <w:sz w:val="16"/>
          <w:szCs w:val="16"/>
          <w:lang w:val="en-US"/>
        </w:rPr>
        <w:t>(2018)</w:t>
      </w:r>
      <w:r w:rsidR="00995D79">
        <w:rPr>
          <w:sz w:val="16"/>
          <w:szCs w:val="16"/>
          <w:lang w:val="en-US"/>
        </w:rPr>
        <w:t xml:space="preserve"> </w:t>
      </w:r>
      <w:r w:rsidR="00995D79" w:rsidRPr="00995D79">
        <w:rPr>
          <w:sz w:val="16"/>
          <w:szCs w:val="16"/>
          <w:lang w:val="en-US"/>
        </w:rPr>
        <w:t>DOI:</w:t>
      </w:r>
      <w:r w:rsidR="00995D79">
        <w:rPr>
          <w:sz w:val="16"/>
          <w:szCs w:val="16"/>
          <w:lang w:val="en-US"/>
        </w:rPr>
        <w:t xml:space="preserve"> </w:t>
      </w:r>
      <w:r w:rsidR="00995D79" w:rsidRPr="00995D79">
        <w:rPr>
          <w:sz w:val="16"/>
          <w:szCs w:val="16"/>
          <w:lang w:val="en-US"/>
        </w:rPr>
        <w:t>10.1080/14719037.2018.143024</w:t>
      </w:r>
      <w:r w:rsidR="00750491">
        <w:rPr>
          <w:sz w:val="16"/>
          <w:szCs w:val="16"/>
          <w:lang w:val="en-US"/>
        </w:rPr>
        <w:t xml:space="preserve">; </w:t>
      </w:r>
      <w:r w:rsidR="0002540B">
        <w:rPr>
          <w:sz w:val="16"/>
          <w:szCs w:val="16"/>
          <w:lang w:val="en-US"/>
        </w:rPr>
        <w:t xml:space="preserve">Treasury, </w:t>
      </w:r>
      <w:r w:rsidR="00052975" w:rsidRPr="00052975">
        <w:rPr>
          <w:sz w:val="16"/>
          <w:szCs w:val="16"/>
          <w:lang w:val="en-US"/>
        </w:rPr>
        <w:t>Australian Government principles for social impact investing</w:t>
      </w:r>
      <w:r w:rsidR="00643110">
        <w:rPr>
          <w:sz w:val="16"/>
          <w:szCs w:val="16"/>
          <w:lang w:val="en-US"/>
        </w:rPr>
        <w:t xml:space="preserve">, Accessed at: </w:t>
      </w:r>
      <w:hyperlink r:id="rId39" w:history="1">
        <w:r w:rsidR="00AC3167" w:rsidRPr="00A656AF">
          <w:rPr>
            <w:rStyle w:val="Hyperlink"/>
            <w:sz w:val="16"/>
            <w:szCs w:val="16"/>
            <w:lang w:val="en-US"/>
          </w:rPr>
          <w:t>https://treasury.gov.au/programs-initiatives-consumers-community/social-impact-investing/australian-government-principles-for-social-impact-investing</w:t>
        </w:r>
      </w:hyperlink>
      <w:r w:rsidR="00AC3167">
        <w:rPr>
          <w:sz w:val="16"/>
          <w:szCs w:val="16"/>
          <w:lang w:val="en-US"/>
        </w:rPr>
        <w:t xml:space="preserve"> </w:t>
      </w:r>
    </w:p>
  </w:footnote>
  <w:footnote w:id="83">
    <w:p w14:paraId="1B6F13E0" w14:textId="62C1F645" w:rsidR="006B1B7F" w:rsidRPr="009C7C93" w:rsidRDefault="006B1B7F" w:rsidP="006B1B7F">
      <w:pPr>
        <w:pStyle w:val="FootnoteText"/>
        <w:rPr>
          <w:sz w:val="16"/>
          <w:szCs w:val="16"/>
          <w:lang w:val="en-US"/>
        </w:rPr>
      </w:pPr>
      <w:r w:rsidRPr="009C7C93">
        <w:rPr>
          <w:rStyle w:val="FootnoteReference"/>
          <w:sz w:val="16"/>
          <w:szCs w:val="16"/>
        </w:rPr>
        <w:footnoteRef/>
      </w:r>
      <w:r w:rsidRPr="009C7C93">
        <w:rPr>
          <w:sz w:val="16"/>
          <w:szCs w:val="16"/>
        </w:rPr>
        <w:t xml:space="preserve"> </w:t>
      </w:r>
      <w:r w:rsidR="00AB07D1">
        <w:rPr>
          <w:sz w:val="16"/>
          <w:szCs w:val="16"/>
        </w:rPr>
        <w:t>Wilks, S., Lahausse, J., Edwards, B.. (2015).</w:t>
      </w:r>
      <w:r w:rsidRPr="009C7C93">
        <w:rPr>
          <w:sz w:val="16"/>
          <w:szCs w:val="16"/>
        </w:rPr>
        <w:t xml:space="preserve"> </w:t>
      </w:r>
      <w:r w:rsidRPr="00BA2862">
        <w:rPr>
          <w:sz w:val="16"/>
          <w:szCs w:val="16"/>
          <w:lang w:val="en-US"/>
        </w:rPr>
        <w:t>Commonwealth Place-Based Service Delivery Initiatives: Key Learnings project</w:t>
      </w:r>
      <w:r w:rsidR="00AB07D1">
        <w:rPr>
          <w:sz w:val="16"/>
          <w:szCs w:val="16"/>
          <w:lang w:val="en-US"/>
        </w:rPr>
        <w:t xml:space="preserve">. Accessed from, </w:t>
      </w:r>
      <w:hyperlink r:id="rId40" w:history="1">
        <w:r w:rsidR="00CB05F7" w:rsidRPr="00FA1914">
          <w:rPr>
            <w:rStyle w:val="Hyperlink"/>
            <w:sz w:val="16"/>
            <w:szCs w:val="16"/>
            <w:lang w:val="en-US"/>
          </w:rPr>
          <w:t>https://aifs.gov.au/sites/default/files/publication-documents/rr32_0.pdf</w:t>
        </w:r>
      </w:hyperlink>
      <w:r w:rsidRPr="009C7C93">
        <w:rPr>
          <w:sz w:val="16"/>
          <w:szCs w:val="16"/>
          <w:lang w:val="en-US"/>
        </w:rPr>
        <w:t xml:space="preserve"> </w:t>
      </w:r>
    </w:p>
  </w:footnote>
  <w:footnote w:id="84">
    <w:p w14:paraId="0F5A3419" w14:textId="2B25AF93" w:rsidR="006B1B7F" w:rsidRPr="009C7C93" w:rsidRDefault="006B1B7F" w:rsidP="006B1B7F">
      <w:pPr>
        <w:pStyle w:val="FootnoteText"/>
        <w:rPr>
          <w:sz w:val="16"/>
          <w:szCs w:val="16"/>
          <w:lang w:val="en-US"/>
        </w:rPr>
      </w:pPr>
      <w:r w:rsidRPr="009C7C93">
        <w:rPr>
          <w:rStyle w:val="FootnoteReference"/>
          <w:sz w:val="16"/>
          <w:szCs w:val="16"/>
        </w:rPr>
        <w:footnoteRef/>
      </w:r>
      <w:r w:rsidRPr="009C7C93">
        <w:rPr>
          <w:sz w:val="16"/>
          <w:szCs w:val="16"/>
        </w:rPr>
        <w:t xml:space="preserve"> </w:t>
      </w:r>
      <w:r w:rsidR="00723244" w:rsidRPr="00723244">
        <w:rPr>
          <w:sz w:val="16"/>
          <w:szCs w:val="16"/>
        </w:rPr>
        <w:t xml:space="preserve">Lata et al. (2024). Advancing collaborative social outcomes through place based solutions – aligning policy and funding systems. Policy and Society. </w:t>
      </w:r>
      <w:hyperlink r:id="rId41" w:history="1">
        <w:r w:rsidR="00CB05F7" w:rsidRPr="00FA1914">
          <w:rPr>
            <w:rStyle w:val="Hyperlink"/>
            <w:sz w:val="16"/>
            <w:szCs w:val="16"/>
          </w:rPr>
          <w:t>https://doi.org/10.1093/polsoc/puae018</w:t>
        </w:r>
      </w:hyperlink>
      <w:r w:rsidR="00CB05F7">
        <w:rPr>
          <w:sz w:val="16"/>
          <w:szCs w:val="16"/>
        </w:rPr>
        <w:t xml:space="preserve"> </w:t>
      </w:r>
    </w:p>
  </w:footnote>
  <w:footnote w:id="85">
    <w:p w14:paraId="128D4DA5" w14:textId="37EEFCD4" w:rsidR="006B1B7F" w:rsidRPr="009C7C93" w:rsidRDefault="006B1B7F" w:rsidP="006B1B7F">
      <w:pPr>
        <w:pStyle w:val="FootnoteText"/>
        <w:rPr>
          <w:sz w:val="16"/>
          <w:szCs w:val="16"/>
          <w:lang w:val="en-US"/>
        </w:rPr>
      </w:pPr>
      <w:r w:rsidRPr="009C7C93">
        <w:rPr>
          <w:rStyle w:val="FootnoteReference"/>
          <w:sz w:val="16"/>
          <w:szCs w:val="16"/>
        </w:rPr>
        <w:footnoteRef/>
      </w:r>
      <w:r w:rsidRPr="009C7C93">
        <w:rPr>
          <w:sz w:val="16"/>
          <w:szCs w:val="16"/>
        </w:rPr>
        <w:t xml:space="preserve"> </w:t>
      </w:r>
      <w:r w:rsidR="0053034C" w:rsidRPr="0006422D">
        <w:rPr>
          <w:sz w:val="16"/>
          <w:szCs w:val="16"/>
        </w:rPr>
        <w:t>Jesuit</w:t>
      </w:r>
      <w:r w:rsidR="0053034C" w:rsidRPr="000D4859">
        <w:rPr>
          <w:sz w:val="16"/>
          <w:szCs w:val="16"/>
        </w:rPr>
        <w:t xml:space="preserve"> Social Services Centre for Just Places, </w:t>
      </w:r>
      <w:r w:rsidR="0053034C" w:rsidRPr="0006422D">
        <w:rPr>
          <w:sz w:val="16"/>
          <w:szCs w:val="16"/>
        </w:rPr>
        <w:t>RMIT</w:t>
      </w:r>
      <w:r w:rsidR="0053034C" w:rsidRPr="000D4859">
        <w:rPr>
          <w:sz w:val="16"/>
          <w:szCs w:val="16"/>
        </w:rPr>
        <w:t xml:space="preserve"> University and Centre for Community Child Health, What works for place based approaches in Victoria – A review of the literature, 2022</w:t>
      </w:r>
      <w:r w:rsidR="00F2050C">
        <w:rPr>
          <w:sz w:val="16"/>
          <w:szCs w:val="16"/>
        </w:rPr>
        <w:t xml:space="preserve">; </w:t>
      </w:r>
      <w:r w:rsidR="00F2050C" w:rsidRPr="00F2050C">
        <w:rPr>
          <w:sz w:val="16"/>
          <w:szCs w:val="16"/>
        </w:rPr>
        <w:t xml:space="preserve">Tendulkar, Shalini A., et al. "A Funding Initiative for Community-Based Participatory Research: Lessons from the Harvard Catalyst Seed Grants." Progress in Community Health Partnerships: Research, Education, and Action, vol. 5 no. 1, 2011, p. 35-44. Project MUSE, </w:t>
      </w:r>
      <w:hyperlink r:id="rId42" w:history="1">
        <w:r w:rsidR="00F2050C" w:rsidRPr="00A656AF">
          <w:rPr>
            <w:rStyle w:val="Hyperlink"/>
            <w:sz w:val="16"/>
            <w:szCs w:val="16"/>
          </w:rPr>
          <w:t>https://dx.doi.org/10.1353/cpr.2011.0005</w:t>
        </w:r>
      </w:hyperlink>
      <w:r w:rsidR="00F2050C" w:rsidRPr="00F2050C">
        <w:rPr>
          <w:sz w:val="16"/>
          <w:szCs w:val="16"/>
        </w:rPr>
        <w:t>.</w:t>
      </w:r>
      <w:r w:rsidR="00F2050C">
        <w:rPr>
          <w:sz w:val="16"/>
          <w:szCs w:val="16"/>
        </w:rPr>
        <w:t xml:space="preserve"> </w:t>
      </w:r>
    </w:p>
  </w:footnote>
  <w:footnote w:id="86">
    <w:p w14:paraId="51E86D03" w14:textId="66576028" w:rsidR="006B1B7F" w:rsidRPr="009C7C93" w:rsidRDefault="006B1B7F" w:rsidP="006B1B7F">
      <w:pPr>
        <w:pStyle w:val="FootnoteText"/>
        <w:rPr>
          <w:sz w:val="16"/>
          <w:szCs w:val="16"/>
          <w:lang w:val="en-US"/>
        </w:rPr>
      </w:pPr>
      <w:r w:rsidRPr="009C7C93">
        <w:rPr>
          <w:rStyle w:val="FootnoteReference"/>
          <w:sz w:val="16"/>
          <w:szCs w:val="16"/>
        </w:rPr>
        <w:footnoteRef/>
      </w:r>
      <w:r w:rsidR="009D0CD8">
        <w:rPr>
          <w:sz w:val="16"/>
          <w:szCs w:val="16"/>
          <w:lang w:val="en-US"/>
        </w:rPr>
        <w:t xml:space="preserve"> Rong, T., Restevski, E., Carroll, M.. (2023). </w:t>
      </w:r>
      <w:r w:rsidR="009D0CD8" w:rsidRPr="001634FA">
        <w:rPr>
          <w:sz w:val="16"/>
          <w:szCs w:val="16"/>
          <w:lang w:val="en-US"/>
        </w:rPr>
        <w:t>Exploring community engagement in place-based approaches in areas of poor health and disadvantage: A scoping review</w:t>
      </w:r>
      <w:r w:rsidR="009D0CD8">
        <w:rPr>
          <w:sz w:val="16"/>
          <w:szCs w:val="16"/>
          <w:lang w:val="en-US"/>
        </w:rPr>
        <w:t xml:space="preserve">. Health &amp; Place. </w:t>
      </w:r>
      <w:hyperlink r:id="rId43" w:history="1">
        <w:r w:rsidR="009D0CD8" w:rsidRPr="00DC4EA3">
          <w:rPr>
            <w:rStyle w:val="Hyperlink"/>
            <w:sz w:val="16"/>
            <w:szCs w:val="16"/>
            <w:lang w:val="en-US"/>
          </w:rPr>
          <w:t>https://doi.org/10.1016/j.healthplace.2023.103026</w:t>
        </w:r>
      </w:hyperlink>
    </w:p>
  </w:footnote>
  <w:footnote w:id="87">
    <w:p w14:paraId="21F35C44" w14:textId="2EB49950" w:rsidR="006B1B7F" w:rsidRPr="009C7C93" w:rsidRDefault="006B1B7F" w:rsidP="006B1B7F">
      <w:pPr>
        <w:pStyle w:val="FootnoteText"/>
        <w:rPr>
          <w:sz w:val="16"/>
          <w:szCs w:val="16"/>
          <w:lang w:val="en-US"/>
        </w:rPr>
      </w:pPr>
      <w:r w:rsidRPr="009C7C93">
        <w:rPr>
          <w:rStyle w:val="FootnoteReference"/>
          <w:sz w:val="16"/>
          <w:szCs w:val="16"/>
        </w:rPr>
        <w:footnoteRef/>
      </w:r>
      <w:r w:rsidRPr="009C7C93">
        <w:rPr>
          <w:sz w:val="16"/>
          <w:szCs w:val="16"/>
        </w:rPr>
        <w:t xml:space="preserve"> </w:t>
      </w:r>
      <w:r w:rsidR="00723244" w:rsidRPr="008B4491">
        <w:rPr>
          <w:sz w:val="16"/>
          <w:szCs w:val="16"/>
          <w:lang w:val="it-IT"/>
        </w:rPr>
        <w:t>Lata et al</w:t>
      </w:r>
      <w:r w:rsidR="00723244">
        <w:rPr>
          <w:sz w:val="16"/>
          <w:szCs w:val="16"/>
          <w:lang w:val="it-IT"/>
        </w:rPr>
        <w:t>. (2024).</w:t>
      </w:r>
      <w:r w:rsidR="00723244" w:rsidRPr="008B4491">
        <w:rPr>
          <w:sz w:val="16"/>
          <w:szCs w:val="16"/>
          <w:lang w:val="it-IT"/>
        </w:rPr>
        <w:t xml:space="preserve"> Advancing collaborative social outcomes through place based solutions – aligning policy and funding systems</w:t>
      </w:r>
      <w:r w:rsidR="00723244">
        <w:rPr>
          <w:sz w:val="16"/>
          <w:szCs w:val="16"/>
          <w:lang w:val="it-IT"/>
        </w:rPr>
        <w:t xml:space="preserve">. Policy and Society. </w:t>
      </w:r>
      <w:hyperlink r:id="rId44" w:history="1">
        <w:r w:rsidR="00723244" w:rsidRPr="00DC4EA3">
          <w:rPr>
            <w:rStyle w:val="Hyperlink"/>
            <w:sz w:val="16"/>
            <w:szCs w:val="16"/>
            <w:lang w:val="it-IT"/>
          </w:rPr>
          <w:t>https://doi.org/10.1093/polsoc/puae018</w:t>
        </w:r>
      </w:hyperlink>
      <w:r w:rsidR="009E474B">
        <w:t xml:space="preserve">; </w:t>
      </w:r>
      <w:r w:rsidR="009E474B">
        <w:rPr>
          <w:sz w:val="16"/>
          <w:szCs w:val="16"/>
          <w:lang w:val="en-US"/>
        </w:rPr>
        <w:t xml:space="preserve">Treasury, </w:t>
      </w:r>
      <w:r w:rsidR="009E474B" w:rsidRPr="00052975">
        <w:rPr>
          <w:sz w:val="16"/>
          <w:szCs w:val="16"/>
          <w:lang w:val="en-US"/>
        </w:rPr>
        <w:t>Australian Government principles for social impact investing</w:t>
      </w:r>
      <w:r w:rsidR="009E474B">
        <w:rPr>
          <w:sz w:val="16"/>
          <w:szCs w:val="16"/>
          <w:lang w:val="en-US"/>
        </w:rPr>
        <w:t xml:space="preserve">, Accessed at: </w:t>
      </w:r>
      <w:hyperlink r:id="rId45" w:history="1">
        <w:r w:rsidR="009E474B" w:rsidRPr="00A656AF">
          <w:rPr>
            <w:rStyle w:val="Hyperlink"/>
            <w:sz w:val="16"/>
            <w:szCs w:val="16"/>
            <w:lang w:val="en-US"/>
          </w:rPr>
          <w:t>https://treasury.gov.au/programs-initiatives-consumers-community/social-impact-investing/australian-government-principles-for-social-impact-investing</w:t>
        </w:r>
      </w:hyperlink>
      <w:r w:rsidR="00624A61">
        <w:rPr>
          <w:sz w:val="16"/>
          <w:szCs w:val="16"/>
          <w:lang w:val="en-US"/>
        </w:rPr>
        <w:t xml:space="preserve">; </w:t>
      </w:r>
      <w:r w:rsidR="00F3540A">
        <w:rPr>
          <w:sz w:val="16"/>
          <w:szCs w:val="16"/>
          <w:lang w:val="en-US"/>
        </w:rPr>
        <w:t>Australian Centre for Evaluation</w:t>
      </w:r>
      <w:r w:rsidR="00624A61">
        <w:rPr>
          <w:sz w:val="16"/>
          <w:szCs w:val="16"/>
          <w:lang w:val="en-US"/>
        </w:rPr>
        <w:t>, Evaluating Pilot Program</w:t>
      </w:r>
      <w:r w:rsidR="00F3540A">
        <w:rPr>
          <w:sz w:val="16"/>
          <w:szCs w:val="16"/>
          <w:lang w:val="en-US"/>
        </w:rPr>
        <w:t>s</w:t>
      </w:r>
      <w:r w:rsidR="00BB00DF">
        <w:rPr>
          <w:sz w:val="16"/>
          <w:szCs w:val="16"/>
          <w:lang w:val="en-US"/>
        </w:rPr>
        <w:t xml:space="preserve"> (2025)</w:t>
      </w:r>
      <w:r w:rsidR="00B50467">
        <w:rPr>
          <w:sz w:val="16"/>
          <w:szCs w:val="16"/>
          <w:lang w:val="en-US"/>
        </w:rPr>
        <w:t xml:space="preserve"> Accessed at </w:t>
      </w:r>
      <w:hyperlink r:id="rId46" w:history="1">
        <w:r w:rsidR="00B203D3" w:rsidRPr="00FA1914">
          <w:rPr>
            <w:rStyle w:val="Hyperlink"/>
            <w:sz w:val="16"/>
            <w:szCs w:val="16"/>
            <w:lang w:val="en-US"/>
          </w:rPr>
          <w:t>https://evaluation.treasury.gov.au/sites/evaluation.treasury.gov.au/files/2025-07/guide-evaluating-pilot-programs.pdf</w:t>
        </w:r>
      </w:hyperlink>
      <w:r w:rsidR="00B203D3">
        <w:rPr>
          <w:sz w:val="16"/>
          <w:szCs w:val="16"/>
          <w:lang w:val="en-US"/>
        </w:rPr>
        <w:t xml:space="preserve"> </w:t>
      </w:r>
    </w:p>
  </w:footnote>
  <w:footnote w:id="88">
    <w:p w14:paraId="10276589" w14:textId="18CA2286" w:rsidR="006B1B7F" w:rsidRPr="009C7C93" w:rsidRDefault="006B1B7F" w:rsidP="006B1B7F">
      <w:pPr>
        <w:pStyle w:val="FootnoteText"/>
        <w:rPr>
          <w:sz w:val="16"/>
          <w:szCs w:val="16"/>
          <w:lang w:val="en-US"/>
        </w:rPr>
      </w:pPr>
      <w:r w:rsidRPr="009C7C93">
        <w:rPr>
          <w:rStyle w:val="FootnoteReference"/>
          <w:sz w:val="16"/>
          <w:szCs w:val="16"/>
        </w:rPr>
        <w:footnoteRef/>
      </w:r>
      <w:r w:rsidRPr="009C7C93">
        <w:rPr>
          <w:sz w:val="16"/>
          <w:szCs w:val="16"/>
        </w:rPr>
        <w:t xml:space="preserve"> </w:t>
      </w:r>
      <w:r w:rsidR="00C24053" w:rsidRPr="00C24053">
        <w:rPr>
          <w:sz w:val="16"/>
          <w:szCs w:val="16"/>
          <w:lang w:val="en-US"/>
        </w:rPr>
        <w:t>Paul Ramsay Foundation, Where are We? Place-based approaches to tackling community challenges in Australia, June 2023</w:t>
      </w:r>
      <w:r w:rsidR="009D0CD8">
        <w:rPr>
          <w:sz w:val="16"/>
          <w:szCs w:val="16"/>
          <w:lang w:val="en-US"/>
        </w:rPr>
        <w:t xml:space="preserve">; </w:t>
      </w:r>
      <w:r w:rsidR="009D0CD8" w:rsidRPr="00B30818">
        <w:rPr>
          <w:sz w:val="16"/>
          <w:szCs w:val="16"/>
          <w:lang w:val="en-US"/>
        </w:rPr>
        <w:t>Jesuit</w:t>
      </w:r>
      <w:r w:rsidR="009D0CD8" w:rsidRPr="00A57C01">
        <w:rPr>
          <w:sz w:val="16"/>
          <w:szCs w:val="16"/>
          <w:lang w:val="en-US"/>
        </w:rPr>
        <w:t xml:space="preserve"> Social Services Centre for Just Places, </w:t>
      </w:r>
      <w:r w:rsidR="009D0CD8" w:rsidRPr="00B30818">
        <w:rPr>
          <w:sz w:val="16"/>
          <w:szCs w:val="16"/>
          <w:lang w:val="en-US"/>
        </w:rPr>
        <w:t>RMIT</w:t>
      </w:r>
      <w:r w:rsidR="009D0CD8" w:rsidRPr="00A57C01">
        <w:rPr>
          <w:sz w:val="16"/>
          <w:szCs w:val="16"/>
          <w:lang w:val="en-US"/>
        </w:rPr>
        <w:t xml:space="preserve"> University and Centre for Community Child Health, What works for place based approaches in Victoria – A review of the literature, 2022</w:t>
      </w:r>
    </w:p>
  </w:footnote>
  <w:footnote w:id="89">
    <w:p w14:paraId="526F0186" w14:textId="6F49F2A5" w:rsidR="006B1B7F" w:rsidRPr="00425062" w:rsidRDefault="006B1B7F" w:rsidP="006B1B7F">
      <w:pPr>
        <w:pStyle w:val="FootnoteText"/>
        <w:rPr>
          <w:sz w:val="16"/>
          <w:szCs w:val="16"/>
          <w:lang w:val="en-US"/>
        </w:rPr>
      </w:pPr>
      <w:r w:rsidRPr="00425062">
        <w:rPr>
          <w:rStyle w:val="FootnoteReference"/>
          <w:sz w:val="16"/>
          <w:szCs w:val="16"/>
        </w:rPr>
        <w:footnoteRef/>
      </w:r>
      <w:r w:rsidRPr="00425062">
        <w:rPr>
          <w:sz w:val="16"/>
          <w:szCs w:val="16"/>
        </w:rPr>
        <w:t xml:space="preserve"> </w:t>
      </w:r>
      <w:r w:rsidRPr="00425062">
        <w:rPr>
          <w:sz w:val="16"/>
          <w:szCs w:val="16"/>
          <w:lang w:val="en-US"/>
        </w:rPr>
        <w:t>Note: the literature rarely defines what is meant by ‘long</w:t>
      </w:r>
      <w:r w:rsidR="0068164C">
        <w:rPr>
          <w:sz w:val="16"/>
          <w:szCs w:val="16"/>
          <w:lang w:val="en-US"/>
        </w:rPr>
        <w:t>-</w:t>
      </w:r>
      <w:r w:rsidRPr="00425062">
        <w:rPr>
          <w:sz w:val="16"/>
          <w:szCs w:val="16"/>
          <w:lang w:val="en-US"/>
        </w:rPr>
        <w:t xml:space="preserve">term’ funding. In Australia, organisations have recently called for long-term funding, with most suggesting this would be 5 years. See: </w:t>
      </w:r>
      <w:hyperlink r:id="rId47" w:history="1">
        <w:r w:rsidRPr="00425062">
          <w:rPr>
            <w:rStyle w:val="Hyperlink"/>
            <w:sz w:val="16"/>
            <w:szCs w:val="16"/>
            <w:lang w:val="en-US"/>
          </w:rPr>
          <w:t>https://engage.dss.gov.au/wp-content/uploads/2024/05/summary-reportfinal23-april-2024.pdf</w:t>
        </w:r>
      </w:hyperlink>
      <w:r w:rsidRPr="00425062">
        <w:rPr>
          <w:sz w:val="16"/>
          <w:szCs w:val="16"/>
          <w:lang w:val="en-US"/>
        </w:rPr>
        <w:t xml:space="preserve">; </w:t>
      </w:r>
    </w:p>
  </w:footnote>
  <w:footnote w:id="90">
    <w:p w14:paraId="079A59D5" w14:textId="4ECB493E" w:rsidR="006B1B7F" w:rsidRPr="00425062" w:rsidRDefault="006B1B7F" w:rsidP="006B1B7F">
      <w:pPr>
        <w:pStyle w:val="FootnoteText"/>
        <w:rPr>
          <w:sz w:val="16"/>
          <w:szCs w:val="16"/>
          <w:lang w:val="en-US"/>
        </w:rPr>
      </w:pPr>
      <w:r w:rsidRPr="00425062">
        <w:rPr>
          <w:rStyle w:val="FootnoteReference"/>
          <w:sz w:val="16"/>
          <w:szCs w:val="16"/>
        </w:rPr>
        <w:footnoteRef/>
      </w:r>
      <w:r w:rsidRPr="00425062">
        <w:rPr>
          <w:sz w:val="16"/>
          <w:szCs w:val="16"/>
        </w:rPr>
        <w:t xml:space="preserve"> </w:t>
      </w:r>
      <w:r w:rsidR="009D0CD8" w:rsidRPr="00B30818">
        <w:rPr>
          <w:sz w:val="16"/>
          <w:szCs w:val="16"/>
          <w:lang w:val="en-US"/>
        </w:rPr>
        <w:t>Jesuit</w:t>
      </w:r>
      <w:r w:rsidR="009D0CD8" w:rsidRPr="00A57C01">
        <w:rPr>
          <w:sz w:val="16"/>
          <w:szCs w:val="16"/>
          <w:lang w:val="en-US"/>
        </w:rPr>
        <w:t xml:space="preserve"> Social Services Centre for Just Places, </w:t>
      </w:r>
      <w:r w:rsidR="009D0CD8" w:rsidRPr="00B30818">
        <w:rPr>
          <w:sz w:val="16"/>
          <w:szCs w:val="16"/>
          <w:lang w:val="en-US"/>
        </w:rPr>
        <w:t>RMIT</w:t>
      </w:r>
      <w:r w:rsidR="009D0CD8" w:rsidRPr="00A57C01">
        <w:rPr>
          <w:sz w:val="16"/>
          <w:szCs w:val="16"/>
          <w:lang w:val="en-US"/>
        </w:rPr>
        <w:t xml:space="preserve"> University and Centre for Community Child Health, What works for place based approaches in Victoria – A review of the literature, 2022</w:t>
      </w:r>
      <w:r w:rsidR="009D0CD8" w:rsidRPr="00B30818">
        <w:rPr>
          <w:sz w:val="16"/>
          <w:szCs w:val="16"/>
          <w:lang w:val="en-US"/>
        </w:rPr>
        <w:t xml:space="preserve">; </w:t>
      </w:r>
      <w:r w:rsidR="009D0CD8">
        <w:rPr>
          <w:sz w:val="16"/>
          <w:szCs w:val="16"/>
          <w:lang w:val="en-US"/>
        </w:rPr>
        <w:t xml:space="preserve">Rong, T., Restevski, E., Carroll, M.. (2023). </w:t>
      </w:r>
      <w:r w:rsidR="009D0CD8" w:rsidRPr="001634FA">
        <w:rPr>
          <w:sz w:val="16"/>
          <w:szCs w:val="16"/>
          <w:lang w:val="en-US"/>
        </w:rPr>
        <w:t>Exploring community engagement in place-based approaches in areas of poor health and disadvantage: A scoping review</w:t>
      </w:r>
      <w:r w:rsidR="009D0CD8">
        <w:rPr>
          <w:sz w:val="16"/>
          <w:szCs w:val="16"/>
          <w:lang w:val="en-US"/>
        </w:rPr>
        <w:t xml:space="preserve">. Health &amp; Place. </w:t>
      </w:r>
      <w:hyperlink r:id="rId48" w:history="1">
        <w:r w:rsidR="009D0CD8" w:rsidRPr="00DC4EA3">
          <w:rPr>
            <w:rStyle w:val="Hyperlink"/>
            <w:sz w:val="16"/>
            <w:szCs w:val="16"/>
            <w:lang w:val="en-US"/>
          </w:rPr>
          <w:t>https://doi.org/10.1016/j.healthplace.2023.103026</w:t>
        </w:r>
      </w:hyperlink>
    </w:p>
  </w:footnote>
  <w:footnote w:id="91">
    <w:p w14:paraId="47750649" w14:textId="77777777" w:rsidR="006B1B7F" w:rsidRPr="00425062" w:rsidRDefault="006B1B7F" w:rsidP="006B1B7F">
      <w:pPr>
        <w:pStyle w:val="FootnoteText"/>
        <w:rPr>
          <w:sz w:val="16"/>
          <w:szCs w:val="16"/>
        </w:rPr>
      </w:pPr>
      <w:r w:rsidRPr="00425062">
        <w:rPr>
          <w:rStyle w:val="FootnoteReference"/>
          <w:sz w:val="16"/>
          <w:szCs w:val="16"/>
        </w:rPr>
        <w:footnoteRef/>
      </w:r>
      <w:r w:rsidRPr="00425062">
        <w:rPr>
          <w:sz w:val="16"/>
          <w:szCs w:val="16"/>
        </w:rPr>
        <w:t xml:space="preserve"> Alderton, A., et al. (2022). What works for place-based approaches in Victoria. Part 1: A review of the literature. Report prepared for the Victorian Department of Jobs, Precincts and Regions. DOI:10.25439/rmt.19304123.v1, p 12, 28, 36, 53.  </w:t>
      </w:r>
    </w:p>
  </w:footnote>
  <w:footnote w:id="92">
    <w:p w14:paraId="6F7F0A6A" w14:textId="18C0305C" w:rsidR="006B1B7F" w:rsidRPr="00425062" w:rsidRDefault="006B1B7F" w:rsidP="006B1B7F">
      <w:pPr>
        <w:pStyle w:val="FootnoteText"/>
        <w:rPr>
          <w:sz w:val="16"/>
          <w:szCs w:val="16"/>
          <w:lang w:val="en-US"/>
        </w:rPr>
      </w:pPr>
      <w:r w:rsidRPr="00425062">
        <w:rPr>
          <w:rStyle w:val="FootnoteReference"/>
          <w:sz w:val="16"/>
          <w:szCs w:val="16"/>
        </w:rPr>
        <w:footnoteRef/>
      </w:r>
      <w:r w:rsidRPr="00425062">
        <w:rPr>
          <w:sz w:val="16"/>
          <w:szCs w:val="16"/>
        </w:rPr>
        <w:t xml:space="preserve"> </w:t>
      </w:r>
      <w:r w:rsidR="009D0CD8" w:rsidRPr="00B30818">
        <w:rPr>
          <w:sz w:val="16"/>
          <w:szCs w:val="16"/>
          <w:lang w:val="en-US"/>
        </w:rPr>
        <w:t>Jesuit</w:t>
      </w:r>
      <w:r w:rsidR="009D0CD8" w:rsidRPr="00A57C01">
        <w:rPr>
          <w:sz w:val="16"/>
          <w:szCs w:val="16"/>
          <w:lang w:val="en-US"/>
        </w:rPr>
        <w:t xml:space="preserve"> Social Services Centre for Just Places, </w:t>
      </w:r>
      <w:r w:rsidR="009D0CD8" w:rsidRPr="00B30818">
        <w:rPr>
          <w:sz w:val="16"/>
          <w:szCs w:val="16"/>
          <w:lang w:val="en-US"/>
        </w:rPr>
        <w:t>RMIT</w:t>
      </w:r>
      <w:r w:rsidR="009D0CD8" w:rsidRPr="00A57C01">
        <w:rPr>
          <w:sz w:val="16"/>
          <w:szCs w:val="16"/>
          <w:lang w:val="en-US"/>
        </w:rPr>
        <w:t xml:space="preserve"> University and Centre for Community Child Health, What works for place based approaches in Victoria – A review of the literature, 2022</w:t>
      </w:r>
      <w:r w:rsidR="009D0CD8" w:rsidRPr="00B30818">
        <w:rPr>
          <w:sz w:val="16"/>
          <w:szCs w:val="16"/>
          <w:lang w:val="en-US"/>
        </w:rPr>
        <w:t xml:space="preserve">; </w:t>
      </w:r>
      <w:r w:rsidR="009D0CD8">
        <w:rPr>
          <w:sz w:val="16"/>
          <w:szCs w:val="16"/>
          <w:lang w:val="en-US"/>
        </w:rPr>
        <w:t xml:space="preserve">Rong, T., Restevski, E., Carroll, M.. (2023). </w:t>
      </w:r>
      <w:r w:rsidR="009D0CD8" w:rsidRPr="001634FA">
        <w:rPr>
          <w:sz w:val="16"/>
          <w:szCs w:val="16"/>
          <w:lang w:val="en-US"/>
        </w:rPr>
        <w:t>Exploring community engagement in place-based approaches in areas of poor health and disadvantage: A scoping review</w:t>
      </w:r>
      <w:r w:rsidR="009D0CD8">
        <w:rPr>
          <w:sz w:val="16"/>
          <w:szCs w:val="16"/>
          <w:lang w:val="en-US"/>
        </w:rPr>
        <w:t xml:space="preserve">. Health &amp; Place. </w:t>
      </w:r>
      <w:hyperlink r:id="rId49" w:history="1">
        <w:r w:rsidR="009D0CD8" w:rsidRPr="00DC4EA3">
          <w:rPr>
            <w:rStyle w:val="Hyperlink"/>
            <w:sz w:val="16"/>
            <w:szCs w:val="16"/>
            <w:lang w:val="en-US"/>
          </w:rPr>
          <w:t>https://doi.org/10.1016/j.healthplace.2023.103026</w:t>
        </w:r>
      </w:hyperlink>
    </w:p>
  </w:footnote>
  <w:footnote w:id="93">
    <w:p w14:paraId="77BF73EC" w14:textId="21FD1FAF" w:rsidR="006B1B7F" w:rsidRPr="00425062" w:rsidRDefault="006B1B7F" w:rsidP="006B1B7F">
      <w:pPr>
        <w:pStyle w:val="FootnoteText"/>
        <w:rPr>
          <w:sz w:val="16"/>
          <w:szCs w:val="16"/>
          <w:lang w:val="en-US"/>
        </w:rPr>
      </w:pPr>
      <w:r w:rsidRPr="00425062">
        <w:rPr>
          <w:rStyle w:val="FootnoteReference"/>
          <w:sz w:val="16"/>
          <w:szCs w:val="16"/>
        </w:rPr>
        <w:footnoteRef/>
      </w:r>
      <w:r w:rsidRPr="001E2066">
        <w:rPr>
          <w:sz w:val="16"/>
          <w:szCs w:val="16"/>
        </w:rPr>
        <w:t xml:space="preserve"> </w:t>
      </w:r>
      <w:r w:rsidR="009D0CD8" w:rsidRPr="001E2066">
        <w:rPr>
          <w:sz w:val="16"/>
          <w:szCs w:val="16"/>
          <w:lang w:val="en-US"/>
        </w:rPr>
        <w:t xml:space="preserve">Jesuit Social Services Centre for Just Places, RMIT University and Centre for Community Child Health, What works for place based approaches in Victoria – A review of the literature, 2022; Rong, T., Restevski, E., Carroll, M.. (2023). Exploring community engagement in place-based approaches in areas of poor health and disadvantage: A scoping review. Health &amp; Place. </w:t>
      </w:r>
      <w:hyperlink r:id="rId50" w:history="1">
        <w:r w:rsidR="009D0CD8" w:rsidRPr="001E2066">
          <w:rPr>
            <w:rStyle w:val="Hyperlink"/>
            <w:sz w:val="16"/>
            <w:szCs w:val="16"/>
            <w:lang w:val="en-US"/>
          </w:rPr>
          <w:t>https://doi.org/10.1016/j.healthplace.2023.103026</w:t>
        </w:r>
      </w:hyperlink>
    </w:p>
  </w:footnote>
  <w:footnote w:id="94">
    <w:p w14:paraId="06CF28D6" w14:textId="77777777" w:rsidR="006B1B7F" w:rsidRPr="00425062" w:rsidRDefault="006B1B7F" w:rsidP="006B1B7F">
      <w:pPr>
        <w:pStyle w:val="FootnoteText"/>
        <w:rPr>
          <w:sz w:val="16"/>
          <w:szCs w:val="16"/>
          <w:lang w:val="en-US"/>
        </w:rPr>
      </w:pPr>
      <w:r w:rsidRPr="00425062">
        <w:rPr>
          <w:rStyle w:val="FootnoteReference"/>
          <w:sz w:val="16"/>
          <w:szCs w:val="16"/>
        </w:rPr>
        <w:footnoteRef/>
      </w:r>
      <w:r w:rsidRPr="00425062">
        <w:rPr>
          <w:sz w:val="16"/>
          <w:szCs w:val="16"/>
        </w:rPr>
        <w:t xml:space="preserve"> Note: longer programs were defined as ‘more than a year’ but dose and contact hours were not available. Yeyati, Eduardo Levy, et al. "What Works for Active Labor Market Policies? A Meta-Analysis of RCT Findings." Economía LACEA Journal 24.1 (2025). https://economia.lse.ac.uk/articles/10.31389/eco.450</w:t>
      </w:r>
    </w:p>
  </w:footnote>
  <w:footnote w:id="95">
    <w:p w14:paraId="545E5635" w14:textId="4F2FDF87" w:rsidR="006B1B7F" w:rsidRPr="00425062" w:rsidRDefault="006B1B7F" w:rsidP="006B1B7F">
      <w:pPr>
        <w:pStyle w:val="FootnoteText"/>
        <w:rPr>
          <w:sz w:val="16"/>
          <w:szCs w:val="16"/>
          <w:lang w:val="en-US"/>
        </w:rPr>
      </w:pPr>
      <w:r w:rsidRPr="00425062">
        <w:rPr>
          <w:rStyle w:val="FootnoteReference"/>
          <w:sz w:val="16"/>
          <w:szCs w:val="16"/>
        </w:rPr>
        <w:footnoteRef/>
      </w:r>
      <w:r w:rsidR="00A27265" w:rsidRPr="001E2066">
        <w:rPr>
          <w:sz w:val="16"/>
          <w:szCs w:val="16"/>
        </w:rPr>
        <w:t xml:space="preserve"> </w:t>
      </w:r>
      <w:r w:rsidR="002B5A97" w:rsidRPr="001E2066">
        <w:rPr>
          <w:sz w:val="16"/>
          <w:szCs w:val="16"/>
        </w:rPr>
        <w:t xml:space="preserve">ACOSS. (2021). Valuing Australia’s Community Sector: Better Contracting For Capacity, Sustainability And Impact. Accessed from, </w:t>
      </w:r>
      <w:hyperlink r:id="rId51" w:history="1">
        <w:r w:rsidRPr="00425062">
          <w:rPr>
            <w:rStyle w:val="Hyperlink"/>
            <w:sz w:val="16"/>
            <w:szCs w:val="16"/>
            <w:lang w:val="it-IT"/>
          </w:rPr>
          <w:t>https://www.acoss.org.au/wp-content/uploads/2021/06/ACSS-2021_better-contracting-report.pdf</w:t>
        </w:r>
      </w:hyperlink>
      <w:r w:rsidRPr="001E2066">
        <w:rPr>
          <w:sz w:val="16"/>
          <w:szCs w:val="16"/>
          <w:lang w:val="it-IT"/>
        </w:rPr>
        <w:t xml:space="preserve">; </w:t>
      </w:r>
      <w:r w:rsidR="001E2066" w:rsidRPr="001E2066">
        <w:rPr>
          <w:sz w:val="16"/>
          <w:szCs w:val="16"/>
          <w:lang w:val="it-IT"/>
        </w:rPr>
        <w:t>Department of Social Services. (2024). Department of Social Services – Reforms to strengthen the community sector. Accessed from,</w:t>
      </w:r>
      <w:r w:rsidRPr="00425062">
        <w:rPr>
          <w:sz w:val="16"/>
          <w:szCs w:val="16"/>
          <w:lang w:val="it-IT"/>
        </w:rPr>
        <w:t xml:space="preserve"> </w:t>
      </w:r>
      <w:hyperlink r:id="rId52" w:history="1">
        <w:r w:rsidRPr="00425062">
          <w:rPr>
            <w:rStyle w:val="Hyperlink"/>
            <w:sz w:val="16"/>
            <w:szCs w:val="16"/>
            <w:lang w:val="it-IT"/>
          </w:rPr>
          <w:t>https://engage.dss.gov.au/wp-content/uploads/2024/05/summary-reportfinal23-april-2024.pdf</w:t>
        </w:r>
      </w:hyperlink>
      <w:r w:rsidRPr="00425062">
        <w:rPr>
          <w:sz w:val="16"/>
          <w:szCs w:val="16"/>
          <w:lang w:val="it-IT"/>
        </w:rPr>
        <w:t xml:space="preserve">; Lata, Lutfun Nahar, et al. </w:t>
      </w:r>
      <w:r w:rsidRPr="00425062">
        <w:rPr>
          <w:sz w:val="16"/>
          <w:szCs w:val="16"/>
        </w:rPr>
        <w:t xml:space="preserve">"Advancing collaborative social outcomes through place-based solutions – aligning policy and funding systems." Policy and Society (2024) </w:t>
      </w:r>
      <w:hyperlink r:id="rId53" w:history="1">
        <w:r w:rsidRPr="00425062">
          <w:rPr>
            <w:rStyle w:val="Hyperlink"/>
            <w:sz w:val="16"/>
            <w:szCs w:val="16"/>
          </w:rPr>
          <w:t>https://doi.org/10.1093/polsoc/puae018</w:t>
        </w:r>
      </w:hyperlink>
      <w:r w:rsidRPr="00425062">
        <w:rPr>
          <w:sz w:val="16"/>
          <w:szCs w:val="16"/>
        </w:rPr>
        <w:t xml:space="preserve"> </w:t>
      </w:r>
    </w:p>
  </w:footnote>
  <w:footnote w:id="96">
    <w:p w14:paraId="5ABB487A" w14:textId="161086D9" w:rsidR="00EE7105" w:rsidRPr="001E2066" w:rsidRDefault="00EE7105">
      <w:pPr>
        <w:pStyle w:val="FootnoteText"/>
        <w:rPr>
          <w:sz w:val="16"/>
          <w:szCs w:val="16"/>
        </w:rPr>
      </w:pPr>
      <w:r w:rsidRPr="001E2066">
        <w:rPr>
          <w:rStyle w:val="FootnoteReference"/>
          <w:sz w:val="16"/>
          <w:szCs w:val="16"/>
        </w:rPr>
        <w:footnoteRef/>
      </w:r>
      <w:r w:rsidRPr="001E2066">
        <w:rPr>
          <w:sz w:val="16"/>
          <w:szCs w:val="16"/>
        </w:rPr>
        <w:t xml:space="preserve"> </w:t>
      </w:r>
      <w:r w:rsidR="002F62DC" w:rsidRPr="007D49FC">
        <w:rPr>
          <w:sz w:val="16"/>
          <w:szCs w:val="16"/>
        </w:rPr>
        <w:t>Irvine, Annie, et al. "‘Less Money, Less Time, More Complex Clients’: The Impacts of Short‐Term Funding for Third Sector Employability Programmes and Potential for Moral Distress." Social Policy &amp; Administration 59.5 (2025): 749-761</w:t>
      </w:r>
      <w:r w:rsidR="00B40C4B" w:rsidRPr="001E2066">
        <w:rPr>
          <w:sz w:val="16"/>
          <w:szCs w:val="16"/>
        </w:rPr>
        <w:t xml:space="preserve"> </w:t>
      </w:r>
      <w:hyperlink r:id="rId54" w:history="1">
        <w:r w:rsidR="00B40C4B" w:rsidRPr="007D49FC">
          <w:rPr>
            <w:rStyle w:val="Hyperlink"/>
            <w:sz w:val="16"/>
            <w:szCs w:val="16"/>
          </w:rPr>
          <w:t>https://doi.org/10.1111/spol.13089</w:t>
        </w:r>
      </w:hyperlink>
      <w:r w:rsidR="00B40C4B" w:rsidRPr="007D49FC">
        <w:rPr>
          <w:rStyle w:val="Hyperlink"/>
          <w:sz w:val="16"/>
          <w:szCs w:val="16"/>
        </w:rPr>
        <w:t>;</w:t>
      </w:r>
      <w:r w:rsidR="00B40C4B" w:rsidRPr="001E2066">
        <w:rPr>
          <w:sz w:val="16"/>
          <w:szCs w:val="16"/>
        </w:rPr>
        <w:t xml:space="preserve"> </w:t>
      </w:r>
      <w:r w:rsidR="00D111C4" w:rsidRPr="007D49FC">
        <w:rPr>
          <w:sz w:val="16"/>
          <w:szCs w:val="16"/>
        </w:rPr>
        <w:t>Department for Work and Pensions</w:t>
      </w:r>
      <w:r w:rsidR="001E2066">
        <w:rPr>
          <w:sz w:val="16"/>
          <w:szCs w:val="16"/>
        </w:rPr>
        <w:t xml:space="preserve"> </w:t>
      </w:r>
      <w:r w:rsidR="00AC37BF" w:rsidRPr="007D49FC">
        <w:rPr>
          <w:sz w:val="16"/>
          <w:szCs w:val="16"/>
        </w:rPr>
        <w:t>(UK</w:t>
      </w:r>
      <w:r w:rsidR="00AC37BF" w:rsidRPr="001E2066">
        <w:rPr>
          <w:sz w:val="16"/>
          <w:szCs w:val="16"/>
        </w:rPr>
        <w:t>)</w:t>
      </w:r>
      <w:r w:rsidR="001E2066">
        <w:rPr>
          <w:sz w:val="16"/>
          <w:szCs w:val="16"/>
        </w:rPr>
        <w:t>. (2018).</w:t>
      </w:r>
      <w:r w:rsidR="00B11A31" w:rsidRPr="007D49FC">
        <w:rPr>
          <w:sz w:val="16"/>
          <w:szCs w:val="16"/>
        </w:rPr>
        <w:t xml:space="preserve"> Evaluation of the Innovation Fund pilot: quantitative assessment of impact and social return on investment</w:t>
      </w:r>
      <w:r w:rsidR="001E2066">
        <w:rPr>
          <w:sz w:val="16"/>
          <w:szCs w:val="16"/>
        </w:rPr>
        <w:t>. Accessed from,</w:t>
      </w:r>
      <w:r w:rsidR="00B11A31" w:rsidRPr="001E2066">
        <w:rPr>
          <w:sz w:val="16"/>
          <w:szCs w:val="16"/>
        </w:rPr>
        <w:t>,</w:t>
      </w:r>
      <w:r w:rsidR="00B11A31" w:rsidRPr="007D49FC">
        <w:rPr>
          <w:sz w:val="16"/>
          <w:szCs w:val="16"/>
        </w:rPr>
        <w:t xml:space="preserve"> </w:t>
      </w:r>
      <w:hyperlink r:id="rId55" w:history="1">
        <w:r w:rsidR="00AC37BF" w:rsidRPr="007D49FC">
          <w:rPr>
            <w:rStyle w:val="Hyperlink"/>
            <w:sz w:val="16"/>
            <w:szCs w:val="16"/>
          </w:rPr>
          <w:t>https://assets.publishing.service.gov.uk/media/5b87ce4440f0b63cacd32743/evaluation-of-the-innovation-fund-pilot-quantitative-assessment-of-impact-and-social-return-on-investment.pdf</w:t>
        </w:r>
      </w:hyperlink>
      <w:r w:rsidR="00AC37BF" w:rsidRPr="001E2066">
        <w:rPr>
          <w:sz w:val="16"/>
          <w:szCs w:val="16"/>
        </w:rPr>
        <w:t xml:space="preserve"> </w:t>
      </w:r>
    </w:p>
  </w:footnote>
  <w:footnote w:id="97">
    <w:p w14:paraId="421E1F7F" w14:textId="16694C9C" w:rsidR="006B1B7F" w:rsidRPr="005921FA" w:rsidRDefault="006B1B7F" w:rsidP="006B1B7F">
      <w:pPr>
        <w:pStyle w:val="FootnoteText"/>
        <w:rPr>
          <w:sz w:val="16"/>
          <w:szCs w:val="16"/>
          <w:lang w:val="it-IT"/>
        </w:rPr>
      </w:pPr>
      <w:r w:rsidRPr="009C7C93">
        <w:rPr>
          <w:rStyle w:val="FootnoteReference"/>
          <w:sz w:val="16"/>
          <w:szCs w:val="16"/>
        </w:rPr>
        <w:footnoteRef/>
      </w:r>
      <w:r w:rsidRPr="001E2066">
        <w:rPr>
          <w:sz w:val="16"/>
          <w:szCs w:val="16"/>
          <w:lang w:val="it-IT"/>
        </w:rPr>
        <w:t xml:space="preserve"> </w:t>
      </w:r>
      <w:r w:rsidR="006F0957" w:rsidRPr="006F0957">
        <w:rPr>
          <w:sz w:val="16"/>
          <w:szCs w:val="16"/>
        </w:rPr>
        <w:t>Wilson et al., Use of small grants to support and enable innovation in teen pregnancy prevention, 2018</w:t>
      </w:r>
      <w:r w:rsidR="006F0957">
        <w:rPr>
          <w:sz w:val="16"/>
          <w:szCs w:val="16"/>
        </w:rPr>
        <w:t xml:space="preserve">; </w:t>
      </w:r>
      <w:r w:rsidR="00E449A7" w:rsidRPr="00E449A7">
        <w:rPr>
          <w:sz w:val="16"/>
          <w:szCs w:val="16"/>
        </w:rPr>
        <w:t xml:space="preserve">Perla et al’, Government as </w:t>
      </w:r>
      <w:r w:rsidR="00E449A7" w:rsidRPr="001D0172">
        <w:rPr>
          <w:sz w:val="16"/>
          <w:szCs w:val="16"/>
        </w:rPr>
        <w:t>Innovation Catalyst: Lessons from the Early Centre for medicate and Medicaid Innovation models</w:t>
      </w:r>
    </w:p>
  </w:footnote>
  <w:footnote w:id="98">
    <w:p w14:paraId="644B0A34" w14:textId="56179E3B" w:rsidR="008D58EC" w:rsidRDefault="008D58EC">
      <w:pPr>
        <w:pStyle w:val="FootnoteText"/>
      </w:pPr>
      <w:r w:rsidRPr="001D0172">
        <w:rPr>
          <w:rStyle w:val="FootnoteReference"/>
        </w:rPr>
        <w:footnoteRef/>
      </w:r>
      <w:r w:rsidRPr="001D0172">
        <w:rPr>
          <w:rStyle w:val="FootnoteReference"/>
        </w:rPr>
        <w:t xml:space="preserve"> </w:t>
      </w:r>
      <w:r w:rsidR="00FD65E2" w:rsidRPr="001D0172">
        <w:rPr>
          <w:sz w:val="16"/>
          <w:szCs w:val="16"/>
        </w:rPr>
        <w:t>Prime Minister and Cabinet, Final Report of the Australian Social Impact Investing Taskforce: A Commonwealth strategy to build a mature and self-sustaining social impact investing market that improves the lives of vulnerable Australians (2020)</w:t>
      </w:r>
      <w:r w:rsidR="00A76CE7" w:rsidRPr="001D0172">
        <w:rPr>
          <w:sz w:val="16"/>
          <w:szCs w:val="16"/>
        </w:rPr>
        <w:t xml:space="preserve">, Accessed at </w:t>
      </w:r>
      <w:hyperlink r:id="rId56" w:history="1">
        <w:r w:rsidR="003238BA" w:rsidRPr="001D0172">
          <w:rPr>
            <w:rStyle w:val="Hyperlink"/>
            <w:sz w:val="16"/>
            <w:szCs w:val="16"/>
          </w:rPr>
          <w:t>https://treasury.gov.au/sites/default/files/2023-12/p2023-391009-taskforce-final-report-2020.pdf</w:t>
        </w:r>
      </w:hyperlink>
      <w:r w:rsidR="00A76CE7" w:rsidRPr="001D0172">
        <w:rPr>
          <w:sz w:val="16"/>
          <w:szCs w:val="16"/>
        </w:rPr>
        <w:t xml:space="preserve"> </w:t>
      </w:r>
      <w:r w:rsidR="00FD65E2" w:rsidRPr="001D0172">
        <w:rPr>
          <w:sz w:val="16"/>
          <w:szCs w:val="16"/>
        </w:rPr>
        <w:t xml:space="preserve">; </w:t>
      </w:r>
      <w:r w:rsidR="008C5E5A" w:rsidRPr="001D0172">
        <w:rPr>
          <w:sz w:val="16"/>
          <w:szCs w:val="16"/>
        </w:rPr>
        <w:t xml:space="preserve"> </w:t>
      </w:r>
      <w:r w:rsidR="003238BA" w:rsidRPr="001D0172">
        <w:rPr>
          <w:sz w:val="16"/>
          <w:szCs w:val="16"/>
        </w:rPr>
        <w:t>Urbis, Social Impact Investing Program Evaluation: final report (2023)</w:t>
      </w:r>
      <w:r w:rsidR="0047477C" w:rsidRPr="001D0172">
        <w:rPr>
          <w:sz w:val="16"/>
          <w:szCs w:val="16"/>
        </w:rPr>
        <w:t xml:space="preserve">, Accessed at https://treasury.gov.au/sites/default/files/2023-12/p2023-391009-taskforce-final-report-2020.pdf; </w:t>
      </w:r>
      <w:r w:rsidR="00F87C4A" w:rsidRPr="001D0172">
        <w:rPr>
          <w:sz w:val="16"/>
          <w:szCs w:val="16"/>
        </w:rPr>
        <w:t>Western Australian Future Health Research and Innovation Fund, Innovation Seed Fund 2024-25</w:t>
      </w:r>
      <w:r w:rsidR="00251462" w:rsidRPr="001D0172">
        <w:rPr>
          <w:sz w:val="16"/>
          <w:szCs w:val="16"/>
        </w:rPr>
        <w:t xml:space="preserve"> Guidelines and Conditions, Accessed at</w:t>
      </w:r>
      <w:r w:rsidR="0065406F" w:rsidRPr="001D0172">
        <w:rPr>
          <w:sz w:val="16"/>
          <w:szCs w:val="16"/>
        </w:rPr>
        <w:t xml:space="preserve"> </w:t>
      </w:r>
      <w:hyperlink r:id="rId57" w:history="1">
        <w:r w:rsidR="0065406F" w:rsidRPr="001D0172">
          <w:rPr>
            <w:rStyle w:val="Hyperlink"/>
            <w:sz w:val="16"/>
            <w:szCs w:val="16"/>
          </w:rPr>
          <w:t>https://fhrifund.health.wa.gov.au/~/media/FHRI/Documents/Innovation-Seed-Fund-24-25/Innovation-Seed-Fund-2024-25---Guidelines-and-Conditions.pdf</w:t>
        </w:r>
      </w:hyperlink>
      <w:r w:rsidR="0065406F" w:rsidRPr="001D0172">
        <w:rPr>
          <w:sz w:val="16"/>
          <w:szCs w:val="16"/>
        </w:rPr>
        <w:t xml:space="preserve">; </w:t>
      </w:r>
      <w:r w:rsidR="001D0172" w:rsidRPr="001D0172">
        <w:rPr>
          <w:sz w:val="16"/>
          <w:szCs w:val="16"/>
        </w:rPr>
        <w:t xml:space="preserve">Commonwealth Outcomes Fund, accessed at </w:t>
      </w:r>
      <w:hyperlink r:id="rId58" w:history="1">
        <w:r w:rsidR="001D0172" w:rsidRPr="001D0172">
          <w:rPr>
            <w:rStyle w:val="Hyperlink"/>
            <w:sz w:val="16"/>
            <w:szCs w:val="16"/>
          </w:rPr>
          <w:t>Commonwealth Outcomes Fund | Department of Social Services</w:t>
        </w:r>
      </w:hyperlink>
      <w:r w:rsidR="001D0172" w:rsidRPr="001D0172">
        <w:rPr>
          <w:sz w:val="16"/>
          <w:szCs w:val="16"/>
        </w:rPr>
        <w:t xml:space="preserve">; Department of Social Services, Try, Test And Learn Fund accessed at </w:t>
      </w:r>
      <w:hyperlink r:id="rId59" w:history="1">
        <w:r w:rsidR="001D0172" w:rsidRPr="001D0172">
          <w:rPr>
            <w:rStyle w:val="Hyperlink"/>
            <w:sz w:val="16"/>
            <w:szCs w:val="16"/>
          </w:rPr>
          <w:t>https://www.dss.gov.au/try-test-and-learn</w:t>
        </w:r>
      </w:hyperlink>
      <w:r w:rsidR="001D0172">
        <w:rPr>
          <w:sz w:val="16"/>
          <w:szCs w:val="16"/>
        </w:rPr>
        <w:t xml:space="preserve">; </w:t>
      </w:r>
      <w:r w:rsidR="00FE76F6" w:rsidRPr="001D0172">
        <w:rPr>
          <w:sz w:val="16"/>
          <w:szCs w:val="16"/>
        </w:rPr>
        <w:t xml:space="preserve">FitzGerald, C., Fraser, A., Kimmitt, J., Knoll, L., &amp; Williams, J. (2023). Outcomes-based contracting and public management reform: Lessons from a decade of experimentation. International Public Management Journal, 26(3), 329–338. </w:t>
      </w:r>
      <w:hyperlink r:id="rId60" w:history="1">
        <w:r w:rsidR="003C0C62" w:rsidRPr="001D0172">
          <w:rPr>
            <w:rStyle w:val="Hyperlink"/>
            <w:sz w:val="16"/>
            <w:szCs w:val="16"/>
          </w:rPr>
          <w:t>https://doi.org/10.1080/10967494.2023.2170504</w:t>
        </w:r>
      </w:hyperlink>
      <w:r w:rsidR="00FE76F6" w:rsidRPr="001D0172">
        <w:rPr>
          <w:sz w:val="16"/>
          <w:szCs w:val="16"/>
        </w:rPr>
        <w:t>;</w:t>
      </w:r>
      <w:r w:rsidR="003C0C62" w:rsidRPr="001D0172">
        <w:rPr>
          <w:sz w:val="16"/>
          <w:szCs w:val="16"/>
        </w:rPr>
        <w:t xml:space="preserve"> FitzGerald, C., et al., Outcomes-based contracting and public management reform: Lessons from a decade of experimentation. International Public Management Journal (2023)</w:t>
      </w:r>
      <w:r w:rsidR="00312AC3" w:rsidRPr="001D0172">
        <w:rPr>
          <w:sz w:val="16"/>
          <w:szCs w:val="16"/>
        </w:rPr>
        <w:t>,</w:t>
      </w:r>
      <w:r w:rsidR="003C0C62" w:rsidRPr="001D0172">
        <w:rPr>
          <w:sz w:val="16"/>
          <w:szCs w:val="16"/>
        </w:rPr>
        <w:t xml:space="preserve"> 26(3), 329–338. https://doi.org/10.1080/10967494.2023.2170504; </w:t>
      </w:r>
      <w:r w:rsidR="0046163C" w:rsidRPr="0046163C">
        <w:rPr>
          <w:sz w:val="16"/>
          <w:szCs w:val="16"/>
        </w:rPr>
        <w:t>Coram, Veronica, et al. "The Aspire Social Impact Bond: How social impact bond financing can promote positive social and economic outcomes." Australian Journal of Social Issues 60.1 (2025): 176-195</w:t>
      </w:r>
      <w:r w:rsidR="00A41549">
        <w:rPr>
          <w:sz w:val="16"/>
          <w:szCs w:val="16"/>
        </w:rPr>
        <w:t xml:space="preserve"> </w:t>
      </w:r>
      <w:hyperlink r:id="rId61" w:history="1">
        <w:r w:rsidR="00676CA2" w:rsidRPr="00FA1914">
          <w:rPr>
            <w:rStyle w:val="Hyperlink"/>
            <w:sz w:val="16"/>
            <w:szCs w:val="16"/>
          </w:rPr>
          <w:t>https://doi.org/10.1002/ajs4.354</w:t>
        </w:r>
      </w:hyperlink>
      <w:r w:rsidR="00676CA2">
        <w:rPr>
          <w:sz w:val="16"/>
          <w:szCs w:val="16"/>
        </w:rPr>
        <w:t xml:space="preserve">; </w:t>
      </w:r>
      <w:r w:rsidR="00676CA2" w:rsidRPr="00676CA2">
        <w:rPr>
          <w:sz w:val="16"/>
          <w:szCs w:val="16"/>
        </w:rPr>
        <w:t>Broom, Jacob. "Social impact bonds and fast policy: Analyzing the Australian experience." Environment and Planning A: Economy and Space 53.1 (2021): 113-130</w:t>
      </w:r>
      <w:r w:rsidR="003937D7">
        <w:rPr>
          <w:sz w:val="16"/>
          <w:szCs w:val="16"/>
        </w:rPr>
        <w:t xml:space="preserve"> </w:t>
      </w:r>
      <w:hyperlink r:id="rId62" w:history="1">
        <w:r w:rsidR="003937D7" w:rsidRPr="00FA1914">
          <w:rPr>
            <w:rStyle w:val="Hyperlink"/>
            <w:sz w:val="16"/>
            <w:szCs w:val="16"/>
          </w:rPr>
          <w:t>https://doi.org/10.1177/0308518X20941522</w:t>
        </w:r>
      </w:hyperlink>
      <w:r w:rsidR="003937D7">
        <w:rPr>
          <w:sz w:val="16"/>
          <w:szCs w:val="16"/>
        </w:rPr>
        <w:t xml:space="preserve">. </w:t>
      </w:r>
    </w:p>
  </w:footnote>
  <w:footnote w:id="99">
    <w:p w14:paraId="7527BD37" w14:textId="77777777" w:rsidR="00D26DC7" w:rsidRPr="009C7C93" w:rsidRDefault="00D26DC7" w:rsidP="00D26DC7">
      <w:pPr>
        <w:pStyle w:val="FootnoteText"/>
        <w:rPr>
          <w:sz w:val="16"/>
          <w:szCs w:val="16"/>
        </w:rPr>
      </w:pPr>
      <w:r w:rsidRPr="009C7C93">
        <w:rPr>
          <w:rStyle w:val="FootnoteReference"/>
          <w:sz w:val="16"/>
          <w:szCs w:val="16"/>
        </w:rPr>
        <w:footnoteRef/>
      </w:r>
      <w:r w:rsidRPr="009C7C93">
        <w:rPr>
          <w:sz w:val="16"/>
          <w:szCs w:val="16"/>
        </w:rPr>
        <w:t xml:space="preserve"> Mawn et al. “Are we failing young people not in employment, education or training (NEETs)?A systematic review and meta-analysis of re-engagement interventions”. Systematic Reviews (2017) 6:16, DOI 10.1186/s13643-016-0394-2; Stea, Tonje Holte, et al. "Interventions targeting young people not in employment, education or training (NEET) for increased likelihood of return to school or employment—A systematic review." Plos one 19.6 (2024): e0306285; Apunyo, Robert, et al. "Interventions to increase youth employment: An evidence and gap map." Campbell Systematic Reviews 18.1 (2022): e1216.</w:t>
      </w:r>
    </w:p>
  </w:footnote>
  <w:footnote w:id="100">
    <w:p w14:paraId="1092D8F3" w14:textId="2B444EBC" w:rsidR="00D26DC7" w:rsidRPr="00D801DF" w:rsidRDefault="00D26DC7" w:rsidP="00D801DF">
      <w:pPr>
        <w:pStyle w:val="TableNText"/>
        <w:spacing w:before="0" w:after="0" w:line="240" w:lineRule="auto"/>
        <w:rPr>
          <w:b/>
          <w:sz w:val="16"/>
          <w:szCs w:val="16"/>
        </w:rPr>
      </w:pPr>
      <w:r w:rsidRPr="009C7C93">
        <w:rPr>
          <w:rStyle w:val="FootnoteReference"/>
          <w:sz w:val="16"/>
          <w:szCs w:val="16"/>
        </w:rPr>
        <w:footnoteRef/>
      </w:r>
      <w:r w:rsidRPr="009C7C93">
        <w:rPr>
          <w:sz w:val="16"/>
          <w:szCs w:val="16"/>
        </w:rPr>
        <w:t xml:space="preserve"> Mawn et al. “Are we failing young people not in employment, education or training (NEETs)?A systematic review and meta-analysis of re-engagement interventions”. Systematic Reviews (2017) 6:16, DOI 10.1186/s13643-016-0394-2; </w:t>
      </w:r>
      <w:r w:rsidR="00D801DF">
        <w:rPr>
          <w:sz w:val="16"/>
          <w:szCs w:val="16"/>
        </w:rPr>
        <w:t xml:space="preserve">Wilks, S., Lahausse, J., Edwards, B.. (2015). </w:t>
      </w:r>
      <w:r w:rsidR="00D801DF" w:rsidRPr="00BA2862">
        <w:rPr>
          <w:sz w:val="16"/>
          <w:szCs w:val="16"/>
          <w:lang w:val="en-US"/>
        </w:rPr>
        <w:t>Commonwealth Place-Based Service Delivery Initiatives: Key Learnings project</w:t>
      </w:r>
      <w:r w:rsidR="00D801DF">
        <w:rPr>
          <w:sz w:val="16"/>
          <w:szCs w:val="16"/>
          <w:lang w:val="en-US"/>
        </w:rPr>
        <w:t xml:space="preserve">. Accessed from, </w:t>
      </w:r>
      <w:r w:rsidR="00D801DF" w:rsidRPr="00B67DA1">
        <w:rPr>
          <w:sz w:val="16"/>
          <w:szCs w:val="16"/>
          <w:lang w:val="en-US"/>
        </w:rPr>
        <w:t>https://aifs.gov.au/sites/default/files/publication-documents/rr32_0.pdf</w:t>
      </w:r>
    </w:p>
  </w:footnote>
  <w:footnote w:id="101">
    <w:p w14:paraId="6C99A064" w14:textId="00E00576" w:rsidR="00D26DC7" w:rsidRPr="00D801DF" w:rsidRDefault="00D26DC7" w:rsidP="00D801DF">
      <w:pPr>
        <w:pStyle w:val="TableNText"/>
        <w:spacing w:before="0" w:after="0" w:line="240" w:lineRule="auto"/>
        <w:rPr>
          <w:b/>
          <w:sz w:val="16"/>
          <w:szCs w:val="16"/>
        </w:rPr>
      </w:pPr>
      <w:r w:rsidRPr="009C7C93">
        <w:rPr>
          <w:rStyle w:val="FootnoteReference"/>
          <w:sz w:val="16"/>
          <w:szCs w:val="16"/>
        </w:rPr>
        <w:footnoteRef/>
      </w:r>
      <w:r w:rsidRPr="009C7C93">
        <w:rPr>
          <w:sz w:val="16"/>
          <w:szCs w:val="16"/>
        </w:rPr>
        <w:t xml:space="preserve"> </w:t>
      </w:r>
      <w:r w:rsidR="00D801DF">
        <w:rPr>
          <w:sz w:val="16"/>
          <w:szCs w:val="16"/>
        </w:rPr>
        <w:t xml:space="preserve">Wilks, S., Lahausse, J., Edwards, B.. (2015). </w:t>
      </w:r>
      <w:r w:rsidR="00D801DF" w:rsidRPr="00BA2862">
        <w:rPr>
          <w:sz w:val="16"/>
          <w:szCs w:val="16"/>
          <w:lang w:val="en-US"/>
        </w:rPr>
        <w:t>Commonwealth Place-Based Service Delivery Initiatives: Key Learnings project</w:t>
      </w:r>
      <w:r w:rsidR="00D801DF">
        <w:rPr>
          <w:sz w:val="16"/>
          <w:szCs w:val="16"/>
          <w:lang w:val="en-US"/>
        </w:rPr>
        <w:t xml:space="preserve">. Accessed from, </w:t>
      </w:r>
      <w:r w:rsidR="00D801DF" w:rsidRPr="00B67DA1">
        <w:rPr>
          <w:sz w:val="16"/>
          <w:szCs w:val="16"/>
          <w:lang w:val="en-US"/>
        </w:rPr>
        <w:t>https://aifs.gov.au/sites/default/files/publication-documents/rr32_0.pdf</w:t>
      </w:r>
    </w:p>
  </w:footnote>
  <w:footnote w:id="102">
    <w:p w14:paraId="25DE754C" w14:textId="44FDFAC7" w:rsidR="00753675" w:rsidRPr="00753675" w:rsidRDefault="00D26DC7" w:rsidP="00753675">
      <w:pPr>
        <w:pStyle w:val="FootnoteText"/>
        <w:rPr>
          <w:sz w:val="16"/>
          <w:szCs w:val="16"/>
        </w:rPr>
      </w:pPr>
      <w:r w:rsidRPr="009C7C93">
        <w:rPr>
          <w:rStyle w:val="FootnoteReference"/>
          <w:sz w:val="16"/>
          <w:szCs w:val="16"/>
        </w:rPr>
        <w:footnoteRef/>
      </w:r>
      <w:r w:rsidRPr="009C7C93">
        <w:rPr>
          <w:sz w:val="16"/>
          <w:szCs w:val="16"/>
        </w:rPr>
        <w:t xml:space="preserve"> </w:t>
      </w:r>
      <w:r w:rsidR="00753675" w:rsidRPr="00753675">
        <w:rPr>
          <w:sz w:val="16"/>
          <w:szCs w:val="16"/>
        </w:rPr>
        <w:t>OECD</w:t>
      </w:r>
      <w:r w:rsidR="00753675">
        <w:rPr>
          <w:sz w:val="16"/>
          <w:szCs w:val="16"/>
        </w:rPr>
        <w:t>.</w:t>
      </w:r>
      <w:r w:rsidR="00753675" w:rsidRPr="00753675">
        <w:rPr>
          <w:sz w:val="16"/>
          <w:szCs w:val="16"/>
        </w:rPr>
        <w:t xml:space="preserve"> (2023), Adolescent Education and Pre-Employment Interventions in Australia: Keeping Young People in Education,</w:t>
      </w:r>
    </w:p>
    <w:p w14:paraId="5CAB0C6B" w14:textId="6246AC50" w:rsidR="00D26DC7" w:rsidRPr="009C7C93" w:rsidRDefault="00753675" w:rsidP="00D26DC7">
      <w:pPr>
        <w:pStyle w:val="FootnoteText"/>
        <w:rPr>
          <w:sz w:val="16"/>
          <w:szCs w:val="16"/>
          <w:lang w:val="en-US"/>
        </w:rPr>
      </w:pPr>
      <w:r w:rsidRPr="00753675">
        <w:rPr>
          <w:sz w:val="16"/>
          <w:szCs w:val="16"/>
        </w:rPr>
        <w:t>Employment and Training, OECD Publishing, Paris, https://doi.org/10.1787/7bf19171-en.</w:t>
      </w:r>
    </w:p>
  </w:footnote>
  <w:footnote w:id="103">
    <w:p w14:paraId="29085AE3" w14:textId="233B2943"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w:t>
      </w:r>
      <w:r w:rsidR="00164481" w:rsidRPr="00164481">
        <w:rPr>
          <w:sz w:val="16"/>
          <w:szCs w:val="16"/>
        </w:rPr>
        <w:t>Donaldson, C., Moore, G., &amp; Hawkins, J. (2023). A systematic review of school transition interventions to improve mental health and wellbeing outcomes in children and young people. School Mental Health, 15(1), 19-35.</w:t>
      </w:r>
    </w:p>
  </w:footnote>
  <w:footnote w:id="104">
    <w:p w14:paraId="40936D2A" w14:textId="14812D41" w:rsidR="00D26DC7" w:rsidRPr="00E033E6" w:rsidRDefault="00D26DC7" w:rsidP="00D26DC7">
      <w:pPr>
        <w:pStyle w:val="FootnoteText"/>
        <w:rPr>
          <w:lang w:val="en-US"/>
        </w:rPr>
      </w:pPr>
      <w:r w:rsidRPr="009C7C93">
        <w:rPr>
          <w:rStyle w:val="FootnoteReference"/>
          <w:sz w:val="16"/>
          <w:szCs w:val="16"/>
        </w:rPr>
        <w:footnoteRef/>
      </w:r>
      <w:r w:rsidRPr="009C7C93">
        <w:rPr>
          <w:sz w:val="16"/>
          <w:szCs w:val="16"/>
        </w:rPr>
        <w:t xml:space="preserve"> </w:t>
      </w:r>
      <w:r w:rsidR="00365F61" w:rsidRPr="00365F61">
        <w:rPr>
          <w:sz w:val="16"/>
          <w:szCs w:val="16"/>
        </w:rPr>
        <w:t>Stea TH, Bertelsen TB, Fegran L, Sejersted E, Kleppang AL, et al. (2024) Interventions targeting young people not in employment, education or training (NEET) for increased likelihood of return to school or employment—A systematic review. PLOS ONE 19(6): e0306285. https://doi.org/10.1371/journal.pone.0306285</w:t>
      </w:r>
    </w:p>
  </w:footnote>
  <w:footnote w:id="105">
    <w:p w14:paraId="72CFAEA9"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Kregel, J., et al. “A Comprehensive Review of Evidence-Based Employment Practices for Youth and Adults with Intellectual and Other Developmental Disabilities: Final report.” (2020). Rehabilitation Research and Training Center at Virginia Commonwealth University in Richmond, Virginia and Centre for Disability Studies, affiliated with the University of Sydney, Australia</w:t>
      </w:r>
    </w:p>
  </w:footnote>
  <w:footnote w:id="106">
    <w:p w14:paraId="246C7166"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Kavanagh, A., et al. "b, Evidence review: Strategies to increase employment and economic participation for people with a cognitive disability." (2021), p 2, 22. </w:t>
      </w:r>
      <w:hyperlink r:id="rId63" w:history="1">
        <w:r w:rsidRPr="009C7C93">
          <w:rPr>
            <w:rStyle w:val="Hyperlink"/>
            <w:sz w:val="16"/>
            <w:szCs w:val="16"/>
          </w:rPr>
          <w:t>https://apo.org.au/node/319836</w:t>
        </w:r>
      </w:hyperlink>
      <w:r w:rsidRPr="009C7C93">
        <w:rPr>
          <w:sz w:val="16"/>
          <w:szCs w:val="16"/>
        </w:rPr>
        <w:t xml:space="preserve"> </w:t>
      </w:r>
    </w:p>
  </w:footnote>
  <w:footnote w:id="107">
    <w:p w14:paraId="0303372B" w14:textId="6537A3B3"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National Disability Insurance Agency 2021. Interventions to improve social, community &amp; civic participation of adults on the Autism Spectrum or living with Intellectual or Psychosocial Disability, National Disability Insurance Agency, Australian Government. Prepared by MJ Giummarrra, I Randjelovic &amp; L O’Brien.</w:t>
      </w:r>
    </w:p>
  </w:footnote>
  <w:footnote w:id="108">
    <w:p w14:paraId="2D681CA7"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w:t>
      </w:r>
      <w:r w:rsidRPr="009C7C93">
        <w:rPr>
          <w:sz w:val="16"/>
          <w:szCs w:val="16"/>
          <w:lang w:val="en-US"/>
        </w:rPr>
        <w:t xml:space="preserve">Gooding, P., Anderson, J. and McVilly, K., “Disability and social inclusion ‘Down Under’: A systematic literature review.” (2017), p 14-15. </w:t>
      </w:r>
    </w:p>
  </w:footnote>
  <w:footnote w:id="109">
    <w:p w14:paraId="0E1FF6B5" w14:textId="5613FDB4" w:rsidR="00D26DC7" w:rsidRPr="009C7C93" w:rsidRDefault="00D26DC7" w:rsidP="00D26DC7">
      <w:pPr>
        <w:pStyle w:val="FootnoteText"/>
        <w:rPr>
          <w:sz w:val="16"/>
          <w:szCs w:val="16"/>
          <w:lang w:val="en-US"/>
        </w:rPr>
      </w:pPr>
      <w:r w:rsidRPr="009C7C93">
        <w:rPr>
          <w:rStyle w:val="FootnoteReference"/>
          <w:sz w:val="16"/>
          <w:szCs w:val="16"/>
        </w:rPr>
        <w:footnoteRef/>
      </w:r>
      <w:r w:rsidRPr="00365F61">
        <w:rPr>
          <w:sz w:val="16"/>
          <w:szCs w:val="16"/>
        </w:rPr>
        <w:t xml:space="preserve"> </w:t>
      </w:r>
      <w:r w:rsidR="006E615B" w:rsidRPr="006E615B">
        <w:rPr>
          <w:sz w:val="16"/>
          <w:szCs w:val="16"/>
        </w:rPr>
        <w:t xml:space="preserve">Monroe, M. C., &amp; McDonell, L. (2012). Flexible Training Program Builds Capacity for Diverse Challenges. The Journal of Extension, 50(5), Article 4. </w:t>
      </w:r>
      <w:hyperlink r:id="rId64" w:history="1">
        <w:r w:rsidR="006E615B" w:rsidRPr="00DC4EA3">
          <w:rPr>
            <w:rStyle w:val="Hyperlink"/>
            <w:sz w:val="16"/>
            <w:szCs w:val="16"/>
          </w:rPr>
          <w:t>https://doi.org/10.34068/joe.50.05.04</w:t>
        </w:r>
      </w:hyperlink>
      <w:r w:rsidR="006E615B">
        <w:rPr>
          <w:sz w:val="16"/>
          <w:szCs w:val="16"/>
        </w:rPr>
        <w:t xml:space="preserve"> </w:t>
      </w:r>
    </w:p>
  </w:footnote>
  <w:footnote w:id="110">
    <w:p w14:paraId="7B484588" w14:textId="77777777" w:rsidR="00D26DC7" w:rsidRPr="009C7C93" w:rsidRDefault="00D26DC7" w:rsidP="00D26DC7">
      <w:pPr>
        <w:pStyle w:val="FootnoteText"/>
        <w:rPr>
          <w:sz w:val="16"/>
          <w:szCs w:val="16"/>
        </w:rPr>
      </w:pPr>
      <w:r w:rsidRPr="009C7C93">
        <w:rPr>
          <w:rStyle w:val="FootnoteReference"/>
          <w:sz w:val="16"/>
          <w:szCs w:val="16"/>
        </w:rPr>
        <w:footnoteRef/>
      </w:r>
      <w:r w:rsidRPr="009C7C93">
        <w:rPr>
          <w:sz w:val="16"/>
          <w:szCs w:val="16"/>
        </w:rPr>
        <w:t xml:space="preserve"> McKenzie, D. (2017). How effective are active labor market policies in developing countries? a critical</w:t>
      </w:r>
    </w:p>
    <w:p w14:paraId="1EA0730F" w14:textId="77777777" w:rsidR="00D26DC7" w:rsidRPr="009C7C93" w:rsidRDefault="00D26DC7" w:rsidP="00D26DC7">
      <w:pPr>
        <w:pStyle w:val="FootnoteText"/>
        <w:rPr>
          <w:sz w:val="16"/>
          <w:szCs w:val="16"/>
        </w:rPr>
      </w:pPr>
      <w:r w:rsidRPr="009C7C93">
        <w:rPr>
          <w:sz w:val="16"/>
          <w:szCs w:val="16"/>
        </w:rPr>
        <w:t xml:space="preserve">review of recent evidence. The World Bank Research Observer, 32(2):127–154; Omidakhsha, Negar, et al. "Changes in women’s economic participation after the implementation of national and subnational policies: a global systematic review."n.d. </w:t>
      </w:r>
      <w:hyperlink r:id="rId65" w:history="1">
        <w:r w:rsidRPr="009C7C93">
          <w:rPr>
            <w:rStyle w:val="Hyperlink"/>
            <w:sz w:val="16"/>
            <w:szCs w:val="16"/>
          </w:rPr>
          <w:t>https://www.worldpolicycenter.org/sites/default/files/2022-07/Women_Economic_Participation_Systematic_Review.pdf</w:t>
        </w:r>
      </w:hyperlink>
      <w:r w:rsidRPr="009C7C93">
        <w:rPr>
          <w:sz w:val="16"/>
          <w:szCs w:val="16"/>
        </w:rPr>
        <w:t xml:space="preserve">; Peterman, Amber, et al. "Social safety nets, women’s economic achievements and agency." Centre for Global Development, n.d., </w:t>
      </w:r>
      <w:hyperlink r:id="rId66" w:history="1">
        <w:r w:rsidRPr="009C7C93">
          <w:rPr>
            <w:rStyle w:val="Hyperlink"/>
            <w:sz w:val="16"/>
            <w:szCs w:val="16"/>
          </w:rPr>
          <w:t>Social Safety Nets, Women’s Economic Achievements and Agency: A Systematic Review and Meta-Analysis</w:t>
        </w:r>
      </w:hyperlink>
    </w:p>
  </w:footnote>
  <w:footnote w:id="111">
    <w:p w14:paraId="0C6ADBA5" w14:textId="75633013" w:rsidR="00D26DC7" w:rsidRPr="00365F61" w:rsidRDefault="00D26DC7" w:rsidP="00D26DC7">
      <w:pPr>
        <w:pStyle w:val="FootnoteText"/>
        <w:rPr>
          <w:sz w:val="16"/>
          <w:szCs w:val="16"/>
          <w:lang w:val="en-US"/>
        </w:rPr>
      </w:pPr>
      <w:r w:rsidRPr="009C7C93">
        <w:rPr>
          <w:rStyle w:val="FootnoteReference"/>
          <w:sz w:val="16"/>
          <w:szCs w:val="16"/>
        </w:rPr>
        <w:footnoteRef/>
      </w:r>
      <w:r w:rsidRPr="00365F61">
        <w:rPr>
          <w:sz w:val="16"/>
          <w:szCs w:val="16"/>
        </w:rPr>
        <w:t xml:space="preserve"> </w:t>
      </w:r>
      <w:r w:rsidR="003D1514" w:rsidRPr="003D1514">
        <w:rPr>
          <w:sz w:val="16"/>
          <w:szCs w:val="16"/>
        </w:rPr>
        <w:t>Ieva, G., &amp; Andrius, J. (2024). Women in transport: Systematic literature review of mobility barriers to women's employment. International Journal of Employment Studies, 32(2), 48-72.</w:t>
      </w:r>
    </w:p>
  </w:footnote>
  <w:footnote w:id="112">
    <w:p w14:paraId="7A791092"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5921FA">
        <w:rPr>
          <w:sz w:val="16"/>
          <w:szCs w:val="16"/>
          <w:lang w:val="it-IT"/>
        </w:rPr>
        <w:t xml:space="preserve"> Díaz-Martin, Lucía, et al. </w:t>
      </w:r>
      <w:r w:rsidRPr="009C7C93">
        <w:rPr>
          <w:sz w:val="16"/>
          <w:szCs w:val="16"/>
        </w:rPr>
        <w:t xml:space="preserve">"Greater than the sum of the parts? Evidence on mechanisms operating in women's groups." The World Bank Research Observer 38.1 (2023): 1-35. </w:t>
      </w:r>
      <w:hyperlink r:id="rId67" w:history="1">
        <w:r w:rsidRPr="009C7C93">
          <w:rPr>
            <w:rStyle w:val="Hyperlink"/>
            <w:sz w:val="16"/>
            <w:szCs w:val="16"/>
          </w:rPr>
          <w:t>https://doi.org/10.1093/wbro/lkac001</w:t>
        </w:r>
      </w:hyperlink>
      <w:r w:rsidRPr="009C7C93">
        <w:rPr>
          <w:sz w:val="16"/>
          <w:szCs w:val="16"/>
        </w:rPr>
        <w:t xml:space="preserve">; Brody, C., Hoop, T. de, Vojtkova, M., Warnock, R., Dunbar, M., Murthy, P., &amp; Dworkin, S. L. (2017). Can self-help group programs improve women’s empowerment? A systematic review. Journal of Development Effectiveness, 9(1), 15–40. </w:t>
      </w:r>
      <w:hyperlink r:id="rId68" w:history="1">
        <w:r w:rsidRPr="009C7C93">
          <w:rPr>
            <w:rStyle w:val="Hyperlink"/>
            <w:sz w:val="16"/>
            <w:szCs w:val="16"/>
          </w:rPr>
          <w:t>https://doi.org/10.1080/19439342.2016.1206607</w:t>
        </w:r>
      </w:hyperlink>
      <w:r w:rsidRPr="009C7C93">
        <w:rPr>
          <w:sz w:val="16"/>
          <w:szCs w:val="16"/>
        </w:rPr>
        <w:t>; Gaston MH, Porter GK, Thomas VG. Prime Time Sister</w:t>
      </w:r>
      <w:r w:rsidRPr="00365F61">
        <w:rPr>
          <w:sz w:val="16"/>
          <w:szCs w:val="16"/>
        </w:rPr>
        <w:t xml:space="preserve"> </w:t>
      </w:r>
      <w:r w:rsidRPr="009C7C93">
        <w:rPr>
          <w:sz w:val="16"/>
          <w:szCs w:val="16"/>
        </w:rPr>
        <w:t xml:space="preserve">Circles: evaluating a gender-specific, culturally relevant health intervention to decrease major risk factors in mid-life African-American women. J Natl Med Assoc. 2007 Apr;99(4):428-38 </w:t>
      </w:r>
      <w:hyperlink r:id="rId69" w:history="1">
        <w:r w:rsidRPr="009C7C93">
          <w:rPr>
            <w:rStyle w:val="Hyperlink"/>
            <w:sz w:val="16"/>
            <w:szCs w:val="16"/>
          </w:rPr>
          <w:t>https://pubmed.ncbi.nlm.nih.gov/17444433/</w:t>
        </w:r>
      </w:hyperlink>
      <w:r w:rsidRPr="009C7C93">
        <w:rPr>
          <w:sz w:val="16"/>
          <w:szCs w:val="16"/>
        </w:rPr>
        <w:t>; Canuto K, et al. How and why do women's groups (WGs) improve the quality of maternal and child health (MCH) care? A systematic review of the literature. BMJ Open. 2022 Feb 21;12(2):e055756. doi: 10.1136/bmjopen-2021-055756. PMID: 35190438; PMCID: PMC8862452.</w:t>
      </w:r>
    </w:p>
  </w:footnote>
  <w:footnote w:id="113">
    <w:p w14:paraId="117DA3C2" w14:textId="77777777" w:rsidR="00D26DC7" w:rsidRPr="009C7C93" w:rsidRDefault="00D26DC7" w:rsidP="00D26DC7">
      <w:pPr>
        <w:pStyle w:val="FootnoteText"/>
        <w:rPr>
          <w:sz w:val="16"/>
          <w:szCs w:val="16"/>
        </w:rPr>
      </w:pPr>
      <w:r w:rsidRPr="009C7C93">
        <w:rPr>
          <w:rStyle w:val="FootnoteReference"/>
          <w:sz w:val="16"/>
          <w:szCs w:val="16"/>
        </w:rPr>
        <w:footnoteRef/>
      </w:r>
      <w:r w:rsidRPr="009C7C93">
        <w:rPr>
          <w:sz w:val="16"/>
          <w:szCs w:val="16"/>
        </w:rPr>
        <w:t xml:space="preserve"> Ziersch A, Due C, Howe J, Walsh M, Miller E &amp; Flavel J. (2022). Pathways to </w:t>
      </w:r>
    </w:p>
    <w:p w14:paraId="1C00008D" w14:textId="77777777" w:rsidR="00D26DC7" w:rsidRPr="009C7C93" w:rsidRDefault="00D26DC7" w:rsidP="00D26DC7">
      <w:pPr>
        <w:pStyle w:val="FootnoteText"/>
        <w:rPr>
          <w:sz w:val="16"/>
          <w:szCs w:val="16"/>
        </w:rPr>
      </w:pPr>
      <w:r w:rsidRPr="009C7C93">
        <w:rPr>
          <w:sz w:val="16"/>
          <w:szCs w:val="16"/>
        </w:rPr>
        <w:t xml:space="preserve">employment for social inclusion, health and wellbeing for women from refugee backgrounds. </w:t>
      </w:r>
    </w:p>
    <w:p w14:paraId="4721E81B" w14:textId="77777777" w:rsidR="00D26DC7" w:rsidRPr="009C7C93" w:rsidRDefault="00D26DC7" w:rsidP="00D26DC7">
      <w:pPr>
        <w:pStyle w:val="FootnoteText"/>
        <w:rPr>
          <w:sz w:val="16"/>
          <w:szCs w:val="16"/>
          <w:lang w:val="en-US"/>
        </w:rPr>
      </w:pPr>
      <w:r w:rsidRPr="009C7C93">
        <w:rPr>
          <w:sz w:val="16"/>
          <w:szCs w:val="16"/>
        </w:rPr>
        <w:t xml:space="preserve">Flinders University, Adelaide, p 9, 55. </w:t>
      </w:r>
      <w:hyperlink r:id="rId70" w:history="1">
        <w:r w:rsidRPr="009C7C93">
          <w:rPr>
            <w:rStyle w:val="Hyperlink"/>
            <w:sz w:val="16"/>
            <w:szCs w:val="16"/>
          </w:rPr>
          <w:t>https://mrhresearchgroup.com.au/wp-content/uploads/2022/06/Public-Report_Pathways-to-Employment-for-Social-Inclusion-Health-Wellbeing-for-Women-from-Refugee-Backgrounds_2022.pdf</w:t>
        </w:r>
      </w:hyperlink>
      <w:r w:rsidRPr="009C7C93">
        <w:rPr>
          <w:sz w:val="16"/>
          <w:szCs w:val="16"/>
        </w:rPr>
        <w:t xml:space="preserve"> </w:t>
      </w:r>
    </w:p>
  </w:footnote>
  <w:footnote w:id="114">
    <w:p w14:paraId="7AD22733"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Note: longer programs were defined as ‘more than a year’ but dose and contact hours were not available. Yeyati, Eduardo Levy, et al. "What Works for Active Labor Market Policies? A Meta-Analysis of RCT Findings." Economía LACEA Journal 24.1 (2025). </w:t>
      </w:r>
      <w:hyperlink r:id="rId71" w:history="1">
        <w:r w:rsidRPr="009C7C93">
          <w:rPr>
            <w:rStyle w:val="Hyperlink"/>
            <w:sz w:val="16"/>
            <w:szCs w:val="16"/>
          </w:rPr>
          <w:t>https://economia.lse.ac.uk/articles/10.31389/eco.450</w:t>
        </w:r>
      </w:hyperlink>
      <w:r w:rsidRPr="009C7C93">
        <w:rPr>
          <w:sz w:val="16"/>
          <w:szCs w:val="16"/>
        </w:rPr>
        <w:t xml:space="preserve"> </w:t>
      </w:r>
    </w:p>
  </w:footnote>
  <w:footnote w:id="115">
    <w:p w14:paraId="6B36D619"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Cross, Suzanne L. "Long term unemployed: barriers and approaches to optimise return to work outcomes."(2021), p 3, 12. </w:t>
      </w:r>
      <w:hyperlink r:id="rId72" w:history="1">
        <w:r w:rsidRPr="009C7C93">
          <w:rPr>
            <w:rStyle w:val="Hyperlink"/>
            <w:sz w:val="16"/>
            <w:szCs w:val="16"/>
          </w:rPr>
          <w:t>https://www.atworkaustralia.com.au/wp-content/uploads/2021/08/atWork-Australia-LTU-Barriers-and-strategies-Final.pdf</w:t>
        </w:r>
      </w:hyperlink>
      <w:r w:rsidRPr="009C7C93">
        <w:rPr>
          <w:sz w:val="16"/>
          <w:szCs w:val="16"/>
        </w:rPr>
        <w:t xml:space="preserve"> </w:t>
      </w:r>
    </w:p>
  </w:footnote>
  <w:footnote w:id="116">
    <w:p w14:paraId="31C05F9D" w14:textId="77777777" w:rsidR="00D26DC7" w:rsidRPr="009C7C93" w:rsidRDefault="00D26DC7" w:rsidP="00D26DC7">
      <w:pPr>
        <w:pStyle w:val="FootnoteText"/>
        <w:rPr>
          <w:sz w:val="16"/>
          <w:szCs w:val="16"/>
          <w:lang w:val="en-US"/>
        </w:rPr>
      </w:pPr>
      <w:r w:rsidRPr="009C7C93">
        <w:rPr>
          <w:rStyle w:val="FootnoteReference"/>
          <w:sz w:val="16"/>
          <w:szCs w:val="16"/>
        </w:rPr>
        <w:footnoteRef/>
      </w:r>
      <w:r w:rsidRPr="009C7C93">
        <w:rPr>
          <w:sz w:val="16"/>
          <w:szCs w:val="16"/>
        </w:rPr>
        <w:t xml:space="preserve"> Cross, Suzanne L. "Long term unemployed: barriers and approaches to optimise return to work outcomes."(2021), p 4, 5, 7. </w:t>
      </w:r>
      <w:hyperlink r:id="rId73" w:history="1">
        <w:r w:rsidRPr="009C7C93">
          <w:rPr>
            <w:rStyle w:val="Hyperlink"/>
            <w:sz w:val="16"/>
            <w:szCs w:val="16"/>
          </w:rPr>
          <w:t>https://www.atworkaustralia.com.au/wp-content/uploads/2021/08/atWork-Australia-LTU-Barriers-and-strategies-Final.pdf</w:t>
        </w:r>
      </w:hyperlink>
      <w:r w:rsidRPr="009C7C93">
        <w:rPr>
          <w:sz w:val="16"/>
          <w:szCs w:val="16"/>
        </w:rPr>
        <w:t xml:space="preserve"> </w:t>
      </w:r>
    </w:p>
  </w:footnote>
  <w:footnote w:id="117">
    <w:p w14:paraId="3C20DE7B" w14:textId="7CD5234E" w:rsidR="00D26DC7" w:rsidRPr="00702A1F" w:rsidRDefault="00D26DC7" w:rsidP="00D26DC7">
      <w:pPr>
        <w:pStyle w:val="FootnoteText"/>
        <w:rPr>
          <w:lang w:val="en-US"/>
        </w:rPr>
      </w:pPr>
      <w:r w:rsidRPr="009C7C93">
        <w:rPr>
          <w:rStyle w:val="FootnoteReference"/>
          <w:sz w:val="16"/>
          <w:szCs w:val="16"/>
        </w:rPr>
        <w:footnoteRef/>
      </w:r>
      <w:r w:rsidRPr="009C7C93">
        <w:rPr>
          <w:sz w:val="16"/>
          <w:szCs w:val="16"/>
        </w:rPr>
        <w:t xml:space="preserve"> </w:t>
      </w:r>
      <w:r w:rsidR="003A4D5B" w:rsidRPr="009C7C93">
        <w:rPr>
          <w:sz w:val="16"/>
          <w:szCs w:val="16"/>
        </w:rPr>
        <w:t xml:space="preserve">Cross, Suzanne L. "Long term unemployed: barriers and approaches to optimise return to work outcomes."(2021), p 4, 5, 7. </w:t>
      </w:r>
      <w:hyperlink r:id="rId74" w:history="1">
        <w:r w:rsidR="003A4D5B" w:rsidRPr="009C7C93">
          <w:rPr>
            <w:rStyle w:val="Hyperlink"/>
            <w:sz w:val="16"/>
            <w:szCs w:val="16"/>
          </w:rPr>
          <w:t>https://www.atworkaustralia.com.au/wp-content/uploads/2021/08/atWork-Australia-LTU-Barriers-and-strategies-Final.pdf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9688" w14:textId="77777777" w:rsidR="0049607F" w:rsidRDefault="0049607F">
    <w:pPr>
      <w:pStyle w:val="Header"/>
    </w:pPr>
    <w:r>
      <w:rPr>
        <w:noProof/>
        <w:sz w:val="20"/>
        <w:szCs w:val="20"/>
        <w:lang w:eastAsia="en-AU"/>
      </w:rPr>
      <w:drawing>
        <wp:anchor distT="0" distB="0" distL="114300" distR="114300" simplePos="0" relativeHeight="251658241" behindDoc="0" locked="0" layoutInCell="1" allowOverlap="1" wp14:anchorId="232CB9D5" wp14:editId="32EA2608">
          <wp:simplePos x="0" y="0"/>
          <wp:positionH relativeFrom="page">
            <wp:posOffset>3337</wp:posOffset>
          </wp:positionH>
          <wp:positionV relativeFrom="page">
            <wp:posOffset>-6985</wp:posOffset>
          </wp:positionV>
          <wp:extent cx="7559749" cy="116958"/>
          <wp:effectExtent l="0" t="0" r="0" b="0"/>
          <wp:wrapNone/>
          <wp:docPr id="20428242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282425" name="Picture 6">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761F" w14:textId="77777777" w:rsidR="0049607F" w:rsidRDefault="0049607F">
    <w:pPr>
      <w:pStyle w:val="Header"/>
      <w:tabs>
        <w:tab w:val="clear" w:pos="4513"/>
        <w:tab w:val="clear" w:pos="9026"/>
        <w:tab w:val="left" w:pos="1758"/>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5125" w14:textId="77777777" w:rsidR="00FD1812" w:rsidRPr="001B6D21" w:rsidRDefault="00FD1812">
    <w:r w:rsidRPr="001B6D21">
      <w:rPr>
        <w:noProof/>
        <w:sz w:val="20"/>
        <w:szCs w:val="20"/>
        <w:lang w:eastAsia="en-AU"/>
      </w:rPr>
      <w:drawing>
        <wp:anchor distT="0" distB="0" distL="114300" distR="114300" simplePos="0" relativeHeight="251658240" behindDoc="0" locked="0" layoutInCell="1" allowOverlap="1" wp14:anchorId="15A25C6D" wp14:editId="68183C67">
          <wp:simplePos x="0" y="0"/>
          <wp:positionH relativeFrom="page">
            <wp:align>center</wp:align>
          </wp:positionH>
          <wp:positionV relativeFrom="page">
            <wp:posOffset>0</wp:posOffset>
          </wp:positionV>
          <wp:extent cx="10692000" cy="11520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1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AEBA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A64B5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F8C7E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F4C6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7D848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FE7C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A1C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BECA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A465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384D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007B8F"/>
    <w:multiLevelType w:val="multilevel"/>
    <w:tmpl w:val="9CD6342C"/>
    <w:lvl w:ilvl="0">
      <w:start w:val="1"/>
      <w:numFmt w:val="decimal"/>
      <w:pStyle w:val="TableexpListnumbered"/>
      <w:lvlText w:val="%1."/>
      <w:lvlJc w:val="left"/>
      <w:pPr>
        <w:ind w:left="227" w:hanging="227"/>
      </w:pPr>
      <w:rPr>
        <w:rFonts w:ascii="Segoe UI" w:hAnsi="Segoe UI" w:hint="default"/>
        <w:b w:val="0"/>
        <w:i w:val="0"/>
        <w:sz w:val="16"/>
      </w:rPr>
    </w:lvl>
    <w:lvl w:ilvl="1">
      <w:start w:val="1"/>
      <w:numFmt w:val="lowerLetter"/>
      <w:lvlText w:val="%2."/>
      <w:lvlJc w:val="left"/>
      <w:pPr>
        <w:ind w:left="454" w:hanging="227"/>
      </w:pPr>
      <w:rPr>
        <w:rFonts w:ascii="Segoe UI" w:hAnsi="Segoe UI" w:hint="default"/>
        <w:sz w:val="16"/>
      </w:rPr>
    </w:lvl>
    <w:lvl w:ilvl="2">
      <w:start w:val="1"/>
      <w:numFmt w:val="lowerRoman"/>
      <w:lvlText w:val="%3."/>
      <w:lvlJc w:val="left"/>
      <w:pPr>
        <w:ind w:left="680" w:hanging="226"/>
      </w:pPr>
      <w:rPr>
        <w:rFonts w:ascii="Segoe UI" w:hAnsi="Segoe UI" w:hint="default"/>
        <w:sz w:val="16"/>
      </w:rPr>
    </w:lvl>
    <w:lvl w:ilvl="3">
      <w:start w:val="1"/>
      <w:numFmt w:val="decimal"/>
      <w:lvlText w:val="%4."/>
      <w:lvlJc w:val="left"/>
      <w:pPr>
        <w:ind w:left="5180" w:hanging="360"/>
      </w:pPr>
      <w:rPr>
        <w:rFonts w:hint="default"/>
      </w:rPr>
    </w:lvl>
    <w:lvl w:ilvl="4">
      <w:start w:val="1"/>
      <w:numFmt w:val="lowerLetter"/>
      <w:lvlText w:val="%5."/>
      <w:lvlJc w:val="left"/>
      <w:pPr>
        <w:ind w:left="5900" w:hanging="360"/>
      </w:pPr>
      <w:rPr>
        <w:rFonts w:hint="default"/>
      </w:rPr>
    </w:lvl>
    <w:lvl w:ilvl="5">
      <w:start w:val="1"/>
      <w:numFmt w:val="lowerRoman"/>
      <w:lvlText w:val="%6."/>
      <w:lvlJc w:val="right"/>
      <w:pPr>
        <w:ind w:left="6620" w:hanging="180"/>
      </w:pPr>
      <w:rPr>
        <w:rFonts w:hint="default"/>
      </w:rPr>
    </w:lvl>
    <w:lvl w:ilvl="6">
      <w:start w:val="1"/>
      <w:numFmt w:val="decimal"/>
      <w:lvlText w:val="%7."/>
      <w:lvlJc w:val="left"/>
      <w:pPr>
        <w:ind w:left="7340" w:hanging="360"/>
      </w:pPr>
      <w:rPr>
        <w:rFonts w:hint="default"/>
      </w:rPr>
    </w:lvl>
    <w:lvl w:ilvl="7">
      <w:start w:val="1"/>
      <w:numFmt w:val="lowerLetter"/>
      <w:lvlText w:val="%8."/>
      <w:lvlJc w:val="left"/>
      <w:pPr>
        <w:ind w:left="8060" w:hanging="360"/>
      </w:pPr>
      <w:rPr>
        <w:rFonts w:hint="default"/>
      </w:rPr>
    </w:lvl>
    <w:lvl w:ilvl="8">
      <w:start w:val="1"/>
      <w:numFmt w:val="lowerRoman"/>
      <w:lvlText w:val="%9."/>
      <w:lvlJc w:val="right"/>
      <w:pPr>
        <w:ind w:left="8780" w:hanging="180"/>
      </w:pPr>
      <w:rPr>
        <w:rFonts w:hint="default"/>
      </w:rPr>
    </w:lvl>
  </w:abstractNum>
  <w:abstractNum w:abstractNumId="11" w15:restartNumberingAfterBreak="0">
    <w:nsid w:val="089A31A2"/>
    <w:multiLevelType w:val="multilevel"/>
    <w:tmpl w:val="683663CC"/>
    <w:lvl w:ilvl="0">
      <w:start w:val="1"/>
      <w:numFmt w:val="decimal"/>
      <w:pStyle w:val="Heading1"/>
      <w:lvlText w:val="%1"/>
      <w:lvlJc w:val="left"/>
      <w:pPr>
        <w:ind w:left="360" w:hanging="360"/>
      </w:pPr>
      <w:rPr>
        <w:rFonts w:ascii="Segoe UI" w:hAnsi="Segoe UI" w:hint="default"/>
        <w:b/>
        <w:i w:val="0"/>
        <w:sz w:val="36"/>
        <w:szCs w:val="96"/>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1EE0F12"/>
    <w:multiLevelType w:val="multilevel"/>
    <w:tmpl w:val="A40495DC"/>
    <w:lvl w:ilvl="0">
      <w:start w:val="1"/>
      <w:numFmt w:val="decimal"/>
      <w:lvlText w:val="%1."/>
      <w:lvlJc w:val="left"/>
      <w:pPr>
        <w:ind w:left="227" w:hanging="227"/>
      </w:pPr>
      <w:rPr>
        <w:rFonts w:ascii="Segoe UI" w:hAnsi="Segoe UI" w:hint="default"/>
        <w:b w:val="0"/>
        <w:i w:val="0"/>
        <w:sz w:val="17"/>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30E2EF9"/>
    <w:multiLevelType w:val="hybridMultilevel"/>
    <w:tmpl w:val="A132758A"/>
    <w:lvl w:ilvl="0" w:tplc="D408B966">
      <w:start w:val="1"/>
      <w:numFmt w:val="bullet"/>
      <w:pStyle w:val="TableExp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625D8B"/>
    <w:multiLevelType w:val="multilevel"/>
    <w:tmpl w:val="A40495DC"/>
    <w:lvl w:ilvl="0">
      <w:start w:val="1"/>
      <w:numFmt w:val="decimal"/>
      <w:lvlText w:val="%1."/>
      <w:lvlJc w:val="left"/>
      <w:pPr>
        <w:ind w:left="227" w:hanging="227"/>
      </w:pPr>
      <w:rPr>
        <w:rFonts w:ascii="Segoe UI" w:hAnsi="Segoe UI" w:hint="default"/>
        <w:b w:val="0"/>
        <w:i w:val="0"/>
        <w:sz w:val="17"/>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8AD5649"/>
    <w:multiLevelType w:val="multilevel"/>
    <w:tmpl w:val="F14A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A13D2D"/>
    <w:multiLevelType w:val="multilevel"/>
    <w:tmpl w:val="5D20E8DE"/>
    <w:lvl w:ilvl="0">
      <w:start w:val="1"/>
      <w:numFmt w:val="decimal"/>
      <w:pStyle w:val="Listnumbered"/>
      <w:lvlText w:val="%1."/>
      <w:lvlJc w:val="left"/>
      <w:pPr>
        <w:ind w:left="340" w:hanging="340"/>
      </w:pPr>
      <w:rPr>
        <w:rFonts w:asciiTheme="minorHAnsi" w:hAnsiTheme="minorHAnsi" w:cstheme="minorHAnsi" w:hint="default"/>
        <w:b w:val="0"/>
        <w:i w:val="0"/>
        <w:sz w:val="19"/>
      </w:rPr>
    </w:lvl>
    <w:lvl w:ilvl="1">
      <w:start w:val="1"/>
      <w:numFmt w:val="lowerLetter"/>
      <w:lvlText w:val="%2."/>
      <w:lvlJc w:val="left"/>
      <w:pPr>
        <w:ind w:left="680" w:hanging="340"/>
      </w:pPr>
      <w:rPr>
        <w:rFonts w:ascii="Segoe UI" w:hAnsi="Segoe UI" w:hint="default"/>
        <w:sz w:val="20"/>
      </w:rPr>
    </w:lvl>
    <w:lvl w:ilvl="2">
      <w:start w:val="1"/>
      <w:numFmt w:val="lowerRoman"/>
      <w:lvlText w:val="%3."/>
      <w:lvlJc w:val="left"/>
      <w:pPr>
        <w:ind w:left="1021" w:hanging="341"/>
      </w:pPr>
      <w:rPr>
        <w:rFonts w:ascii="Segoe UI" w:hAnsi="Segoe UI" w:hint="default"/>
        <w:sz w:val="19"/>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7" w15:restartNumberingAfterBreak="0">
    <w:nsid w:val="39D1413D"/>
    <w:multiLevelType w:val="multilevel"/>
    <w:tmpl w:val="202ED028"/>
    <w:lvl w:ilvl="0">
      <w:start w:val="1"/>
      <w:numFmt w:val="bullet"/>
      <w:pStyle w:val="TableNBullet"/>
      <w:lvlText w:val=""/>
      <w:lvlJc w:val="left"/>
      <w:pPr>
        <w:ind w:left="360" w:hanging="360"/>
      </w:pPr>
      <w:rPr>
        <w:rFonts w:ascii="Symbol" w:hAnsi="Symbol" w:hint="default"/>
      </w:rPr>
    </w:lvl>
    <w:lvl w:ilvl="1">
      <w:start w:val="1"/>
      <w:numFmt w:val="bullet"/>
      <w:lvlText w:val=""/>
      <w:lvlJc w:val="left"/>
      <w:pPr>
        <w:ind w:left="510" w:hanging="226"/>
      </w:pPr>
      <w:rPr>
        <w:rFonts w:ascii="Symbol" w:hAnsi="Symbol" w:hint="default"/>
        <w:color w:val="auto"/>
        <w:position w:val="4"/>
        <w:sz w:val="16"/>
      </w:rPr>
    </w:lvl>
    <w:lvl w:ilvl="2">
      <w:start w:val="1"/>
      <w:numFmt w:val="bullet"/>
      <w:lvlText w:val=""/>
      <w:lvlJc w:val="left"/>
      <w:pPr>
        <w:ind w:left="794" w:hanging="227"/>
      </w:pPr>
      <w:rPr>
        <w:rFonts w:ascii="Symbol" w:hAnsi="Symbol" w:hint="default"/>
        <w:color w:val="auto"/>
        <w:position w:val="4"/>
        <w:sz w:val="16"/>
      </w:rPr>
    </w:lvl>
    <w:lvl w:ilvl="3">
      <w:start w:val="1"/>
      <w:numFmt w:val="bullet"/>
      <w:lvlText w:val=""/>
      <w:lvlJc w:val="left"/>
      <w:pPr>
        <w:ind w:left="680" w:hanging="170"/>
      </w:pPr>
      <w:rPr>
        <w:rFonts w:ascii="Wingdings 2" w:hAnsi="Wingdings 2" w:hint="default"/>
        <w:color w:val="404040" w:themeColor="text1" w:themeTint="BF"/>
        <w:position w:val="4"/>
        <w:sz w:val="10"/>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8" w15:restartNumberingAfterBreak="0">
    <w:nsid w:val="3DB346C1"/>
    <w:multiLevelType w:val="hybridMultilevel"/>
    <w:tmpl w:val="7D603416"/>
    <w:styleLink w:val="Listnumberedmultilevel"/>
    <w:lvl w:ilvl="0" w:tplc="A4168DB6">
      <w:start w:val="1"/>
      <w:numFmt w:val="bullet"/>
      <w:lvlText w:val=""/>
      <w:lvlJc w:val="left"/>
      <w:pPr>
        <w:ind w:left="1080" w:hanging="360"/>
      </w:pPr>
      <w:rPr>
        <w:rFonts w:ascii="Symbol" w:hAnsi="Symbol"/>
      </w:rPr>
    </w:lvl>
    <w:lvl w:ilvl="1" w:tplc="0D607B6E">
      <w:start w:val="1"/>
      <w:numFmt w:val="bullet"/>
      <w:lvlText w:val=""/>
      <w:lvlJc w:val="left"/>
      <w:pPr>
        <w:ind w:left="1080" w:hanging="360"/>
      </w:pPr>
      <w:rPr>
        <w:rFonts w:ascii="Symbol" w:hAnsi="Symbol"/>
      </w:rPr>
    </w:lvl>
    <w:lvl w:ilvl="2" w:tplc="C4B878D4">
      <w:start w:val="1"/>
      <w:numFmt w:val="bullet"/>
      <w:lvlText w:val=""/>
      <w:lvlJc w:val="left"/>
      <w:pPr>
        <w:ind w:left="1080" w:hanging="360"/>
      </w:pPr>
      <w:rPr>
        <w:rFonts w:ascii="Symbol" w:hAnsi="Symbol"/>
      </w:rPr>
    </w:lvl>
    <w:lvl w:ilvl="3" w:tplc="BBC06E7E">
      <w:start w:val="1"/>
      <w:numFmt w:val="bullet"/>
      <w:lvlText w:val=""/>
      <w:lvlJc w:val="left"/>
      <w:pPr>
        <w:ind w:left="1080" w:hanging="360"/>
      </w:pPr>
      <w:rPr>
        <w:rFonts w:ascii="Symbol" w:hAnsi="Symbol"/>
      </w:rPr>
    </w:lvl>
    <w:lvl w:ilvl="4" w:tplc="5A944EBC">
      <w:start w:val="1"/>
      <w:numFmt w:val="bullet"/>
      <w:lvlText w:val=""/>
      <w:lvlJc w:val="left"/>
      <w:pPr>
        <w:ind w:left="1080" w:hanging="360"/>
      </w:pPr>
      <w:rPr>
        <w:rFonts w:ascii="Symbol" w:hAnsi="Symbol"/>
      </w:rPr>
    </w:lvl>
    <w:lvl w:ilvl="5" w:tplc="DFA20CC0">
      <w:start w:val="1"/>
      <w:numFmt w:val="bullet"/>
      <w:lvlText w:val=""/>
      <w:lvlJc w:val="left"/>
      <w:pPr>
        <w:ind w:left="1080" w:hanging="360"/>
      </w:pPr>
      <w:rPr>
        <w:rFonts w:ascii="Symbol" w:hAnsi="Symbol"/>
      </w:rPr>
    </w:lvl>
    <w:lvl w:ilvl="6" w:tplc="6ACECAA0">
      <w:start w:val="1"/>
      <w:numFmt w:val="bullet"/>
      <w:lvlText w:val=""/>
      <w:lvlJc w:val="left"/>
      <w:pPr>
        <w:ind w:left="1080" w:hanging="360"/>
      </w:pPr>
      <w:rPr>
        <w:rFonts w:ascii="Symbol" w:hAnsi="Symbol"/>
      </w:rPr>
    </w:lvl>
    <w:lvl w:ilvl="7" w:tplc="13866334">
      <w:start w:val="1"/>
      <w:numFmt w:val="bullet"/>
      <w:lvlText w:val=""/>
      <w:lvlJc w:val="left"/>
      <w:pPr>
        <w:ind w:left="1080" w:hanging="360"/>
      </w:pPr>
      <w:rPr>
        <w:rFonts w:ascii="Symbol" w:hAnsi="Symbol"/>
      </w:rPr>
    </w:lvl>
    <w:lvl w:ilvl="8" w:tplc="208ACB86">
      <w:start w:val="1"/>
      <w:numFmt w:val="bullet"/>
      <w:lvlText w:val=""/>
      <w:lvlJc w:val="left"/>
      <w:pPr>
        <w:ind w:left="1080" w:hanging="360"/>
      </w:pPr>
      <w:rPr>
        <w:rFonts w:ascii="Symbol" w:hAnsi="Symbol"/>
      </w:rPr>
    </w:lvl>
  </w:abstractNum>
  <w:abstractNum w:abstractNumId="19" w15:restartNumberingAfterBreak="0">
    <w:nsid w:val="428C2FDF"/>
    <w:multiLevelType w:val="hybridMultilevel"/>
    <w:tmpl w:val="F79E27E0"/>
    <w:lvl w:ilvl="0" w:tplc="370EA3D8">
      <w:start w:val="1"/>
      <w:numFmt w:val="bullet"/>
      <w:pStyle w:val="longformcalloutbullet"/>
      <w:lvlText w:val=""/>
      <w:lvlJc w:val="left"/>
      <w:pPr>
        <w:ind w:left="720" w:hanging="360"/>
      </w:pPr>
      <w:rPr>
        <w:rFonts w:ascii="Symbol" w:hAnsi="Symbol" w:hint="default"/>
        <w:color w:val="00264D" w:themeColor="background2"/>
        <w:sz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B30710"/>
    <w:multiLevelType w:val="hybridMultilevel"/>
    <w:tmpl w:val="7DA0F9D0"/>
    <w:lvl w:ilvl="0" w:tplc="50924516">
      <w:start w:val="1"/>
      <w:numFmt w:val="decimal"/>
      <w:pStyle w:val="longformcalloutnumber"/>
      <w:lvlText w:val="%1."/>
      <w:lvlJc w:val="left"/>
      <w:pPr>
        <w:ind w:left="720" w:hanging="360"/>
      </w:pPr>
      <w:rPr>
        <w:rFonts w:hint="default"/>
        <w:b w:val="0"/>
        <w:color w:val="00264D" w:themeColor="background2"/>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B3D2157"/>
    <w:multiLevelType w:val="multilevel"/>
    <w:tmpl w:val="310876F2"/>
    <w:lvl w:ilvl="0">
      <w:start w:val="1"/>
      <w:numFmt w:val="decimal"/>
      <w:pStyle w:val="introductionlist"/>
      <w:lvlText w:val="%1."/>
      <w:lvlJc w:val="left"/>
      <w:pPr>
        <w:ind w:left="357" w:hanging="357"/>
      </w:pPr>
      <w:rPr>
        <w:rFonts w:hint="default"/>
        <w:b w:val="0"/>
      </w:rPr>
    </w:lvl>
    <w:lvl w:ilvl="1">
      <w:start w:val="1"/>
      <w:numFmt w:val="lowerLetter"/>
      <w:lvlText w:val="%2."/>
      <w:lvlJc w:val="left"/>
      <w:pPr>
        <w:ind w:left="720" w:hanging="363"/>
      </w:pPr>
      <w:rPr>
        <w:rFonts w:hint="default"/>
      </w:rPr>
    </w:lvl>
    <w:lvl w:ilvl="2">
      <w:start w:val="1"/>
      <w:numFmt w:val="lowerRoman"/>
      <w:lvlText w:val="%3."/>
      <w:lvlJc w:val="righ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4C55940"/>
    <w:multiLevelType w:val="multilevel"/>
    <w:tmpl w:val="D3261AAA"/>
    <w:lvl w:ilvl="0">
      <w:start w:val="1"/>
      <w:numFmt w:val="bullet"/>
      <w:pStyle w:val="intoductionbullet"/>
      <w:lvlText w:val=""/>
      <w:lvlJc w:val="left"/>
      <w:pPr>
        <w:ind w:left="357" w:hanging="357"/>
      </w:pPr>
      <w:rPr>
        <w:rFonts w:ascii="Symbol" w:hAnsi="Symbol" w:hint="default"/>
        <w:color w:val="00264D" w:themeColor="background2"/>
      </w:rPr>
    </w:lvl>
    <w:lvl w:ilvl="1">
      <w:start w:val="1"/>
      <w:numFmt w:val="bullet"/>
      <w:lvlText w:val=""/>
      <w:lvlJc w:val="left"/>
      <w:pPr>
        <w:ind w:left="720" w:hanging="363"/>
      </w:pPr>
      <w:rPr>
        <w:rFonts w:ascii="Symbol" w:hAnsi="Symbol" w:hint="default"/>
        <w:color w:val="00264D" w:themeColor="background2"/>
      </w:rPr>
    </w:lvl>
    <w:lvl w:ilvl="2">
      <w:start w:val="1"/>
      <w:numFmt w:val="bullet"/>
      <w:lvlText w:val=""/>
      <w:lvlJc w:val="left"/>
      <w:pPr>
        <w:ind w:left="1077" w:hanging="357"/>
      </w:pPr>
      <w:rPr>
        <w:rFonts w:ascii="Symbol" w:hAnsi="Symbol" w:hint="default"/>
        <w:color w:val="00264D" w:themeColor="background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60F378C"/>
    <w:multiLevelType w:val="multilevel"/>
    <w:tmpl w:val="75943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B030FE"/>
    <w:multiLevelType w:val="multilevel"/>
    <w:tmpl w:val="A40495DC"/>
    <w:styleLink w:val="TableNListnumberedmultilevel"/>
    <w:lvl w:ilvl="0">
      <w:start w:val="1"/>
      <w:numFmt w:val="decimal"/>
      <w:pStyle w:val="TableNListnumbered"/>
      <w:lvlText w:val="%1."/>
      <w:lvlJc w:val="left"/>
      <w:pPr>
        <w:ind w:left="227" w:hanging="227"/>
      </w:pPr>
      <w:rPr>
        <w:rFonts w:ascii="Segoe UI" w:hAnsi="Segoe UI" w:hint="default"/>
        <w:b w:val="0"/>
        <w:i w:val="0"/>
        <w:sz w:val="17"/>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7F9789C"/>
    <w:multiLevelType w:val="multilevel"/>
    <w:tmpl w:val="9D820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2C1CAD"/>
    <w:multiLevelType w:val="hybridMultilevel"/>
    <w:tmpl w:val="B9EC31D6"/>
    <w:styleLink w:val="TableexpListnumberedmultilevel"/>
    <w:lvl w:ilvl="0" w:tplc="41F4A4A4">
      <w:start w:val="1"/>
      <w:numFmt w:val="bullet"/>
      <w:lvlText w:val=""/>
      <w:lvlJc w:val="left"/>
      <w:pPr>
        <w:ind w:left="1440" w:hanging="360"/>
      </w:pPr>
      <w:rPr>
        <w:rFonts w:ascii="Symbol" w:hAnsi="Symbol"/>
      </w:rPr>
    </w:lvl>
    <w:lvl w:ilvl="1" w:tplc="AAD8C2A6">
      <w:start w:val="1"/>
      <w:numFmt w:val="bullet"/>
      <w:lvlText w:val=""/>
      <w:lvlJc w:val="left"/>
      <w:pPr>
        <w:ind w:left="1440" w:hanging="360"/>
      </w:pPr>
      <w:rPr>
        <w:rFonts w:ascii="Symbol" w:hAnsi="Symbol"/>
      </w:rPr>
    </w:lvl>
    <w:lvl w:ilvl="2" w:tplc="DF18489C">
      <w:start w:val="1"/>
      <w:numFmt w:val="bullet"/>
      <w:lvlText w:val=""/>
      <w:lvlJc w:val="left"/>
      <w:pPr>
        <w:ind w:left="1440" w:hanging="360"/>
      </w:pPr>
      <w:rPr>
        <w:rFonts w:ascii="Symbol" w:hAnsi="Symbol"/>
      </w:rPr>
    </w:lvl>
    <w:lvl w:ilvl="3" w:tplc="08DE6786">
      <w:start w:val="1"/>
      <w:numFmt w:val="bullet"/>
      <w:lvlText w:val=""/>
      <w:lvlJc w:val="left"/>
      <w:pPr>
        <w:ind w:left="1440" w:hanging="360"/>
      </w:pPr>
      <w:rPr>
        <w:rFonts w:ascii="Symbol" w:hAnsi="Symbol"/>
      </w:rPr>
    </w:lvl>
    <w:lvl w:ilvl="4" w:tplc="0F383EC0">
      <w:start w:val="1"/>
      <w:numFmt w:val="bullet"/>
      <w:lvlText w:val=""/>
      <w:lvlJc w:val="left"/>
      <w:pPr>
        <w:ind w:left="1440" w:hanging="360"/>
      </w:pPr>
      <w:rPr>
        <w:rFonts w:ascii="Symbol" w:hAnsi="Symbol"/>
      </w:rPr>
    </w:lvl>
    <w:lvl w:ilvl="5" w:tplc="D31C7AF0">
      <w:start w:val="1"/>
      <w:numFmt w:val="bullet"/>
      <w:lvlText w:val=""/>
      <w:lvlJc w:val="left"/>
      <w:pPr>
        <w:ind w:left="1440" w:hanging="360"/>
      </w:pPr>
      <w:rPr>
        <w:rFonts w:ascii="Symbol" w:hAnsi="Symbol"/>
      </w:rPr>
    </w:lvl>
    <w:lvl w:ilvl="6" w:tplc="AE5C6E1A">
      <w:start w:val="1"/>
      <w:numFmt w:val="bullet"/>
      <w:lvlText w:val=""/>
      <w:lvlJc w:val="left"/>
      <w:pPr>
        <w:ind w:left="1440" w:hanging="360"/>
      </w:pPr>
      <w:rPr>
        <w:rFonts w:ascii="Symbol" w:hAnsi="Symbol"/>
      </w:rPr>
    </w:lvl>
    <w:lvl w:ilvl="7" w:tplc="3578C110">
      <w:start w:val="1"/>
      <w:numFmt w:val="bullet"/>
      <w:lvlText w:val=""/>
      <w:lvlJc w:val="left"/>
      <w:pPr>
        <w:ind w:left="1440" w:hanging="360"/>
      </w:pPr>
      <w:rPr>
        <w:rFonts w:ascii="Symbol" w:hAnsi="Symbol"/>
      </w:rPr>
    </w:lvl>
    <w:lvl w:ilvl="8" w:tplc="3D206874">
      <w:start w:val="1"/>
      <w:numFmt w:val="bullet"/>
      <w:lvlText w:val=""/>
      <w:lvlJc w:val="left"/>
      <w:pPr>
        <w:ind w:left="1440" w:hanging="360"/>
      </w:pPr>
      <w:rPr>
        <w:rFonts w:ascii="Symbol" w:hAnsi="Symbol"/>
      </w:rPr>
    </w:lvl>
  </w:abstractNum>
  <w:abstractNum w:abstractNumId="27" w15:restartNumberingAfterBreak="0">
    <w:nsid w:val="6C426CD9"/>
    <w:multiLevelType w:val="multilevel"/>
    <w:tmpl w:val="10CCD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D271BA"/>
    <w:multiLevelType w:val="multilevel"/>
    <w:tmpl w:val="A6A8070E"/>
    <w:lvl w:ilvl="0">
      <w:start w:val="1"/>
      <w:numFmt w:val="decimal"/>
      <w:lvlText w:val="%1."/>
      <w:lvlJc w:val="left"/>
      <w:pPr>
        <w:tabs>
          <w:tab w:val="num" w:pos="720"/>
        </w:tabs>
        <w:ind w:left="720" w:hanging="360"/>
      </w:pPr>
      <w:rPr>
        <w:rFonts w:ascii="Segoe UI" w:eastAsiaTheme="minorHAnsi" w:hAnsi="Segoe U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A16EBA"/>
    <w:multiLevelType w:val="multilevel"/>
    <w:tmpl w:val="47F01A8C"/>
    <w:lvl w:ilvl="0">
      <w:start w:val="1"/>
      <w:numFmt w:val="upperLetter"/>
      <w:pStyle w:val="xAppendixLevel1"/>
      <w:lvlText w:val="Appendix %1"/>
      <w:lvlJc w:val="left"/>
      <w:pPr>
        <w:ind w:left="2268" w:hanging="2268"/>
      </w:pPr>
    </w:lvl>
    <w:lvl w:ilvl="1">
      <w:start w:val="1"/>
      <w:numFmt w:val="decimal"/>
      <w:pStyle w:val="xAppendixLevel2"/>
      <w:lvlText w:val="%1.%2"/>
      <w:lvlJc w:val="left"/>
      <w:pPr>
        <w:ind w:left="851" w:hanging="851"/>
      </w:pPr>
      <w:rPr>
        <w:rFonts w:hint="default"/>
        <w:color w:val="00264D"/>
        <w:sz w:val="34"/>
        <w:szCs w:val="34"/>
      </w:rPr>
    </w:lvl>
    <w:lvl w:ilvl="2">
      <w:start w:val="1"/>
      <w:numFmt w:val="decimal"/>
      <w:pStyle w:val="xAppendixLevel3"/>
      <w:lvlText w:val="%1.%2.%3"/>
      <w:lvlJc w:val="left"/>
      <w:pPr>
        <w:ind w:left="851" w:hanging="851"/>
      </w:pPr>
      <w:rPr>
        <w:rFonts w:hint="default"/>
        <w:color w:val="00264D"/>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9B7218E"/>
    <w:multiLevelType w:val="multilevel"/>
    <w:tmpl w:val="114C1886"/>
    <w:lvl w:ilvl="0">
      <w:start w:val="1"/>
      <w:numFmt w:val="bullet"/>
      <w:pStyle w:val="Bullet"/>
      <w:lvlText w:val=""/>
      <w:lvlJc w:val="left"/>
      <w:pPr>
        <w:ind w:left="340" w:hanging="340"/>
      </w:pPr>
      <w:rPr>
        <w:rFonts w:ascii="Symbol" w:hAnsi="Symbol" w:hint="default"/>
        <w:sz w:val="16"/>
      </w:rPr>
    </w:lvl>
    <w:lvl w:ilvl="1">
      <w:start w:val="1"/>
      <w:numFmt w:val="bullet"/>
      <w:lvlText w:val=""/>
      <w:lvlJc w:val="left"/>
      <w:pPr>
        <w:ind w:left="680" w:hanging="340"/>
      </w:pPr>
      <w:rPr>
        <w:rFonts w:ascii="Symbol" w:hAnsi="Symbol" w:hint="default"/>
        <w:sz w:val="16"/>
      </w:rPr>
    </w:lvl>
    <w:lvl w:ilvl="2">
      <w:start w:val="1"/>
      <w:numFmt w:val="bullet"/>
      <w:lvlText w:val=""/>
      <w:lvlJc w:val="left"/>
      <w:pPr>
        <w:ind w:left="1021" w:hanging="341"/>
      </w:pPr>
      <w:rPr>
        <w:rFonts w:ascii="Symbol" w:hAnsi="Symbol" w:hint="default"/>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49589232">
    <w:abstractNumId w:val="30"/>
  </w:num>
  <w:num w:numId="2" w16cid:durableId="2049336720">
    <w:abstractNumId w:val="17"/>
  </w:num>
  <w:num w:numId="3" w16cid:durableId="1858813643">
    <w:abstractNumId w:val="21"/>
  </w:num>
  <w:num w:numId="4" w16cid:durableId="1906794689">
    <w:abstractNumId w:val="18"/>
  </w:num>
  <w:num w:numId="5" w16cid:durableId="1295912643">
    <w:abstractNumId w:val="15"/>
  </w:num>
  <w:num w:numId="6" w16cid:durableId="1562594184">
    <w:abstractNumId w:val="14"/>
    <w:lvlOverride w:ilvl="0">
      <w:startOverride w:val="1"/>
    </w:lvlOverride>
  </w:num>
  <w:num w:numId="7" w16cid:durableId="1422218384">
    <w:abstractNumId w:val="26"/>
  </w:num>
  <w:num w:numId="8" w16cid:durableId="241261795">
    <w:abstractNumId w:val="30"/>
  </w:num>
  <w:num w:numId="9" w16cid:durableId="1971134595">
    <w:abstractNumId w:val="11"/>
  </w:num>
  <w:num w:numId="10" w16cid:durableId="138154413">
    <w:abstractNumId w:val="22"/>
  </w:num>
  <w:num w:numId="11" w16cid:durableId="1047099619">
    <w:abstractNumId w:val="21"/>
  </w:num>
  <w:num w:numId="12" w16cid:durableId="190186474">
    <w:abstractNumId w:val="19"/>
  </w:num>
  <w:num w:numId="13" w16cid:durableId="1357849653">
    <w:abstractNumId w:val="20"/>
  </w:num>
  <w:num w:numId="14" w16cid:durableId="1065102671">
    <w:abstractNumId w:val="13"/>
  </w:num>
  <w:num w:numId="15" w16cid:durableId="1570725981">
    <w:abstractNumId w:val="10"/>
  </w:num>
  <w:num w:numId="16" w16cid:durableId="720443685">
    <w:abstractNumId w:val="17"/>
  </w:num>
  <w:num w:numId="17" w16cid:durableId="1435399138">
    <w:abstractNumId w:val="24"/>
  </w:num>
  <w:num w:numId="18" w16cid:durableId="1785073436">
    <w:abstractNumId w:val="24"/>
  </w:num>
  <w:num w:numId="19" w16cid:durableId="1509562516">
    <w:abstractNumId w:val="29"/>
  </w:num>
  <w:num w:numId="20" w16cid:durableId="1429351980">
    <w:abstractNumId w:val="16"/>
  </w:num>
  <w:num w:numId="21" w16cid:durableId="16732193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6405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4151008">
    <w:abstractNumId w:val="12"/>
  </w:num>
  <w:num w:numId="24" w16cid:durableId="15480295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6977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65906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094753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0892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88532015">
    <w:abstractNumId w:val="9"/>
  </w:num>
  <w:num w:numId="30" w16cid:durableId="645210296">
    <w:abstractNumId w:val="7"/>
  </w:num>
  <w:num w:numId="31" w16cid:durableId="201484042">
    <w:abstractNumId w:val="6"/>
  </w:num>
  <w:num w:numId="32" w16cid:durableId="964968116">
    <w:abstractNumId w:val="5"/>
  </w:num>
  <w:num w:numId="33" w16cid:durableId="1797412034">
    <w:abstractNumId w:val="4"/>
  </w:num>
  <w:num w:numId="34" w16cid:durableId="1278289612">
    <w:abstractNumId w:val="8"/>
  </w:num>
  <w:num w:numId="35" w16cid:durableId="1178468881">
    <w:abstractNumId w:val="3"/>
  </w:num>
  <w:num w:numId="36" w16cid:durableId="1135176575">
    <w:abstractNumId w:val="2"/>
  </w:num>
  <w:num w:numId="37" w16cid:durableId="239292629">
    <w:abstractNumId w:val="1"/>
  </w:num>
  <w:num w:numId="38" w16cid:durableId="1915431997">
    <w:abstractNumId w:val="0"/>
  </w:num>
  <w:num w:numId="39" w16cid:durableId="14376765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5990698">
    <w:abstractNumId w:val="29"/>
  </w:num>
  <w:num w:numId="41" w16cid:durableId="160003629">
    <w:abstractNumId w:val="25"/>
  </w:num>
  <w:num w:numId="42" w16cid:durableId="323433970">
    <w:abstractNumId w:val="28"/>
  </w:num>
  <w:num w:numId="43" w16cid:durableId="610554652">
    <w:abstractNumId w:val="11"/>
  </w:num>
  <w:num w:numId="44" w16cid:durableId="785082652">
    <w:abstractNumId w:val="11"/>
  </w:num>
  <w:num w:numId="45" w16cid:durableId="2042245802">
    <w:abstractNumId w:val="27"/>
  </w:num>
  <w:num w:numId="46" w16cid:durableId="2118519464">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8E"/>
    <w:rsid w:val="000000E4"/>
    <w:rsid w:val="00000106"/>
    <w:rsid w:val="000001F3"/>
    <w:rsid w:val="000003B6"/>
    <w:rsid w:val="00000748"/>
    <w:rsid w:val="0000077D"/>
    <w:rsid w:val="00000795"/>
    <w:rsid w:val="0000098B"/>
    <w:rsid w:val="000009CB"/>
    <w:rsid w:val="00000B03"/>
    <w:rsid w:val="00000B4C"/>
    <w:rsid w:val="00000B67"/>
    <w:rsid w:val="00000BEE"/>
    <w:rsid w:val="00000DA3"/>
    <w:rsid w:val="00000F03"/>
    <w:rsid w:val="00000FD7"/>
    <w:rsid w:val="000010DB"/>
    <w:rsid w:val="000014CB"/>
    <w:rsid w:val="0000155A"/>
    <w:rsid w:val="00001757"/>
    <w:rsid w:val="000017E7"/>
    <w:rsid w:val="00001831"/>
    <w:rsid w:val="00001833"/>
    <w:rsid w:val="00001951"/>
    <w:rsid w:val="00001A7C"/>
    <w:rsid w:val="00001ABF"/>
    <w:rsid w:val="00001B38"/>
    <w:rsid w:val="00001B3A"/>
    <w:rsid w:val="00001B4D"/>
    <w:rsid w:val="00001C70"/>
    <w:rsid w:val="00001D5A"/>
    <w:rsid w:val="00001E16"/>
    <w:rsid w:val="00001E6F"/>
    <w:rsid w:val="00002010"/>
    <w:rsid w:val="0000232F"/>
    <w:rsid w:val="000023C8"/>
    <w:rsid w:val="000025F5"/>
    <w:rsid w:val="0000263D"/>
    <w:rsid w:val="0000277F"/>
    <w:rsid w:val="00002A2D"/>
    <w:rsid w:val="00002CB1"/>
    <w:rsid w:val="00002CC1"/>
    <w:rsid w:val="00002CFE"/>
    <w:rsid w:val="00002DA2"/>
    <w:rsid w:val="00002EEB"/>
    <w:rsid w:val="00003060"/>
    <w:rsid w:val="00003091"/>
    <w:rsid w:val="000030C0"/>
    <w:rsid w:val="000031C7"/>
    <w:rsid w:val="0000332E"/>
    <w:rsid w:val="0000337F"/>
    <w:rsid w:val="00003391"/>
    <w:rsid w:val="000033FC"/>
    <w:rsid w:val="000034BB"/>
    <w:rsid w:val="00003519"/>
    <w:rsid w:val="000035CE"/>
    <w:rsid w:val="0000371E"/>
    <w:rsid w:val="00003737"/>
    <w:rsid w:val="000037C0"/>
    <w:rsid w:val="0000390E"/>
    <w:rsid w:val="0000394B"/>
    <w:rsid w:val="00003A7F"/>
    <w:rsid w:val="00003C22"/>
    <w:rsid w:val="00003C71"/>
    <w:rsid w:val="00003C8A"/>
    <w:rsid w:val="00003DE7"/>
    <w:rsid w:val="00003E5C"/>
    <w:rsid w:val="00003E81"/>
    <w:rsid w:val="00003EDA"/>
    <w:rsid w:val="0000406F"/>
    <w:rsid w:val="00004278"/>
    <w:rsid w:val="000042F6"/>
    <w:rsid w:val="000042FB"/>
    <w:rsid w:val="00004316"/>
    <w:rsid w:val="00004373"/>
    <w:rsid w:val="0000472D"/>
    <w:rsid w:val="00004980"/>
    <w:rsid w:val="00004984"/>
    <w:rsid w:val="000049E2"/>
    <w:rsid w:val="00004B07"/>
    <w:rsid w:val="00004BFF"/>
    <w:rsid w:val="00004CA0"/>
    <w:rsid w:val="00004D28"/>
    <w:rsid w:val="00004D8E"/>
    <w:rsid w:val="00004F6A"/>
    <w:rsid w:val="0000503C"/>
    <w:rsid w:val="000051B3"/>
    <w:rsid w:val="00005264"/>
    <w:rsid w:val="000055F6"/>
    <w:rsid w:val="00005634"/>
    <w:rsid w:val="00005853"/>
    <w:rsid w:val="00005AE6"/>
    <w:rsid w:val="00005D92"/>
    <w:rsid w:val="00005E91"/>
    <w:rsid w:val="00005F9A"/>
    <w:rsid w:val="00005FB1"/>
    <w:rsid w:val="00006125"/>
    <w:rsid w:val="0000613C"/>
    <w:rsid w:val="00006181"/>
    <w:rsid w:val="0000618C"/>
    <w:rsid w:val="000062A1"/>
    <w:rsid w:val="00006310"/>
    <w:rsid w:val="00006360"/>
    <w:rsid w:val="000064BA"/>
    <w:rsid w:val="00006726"/>
    <w:rsid w:val="0000690B"/>
    <w:rsid w:val="00006A2B"/>
    <w:rsid w:val="00006B9A"/>
    <w:rsid w:val="00006BA3"/>
    <w:rsid w:val="00006CEA"/>
    <w:rsid w:val="00006CEF"/>
    <w:rsid w:val="00006DA3"/>
    <w:rsid w:val="00006FDA"/>
    <w:rsid w:val="00007030"/>
    <w:rsid w:val="00007119"/>
    <w:rsid w:val="000071BD"/>
    <w:rsid w:val="00007236"/>
    <w:rsid w:val="0000734E"/>
    <w:rsid w:val="00007482"/>
    <w:rsid w:val="00007516"/>
    <w:rsid w:val="000075DF"/>
    <w:rsid w:val="00007692"/>
    <w:rsid w:val="000078BD"/>
    <w:rsid w:val="0000791A"/>
    <w:rsid w:val="00007A03"/>
    <w:rsid w:val="00007A4D"/>
    <w:rsid w:val="00007BDF"/>
    <w:rsid w:val="00007C20"/>
    <w:rsid w:val="00007D80"/>
    <w:rsid w:val="0001004B"/>
    <w:rsid w:val="0001011A"/>
    <w:rsid w:val="000101B4"/>
    <w:rsid w:val="00010273"/>
    <w:rsid w:val="00010362"/>
    <w:rsid w:val="00010430"/>
    <w:rsid w:val="00010437"/>
    <w:rsid w:val="000104A0"/>
    <w:rsid w:val="000104CF"/>
    <w:rsid w:val="00010656"/>
    <w:rsid w:val="0001065C"/>
    <w:rsid w:val="00010B00"/>
    <w:rsid w:val="00010BAE"/>
    <w:rsid w:val="00010C3B"/>
    <w:rsid w:val="00010C71"/>
    <w:rsid w:val="00010F5B"/>
    <w:rsid w:val="0001105F"/>
    <w:rsid w:val="00011086"/>
    <w:rsid w:val="00011421"/>
    <w:rsid w:val="00011694"/>
    <w:rsid w:val="0001177C"/>
    <w:rsid w:val="00011813"/>
    <w:rsid w:val="00011AAB"/>
    <w:rsid w:val="00011AB2"/>
    <w:rsid w:val="00011B23"/>
    <w:rsid w:val="00011B9A"/>
    <w:rsid w:val="00011C34"/>
    <w:rsid w:val="00011D1F"/>
    <w:rsid w:val="00011D8D"/>
    <w:rsid w:val="00011E38"/>
    <w:rsid w:val="00011E61"/>
    <w:rsid w:val="00011F26"/>
    <w:rsid w:val="00012434"/>
    <w:rsid w:val="00012523"/>
    <w:rsid w:val="000125A6"/>
    <w:rsid w:val="000125DC"/>
    <w:rsid w:val="000125F2"/>
    <w:rsid w:val="00012902"/>
    <w:rsid w:val="00012911"/>
    <w:rsid w:val="00012A4A"/>
    <w:rsid w:val="00012ACA"/>
    <w:rsid w:val="00012B2C"/>
    <w:rsid w:val="00012DBF"/>
    <w:rsid w:val="00012E7B"/>
    <w:rsid w:val="00012FC4"/>
    <w:rsid w:val="00012FFB"/>
    <w:rsid w:val="0001342A"/>
    <w:rsid w:val="0001357C"/>
    <w:rsid w:val="00013595"/>
    <w:rsid w:val="000135E6"/>
    <w:rsid w:val="000137FA"/>
    <w:rsid w:val="00013A05"/>
    <w:rsid w:val="00013A2D"/>
    <w:rsid w:val="00013BC5"/>
    <w:rsid w:val="00013E53"/>
    <w:rsid w:val="00013FE4"/>
    <w:rsid w:val="00014230"/>
    <w:rsid w:val="00014282"/>
    <w:rsid w:val="00014402"/>
    <w:rsid w:val="0001440F"/>
    <w:rsid w:val="00014497"/>
    <w:rsid w:val="000145B1"/>
    <w:rsid w:val="000145D1"/>
    <w:rsid w:val="000145E6"/>
    <w:rsid w:val="00014694"/>
    <w:rsid w:val="000148FF"/>
    <w:rsid w:val="00014B32"/>
    <w:rsid w:val="00014CA9"/>
    <w:rsid w:val="00014CB1"/>
    <w:rsid w:val="00014DBC"/>
    <w:rsid w:val="00014DF9"/>
    <w:rsid w:val="00014F8E"/>
    <w:rsid w:val="00014F92"/>
    <w:rsid w:val="0001504A"/>
    <w:rsid w:val="00015271"/>
    <w:rsid w:val="00015313"/>
    <w:rsid w:val="00015377"/>
    <w:rsid w:val="0001557D"/>
    <w:rsid w:val="00015603"/>
    <w:rsid w:val="000156CC"/>
    <w:rsid w:val="00015745"/>
    <w:rsid w:val="00015751"/>
    <w:rsid w:val="000158D8"/>
    <w:rsid w:val="00015A0E"/>
    <w:rsid w:val="00015AAF"/>
    <w:rsid w:val="00015D5E"/>
    <w:rsid w:val="00015DEE"/>
    <w:rsid w:val="00015ECA"/>
    <w:rsid w:val="000161FD"/>
    <w:rsid w:val="000162E3"/>
    <w:rsid w:val="000162F1"/>
    <w:rsid w:val="0001644E"/>
    <w:rsid w:val="0001645C"/>
    <w:rsid w:val="000166A5"/>
    <w:rsid w:val="000166F7"/>
    <w:rsid w:val="00016930"/>
    <w:rsid w:val="00016A6B"/>
    <w:rsid w:val="00016B4A"/>
    <w:rsid w:val="00016B50"/>
    <w:rsid w:val="00016BC1"/>
    <w:rsid w:val="00016DD7"/>
    <w:rsid w:val="00016E9E"/>
    <w:rsid w:val="00016F3A"/>
    <w:rsid w:val="00017179"/>
    <w:rsid w:val="000171AA"/>
    <w:rsid w:val="0001740D"/>
    <w:rsid w:val="000177A0"/>
    <w:rsid w:val="0001794F"/>
    <w:rsid w:val="00017B8D"/>
    <w:rsid w:val="00017BA6"/>
    <w:rsid w:val="00017BC3"/>
    <w:rsid w:val="00017D8E"/>
    <w:rsid w:val="00017E2C"/>
    <w:rsid w:val="00017F91"/>
    <w:rsid w:val="00020127"/>
    <w:rsid w:val="0002028B"/>
    <w:rsid w:val="0002045A"/>
    <w:rsid w:val="000204D6"/>
    <w:rsid w:val="00020601"/>
    <w:rsid w:val="00020679"/>
    <w:rsid w:val="000206A3"/>
    <w:rsid w:val="00020721"/>
    <w:rsid w:val="00020741"/>
    <w:rsid w:val="00020C28"/>
    <w:rsid w:val="00020CE2"/>
    <w:rsid w:val="00020E61"/>
    <w:rsid w:val="00020F0F"/>
    <w:rsid w:val="00020F8F"/>
    <w:rsid w:val="00021008"/>
    <w:rsid w:val="00021076"/>
    <w:rsid w:val="00021273"/>
    <w:rsid w:val="0002148B"/>
    <w:rsid w:val="000214F3"/>
    <w:rsid w:val="000217B7"/>
    <w:rsid w:val="000218A0"/>
    <w:rsid w:val="000218B1"/>
    <w:rsid w:val="0002193A"/>
    <w:rsid w:val="000219B7"/>
    <w:rsid w:val="00021F71"/>
    <w:rsid w:val="0002205A"/>
    <w:rsid w:val="00022195"/>
    <w:rsid w:val="00022338"/>
    <w:rsid w:val="000224C7"/>
    <w:rsid w:val="00022529"/>
    <w:rsid w:val="0002252E"/>
    <w:rsid w:val="00022720"/>
    <w:rsid w:val="00022737"/>
    <w:rsid w:val="000227FD"/>
    <w:rsid w:val="0002284E"/>
    <w:rsid w:val="00022AD6"/>
    <w:rsid w:val="00022D59"/>
    <w:rsid w:val="00022DB2"/>
    <w:rsid w:val="00022E31"/>
    <w:rsid w:val="00022E80"/>
    <w:rsid w:val="00023017"/>
    <w:rsid w:val="000230EC"/>
    <w:rsid w:val="0002314C"/>
    <w:rsid w:val="00023370"/>
    <w:rsid w:val="00023593"/>
    <w:rsid w:val="000236D7"/>
    <w:rsid w:val="00023709"/>
    <w:rsid w:val="0002370E"/>
    <w:rsid w:val="0002373D"/>
    <w:rsid w:val="000237B3"/>
    <w:rsid w:val="000237B8"/>
    <w:rsid w:val="000237D0"/>
    <w:rsid w:val="000237F1"/>
    <w:rsid w:val="000238BE"/>
    <w:rsid w:val="00023942"/>
    <w:rsid w:val="00023A2E"/>
    <w:rsid w:val="00023D0F"/>
    <w:rsid w:val="00023D2E"/>
    <w:rsid w:val="00023EAD"/>
    <w:rsid w:val="00023F0F"/>
    <w:rsid w:val="0002405E"/>
    <w:rsid w:val="000240C1"/>
    <w:rsid w:val="00024301"/>
    <w:rsid w:val="000244D1"/>
    <w:rsid w:val="00024564"/>
    <w:rsid w:val="00024677"/>
    <w:rsid w:val="000249F6"/>
    <w:rsid w:val="00024A28"/>
    <w:rsid w:val="00024A51"/>
    <w:rsid w:val="00024A7A"/>
    <w:rsid w:val="00024ADC"/>
    <w:rsid w:val="00024C72"/>
    <w:rsid w:val="00024C8D"/>
    <w:rsid w:val="00024D6F"/>
    <w:rsid w:val="0002517E"/>
    <w:rsid w:val="00025253"/>
    <w:rsid w:val="000252AE"/>
    <w:rsid w:val="0002540B"/>
    <w:rsid w:val="000254F0"/>
    <w:rsid w:val="00025533"/>
    <w:rsid w:val="0002571E"/>
    <w:rsid w:val="00025C0E"/>
    <w:rsid w:val="00025CEE"/>
    <w:rsid w:val="00025D33"/>
    <w:rsid w:val="00025D35"/>
    <w:rsid w:val="00025D8D"/>
    <w:rsid w:val="00025DB3"/>
    <w:rsid w:val="00025E14"/>
    <w:rsid w:val="00025E34"/>
    <w:rsid w:val="00025FE1"/>
    <w:rsid w:val="000260C0"/>
    <w:rsid w:val="00026348"/>
    <w:rsid w:val="0002634F"/>
    <w:rsid w:val="000263D6"/>
    <w:rsid w:val="00026590"/>
    <w:rsid w:val="000266C0"/>
    <w:rsid w:val="000266F5"/>
    <w:rsid w:val="00026726"/>
    <w:rsid w:val="00026748"/>
    <w:rsid w:val="0002687D"/>
    <w:rsid w:val="00026904"/>
    <w:rsid w:val="000269C9"/>
    <w:rsid w:val="000269F2"/>
    <w:rsid w:val="00026A9E"/>
    <w:rsid w:val="00026B1D"/>
    <w:rsid w:val="00026BCC"/>
    <w:rsid w:val="00026D76"/>
    <w:rsid w:val="000271EA"/>
    <w:rsid w:val="00027590"/>
    <w:rsid w:val="000275E9"/>
    <w:rsid w:val="000275F4"/>
    <w:rsid w:val="00027606"/>
    <w:rsid w:val="0002761A"/>
    <w:rsid w:val="00027F9D"/>
    <w:rsid w:val="00027FDA"/>
    <w:rsid w:val="00030091"/>
    <w:rsid w:val="000300D9"/>
    <w:rsid w:val="00030118"/>
    <w:rsid w:val="00030202"/>
    <w:rsid w:val="0003023A"/>
    <w:rsid w:val="0003039C"/>
    <w:rsid w:val="000304A6"/>
    <w:rsid w:val="000304E0"/>
    <w:rsid w:val="00030509"/>
    <w:rsid w:val="000305F4"/>
    <w:rsid w:val="00030C25"/>
    <w:rsid w:val="00031008"/>
    <w:rsid w:val="00031107"/>
    <w:rsid w:val="000311BE"/>
    <w:rsid w:val="000313A8"/>
    <w:rsid w:val="000313BE"/>
    <w:rsid w:val="000313F8"/>
    <w:rsid w:val="00031422"/>
    <w:rsid w:val="000314E8"/>
    <w:rsid w:val="00031513"/>
    <w:rsid w:val="00031554"/>
    <w:rsid w:val="000315B5"/>
    <w:rsid w:val="0003196A"/>
    <w:rsid w:val="000319B6"/>
    <w:rsid w:val="00031C7D"/>
    <w:rsid w:val="00031DD7"/>
    <w:rsid w:val="00031E76"/>
    <w:rsid w:val="00031E8C"/>
    <w:rsid w:val="00032112"/>
    <w:rsid w:val="000321C0"/>
    <w:rsid w:val="000322CB"/>
    <w:rsid w:val="00032550"/>
    <w:rsid w:val="00032606"/>
    <w:rsid w:val="00032645"/>
    <w:rsid w:val="00032741"/>
    <w:rsid w:val="000327AA"/>
    <w:rsid w:val="0003288F"/>
    <w:rsid w:val="00032949"/>
    <w:rsid w:val="00032B1E"/>
    <w:rsid w:val="00032B45"/>
    <w:rsid w:val="00032DBF"/>
    <w:rsid w:val="00032EAF"/>
    <w:rsid w:val="00032FA1"/>
    <w:rsid w:val="00033273"/>
    <w:rsid w:val="00033318"/>
    <w:rsid w:val="000336D0"/>
    <w:rsid w:val="00033AB2"/>
    <w:rsid w:val="00033AE1"/>
    <w:rsid w:val="00033B68"/>
    <w:rsid w:val="00033D25"/>
    <w:rsid w:val="00033D33"/>
    <w:rsid w:val="00034027"/>
    <w:rsid w:val="000340DF"/>
    <w:rsid w:val="0003423B"/>
    <w:rsid w:val="000342EA"/>
    <w:rsid w:val="000343CE"/>
    <w:rsid w:val="000346F6"/>
    <w:rsid w:val="00034736"/>
    <w:rsid w:val="00034773"/>
    <w:rsid w:val="000347DA"/>
    <w:rsid w:val="00034831"/>
    <w:rsid w:val="00034860"/>
    <w:rsid w:val="00034996"/>
    <w:rsid w:val="00034B3F"/>
    <w:rsid w:val="00034D2C"/>
    <w:rsid w:val="00034DA6"/>
    <w:rsid w:val="00034EF3"/>
    <w:rsid w:val="00035009"/>
    <w:rsid w:val="00035046"/>
    <w:rsid w:val="000350C7"/>
    <w:rsid w:val="00035100"/>
    <w:rsid w:val="0003510B"/>
    <w:rsid w:val="00035213"/>
    <w:rsid w:val="00035293"/>
    <w:rsid w:val="000353EF"/>
    <w:rsid w:val="00035462"/>
    <w:rsid w:val="00035748"/>
    <w:rsid w:val="00035950"/>
    <w:rsid w:val="00035981"/>
    <w:rsid w:val="00035B22"/>
    <w:rsid w:val="00035D4E"/>
    <w:rsid w:val="00035DF7"/>
    <w:rsid w:val="0003628A"/>
    <w:rsid w:val="00036448"/>
    <w:rsid w:val="00036500"/>
    <w:rsid w:val="00036615"/>
    <w:rsid w:val="0003684F"/>
    <w:rsid w:val="00036861"/>
    <w:rsid w:val="0003687B"/>
    <w:rsid w:val="00036893"/>
    <w:rsid w:val="00036962"/>
    <w:rsid w:val="0003696B"/>
    <w:rsid w:val="00036A63"/>
    <w:rsid w:val="00036BC7"/>
    <w:rsid w:val="00036C60"/>
    <w:rsid w:val="00036D26"/>
    <w:rsid w:val="00036DB5"/>
    <w:rsid w:val="00036F9D"/>
    <w:rsid w:val="000375D5"/>
    <w:rsid w:val="000377C3"/>
    <w:rsid w:val="000378AD"/>
    <w:rsid w:val="000378FD"/>
    <w:rsid w:val="000379F4"/>
    <w:rsid w:val="00037A5B"/>
    <w:rsid w:val="00037C03"/>
    <w:rsid w:val="00037CB2"/>
    <w:rsid w:val="00037CDA"/>
    <w:rsid w:val="00037E5B"/>
    <w:rsid w:val="00040031"/>
    <w:rsid w:val="0004033A"/>
    <w:rsid w:val="0004039E"/>
    <w:rsid w:val="00040817"/>
    <w:rsid w:val="0004088C"/>
    <w:rsid w:val="00040A15"/>
    <w:rsid w:val="00040A6D"/>
    <w:rsid w:val="00040AA7"/>
    <w:rsid w:val="00040ABF"/>
    <w:rsid w:val="00040B43"/>
    <w:rsid w:val="00040DC1"/>
    <w:rsid w:val="00040E24"/>
    <w:rsid w:val="00040F87"/>
    <w:rsid w:val="00040FCF"/>
    <w:rsid w:val="00041093"/>
    <w:rsid w:val="000410B1"/>
    <w:rsid w:val="0004114B"/>
    <w:rsid w:val="00041164"/>
    <w:rsid w:val="000412E6"/>
    <w:rsid w:val="00041304"/>
    <w:rsid w:val="00041390"/>
    <w:rsid w:val="00041417"/>
    <w:rsid w:val="000414A2"/>
    <w:rsid w:val="00041741"/>
    <w:rsid w:val="0004183A"/>
    <w:rsid w:val="000419B5"/>
    <w:rsid w:val="000419E1"/>
    <w:rsid w:val="00041BEC"/>
    <w:rsid w:val="00041C55"/>
    <w:rsid w:val="00041DA4"/>
    <w:rsid w:val="00041E01"/>
    <w:rsid w:val="00041E29"/>
    <w:rsid w:val="00041F13"/>
    <w:rsid w:val="00041F7D"/>
    <w:rsid w:val="00042019"/>
    <w:rsid w:val="00042354"/>
    <w:rsid w:val="000423C5"/>
    <w:rsid w:val="000423CA"/>
    <w:rsid w:val="000424C9"/>
    <w:rsid w:val="000424CD"/>
    <w:rsid w:val="0004256F"/>
    <w:rsid w:val="000426DE"/>
    <w:rsid w:val="000426E5"/>
    <w:rsid w:val="00042751"/>
    <w:rsid w:val="00042997"/>
    <w:rsid w:val="00042AF3"/>
    <w:rsid w:val="00042B17"/>
    <w:rsid w:val="00042C7B"/>
    <w:rsid w:val="00042CB1"/>
    <w:rsid w:val="00042D5B"/>
    <w:rsid w:val="00042F25"/>
    <w:rsid w:val="0004313B"/>
    <w:rsid w:val="0004349A"/>
    <w:rsid w:val="000434EC"/>
    <w:rsid w:val="0004391D"/>
    <w:rsid w:val="00043965"/>
    <w:rsid w:val="00043B37"/>
    <w:rsid w:val="00043BFF"/>
    <w:rsid w:val="00043E61"/>
    <w:rsid w:val="00043E8D"/>
    <w:rsid w:val="00043ED8"/>
    <w:rsid w:val="000440AE"/>
    <w:rsid w:val="000442C8"/>
    <w:rsid w:val="0004466C"/>
    <w:rsid w:val="00044807"/>
    <w:rsid w:val="00044865"/>
    <w:rsid w:val="000448DE"/>
    <w:rsid w:val="00044C65"/>
    <w:rsid w:val="00044CD4"/>
    <w:rsid w:val="00044F7C"/>
    <w:rsid w:val="00044F9B"/>
    <w:rsid w:val="0004500F"/>
    <w:rsid w:val="0004506C"/>
    <w:rsid w:val="000454FC"/>
    <w:rsid w:val="000455B9"/>
    <w:rsid w:val="000458B5"/>
    <w:rsid w:val="000458FA"/>
    <w:rsid w:val="00045A74"/>
    <w:rsid w:val="00045CE6"/>
    <w:rsid w:val="00045DAE"/>
    <w:rsid w:val="0004611D"/>
    <w:rsid w:val="00046451"/>
    <w:rsid w:val="000464AE"/>
    <w:rsid w:val="000465EE"/>
    <w:rsid w:val="000466D7"/>
    <w:rsid w:val="00046894"/>
    <w:rsid w:val="00046A1E"/>
    <w:rsid w:val="00046AA9"/>
    <w:rsid w:val="00046BB4"/>
    <w:rsid w:val="00046C8F"/>
    <w:rsid w:val="00046CDA"/>
    <w:rsid w:val="00046E4C"/>
    <w:rsid w:val="00047068"/>
    <w:rsid w:val="00047267"/>
    <w:rsid w:val="0004740B"/>
    <w:rsid w:val="000474DB"/>
    <w:rsid w:val="0004776A"/>
    <w:rsid w:val="0004796D"/>
    <w:rsid w:val="00047A76"/>
    <w:rsid w:val="00047A8C"/>
    <w:rsid w:val="00047B6E"/>
    <w:rsid w:val="00047B75"/>
    <w:rsid w:val="00047B95"/>
    <w:rsid w:val="00047CAF"/>
    <w:rsid w:val="00047CE9"/>
    <w:rsid w:val="0005009C"/>
    <w:rsid w:val="000500FA"/>
    <w:rsid w:val="00050216"/>
    <w:rsid w:val="00050296"/>
    <w:rsid w:val="000502EC"/>
    <w:rsid w:val="00050488"/>
    <w:rsid w:val="000507A7"/>
    <w:rsid w:val="00050933"/>
    <w:rsid w:val="000509F7"/>
    <w:rsid w:val="00050A99"/>
    <w:rsid w:val="00050AF2"/>
    <w:rsid w:val="00050B02"/>
    <w:rsid w:val="00050C40"/>
    <w:rsid w:val="00050D73"/>
    <w:rsid w:val="00050F50"/>
    <w:rsid w:val="00050FCD"/>
    <w:rsid w:val="00050FD9"/>
    <w:rsid w:val="00050FE4"/>
    <w:rsid w:val="000510E3"/>
    <w:rsid w:val="0005124E"/>
    <w:rsid w:val="00051269"/>
    <w:rsid w:val="00051469"/>
    <w:rsid w:val="00051546"/>
    <w:rsid w:val="0005164E"/>
    <w:rsid w:val="00051746"/>
    <w:rsid w:val="0005175C"/>
    <w:rsid w:val="00051808"/>
    <w:rsid w:val="0005196F"/>
    <w:rsid w:val="000519BD"/>
    <w:rsid w:val="00051AE6"/>
    <w:rsid w:val="00051DC6"/>
    <w:rsid w:val="00051E6F"/>
    <w:rsid w:val="00051EB9"/>
    <w:rsid w:val="00051FD2"/>
    <w:rsid w:val="000520C9"/>
    <w:rsid w:val="00052241"/>
    <w:rsid w:val="000522F0"/>
    <w:rsid w:val="0005238C"/>
    <w:rsid w:val="0005257E"/>
    <w:rsid w:val="0005267C"/>
    <w:rsid w:val="000528CF"/>
    <w:rsid w:val="00052975"/>
    <w:rsid w:val="00052A7C"/>
    <w:rsid w:val="00052B24"/>
    <w:rsid w:val="00052C13"/>
    <w:rsid w:val="00052D90"/>
    <w:rsid w:val="00052F9F"/>
    <w:rsid w:val="000530A2"/>
    <w:rsid w:val="00053196"/>
    <w:rsid w:val="000531DF"/>
    <w:rsid w:val="000531F5"/>
    <w:rsid w:val="00053560"/>
    <w:rsid w:val="00053696"/>
    <w:rsid w:val="000536E1"/>
    <w:rsid w:val="00053712"/>
    <w:rsid w:val="000537AD"/>
    <w:rsid w:val="00053839"/>
    <w:rsid w:val="000538F3"/>
    <w:rsid w:val="00053A03"/>
    <w:rsid w:val="00053A70"/>
    <w:rsid w:val="00053CC7"/>
    <w:rsid w:val="00053D65"/>
    <w:rsid w:val="00053DF9"/>
    <w:rsid w:val="00053E72"/>
    <w:rsid w:val="00053F70"/>
    <w:rsid w:val="00053FCF"/>
    <w:rsid w:val="0005413A"/>
    <w:rsid w:val="000542CE"/>
    <w:rsid w:val="000542EA"/>
    <w:rsid w:val="0005443B"/>
    <w:rsid w:val="0005497E"/>
    <w:rsid w:val="00054A3D"/>
    <w:rsid w:val="00054A7D"/>
    <w:rsid w:val="00054C7F"/>
    <w:rsid w:val="00054E6B"/>
    <w:rsid w:val="000553C3"/>
    <w:rsid w:val="000553C8"/>
    <w:rsid w:val="000553CF"/>
    <w:rsid w:val="00055764"/>
    <w:rsid w:val="00055815"/>
    <w:rsid w:val="0005585A"/>
    <w:rsid w:val="000558B4"/>
    <w:rsid w:val="00055AB3"/>
    <w:rsid w:val="00055BED"/>
    <w:rsid w:val="00055CF4"/>
    <w:rsid w:val="00055D99"/>
    <w:rsid w:val="00055E47"/>
    <w:rsid w:val="00055E98"/>
    <w:rsid w:val="0005627F"/>
    <w:rsid w:val="000562AF"/>
    <w:rsid w:val="00056302"/>
    <w:rsid w:val="0005644B"/>
    <w:rsid w:val="0005651F"/>
    <w:rsid w:val="000565E2"/>
    <w:rsid w:val="00056A9F"/>
    <w:rsid w:val="00056ADD"/>
    <w:rsid w:val="00056DDF"/>
    <w:rsid w:val="00056DE3"/>
    <w:rsid w:val="00056E98"/>
    <w:rsid w:val="00056F38"/>
    <w:rsid w:val="0005720B"/>
    <w:rsid w:val="00057386"/>
    <w:rsid w:val="00057396"/>
    <w:rsid w:val="000573C9"/>
    <w:rsid w:val="000573CB"/>
    <w:rsid w:val="00057571"/>
    <w:rsid w:val="000575DD"/>
    <w:rsid w:val="000575E4"/>
    <w:rsid w:val="000577BF"/>
    <w:rsid w:val="000579E1"/>
    <w:rsid w:val="00057B52"/>
    <w:rsid w:val="00057BB5"/>
    <w:rsid w:val="00057EE5"/>
    <w:rsid w:val="00060157"/>
    <w:rsid w:val="000601A1"/>
    <w:rsid w:val="00060324"/>
    <w:rsid w:val="0006048B"/>
    <w:rsid w:val="0006058D"/>
    <w:rsid w:val="000608A7"/>
    <w:rsid w:val="00060B95"/>
    <w:rsid w:val="00060C1C"/>
    <w:rsid w:val="00060C67"/>
    <w:rsid w:val="00060C90"/>
    <w:rsid w:val="00060DE7"/>
    <w:rsid w:val="00060E64"/>
    <w:rsid w:val="00060FCF"/>
    <w:rsid w:val="0006109C"/>
    <w:rsid w:val="000612F1"/>
    <w:rsid w:val="000612FE"/>
    <w:rsid w:val="0006170B"/>
    <w:rsid w:val="00061764"/>
    <w:rsid w:val="00061834"/>
    <w:rsid w:val="000618A4"/>
    <w:rsid w:val="00061E0B"/>
    <w:rsid w:val="00061E42"/>
    <w:rsid w:val="00061ED8"/>
    <w:rsid w:val="00062153"/>
    <w:rsid w:val="000621FB"/>
    <w:rsid w:val="00062306"/>
    <w:rsid w:val="0006235E"/>
    <w:rsid w:val="00062389"/>
    <w:rsid w:val="000623B8"/>
    <w:rsid w:val="0006257F"/>
    <w:rsid w:val="000625EC"/>
    <w:rsid w:val="000625FA"/>
    <w:rsid w:val="000627EF"/>
    <w:rsid w:val="000627FB"/>
    <w:rsid w:val="00062816"/>
    <w:rsid w:val="00062E95"/>
    <w:rsid w:val="00062E99"/>
    <w:rsid w:val="00062F34"/>
    <w:rsid w:val="000631B0"/>
    <w:rsid w:val="000632E3"/>
    <w:rsid w:val="000634E0"/>
    <w:rsid w:val="000635B3"/>
    <w:rsid w:val="0006360E"/>
    <w:rsid w:val="0006375C"/>
    <w:rsid w:val="000639AC"/>
    <w:rsid w:val="000639C8"/>
    <w:rsid w:val="00063A41"/>
    <w:rsid w:val="00063FF7"/>
    <w:rsid w:val="00064062"/>
    <w:rsid w:val="000640DE"/>
    <w:rsid w:val="0006422D"/>
    <w:rsid w:val="00064277"/>
    <w:rsid w:val="0006427B"/>
    <w:rsid w:val="00064428"/>
    <w:rsid w:val="00064517"/>
    <w:rsid w:val="000646FF"/>
    <w:rsid w:val="00064774"/>
    <w:rsid w:val="00064855"/>
    <w:rsid w:val="00064870"/>
    <w:rsid w:val="00064A8C"/>
    <w:rsid w:val="00064A96"/>
    <w:rsid w:val="00064ABC"/>
    <w:rsid w:val="00064B2A"/>
    <w:rsid w:val="00064BD0"/>
    <w:rsid w:val="00064C2C"/>
    <w:rsid w:val="000652A9"/>
    <w:rsid w:val="000655A9"/>
    <w:rsid w:val="0006568E"/>
    <w:rsid w:val="000657C5"/>
    <w:rsid w:val="000659DB"/>
    <w:rsid w:val="00065A9F"/>
    <w:rsid w:val="00065E3E"/>
    <w:rsid w:val="00065F2A"/>
    <w:rsid w:val="00065FF9"/>
    <w:rsid w:val="000660A2"/>
    <w:rsid w:val="000660D0"/>
    <w:rsid w:val="00066374"/>
    <w:rsid w:val="0006658C"/>
    <w:rsid w:val="000665B1"/>
    <w:rsid w:val="000665C0"/>
    <w:rsid w:val="00066671"/>
    <w:rsid w:val="000666D6"/>
    <w:rsid w:val="000666F1"/>
    <w:rsid w:val="0006675E"/>
    <w:rsid w:val="00066B44"/>
    <w:rsid w:val="00066C4E"/>
    <w:rsid w:val="00066E61"/>
    <w:rsid w:val="00067071"/>
    <w:rsid w:val="00067108"/>
    <w:rsid w:val="000671CD"/>
    <w:rsid w:val="000671E5"/>
    <w:rsid w:val="000673DA"/>
    <w:rsid w:val="000673F0"/>
    <w:rsid w:val="00067416"/>
    <w:rsid w:val="0006781E"/>
    <w:rsid w:val="00067867"/>
    <w:rsid w:val="000678E1"/>
    <w:rsid w:val="00067A82"/>
    <w:rsid w:val="00067B4F"/>
    <w:rsid w:val="00067D2D"/>
    <w:rsid w:val="0007002C"/>
    <w:rsid w:val="000702F0"/>
    <w:rsid w:val="000705BE"/>
    <w:rsid w:val="000706A9"/>
    <w:rsid w:val="00070708"/>
    <w:rsid w:val="0007072D"/>
    <w:rsid w:val="000708E1"/>
    <w:rsid w:val="000709B9"/>
    <w:rsid w:val="00070AF2"/>
    <w:rsid w:val="00071067"/>
    <w:rsid w:val="00071078"/>
    <w:rsid w:val="0007119A"/>
    <w:rsid w:val="00071379"/>
    <w:rsid w:val="00071425"/>
    <w:rsid w:val="0007145A"/>
    <w:rsid w:val="000714C0"/>
    <w:rsid w:val="0007151B"/>
    <w:rsid w:val="00071593"/>
    <w:rsid w:val="00071737"/>
    <w:rsid w:val="00071A27"/>
    <w:rsid w:val="00071D6F"/>
    <w:rsid w:val="00071DFF"/>
    <w:rsid w:val="00071E46"/>
    <w:rsid w:val="00071EE7"/>
    <w:rsid w:val="00072079"/>
    <w:rsid w:val="00072326"/>
    <w:rsid w:val="00072423"/>
    <w:rsid w:val="000724F0"/>
    <w:rsid w:val="0007258B"/>
    <w:rsid w:val="000725BE"/>
    <w:rsid w:val="00072906"/>
    <w:rsid w:val="00072BBC"/>
    <w:rsid w:val="00072C18"/>
    <w:rsid w:val="00072D47"/>
    <w:rsid w:val="00072DD9"/>
    <w:rsid w:val="00073084"/>
    <w:rsid w:val="000731C9"/>
    <w:rsid w:val="0007327C"/>
    <w:rsid w:val="000733FF"/>
    <w:rsid w:val="0007356B"/>
    <w:rsid w:val="000735AC"/>
    <w:rsid w:val="000736E5"/>
    <w:rsid w:val="000736EE"/>
    <w:rsid w:val="0007370E"/>
    <w:rsid w:val="00073838"/>
    <w:rsid w:val="000739C2"/>
    <w:rsid w:val="00073B42"/>
    <w:rsid w:val="00073B6D"/>
    <w:rsid w:val="00073D7F"/>
    <w:rsid w:val="00074142"/>
    <w:rsid w:val="0007420D"/>
    <w:rsid w:val="0007431C"/>
    <w:rsid w:val="0007449B"/>
    <w:rsid w:val="000746FA"/>
    <w:rsid w:val="0007470E"/>
    <w:rsid w:val="00074880"/>
    <w:rsid w:val="0007494B"/>
    <w:rsid w:val="00074989"/>
    <w:rsid w:val="00074AB5"/>
    <w:rsid w:val="00074B2F"/>
    <w:rsid w:val="00074B3B"/>
    <w:rsid w:val="00074C48"/>
    <w:rsid w:val="00074C70"/>
    <w:rsid w:val="00074CA0"/>
    <w:rsid w:val="00074E9C"/>
    <w:rsid w:val="00074EC7"/>
    <w:rsid w:val="00074EE8"/>
    <w:rsid w:val="0007507E"/>
    <w:rsid w:val="0007513E"/>
    <w:rsid w:val="000752EF"/>
    <w:rsid w:val="00075359"/>
    <w:rsid w:val="00075547"/>
    <w:rsid w:val="00075570"/>
    <w:rsid w:val="000755B7"/>
    <w:rsid w:val="00075661"/>
    <w:rsid w:val="00075880"/>
    <w:rsid w:val="000758BC"/>
    <w:rsid w:val="00075918"/>
    <w:rsid w:val="000759A4"/>
    <w:rsid w:val="000759DD"/>
    <w:rsid w:val="00075AF4"/>
    <w:rsid w:val="00075B47"/>
    <w:rsid w:val="00075C02"/>
    <w:rsid w:val="00075D90"/>
    <w:rsid w:val="00075E71"/>
    <w:rsid w:val="00075FAB"/>
    <w:rsid w:val="00076113"/>
    <w:rsid w:val="00076272"/>
    <w:rsid w:val="000762EB"/>
    <w:rsid w:val="0007634C"/>
    <w:rsid w:val="000766DD"/>
    <w:rsid w:val="00076841"/>
    <w:rsid w:val="00076906"/>
    <w:rsid w:val="00076929"/>
    <w:rsid w:val="0007698B"/>
    <w:rsid w:val="00076B0C"/>
    <w:rsid w:val="00076C22"/>
    <w:rsid w:val="00076C67"/>
    <w:rsid w:val="00076D24"/>
    <w:rsid w:val="00076E0D"/>
    <w:rsid w:val="00076E29"/>
    <w:rsid w:val="00076E63"/>
    <w:rsid w:val="00076F1D"/>
    <w:rsid w:val="000771E8"/>
    <w:rsid w:val="000772D9"/>
    <w:rsid w:val="00077508"/>
    <w:rsid w:val="000775C5"/>
    <w:rsid w:val="000776EA"/>
    <w:rsid w:val="00077829"/>
    <w:rsid w:val="00077A46"/>
    <w:rsid w:val="00077E74"/>
    <w:rsid w:val="00077F1E"/>
    <w:rsid w:val="00077F65"/>
    <w:rsid w:val="00077FF5"/>
    <w:rsid w:val="00080162"/>
    <w:rsid w:val="000802AE"/>
    <w:rsid w:val="00080392"/>
    <w:rsid w:val="00080410"/>
    <w:rsid w:val="00080614"/>
    <w:rsid w:val="00080689"/>
    <w:rsid w:val="0008083F"/>
    <w:rsid w:val="0008094D"/>
    <w:rsid w:val="00080A2D"/>
    <w:rsid w:val="00080A5E"/>
    <w:rsid w:val="00080BE3"/>
    <w:rsid w:val="00080CCB"/>
    <w:rsid w:val="00080CE7"/>
    <w:rsid w:val="00080E0E"/>
    <w:rsid w:val="00080E96"/>
    <w:rsid w:val="00080F08"/>
    <w:rsid w:val="00081079"/>
    <w:rsid w:val="000812F3"/>
    <w:rsid w:val="000814C8"/>
    <w:rsid w:val="00081504"/>
    <w:rsid w:val="00081621"/>
    <w:rsid w:val="0008165C"/>
    <w:rsid w:val="00081689"/>
    <w:rsid w:val="00081B95"/>
    <w:rsid w:val="00081BF3"/>
    <w:rsid w:val="00081EF5"/>
    <w:rsid w:val="00081F26"/>
    <w:rsid w:val="00081FDF"/>
    <w:rsid w:val="00082070"/>
    <w:rsid w:val="000820D1"/>
    <w:rsid w:val="0008244B"/>
    <w:rsid w:val="000824A5"/>
    <w:rsid w:val="0008256C"/>
    <w:rsid w:val="0008257E"/>
    <w:rsid w:val="00082589"/>
    <w:rsid w:val="0008282B"/>
    <w:rsid w:val="000829B5"/>
    <w:rsid w:val="000829FA"/>
    <w:rsid w:val="00082A81"/>
    <w:rsid w:val="00082B23"/>
    <w:rsid w:val="00082BC2"/>
    <w:rsid w:val="00082BD3"/>
    <w:rsid w:val="00082BE6"/>
    <w:rsid w:val="00083152"/>
    <w:rsid w:val="00083180"/>
    <w:rsid w:val="000831B1"/>
    <w:rsid w:val="0008349A"/>
    <w:rsid w:val="000834FD"/>
    <w:rsid w:val="0008354C"/>
    <w:rsid w:val="0008355D"/>
    <w:rsid w:val="00083583"/>
    <w:rsid w:val="0008365C"/>
    <w:rsid w:val="00083804"/>
    <w:rsid w:val="00083A49"/>
    <w:rsid w:val="00083ACC"/>
    <w:rsid w:val="00083B05"/>
    <w:rsid w:val="00083BDC"/>
    <w:rsid w:val="00083C54"/>
    <w:rsid w:val="00083C93"/>
    <w:rsid w:val="00083D60"/>
    <w:rsid w:val="00083EF3"/>
    <w:rsid w:val="00083F5E"/>
    <w:rsid w:val="00084020"/>
    <w:rsid w:val="00084154"/>
    <w:rsid w:val="0008434F"/>
    <w:rsid w:val="0008446F"/>
    <w:rsid w:val="000844F0"/>
    <w:rsid w:val="00084841"/>
    <w:rsid w:val="000848E6"/>
    <w:rsid w:val="00084AB1"/>
    <w:rsid w:val="00084AD1"/>
    <w:rsid w:val="00084C5B"/>
    <w:rsid w:val="00084C79"/>
    <w:rsid w:val="00084CB4"/>
    <w:rsid w:val="00084D54"/>
    <w:rsid w:val="00084D63"/>
    <w:rsid w:val="00084E5E"/>
    <w:rsid w:val="00084FEC"/>
    <w:rsid w:val="000850C2"/>
    <w:rsid w:val="00085212"/>
    <w:rsid w:val="00085270"/>
    <w:rsid w:val="00085274"/>
    <w:rsid w:val="000852E7"/>
    <w:rsid w:val="000857B8"/>
    <w:rsid w:val="00085884"/>
    <w:rsid w:val="000858FD"/>
    <w:rsid w:val="000859EC"/>
    <w:rsid w:val="00085A4C"/>
    <w:rsid w:val="00085FEB"/>
    <w:rsid w:val="0008620F"/>
    <w:rsid w:val="00086266"/>
    <w:rsid w:val="000863F5"/>
    <w:rsid w:val="00086409"/>
    <w:rsid w:val="0008650E"/>
    <w:rsid w:val="00086645"/>
    <w:rsid w:val="000867CB"/>
    <w:rsid w:val="0008695D"/>
    <w:rsid w:val="00086A60"/>
    <w:rsid w:val="00086B8C"/>
    <w:rsid w:val="00086F09"/>
    <w:rsid w:val="000870D7"/>
    <w:rsid w:val="000871AB"/>
    <w:rsid w:val="000872C0"/>
    <w:rsid w:val="0008731F"/>
    <w:rsid w:val="0008735A"/>
    <w:rsid w:val="0008739A"/>
    <w:rsid w:val="000873FA"/>
    <w:rsid w:val="000874B3"/>
    <w:rsid w:val="0008753C"/>
    <w:rsid w:val="0008768E"/>
    <w:rsid w:val="000877BD"/>
    <w:rsid w:val="00087808"/>
    <w:rsid w:val="000879FD"/>
    <w:rsid w:val="00087EA2"/>
    <w:rsid w:val="00087EA3"/>
    <w:rsid w:val="00087EFD"/>
    <w:rsid w:val="00087F87"/>
    <w:rsid w:val="0009016F"/>
    <w:rsid w:val="000902D4"/>
    <w:rsid w:val="000903FA"/>
    <w:rsid w:val="000904B5"/>
    <w:rsid w:val="00090588"/>
    <w:rsid w:val="00090590"/>
    <w:rsid w:val="00090626"/>
    <w:rsid w:val="000908CD"/>
    <w:rsid w:val="00090ABF"/>
    <w:rsid w:val="00090B79"/>
    <w:rsid w:val="00090BA0"/>
    <w:rsid w:val="00090C21"/>
    <w:rsid w:val="00090F83"/>
    <w:rsid w:val="000910F5"/>
    <w:rsid w:val="00091205"/>
    <w:rsid w:val="000912B5"/>
    <w:rsid w:val="00091366"/>
    <w:rsid w:val="000913B1"/>
    <w:rsid w:val="000913C9"/>
    <w:rsid w:val="00091505"/>
    <w:rsid w:val="00091584"/>
    <w:rsid w:val="000916F8"/>
    <w:rsid w:val="000917F1"/>
    <w:rsid w:val="000917FF"/>
    <w:rsid w:val="0009194D"/>
    <w:rsid w:val="00091BE7"/>
    <w:rsid w:val="00091C18"/>
    <w:rsid w:val="00091DDB"/>
    <w:rsid w:val="00092007"/>
    <w:rsid w:val="0009204D"/>
    <w:rsid w:val="00092136"/>
    <w:rsid w:val="00092479"/>
    <w:rsid w:val="00092533"/>
    <w:rsid w:val="0009253A"/>
    <w:rsid w:val="000925BB"/>
    <w:rsid w:val="00092642"/>
    <w:rsid w:val="000926DE"/>
    <w:rsid w:val="000926E0"/>
    <w:rsid w:val="0009275A"/>
    <w:rsid w:val="000927E0"/>
    <w:rsid w:val="000928C6"/>
    <w:rsid w:val="00092A8C"/>
    <w:rsid w:val="00092CBF"/>
    <w:rsid w:val="00092DAE"/>
    <w:rsid w:val="00092F74"/>
    <w:rsid w:val="0009308D"/>
    <w:rsid w:val="000931AB"/>
    <w:rsid w:val="000931E1"/>
    <w:rsid w:val="00093310"/>
    <w:rsid w:val="000933A4"/>
    <w:rsid w:val="000933E9"/>
    <w:rsid w:val="000934DC"/>
    <w:rsid w:val="00093551"/>
    <w:rsid w:val="00093828"/>
    <w:rsid w:val="00093AA5"/>
    <w:rsid w:val="00093BA9"/>
    <w:rsid w:val="00093BC5"/>
    <w:rsid w:val="00093E92"/>
    <w:rsid w:val="00094034"/>
    <w:rsid w:val="00094047"/>
    <w:rsid w:val="0009405C"/>
    <w:rsid w:val="0009411A"/>
    <w:rsid w:val="00094232"/>
    <w:rsid w:val="000944DF"/>
    <w:rsid w:val="000944E6"/>
    <w:rsid w:val="0009470B"/>
    <w:rsid w:val="0009479C"/>
    <w:rsid w:val="000948A7"/>
    <w:rsid w:val="00094981"/>
    <w:rsid w:val="00094A03"/>
    <w:rsid w:val="00094DC1"/>
    <w:rsid w:val="00094E4A"/>
    <w:rsid w:val="00094F18"/>
    <w:rsid w:val="0009520A"/>
    <w:rsid w:val="0009530D"/>
    <w:rsid w:val="00095494"/>
    <w:rsid w:val="000955B9"/>
    <w:rsid w:val="00095670"/>
    <w:rsid w:val="00095724"/>
    <w:rsid w:val="0009577F"/>
    <w:rsid w:val="00095A9F"/>
    <w:rsid w:val="00095B6B"/>
    <w:rsid w:val="00095E26"/>
    <w:rsid w:val="00096049"/>
    <w:rsid w:val="0009608E"/>
    <w:rsid w:val="0009609C"/>
    <w:rsid w:val="00096124"/>
    <w:rsid w:val="0009640E"/>
    <w:rsid w:val="0009647F"/>
    <w:rsid w:val="000965F1"/>
    <w:rsid w:val="00096601"/>
    <w:rsid w:val="00096719"/>
    <w:rsid w:val="0009674D"/>
    <w:rsid w:val="0009677B"/>
    <w:rsid w:val="000967F0"/>
    <w:rsid w:val="00096979"/>
    <w:rsid w:val="00096A9F"/>
    <w:rsid w:val="00096D1C"/>
    <w:rsid w:val="0009703C"/>
    <w:rsid w:val="00097057"/>
    <w:rsid w:val="000970F6"/>
    <w:rsid w:val="00097167"/>
    <w:rsid w:val="000974F2"/>
    <w:rsid w:val="000974FF"/>
    <w:rsid w:val="0009757C"/>
    <w:rsid w:val="000976D5"/>
    <w:rsid w:val="000977BA"/>
    <w:rsid w:val="000978D6"/>
    <w:rsid w:val="00097AD9"/>
    <w:rsid w:val="00097C4D"/>
    <w:rsid w:val="00097CAD"/>
    <w:rsid w:val="00097DA1"/>
    <w:rsid w:val="00097EED"/>
    <w:rsid w:val="00097F0D"/>
    <w:rsid w:val="00097FBF"/>
    <w:rsid w:val="000A0025"/>
    <w:rsid w:val="000A021A"/>
    <w:rsid w:val="000A030C"/>
    <w:rsid w:val="000A03CD"/>
    <w:rsid w:val="000A040C"/>
    <w:rsid w:val="000A05B8"/>
    <w:rsid w:val="000A07C1"/>
    <w:rsid w:val="000A08CF"/>
    <w:rsid w:val="000A0968"/>
    <w:rsid w:val="000A0CC6"/>
    <w:rsid w:val="000A0D06"/>
    <w:rsid w:val="000A0F05"/>
    <w:rsid w:val="000A0F9D"/>
    <w:rsid w:val="000A0FA0"/>
    <w:rsid w:val="000A1034"/>
    <w:rsid w:val="000A1223"/>
    <w:rsid w:val="000A12BB"/>
    <w:rsid w:val="000A14F8"/>
    <w:rsid w:val="000A15D7"/>
    <w:rsid w:val="000A15F7"/>
    <w:rsid w:val="000A1823"/>
    <w:rsid w:val="000A19A5"/>
    <w:rsid w:val="000A1A44"/>
    <w:rsid w:val="000A1D58"/>
    <w:rsid w:val="000A1D83"/>
    <w:rsid w:val="000A1DC8"/>
    <w:rsid w:val="000A1F06"/>
    <w:rsid w:val="000A2058"/>
    <w:rsid w:val="000A2091"/>
    <w:rsid w:val="000A21F4"/>
    <w:rsid w:val="000A26F2"/>
    <w:rsid w:val="000A2858"/>
    <w:rsid w:val="000A28AA"/>
    <w:rsid w:val="000A28B9"/>
    <w:rsid w:val="000A2AF1"/>
    <w:rsid w:val="000A2B38"/>
    <w:rsid w:val="000A2C2D"/>
    <w:rsid w:val="000A2D2B"/>
    <w:rsid w:val="000A2D84"/>
    <w:rsid w:val="000A2F0B"/>
    <w:rsid w:val="000A34A7"/>
    <w:rsid w:val="000A3574"/>
    <w:rsid w:val="000A3604"/>
    <w:rsid w:val="000A3646"/>
    <w:rsid w:val="000A3713"/>
    <w:rsid w:val="000A383B"/>
    <w:rsid w:val="000A3999"/>
    <w:rsid w:val="000A3B20"/>
    <w:rsid w:val="000A3CDF"/>
    <w:rsid w:val="000A3E23"/>
    <w:rsid w:val="000A3E68"/>
    <w:rsid w:val="000A400F"/>
    <w:rsid w:val="000A4183"/>
    <w:rsid w:val="000A41D1"/>
    <w:rsid w:val="000A430E"/>
    <w:rsid w:val="000A4826"/>
    <w:rsid w:val="000A4A6F"/>
    <w:rsid w:val="000A4B4C"/>
    <w:rsid w:val="000A4BAD"/>
    <w:rsid w:val="000A4BE4"/>
    <w:rsid w:val="000A4E59"/>
    <w:rsid w:val="000A4F18"/>
    <w:rsid w:val="000A4F2C"/>
    <w:rsid w:val="000A4F3D"/>
    <w:rsid w:val="000A5329"/>
    <w:rsid w:val="000A543C"/>
    <w:rsid w:val="000A55CA"/>
    <w:rsid w:val="000A567D"/>
    <w:rsid w:val="000A5840"/>
    <w:rsid w:val="000A5863"/>
    <w:rsid w:val="000A591D"/>
    <w:rsid w:val="000A5AFA"/>
    <w:rsid w:val="000A5B17"/>
    <w:rsid w:val="000A5B70"/>
    <w:rsid w:val="000A5BAA"/>
    <w:rsid w:val="000A5D62"/>
    <w:rsid w:val="000A5DE7"/>
    <w:rsid w:val="000A5ED0"/>
    <w:rsid w:val="000A5F54"/>
    <w:rsid w:val="000A6066"/>
    <w:rsid w:val="000A613E"/>
    <w:rsid w:val="000A61C9"/>
    <w:rsid w:val="000A63F4"/>
    <w:rsid w:val="000A6415"/>
    <w:rsid w:val="000A646D"/>
    <w:rsid w:val="000A649F"/>
    <w:rsid w:val="000A64CA"/>
    <w:rsid w:val="000A64D5"/>
    <w:rsid w:val="000A66AF"/>
    <w:rsid w:val="000A66CC"/>
    <w:rsid w:val="000A679A"/>
    <w:rsid w:val="000A6881"/>
    <w:rsid w:val="000A6915"/>
    <w:rsid w:val="000A6931"/>
    <w:rsid w:val="000A69B4"/>
    <w:rsid w:val="000A6AB8"/>
    <w:rsid w:val="000A6D56"/>
    <w:rsid w:val="000A6E00"/>
    <w:rsid w:val="000A6ECA"/>
    <w:rsid w:val="000A70DD"/>
    <w:rsid w:val="000A721F"/>
    <w:rsid w:val="000A748A"/>
    <w:rsid w:val="000A74AF"/>
    <w:rsid w:val="000A7624"/>
    <w:rsid w:val="000A76AE"/>
    <w:rsid w:val="000A777E"/>
    <w:rsid w:val="000A784F"/>
    <w:rsid w:val="000A7B41"/>
    <w:rsid w:val="000A7BF8"/>
    <w:rsid w:val="000A7C79"/>
    <w:rsid w:val="000A7D2E"/>
    <w:rsid w:val="000A7E9E"/>
    <w:rsid w:val="000A7F1B"/>
    <w:rsid w:val="000B00CD"/>
    <w:rsid w:val="000B01C2"/>
    <w:rsid w:val="000B01E6"/>
    <w:rsid w:val="000B01F9"/>
    <w:rsid w:val="000B0398"/>
    <w:rsid w:val="000B03B2"/>
    <w:rsid w:val="000B04E0"/>
    <w:rsid w:val="000B05E3"/>
    <w:rsid w:val="000B0642"/>
    <w:rsid w:val="000B07F0"/>
    <w:rsid w:val="000B0853"/>
    <w:rsid w:val="000B0896"/>
    <w:rsid w:val="000B09D3"/>
    <w:rsid w:val="000B0AAF"/>
    <w:rsid w:val="000B0B23"/>
    <w:rsid w:val="000B0BCB"/>
    <w:rsid w:val="000B0D1C"/>
    <w:rsid w:val="000B0DCA"/>
    <w:rsid w:val="000B0E9A"/>
    <w:rsid w:val="000B0F5B"/>
    <w:rsid w:val="000B0FB2"/>
    <w:rsid w:val="000B11B8"/>
    <w:rsid w:val="000B131A"/>
    <w:rsid w:val="000B1437"/>
    <w:rsid w:val="000B1456"/>
    <w:rsid w:val="000B1501"/>
    <w:rsid w:val="000B15FF"/>
    <w:rsid w:val="000B17AA"/>
    <w:rsid w:val="000B197F"/>
    <w:rsid w:val="000B19AA"/>
    <w:rsid w:val="000B1A28"/>
    <w:rsid w:val="000B1D0C"/>
    <w:rsid w:val="000B1DDB"/>
    <w:rsid w:val="000B1F4B"/>
    <w:rsid w:val="000B200E"/>
    <w:rsid w:val="000B2049"/>
    <w:rsid w:val="000B2109"/>
    <w:rsid w:val="000B215B"/>
    <w:rsid w:val="000B22FF"/>
    <w:rsid w:val="000B256F"/>
    <w:rsid w:val="000B26B0"/>
    <w:rsid w:val="000B26BC"/>
    <w:rsid w:val="000B27CD"/>
    <w:rsid w:val="000B2AEB"/>
    <w:rsid w:val="000B2B6F"/>
    <w:rsid w:val="000B2B85"/>
    <w:rsid w:val="000B2BA7"/>
    <w:rsid w:val="000B2BB4"/>
    <w:rsid w:val="000B2C2C"/>
    <w:rsid w:val="000B2D44"/>
    <w:rsid w:val="000B2E56"/>
    <w:rsid w:val="000B2E6E"/>
    <w:rsid w:val="000B2F82"/>
    <w:rsid w:val="000B31EC"/>
    <w:rsid w:val="000B329B"/>
    <w:rsid w:val="000B335A"/>
    <w:rsid w:val="000B35D0"/>
    <w:rsid w:val="000B35F9"/>
    <w:rsid w:val="000B367D"/>
    <w:rsid w:val="000B37C0"/>
    <w:rsid w:val="000B3838"/>
    <w:rsid w:val="000B38EA"/>
    <w:rsid w:val="000B3933"/>
    <w:rsid w:val="000B3CA7"/>
    <w:rsid w:val="000B3E28"/>
    <w:rsid w:val="000B3EBD"/>
    <w:rsid w:val="000B3F6F"/>
    <w:rsid w:val="000B3F80"/>
    <w:rsid w:val="000B3FE0"/>
    <w:rsid w:val="000B407B"/>
    <w:rsid w:val="000B4215"/>
    <w:rsid w:val="000B424C"/>
    <w:rsid w:val="000B42BC"/>
    <w:rsid w:val="000B439A"/>
    <w:rsid w:val="000B4581"/>
    <w:rsid w:val="000B4644"/>
    <w:rsid w:val="000B47DB"/>
    <w:rsid w:val="000B48C1"/>
    <w:rsid w:val="000B48E1"/>
    <w:rsid w:val="000B4AAF"/>
    <w:rsid w:val="000B4B15"/>
    <w:rsid w:val="000B4CAC"/>
    <w:rsid w:val="000B4D22"/>
    <w:rsid w:val="000B4E03"/>
    <w:rsid w:val="000B4E7D"/>
    <w:rsid w:val="000B4EE0"/>
    <w:rsid w:val="000B4FE0"/>
    <w:rsid w:val="000B50F3"/>
    <w:rsid w:val="000B51EE"/>
    <w:rsid w:val="000B52FA"/>
    <w:rsid w:val="000B541D"/>
    <w:rsid w:val="000B54CE"/>
    <w:rsid w:val="000B5679"/>
    <w:rsid w:val="000B57DB"/>
    <w:rsid w:val="000B588A"/>
    <w:rsid w:val="000B5BAD"/>
    <w:rsid w:val="000B5C12"/>
    <w:rsid w:val="000B5CB6"/>
    <w:rsid w:val="000B5D62"/>
    <w:rsid w:val="000B5DE7"/>
    <w:rsid w:val="000B61C9"/>
    <w:rsid w:val="000B623E"/>
    <w:rsid w:val="000B62D1"/>
    <w:rsid w:val="000B62DD"/>
    <w:rsid w:val="000B62F5"/>
    <w:rsid w:val="000B64D2"/>
    <w:rsid w:val="000B66C7"/>
    <w:rsid w:val="000B66D7"/>
    <w:rsid w:val="000B66F9"/>
    <w:rsid w:val="000B6823"/>
    <w:rsid w:val="000B687F"/>
    <w:rsid w:val="000B68B9"/>
    <w:rsid w:val="000B69E2"/>
    <w:rsid w:val="000B6B26"/>
    <w:rsid w:val="000B6B88"/>
    <w:rsid w:val="000B6C8D"/>
    <w:rsid w:val="000B6DC2"/>
    <w:rsid w:val="000B6DEF"/>
    <w:rsid w:val="000B6EBF"/>
    <w:rsid w:val="000B6F47"/>
    <w:rsid w:val="000B7174"/>
    <w:rsid w:val="000B719D"/>
    <w:rsid w:val="000B71ED"/>
    <w:rsid w:val="000B758B"/>
    <w:rsid w:val="000B7973"/>
    <w:rsid w:val="000B79F4"/>
    <w:rsid w:val="000B79F5"/>
    <w:rsid w:val="000B7B62"/>
    <w:rsid w:val="000B7C19"/>
    <w:rsid w:val="000B7DD1"/>
    <w:rsid w:val="000B7E55"/>
    <w:rsid w:val="000B7F01"/>
    <w:rsid w:val="000C001F"/>
    <w:rsid w:val="000C0146"/>
    <w:rsid w:val="000C03F3"/>
    <w:rsid w:val="000C042C"/>
    <w:rsid w:val="000C0651"/>
    <w:rsid w:val="000C0678"/>
    <w:rsid w:val="000C067F"/>
    <w:rsid w:val="000C06AD"/>
    <w:rsid w:val="000C0972"/>
    <w:rsid w:val="000C0B30"/>
    <w:rsid w:val="000C0BCF"/>
    <w:rsid w:val="000C0F37"/>
    <w:rsid w:val="000C1033"/>
    <w:rsid w:val="000C1061"/>
    <w:rsid w:val="000C1194"/>
    <w:rsid w:val="000C1244"/>
    <w:rsid w:val="000C124C"/>
    <w:rsid w:val="000C12C3"/>
    <w:rsid w:val="000C141C"/>
    <w:rsid w:val="000C14F9"/>
    <w:rsid w:val="000C189E"/>
    <w:rsid w:val="000C199F"/>
    <w:rsid w:val="000C1A5A"/>
    <w:rsid w:val="000C1B82"/>
    <w:rsid w:val="000C1C25"/>
    <w:rsid w:val="000C1C2A"/>
    <w:rsid w:val="000C1C51"/>
    <w:rsid w:val="000C1E01"/>
    <w:rsid w:val="000C1F07"/>
    <w:rsid w:val="000C20D0"/>
    <w:rsid w:val="000C2302"/>
    <w:rsid w:val="000C24DF"/>
    <w:rsid w:val="000C2573"/>
    <w:rsid w:val="000C25C9"/>
    <w:rsid w:val="000C25D9"/>
    <w:rsid w:val="000C29BD"/>
    <w:rsid w:val="000C2AA5"/>
    <w:rsid w:val="000C2B63"/>
    <w:rsid w:val="000C2C42"/>
    <w:rsid w:val="000C2C76"/>
    <w:rsid w:val="000C2FFC"/>
    <w:rsid w:val="000C312F"/>
    <w:rsid w:val="000C3228"/>
    <w:rsid w:val="000C3270"/>
    <w:rsid w:val="000C343A"/>
    <w:rsid w:val="000C3448"/>
    <w:rsid w:val="000C35C9"/>
    <w:rsid w:val="000C364E"/>
    <w:rsid w:val="000C39BE"/>
    <w:rsid w:val="000C3C95"/>
    <w:rsid w:val="000C3D62"/>
    <w:rsid w:val="000C40DD"/>
    <w:rsid w:val="000C4106"/>
    <w:rsid w:val="000C4389"/>
    <w:rsid w:val="000C43EE"/>
    <w:rsid w:val="000C4887"/>
    <w:rsid w:val="000C4D38"/>
    <w:rsid w:val="000C4D46"/>
    <w:rsid w:val="000C4D74"/>
    <w:rsid w:val="000C4E7A"/>
    <w:rsid w:val="000C4F31"/>
    <w:rsid w:val="000C5183"/>
    <w:rsid w:val="000C5222"/>
    <w:rsid w:val="000C5414"/>
    <w:rsid w:val="000C55C6"/>
    <w:rsid w:val="000C55F7"/>
    <w:rsid w:val="000C5637"/>
    <w:rsid w:val="000C5638"/>
    <w:rsid w:val="000C5755"/>
    <w:rsid w:val="000C57B8"/>
    <w:rsid w:val="000C5C17"/>
    <w:rsid w:val="000C5C50"/>
    <w:rsid w:val="000C5C6E"/>
    <w:rsid w:val="000C5C73"/>
    <w:rsid w:val="000C5EEE"/>
    <w:rsid w:val="000C611B"/>
    <w:rsid w:val="000C6150"/>
    <w:rsid w:val="000C6189"/>
    <w:rsid w:val="000C618F"/>
    <w:rsid w:val="000C62CC"/>
    <w:rsid w:val="000C6343"/>
    <w:rsid w:val="000C660C"/>
    <w:rsid w:val="000C66BA"/>
    <w:rsid w:val="000C69C2"/>
    <w:rsid w:val="000C6C8B"/>
    <w:rsid w:val="000C6D4C"/>
    <w:rsid w:val="000C6DB9"/>
    <w:rsid w:val="000C6E24"/>
    <w:rsid w:val="000C71C7"/>
    <w:rsid w:val="000C7222"/>
    <w:rsid w:val="000C7286"/>
    <w:rsid w:val="000C7539"/>
    <w:rsid w:val="000C75DC"/>
    <w:rsid w:val="000C761C"/>
    <w:rsid w:val="000C78D3"/>
    <w:rsid w:val="000C7947"/>
    <w:rsid w:val="000C7C5A"/>
    <w:rsid w:val="000C7CF4"/>
    <w:rsid w:val="000C7E45"/>
    <w:rsid w:val="000C7F4D"/>
    <w:rsid w:val="000C7F7D"/>
    <w:rsid w:val="000C7FF7"/>
    <w:rsid w:val="000D0217"/>
    <w:rsid w:val="000D0455"/>
    <w:rsid w:val="000D0726"/>
    <w:rsid w:val="000D0869"/>
    <w:rsid w:val="000D086F"/>
    <w:rsid w:val="000D08D4"/>
    <w:rsid w:val="000D0953"/>
    <w:rsid w:val="000D0955"/>
    <w:rsid w:val="000D095B"/>
    <w:rsid w:val="000D0AA9"/>
    <w:rsid w:val="000D0AB2"/>
    <w:rsid w:val="000D0BF7"/>
    <w:rsid w:val="000D0D5B"/>
    <w:rsid w:val="000D0D6F"/>
    <w:rsid w:val="000D0D97"/>
    <w:rsid w:val="000D0E3F"/>
    <w:rsid w:val="000D0ED7"/>
    <w:rsid w:val="000D0EE0"/>
    <w:rsid w:val="000D0EE2"/>
    <w:rsid w:val="000D104C"/>
    <w:rsid w:val="000D138A"/>
    <w:rsid w:val="000D13E4"/>
    <w:rsid w:val="000D176D"/>
    <w:rsid w:val="000D181D"/>
    <w:rsid w:val="000D182A"/>
    <w:rsid w:val="000D191A"/>
    <w:rsid w:val="000D19D2"/>
    <w:rsid w:val="000D1CD2"/>
    <w:rsid w:val="000D1CEB"/>
    <w:rsid w:val="000D1E83"/>
    <w:rsid w:val="000D1ED4"/>
    <w:rsid w:val="000D1F49"/>
    <w:rsid w:val="000D2272"/>
    <w:rsid w:val="000D2289"/>
    <w:rsid w:val="000D22BE"/>
    <w:rsid w:val="000D23B7"/>
    <w:rsid w:val="000D23BB"/>
    <w:rsid w:val="000D27F6"/>
    <w:rsid w:val="000D2A61"/>
    <w:rsid w:val="000D2A6D"/>
    <w:rsid w:val="000D2B84"/>
    <w:rsid w:val="000D2D52"/>
    <w:rsid w:val="000D304C"/>
    <w:rsid w:val="000D3166"/>
    <w:rsid w:val="000D31D5"/>
    <w:rsid w:val="000D32C9"/>
    <w:rsid w:val="000D3549"/>
    <w:rsid w:val="000D3611"/>
    <w:rsid w:val="000D37D1"/>
    <w:rsid w:val="000D383B"/>
    <w:rsid w:val="000D3AA4"/>
    <w:rsid w:val="000D3AD1"/>
    <w:rsid w:val="000D3BE1"/>
    <w:rsid w:val="000D3C1D"/>
    <w:rsid w:val="000D3FCD"/>
    <w:rsid w:val="000D406A"/>
    <w:rsid w:val="000D4375"/>
    <w:rsid w:val="000D4381"/>
    <w:rsid w:val="000D44AC"/>
    <w:rsid w:val="000D44F0"/>
    <w:rsid w:val="000D478C"/>
    <w:rsid w:val="000D4859"/>
    <w:rsid w:val="000D4A04"/>
    <w:rsid w:val="000D4C00"/>
    <w:rsid w:val="000D4C32"/>
    <w:rsid w:val="000D4D52"/>
    <w:rsid w:val="000D4F86"/>
    <w:rsid w:val="000D502C"/>
    <w:rsid w:val="000D51AB"/>
    <w:rsid w:val="000D5224"/>
    <w:rsid w:val="000D55CE"/>
    <w:rsid w:val="000D5614"/>
    <w:rsid w:val="000D5738"/>
    <w:rsid w:val="000D57E1"/>
    <w:rsid w:val="000D5BA8"/>
    <w:rsid w:val="000D5BCE"/>
    <w:rsid w:val="000D5CE3"/>
    <w:rsid w:val="000D5E1A"/>
    <w:rsid w:val="000D5ED5"/>
    <w:rsid w:val="000D5FDE"/>
    <w:rsid w:val="000D6111"/>
    <w:rsid w:val="000D6314"/>
    <w:rsid w:val="000D6482"/>
    <w:rsid w:val="000D67C4"/>
    <w:rsid w:val="000D6C17"/>
    <w:rsid w:val="000D6D3C"/>
    <w:rsid w:val="000D6E42"/>
    <w:rsid w:val="000D6EDA"/>
    <w:rsid w:val="000D6F17"/>
    <w:rsid w:val="000D7021"/>
    <w:rsid w:val="000D70A6"/>
    <w:rsid w:val="000D736B"/>
    <w:rsid w:val="000D741A"/>
    <w:rsid w:val="000D7429"/>
    <w:rsid w:val="000D7443"/>
    <w:rsid w:val="000D74CA"/>
    <w:rsid w:val="000D7525"/>
    <w:rsid w:val="000D75B3"/>
    <w:rsid w:val="000D7990"/>
    <w:rsid w:val="000D79E0"/>
    <w:rsid w:val="000D79F7"/>
    <w:rsid w:val="000D7A8A"/>
    <w:rsid w:val="000D7C2E"/>
    <w:rsid w:val="000D7CD8"/>
    <w:rsid w:val="000D7D1F"/>
    <w:rsid w:val="000D7E49"/>
    <w:rsid w:val="000D7FEA"/>
    <w:rsid w:val="000E01B9"/>
    <w:rsid w:val="000E01D6"/>
    <w:rsid w:val="000E01DA"/>
    <w:rsid w:val="000E0231"/>
    <w:rsid w:val="000E058D"/>
    <w:rsid w:val="000E0716"/>
    <w:rsid w:val="000E0765"/>
    <w:rsid w:val="000E0919"/>
    <w:rsid w:val="000E09E4"/>
    <w:rsid w:val="000E0CCA"/>
    <w:rsid w:val="000E0E61"/>
    <w:rsid w:val="000E11CF"/>
    <w:rsid w:val="000E12E1"/>
    <w:rsid w:val="000E148A"/>
    <w:rsid w:val="000E1494"/>
    <w:rsid w:val="000E16D2"/>
    <w:rsid w:val="000E17DE"/>
    <w:rsid w:val="000E180A"/>
    <w:rsid w:val="000E183D"/>
    <w:rsid w:val="000E1A0C"/>
    <w:rsid w:val="000E1B94"/>
    <w:rsid w:val="000E1C28"/>
    <w:rsid w:val="000E1D1E"/>
    <w:rsid w:val="000E1E4C"/>
    <w:rsid w:val="000E1F18"/>
    <w:rsid w:val="000E2017"/>
    <w:rsid w:val="000E201B"/>
    <w:rsid w:val="000E222F"/>
    <w:rsid w:val="000E2235"/>
    <w:rsid w:val="000E2347"/>
    <w:rsid w:val="000E2877"/>
    <w:rsid w:val="000E299C"/>
    <w:rsid w:val="000E29A0"/>
    <w:rsid w:val="000E29E0"/>
    <w:rsid w:val="000E2B55"/>
    <w:rsid w:val="000E2E05"/>
    <w:rsid w:val="000E2E87"/>
    <w:rsid w:val="000E2F42"/>
    <w:rsid w:val="000E3033"/>
    <w:rsid w:val="000E31DE"/>
    <w:rsid w:val="000E3311"/>
    <w:rsid w:val="000E33D3"/>
    <w:rsid w:val="000E3478"/>
    <w:rsid w:val="000E3492"/>
    <w:rsid w:val="000E362A"/>
    <w:rsid w:val="000E3657"/>
    <w:rsid w:val="000E3824"/>
    <w:rsid w:val="000E3896"/>
    <w:rsid w:val="000E38A4"/>
    <w:rsid w:val="000E391D"/>
    <w:rsid w:val="000E3C49"/>
    <w:rsid w:val="000E3DCB"/>
    <w:rsid w:val="000E3F55"/>
    <w:rsid w:val="000E4027"/>
    <w:rsid w:val="000E411F"/>
    <w:rsid w:val="000E4135"/>
    <w:rsid w:val="000E41AD"/>
    <w:rsid w:val="000E45E2"/>
    <w:rsid w:val="000E4B0A"/>
    <w:rsid w:val="000E4CE2"/>
    <w:rsid w:val="000E50AC"/>
    <w:rsid w:val="000E51BA"/>
    <w:rsid w:val="000E5212"/>
    <w:rsid w:val="000E5295"/>
    <w:rsid w:val="000E52B7"/>
    <w:rsid w:val="000E535B"/>
    <w:rsid w:val="000E53A9"/>
    <w:rsid w:val="000E55EC"/>
    <w:rsid w:val="000E57AD"/>
    <w:rsid w:val="000E5901"/>
    <w:rsid w:val="000E590C"/>
    <w:rsid w:val="000E5AFF"/>
    <w:rsid w:val="000E5CE8"/>
    <w:rsid w:val="000E5D12"/>
    <w:rsid w:val="000E5F5C"/>
    <w:rsid w:val="000E5F68"/>
    <w:rsid w:val="000E61E1"/>
    <w:rsid w:val="000E63D3"/>
    <w:rsid w:val="000E644D"/>
    <w:rsid w:val="000E64B7"/>
    <w:rsid w:val="000E664B"/>
    <w:rsid w:val="000E6788"/>
    <w:rsid w:val="000E6AEA"/>
    <w:rsid w:val="000E6B50"/>
    <w:rsid w:val="000E6BB9"/>
    <w:rsid w:val="000E6E84"/>
    <w:rsid w:val="000E6FAE"/>
    <w:rsid w:val="000E7018"/>
    <w:rsid w:val="000E7184"/>
    <w:rsid w:val="000E74A1"/>
    <w:rsid w:val="000E74E8"/>
    <w:rsid w:val="000E752C"/>
    <w:rsid w:val="000E79F1"/>
    <w:rsid w:val="000E7B01"/>
    <w:rsid w:val="000E7D39"/>
    <w:rsid w:val="000E7E74"/>
    <w:rsid w:val="000E7FFA"/>
    <w:rsid w:val="000F0338"/>
    <w:rsid w:val="000F0392"/>
    <w:rsid w:val="000F0587"/>
    <w:rsid w:val="000F06A6"/>
    <w:rsid w:val="000F0A93"/>
    <w:rsid w:val="000F0CB3"/>
    <w:rsid w:val="000F0D2E"/>
    <w:rsid w:val="000F0D42"/>
    <w:rsid w:val="000F0E44"/>
    <w:rsid w:val="000F0EA9"/>
    <w:rsid w:val="000F10B5"/>
    <w:rsid w:val="000F1242"/>
    <w:rsid w:val="000F12EB"/>
    <w:rsid w:val="000F15B7"/>
    <w:rsid w:val="000F177B"/>
    <w:rsid w:val="000F17E4"/>
    <w:rsid w:val="000F1931"/>
    <w:rsid w:val="000F1A36"/>
    <w:rsid w:val="000F20C8"/>
    <w:rsid w:val="000F216B"/>
    <w:rsid w:val="000F23BE"/>
    <w:rsid w:val="000F2738"/>
    <w:rsid w:val="000F286B"/>
    <w:rsid w:val="000F2B08"/>
    <w:rsid w:val="000F2D61"/>
    <w:rsid w:val="000F2EBE"/>
    <w:rsid w:val="000F2EEB"/>
    <w:rsid w:val="000F30F7"/>
    <w:rsid w:val="000F3493"/>
    <w:rsid w:val="000F37CA"/>
    <w:rsid w:val="000F37D8"/>
    <w:rsid w:val="000F392E"/>
    <w:rsid w:val="000F3A18"/>
    <w:rsid w:val="000F3C9A"/>
    <w:rsid w:val="000F3CA6"/>
    <w:rsid w:val="000F3D0F"/>
    <w:rsid w:val="000F3DBD"/>
    <w:rsid w:val="000F3DD9"/>
    <w:rsid w:val="000F3E9E"/>
    <w:rsid w:val="000F3EBB"/>
    <w:rsid w:val="000F3F0E"/>
    <w:rsid w:val="000F413C"/>
    <w:rsid w:val="000F4164"/>
    <w:rsid w:val="000F41B0"/>
    <w:rsid w:val="000F41DC"/>
    <w:rsid w:val="000F447B"/>
    <w:rsid w:val="000F4595"/>
    <w:rsid w:val="000F45FF"/>
    <w:rsid w:val="000F466C"/>
    <w:rsid w:val="000F48A3"/>
    <w:rsid w:val="000F494E"/>
    <w:rsid w:val="000F49F1"/>
    <w:rsid w:val="000F50A7"/>
    <w:rsid w:val="000F50F2"/>
    <w:rsid w:val="000F5170"/>
    <w:rsid w:val="000F5296"/>
    <w:rsid w:val="000F5636"/>
    <w:rsid w:val="000F572D"/>
    <w:rsid w:val="000F578B"/>
    <w:rsid w:val="000F5813"/>
    <w:rsid w:val="000F588A"/>
    <w:rsid w:val="000F58D7"/>
    <w:rsid w:val="000F597E"/>
    <w:rsid w:val="000F599F"/>
    <w:rsid w:val="000F5ABB"/>
    <w:rsid w:val="000F5BFE"/>
    <w:rsid w:val="000F5E56"/>
    <w:rsid w:val="000F5E7B"/>
    <w:rsid w:val="000F5F12"/>
    <w:rsid w:val="000F602E"/>
    <w:rsid w:val="000F6106"/>
    <w:rsid w:val="000F6194"/>
    <w:rsid w:val="000F62D0"/>
    <w:rsid w:val="000F62D2"/>
    <w:rsid w:val="000F6542"/>
    <w:rsid w:val="000F65EE"/>
    <w:rsid w:val="000F688A"/>
    <w:rsid w:val="000F6A0B"/>
    <w:rsid w:val="000F6A16"/>
    <w:rsid w:val="000F6BE4"/>
    <w:rsid w:val="000F6C34"/>
    <w:rsid w:val="000F6F8C"/>
    <w:rsid w:val="000F7122"/>
    <w:rsid w:val="000F73D2"/>
    <w:rsid w:val="000F7A3A"/>
    <w:rsid w:val="000F7E9C"/>
    <w:rsid w:val="001003A9"/>
    <w:rsid w:val="001004A9"/>
    <w:rsid w:val="001005B7"/>
    <w:rsid w:val="001006B7"/>
    <w:rsid w:val="001007EE"/>
    <w:rsid w:val="00100867"/>
    <w:rsid w:val="00100B12"/>
    <w:rsid w:val="00100C4C"/>
    <w:rsid w:val="00100CC8"/>
    <w:rsid w:val="00100E7C"/>
    <w:rsid w:val="00100E9C"/>
    <w:rsid w:val="0010101C"/>
    <w:rsid w:val="00101027"/>
    <w:rsid w:val="00101179"/>
    <w:rsid w:val="001011FA"/>
    <w:rsid w:val="0010120B"/>
    <w:rsid w:val="00101430"/>
    <w:rsid w:val="00101492"/>
    <w:rsid w:val="001015A6"/>
    <w:rsid w:val="001015EA"/>
    <w:rsid w:val="0010178B"/>
    <w:rsid w:val="001018FE"/>
    <w:rsid w:val="00101C2E"/>
    <w:rsid w:val="00101CCB"/>
    <w:rsid w:val="00101D2B"/>
    <w:rsid w:val="00101E29"/>
    <w:rsid w:val="00101FF2"/>
    <w:rsid w:val="001022D0"/>
    <w:rsid w:val="001022D3"/>
    <w:rsid w:val="0010233C"/>
    <w:rsid w:val="0010260C"/>
    <w:rsid w:val="00102672"/>
    <w:rsid w:val="0010273B"/>
    <w:rsid w:val="001028D4"/>
    <w:rsid w:val="0010293C"/>
    <w:rsid w:val="001029E9"/>
    <w:rsid w:val="00102B38"/>
    <w:rsid w:val="00102BEE"/>
    <w:rsid w:val="00102C38"/>
    <w:rsid w:val="00102CFA"/>
    <w:rsid w:val="00102DCF"/>
    <w:rsid w:val="00102F34"/>
    <w:rsid w:val="00103054"/>
    <w:rsid w:val="00103138"/>
    <w:rsid w:val="001031A8"/>
    <w:rsid w:val="001031F1"/>
    <w:rsid w:val="001032A5"/>
    <w:rsid w:val="001035CA"/>
    <w:rsid w:val="001035F3"/>
    <w:rsid w:val="00103667"/>
    <w:rsid w:val="0010388B"/>
    <w:rsid w:val="001039CC"/>
    <w:rsid w:val="00103A8D"/>
    <w:rsid w:val="00103B36"/>
    <w:rsid w:val="00103C77"/>
    <w:rsid w:val="00103C81"/>
    <w:rsid w:val="00103D05"/>
    <w:rsid w:val="00103D99"/>
    <w:rsid w:val="00103EAA"/>
    <w:rsid w:val="001041AD"/>
    <w:rsid w:val="001042B2"/>
    <w:rsid w:val="001042B6"/>
    <w:rsid w:val="001042DE"/>
    <w:rsid w:val="00104426"/>
    <w:rsid w:val="00104507"/>
    <w:rsid w:val="001045F4"/>
    <w:rsid w:val="0010462B"/>
    <w:rsid w:val="001046EE"/>
    <w:rsid w:val="0010477F"/>
    <w:rsid w:val="00104798"/>
    <w:rsid w:val="00104AC5"/>
    <w:rsid w:val="00104B06"/>
    <w:rsid w:val="00104B5D"/>
    <w:rsid w:val="00104BA1"/>
    <w:rsid w:val="00104CF5"/>
    <w:rsid w:val="00104D3B"/>
    <w:rsid w:val="00104F47"/>
    <w:rsid w:val="00104F8E"/>
    <w:rsid w:val="001050FD"/>
    <w:rsid w:val="001051E0"/>
    <w:rsid w:val="001054F7"/>
    <w:rsid w:val="00105501"/>
    <w:rsid w:val="00105535"/>
    <w:rsid w:val="00105584"/>
    <w:rsid w:val="0010563B"/>
    <w:rsid w:val="00105863"/>
    <w:rsid w:val="00105874"/>
    <w:rsid w:val="001058B9"/>
    <w:rsid w:val="0010590A"/>
    <w:rsid w:val="00105910"/>
    <w:rsid w:val="0010599E"/>
    <w:rsid w:val="00105ACA"/>
    <w:rsid w:val="00105B85"/>
    <w:rsid w:val="00105BAC"/>
    <w:rsid w:val="00105C4A"/>
    <w:rsid w:val="00105C9D"/>
    <w:rsid w:val="00105CA6"/>
    <w:rsid w:val="00105E15"/>
    <w:rsid w:val="00106011"/>
    <w:rsid w:val="001060C9"/>
    <w:rsid w:val="0010611B"/>
    <w:rsid w:val="00106155"/>
    <w:rsid w:val="00106174"/>
    <w:rsid w:val="00106430"/>
    <w:rsid w:val="00106541"/>
    <w:rsid w:val="00106594"/>
    <w:rsid w:val="001066A8"/>
    <w:rsid w:val="00106747"/>
    <w:rsid w:val="001067AD"/>
    <w:rsid w:val="001068CC"/>
    <w:rsid w:val="001068EF"/>
    <w:rsid w:val="00106AFE"/>
    <w:rsid w:val="00106B17"/>
    <w:rsid w:val="00106B59"/>
    <w:rsid w:val="00106E75"/>
    <w:rsid w:val="001073E7"/>
    <w:rsid w:val="00107518"/>
    <w:rsid w:val="00107605"/>
    <w:rsid w:val="0010788E"/>
    <w:rsid w:val="001078A5"/>
    <w:rsid w:val="00107957"/>
    <w:rsid w:val="001079E7"/>
    <w:rsid w:val="00107A7D"/>
    <w:rsid w:val="00107BF4"/>
    <w:rsid w:val="00107C8A"/>
    <w:rsid w:val="00107E16"/>
    <w:rsid w:val="001100DE"/>
    <w:rsid w:val="001101DD"/>
    <w:rsid w:val="00110451"/>
    <w:rsid w:val="001104BD"/>
    <w:rsid w:val="001106A7"/>
    <w:rsid w:val="00110716"/>
    <w:rsid w:val="00110846"/>
    <w:rsid w:val="00110AFD"/>
    <w:rsid w:val="00110DEA"/>
    <w:rsid w:val="00110EF3"/>
    <w:rsid w:val="00111018"/>
    <w:rsid w:val="0011101B"/>
    <w:rsid w:val="0011103F"/>
    <w:rsid w:val="001111AE"/>
    <w:rsid w:val="001113AF"/>
    <w:rsid w:val="001115D5"/>
    <w:rsid w:val="00111600"/>
    <w:rsid w:val="001116DD"/>
    <w:rsid w:val="00111825"/>
    <w:rsid w:val="0011193E"/>
    <w:rsid w:val="00111A36"/>
    <w:rsid w:val="00111B36"/>
    <w:rsid w:val="00111B53"/>
    <w:rsid w:val="00111E67"/>
    <w:rsid w:val="00111E74"/>
    <w:rsid w:val="00111EB0"/>
    <w:rsid w:val="0011208A"/>
    <w:rsid w:val="001120D0"/>
    <w:rsid w:val="00112173"/>
    <w:rsid w:val="001121BC"/>
    <w:rsid w:val="00112408"/>
    <w:rsid w:val="001124AF"/>
    <w:rsid w:val="0011258C"/>
    <w:rsid w:val="001125D2"/>
    <w:rsid w:val="0011261A"/>
    <w:rsid w:val="001126D3"/>
    <w:rsid w:val="0011280D"/>
    <w:rsid w:val="0011291A"/>
    <w:rsid w:val="00112BF8"/>
    <w:rsid w:val="00112D2C"/>
    <w:rsid w:val="00112E10"/>
    <w:rsid w:val="0011301E"/>
    <w:rsid w:val="0011307A"/>
    <w:rsid w:val="00113209"/>
    <w:rsid w:val="001133F8"/>
    <w:rsid w:val="00113461"/>
    <w:rsid w:val="00113578"/>
    <w:rsid w:val="001135B3"/>
    <w:rsid w:val="001135C4"/>
    <w:rsid w:val="001136EB"/>
    <w:rsid w:val="001137FB"/>
    <w:rsid w:val="001139F5"/>
    <w:rsid w:val="00113A18"/>
    <w:rsid w:val="00113CAD"/>
    <w:rsid w:val="00113CB5"/>
    <w:rsid w:val="00113D4B"/>
    <w:rsid w:val="00114122"/>
    <w:rsid w:val="00114206"/>
    <w:rsid w:val="0011435A"/>
    <w:rsid w:val="00114366"/>
    <w:rsid w:val="00114972"/>
    <w:rsid w:val="00114987"/>
    <w:rsid w:val="00114993"/>
    <w:rsid w:val="00114B63"/>
    <w:rsid w:val="00114B91"/>
    <w:rsid w:val="00114CBA"/>
    <w:rsid w:val="00115055"/>
    <w:rsid w:val="00115412"/>
    <w:rsid w:val="001154CD"/>
    <w:rsid w:val="001154DC"/>
    <w:rsid w:val="00115559"/>
    <w:rsid w:val="00115619"/>
    <w:rsid w:val="0011587E"/>
    <w:rsid w:val="00115916"/>
    <w:rsid w:val="00115A39"/>
    <w:rsid w:val="00115A7D"/>
    <w:rsid w:val="00115A91"/>
    <w:rsid w:val="00115AA1"/>
    <w:rsid w:val="00115AD0"/>
    <w:rsid w:val="00115BD5"/>
    <w:rsid w:val="00115C2D"/>
    <w:rsid w:val="00115E41"/>
    <w:rsid w:val="00115EE6"/>
    <w:rsid w:val="00115FE0"/>
    <w:rsid w:val="0011601A"/>
    <w:rsid w:val="0011604A"/>
    <w:rsid w:val="00116570"/>
    <w:rsid w:val="001169B8"/>
    <w:rsid w:val="00116DFE"/>
    <w:rsid w:val="00116E40"/>
    <w:rsid w:val="00116F1B"/>
    <w:rsid w:val="00116F94"/>
    <w:rsid w:val="00117232"/>
    <w:rsid w:val="001173C3"/>
    <w:rsid w:val="0011746A"/>
    <w:rsid w:val="00117971"/>
    <w:rsid w:val="001179AF"/>
    <w:rsid w:val="00117B1F"/>
    <w:rsid w:val="00117B85"/>
    <w:rsid w:val="00117CF8"/>
    <w:rsid w:val="00117D02"/>
    <w:rsid w:val="00117D83"/>
    <w:rsid w:val="00117DD6"/>
    <w:rsid w:val="00117DDB"/>
    <w:rsid w:val="00117E8E"/>
    <w:rsid w:val="00117EF5"/>
    <w:rsid w:val="00120017"/>
    <w:rsid w:val="00120573"/>
    <w:rsid w:val="001206DB"/>
    <w:rsid w:val="00120A1F"/>
    <w:rsid w:val="00120C5B"/>
    <w:rsid w:val="00120DCC"/>
    <w:rsid w:val="00120F52"/>
    <w:rsid w:val="00121235"/>
    <w:rsid w:val="0012125B"/>
    <w:rsid w:val="0012135A"/>
    <w:rsid w:val="00121375"/>
    <w:rsid w:val="00121477"/>
    <w:rsid w:val="00121508"/>
    <w:rsid w:val="00121583"/>
    <w:rsid w:val="00121637"/>
    <w:rsid w:val="001216C6"/>
    <w:rsid w:val="00121836"/>
    <w:rsid w:val="00121904"/>
    <w:rsid w:val="001219BB"/>
    <w:rsid w:val="00121AA7"/>
    <w:rsid w:val="00121B8E"/>
    <w:rsid w:val="00121D7C"/>
    <w:rsid w:val="00121E8C"/>
    <w:rsid w:val="001222D1"/>
    <w:rsid w:val="001222E6"/>
    <w:rsid w:val="001223F7"/>
    <w:rsid w:val="001224F6"/>
    <w:rsid w:val="00122579"/>
    <w:rsid w:val="0012276B"/>
    <w:rsid w:val="0012288A"/>
    <w:rsid w:val="0012292B"/>
    <w:rsid w:val="00122C84"/>
    <w:rsid w:val="00122D88"/>
    <w:rsid w:val="00122F91"/>
    <w:rsid w:val="0012308D"/>
    <w:rsid w:val="00123108"/>
    <w:rsid w:val="00123216"/>
    <w:rsid w:val="0012339F"/>
    <w:rsid w:val="0012347D"/>
    <w:rsid w:val="00123484"/>
    <w:rsid w:val="00123594"/>
    <w:rsid w:val="001235A3"/>
    <w:rsid w:val="001235D5"/>
    <w:rsid w:val="001235E1"/>
    <w:rsid w:val="0012365F"/>
    <w:rsid w:val="001236B1"/>
    <w:rsid w:val="00123742"/>
    <w:rsid w:val="001237C4"/>
    <w:rsid w:val="0012395D"/>
    <w:rsid w:val="00123B14"/>
    <w:rsid w:val="00123D57"/>
    <w:rsid w:val="00123D8C"/>
    <w:rsid w:val="00123F09"/>
    <w:rsid w:val="00123F3E"/>
    <w:rsid w:val="001242A1"/>
    <w:rsid w:val="00124379"/>
    <w:rsid w:val="001243BD"/>
    <w:rsid w:val="001247CE"/>
    <w:rsid w:val="001248B2"/>
    <w:rsid w:val="00124D71"/>
    <w:rsid w:val="00124FE5"/>
    <w:rsid w:val="0012506D"/>
    <w:rsid w:val="001250B6"/>
    <w:rsid w:val="001252BD"/>
    <w:rsid w:val="001252EE"/>
    <w:rsid w:val="001253F8"/>
    <w:rsid w:val="001254CC"/>
    <w:rsid w:val="00125573"/>
    <w:rsid w:val="001255C8"/>
    <w:rsid w:val="0012572B"/>
    <w:rsid w:val="00125762"/>
    <w:rsid w:val="0012584A"/>
    <w:rsid w:val="00125864"/>
    <w:rsid w:val="00125C10"/>
    <w:rsid w:val="00125E9A"/>
    <w:rsid w:val="00126070"/>
    <w:rsid w:val="001261A2"/>
    <w:rsid w:val="001261BB"/>
    <w:rsid w:val="001262AC"/>
    <w:rsid w:val="00126300"/>
    <w:rsid w:val="00126511"/>
    <w:rsid w:val="00126584"/>
    <w:rsid w:val="001265EB"/>
    <w:rsid w:val="001265F1"/>
    <w:rsid w:val="00126603"/>
    <w:rsid w:val="001266DE"/>
    <w:rsid w:val="001268B3"/>
    <w:rsid w:val="001268FB"/>
    <w:rsid w:val="00126AE7"/>
    <w:rsid w:val="00126C51"/>
    <w:rsid w:val="00126C9B"/>
    <w:rsid w:val="00126D52"/>
    <w:rsid w:val="00126DAC"/>
    <w:rsid w:val="00126DDA"/>
    <w:rsid w:val="00126F75"/>
    <w:rsid w:val="00127026"/>
    <w:rsid w:val="0012706D"/>
    <w:rsid w:val="0012707A"/>
    <w:rsid w:val="001272FF"/>
    <w:rsid w:val="00127446"/>
    <w:rsid w:val="00127488"/>
    <w:rsid w:val="001274D0"/>
    <w:rsid w:val="00127638"/>
    <w:rsid w:val="001277F9"/>
    <w:rsid w:val="001278AA"/>
    <w:rsid w:val="0012794E"/>
    <w:rsid w:val="00127A1C"/>
    <w:rsid w:val="00127A2E"/>
    <w:rsid w:val="00127BC2"/>
    <w:rsid w:val="00127F2B"/>
    <w:rsid w:val="00127F6E"/>
    <w:rsid w:val="00127F8B"/>
    <w:rsid w:val="00127FC1"/>
    <w:rsid w:val="0013003F"/>
    <w:rsid w:val="00130301"/>
    <w:rsid w:val="001305B8"/>
    <w:rsid w:val="00130721"/>
    <w:rsid w:val="0013075C"/>
    <w:rsid w:val="001307F9"/>
    <w:rsid w:val="001309B5"/>
    <w:rsid w:val="00130B87"/>
    <w:rsid w:val="00130BC8"/>
    <w:rsid w:val="00130BED"/>
    <w:rsid w:val="00130D18"/>
    <w:rsid w:val="00130E57"/>
    <w:rsid w:val="00130F71"/>
    <w:rsid w:val="00130FB9"/>
    <w:rsid w:val="00130FFF"/>
    <w:rsid w:val="00131046"/>
    <w:rsid w:val="001312A9"/>
    <w:rsid w:val="001314C6"/>
    <w:rsid w:val="0013152A"/>
    <w:rsid w:val="00131560"/>
    <w:rsid w:val="001315F8"/>
    <w:rsid w:val="001316D1"/>
    <w:rsid w:val="0013172B"/>
    <w:rsid w:val="0013172F"/>
    <w:rsid w:val="00131904"/>
    <w:rsid w:val="00131994"/>
    <w:rsid w:val="001319C8"/>
    <w:rsid w:val="00131AE7"/>
    <w:rsid w:val="00131C73"/>
    <w:rsid w:val="00131CA6"/>
    <w:rsid w:val="0013208A"/>
    <w:rsid w:val="0013222D"/>
    <w:rsid w:val="0013229E"/>
    <w:rsid w:val="00132335"/>
    <w:rsid w:val="00132375"/>
    <w:rsid w:val="001323FC"/>
    <w:rsid w:val="0013247A"/>
    <w:rsid w:val="001324E1"/>
    <w:rsid w:val="00132531"/>
    <w:rsid w:val="0013268D"/>
    <w:rsid w:val="00132800"/>
    <w:rsid w:val="00132825"/>
    <w:rsid w:val="001328CC"/>
    <w:rsid w:val="00132A3B"/>
    <w:rsid w:val="00132A5B"/>
    <w:rsid w:val="00132D0D"/>
    <w:rsid w:val="00132D4D"/>
    <w:rsid w:val="00132E61"/>
    <w:rsid w:val="00133053"/>
    <w:rsid w:val="001330AC"/>
    <w:rsid w:val="0013312E"/>
    <w:rsid w:val="0013321C"/>
    <w:rsid w:val="00133279"/>
    <w:rsid w:val="001332CD"/>
    <w:rsid w:val="00133424"/>
    <w:rsid w:val="001335B7"/>
    <w:rsid w:val="0013362C"/>
    <w:rsid w:val="001336E5"/>
    <w:rsid w:val="0013378C"/>
    <w:rsid w:val="001338F5"/>
    <w:rsid w:val="00133967"/>
    <w:rsid w:val="00133A39"/>
    <w:rsid w:val="00133C78"/>
    <w:rsid w:val="00133CC8"/>
    <w:rsid w:val="00133CE2"/>
    <w:rsid w:val="00133F4B"/>
    <w:rsid w:val="00134134"/>
    <w:rsid w:val="00134325"/>
    <w:rsid w:val="00134342"/>
    <w:rsid w:val="001343EE"/>
    <w:rsid w:val="00134439"/>
    <w:rsid w:val="0013446C"/>
    <w:rsid w:val="001345B2"/>
    <w:rsid w:val="001346EF"/>
    <w:rsid w:val="00134A68"/>
    <w:rsid w:val="00134B67"/>
    <w:rsid w:val="00134C23"/>
    <w:rsid w:val="00134D6F"/>
    <w:rsid w:val="00134D8A"/>
    <w:rsid w:val="00134D90"/>
    <w:rsid w:val="00134E71"/>
    <w:rsid w:val="00134EDB"/>
    <w:rsid w:val="001352B5"/>
    <w:rsid w:val="001353BA"/>
    <w:rsid w:val="0013544A"/>
    <w:rsid w:val="00135466"/>
    <w:rsid w:val="0013555C"/>
    <w:rsid w:val="00135732"/>
    <w:rsid w:val="001358D5"/>
    <w:rsid w:val="00135935"/>
    <w:rsid w:val="00135A01"/>
    <w:rsid w:val="00135A77"/>
    <w:rsid w:val="00135ABB"/>
    <w:rsid w:val="00135D7B"/>
    <w:rsid w:val="00135DE0"/>
    <w:rsid w:val="00135E0C"/>
    <w:rsid w:val="00135F05"/>
    <w:rsid w:val="00135FCD"/>
    <w:rsid w:val="00136280"/>
    <w:rsid w:val="001362C8"/>
    <w:rsid w:val="0013655E"/>
    <w:rsid w:val="0013676A"/>
    <w:rsid w:val="00136EF6"/>
    <w:rsid w:val="00137149"/>
    <w:rsid w:val="00137388"/>
    <w:rsid w:val="00137440"/>
    <w:rsid w:val="001376DE"/>
    <w:rsid w:val="00137719"/>
    <w:rsid w:val="001377B3"/>
    <w:rsid w:val="00137883"/>
    <w:rsid w:val="00137A29"/>
    <w:rsid w:val="00137AA6"/>
    <w:rsid w:val="00137BB4"/>
    <w:rsid w:val="00137BC3"/>
    <w:rsid w:val="00137BE0"/>
    <w:rsid w:val="00137C07"/>
    <w:rsid w:val="00137CB2"/>
    <w:rsid w:val="00137DB6"/>
    <w:rsid w:val="00137E61"/>
    <w:rsid w:val="00137ECD"/>
    <w:rsid w:val="00137EE5"/>
    <w:rsid w:val="00137FBE"/>
    <w:rsid w:val="001401C4"/>
    <w:rsid w:val="00140254"/>
    <w:rsid w:val="00140268"/>
    <w:rsid w:val="001402F7"/>
    <w:rsid w:val="0014036B"/>
    <w:rsid w:val="00140391"/>
    <w:rsid w:val="00140546"/>
    <w:rsid w:val="00140807"/>
    <w:rsid w:val="0014090D"/>
    <w:rsid w:val="001409F0"/>
    <w:rsid w:val="00140B26"/>
    <w:rsid w:val="00140B96"/>
    <w:rsid w:val="00140D15"/>
    <w:rsid w:val="00140E3A"/>
    <w:rsid w:val="00140EF7"/>
    <w:rsid w:val="00141173"/>
    <w:rsid w:val="001411B5"/>
    <w:rsid w:val="001411E0"/>
    <w:rsid w:val="00141274"/>
    <w:rsid w:val="00141395"/>
    <w:rsid w:val="001413B6"/>
    <w:rsid w:val="00141470"/>
    <w:rsid w:val="00141486"/>
    <w:rsid w:val="00141688"/>
    <w:rsid w:val="00141A40"/>
    <w:rsid w:val="00141BDD"/>
    <w:rsid w:val="00141C53"/>
    <w:rsid w:val="00141C9C"/>
    <w:rsid w:val="00141CD1"/>
    <w:rsid w:val="00141D56"/>
    <w:rsid w:val="00141EDB"/>
    <w:rsid w:val="00141F99"/>
    <w:rsid w:val="00141FCF"/>
    <w:rsid w:val="0014200C"/>
    <w:rsid w:val="0014204A"/>
    <w:rsid w:val="001421FE"/>
    <w:rsid w:val="001423B5"/>
    <w:rsid w:val="00142444"/>
    <w:rsid w:val="00142680"/>
    <w:rsid w:val="00142B4B"/>
    <w:rsid w:val="00142FC7"/>
    <w:rsid w:val="00143451"/>
    <w:rsid w:val="00143515"/>
    <w:rsid w:val="0014362B"/>
    <w:rsid w:val="001436D3"/>
    <w:rsid w:val="0014382F"/>
    <w:rsid w:val="0014384D"/>
    <w:rsid w:val="00143C09"/>
    <w:rsid w:val="00143C53"/>
    <w:rsid w:val="00143D0A"/>
    <w:rsid w:val="00143DE9"/>
    <w:rsid w:val="00144068"/>
    <w:rsid w:val="00144197"/>
    <w:rsid w:val="00144239"/>
    <w:rsid w:val="00144269"/>
    <w:rsid w:val="00144292"/>
    <w:rsid w:val="00144401"/>
    <w:rsid w:val="0014441D"/>
    <w:rsid w:val="00144509"/>
    <w:rsid w:val="001445CA"/>
    <w:rsid w:val="0014464E"/>
    <w:rsid w:val="00144693"/>
    <w:rsid w:val="0014472C"/>
    <w:rsid w:val="0014483A"/>
    <w:rsid w:val="0014488B"/>
    <w:rsid w:val="00144AA5"/>
    <w:rsid w:val="00144AB3"/>
    <w:rsid w:val="00144AC0"/>
    <w:rsid w:val="00144BCE"/>
    <w:rsid w:val="00144EAC"/>
    <w:rsid w:val="00144F2A"/>
    <w:rsid w:val="00144F8E"/>
    <w:rsid w:val="0014504F"/>
    <w:rsid w:val="001450ED"/>
    <w:rsid w:val="00145156"/>
    <w:rsid w:val="00145291"/>
    <w:rsid w:val="001455B8"/>
    <w:rsid w:val="00145648"/>
    <w:rsid w:val="0014582C"/>
    <w:rsid w:val="00145896"/>
    <w:rsid w:val="00145B16"/>
    <w:rsid w:val="00145B4B"/>
    <w:rsid w:val="00145C64"/>
    <w:rsid w:val="00145CCF"/>
    <w:rsid w:val="00145DB7"/>
    <w:rsid w:val="00145DFC"/>
    <w:rsid w:val="00145E54"/>
    <w:rsid w:val="00145E80"/>
    <w:rsid w:val="0014623E"/>
    <w:rsid w:val="00146339"/>
    <w:rsid w:val="001463F4"/>
    <w:rsid w:val="00146421"/>
    <w:rsid w:val="001464AA"/>
    <w:rsid w:val="0014654A"/>
    <w:rsid w:val="00146632"/>
    <w:rsid w:val="0014667C"/>
    <w:rsid w:val="00146939"/>
    <w:rsid w:val="00146992"/>
    <w:rsid w:val="00146A64"/>
    <w:rsid w:val="00146AFA"/>
    <w:rsid w:val="00146B1F"/>
    <w:rsid w:val="0014700A"/>
    <w:rsid w:val="00147051"/>
    <w:rsid w:val="00147147"/>
    <w:rsid w:val="001473BB"/>
    <w:rsid w:val="00147487"/>
    <w:rsid w:val="00147772"/>
    <w:rsid w:val="00147789"/>
    <w:rsid w:val="001477FE"/>
    <w:rsid w:val="001478E8"/>
    <w:rsid w:val="00147990"/>
    <w:rsid w:val="001479D4"/>
    <w:rsid w:val="00147A21"/>
    <w:rsid w:val="00147BA9"/>
    <w:rsid w:val="00147BCE"/>
    <w:rsid w:val="00147CC5"/>
    <w:rsid w:val="00147E2D"/>
    <w:rsid w:val="00147E71"/>
    <w:rsid w:val="00147E75"/>
    <w:rsid w:val="00147EF1"/>
    <w:rsid w:val="00147F81"/>
    <w:rsid w:val="00147FC3"/>
    <w:rsid w:val="00147FD8"/>
    <w:rsid w:val="00147FDD"/>
    <w:rsid w:val="001501BC"/>
    <w:rsid w:val="001501CE"/>
    <w:rsid w:val="00150429"/>
    <w:rsid w:val="00150756"/>
    <w:rsid w:val="001508B6"/>
    <w:rsid w:val="00150980"/>
    <w:rsid w:val="00150B69"/>
    <w:rsid w:val="00150D15"/>
    <w:rsid w:val="00150D46"/>
    <w:rsid w:val="0015121F"/>
    <w:rsid w:val="00151419"/>
    <w:rsid w:val="00151834"/>
    <w:rsid w:val="001518C4"/>
    <w:rsid w:val="00151A92"/>
    <w:rsid w:val="00151C03"/>
    <w:rsid w:val="00151C04"/>
    <w:rsid w:val="00151D8A"/>
    <w:rsid w:val="00151D8E"/>
    <w:rsid w:val="00151DB1"/>
    <w:rsid w:val="00152065"/>
    <w:rsid w:val="001521F4"/>
    <w:rsid w:val="00152289"/>
    <w:rsid w:val="001523D1"/>
    <w:rsid w:val="001523D5"/>
    <w:rsid w:val="001524AE"/>
    <w:rsid w:val="0015285E"/>
    <w:rsid w:val="00152E5A"/>
    <w:rsid w:val="00152F2D"/>
    <w:rsid w:val="0015303C"/>
    <w:rsid w:val="001531D5"/>
    <w:rsid w:val="001533C5"/>
    <w:rsid w:val="001533EB"/>
    <w:rsid w:val="0015343D"/>
    <w:rsid w:val="00153590"/>
    <w:rsid w:val="001536AF"/>
    <w:rsid w:val="0015373E"/>
    <w:rsid w:val="00153813"/>
    <w:rsid w:val="0015390C"/>
    <w:rsid w:val="00153A32"/>
    <w:rsid w:val="00153A8C"/>
    <w:rsid w:val="00153AB3"/>
    <w:rsid w:val="00153B13"/>
    <w:rsid w:val="00153C6F"/>
    <w:rsid w:val="00153D40"/>
    <w:rsid w:val="00153E42"/>
    <w:rsid w:val="00153F67"/>
    <w:rsid w:val="00154327"/>
    <w:rsid w:val="0015445E"/>
    <w:rsid w:val="00154636"/>
    <w:rsid w:val="00154777"/>
    <w:rsid w:val="00154924"/>
    <w:rsid w:val="00154B3F"/>
    <w:rsid w:val="00154CD0"/>
    <w:rsid w:val="00154E35"/>
    <w:rsid w:val="00154E86"/>
    <w:rsid w:val="00154E9A"/>
    <w:rsid w:val="00154EBA"/>
    <w:rsid w:val="00154FFC"/>
    <w:rsid w:val="00155027"/>
    <w:rsid w:val="00155297"/>
    <w:rsid w:val="0015530B"/>
    <w:rsid w:val="0015538A"/>
    <w:rsid w:val="00155497"/>
    <w:rsid w:val="00155577"/>
    <w:rsid w:val="00155588"/>
    <w:rsid w:val="0015569E"/>
    <w:rsid w:val="00155740"/>
    <w:rsid w:val="00155772"/>
    <w:rsid w:val="001557D2"/>
    <w:rsid w:val="0015593D"/>
    <w:rsid w:val="00155A06"/>
    <w:rsid w:val="00155C25"/>
    <w:rsid w:val="00155D49"/>
    <w:rsid w:val="00155D5A"/>
    <w:rsid w:val="00155E55"/>
    <w:rsid w:val="0015612B"/>
    <w:rsid w:val="00156272"/>
    <w:rsid w:val="00156491"/>
    <w:rsid w:val="0015663F"/>
    <w:rsid w:val="001566CA"/>
    <w:rsid w:val="001568BD"/>
    <w:rsid w:val="0015691D"/>
    <w:rsid w:val="00156AB9"/>
    <w:rsid w:val="00156D4A"/>
    <w:rsid w:val="00156FBD"/>
    <w:rsid w:val="00157021"/>
    <w:rsid w:val="00157022"/>
    <w:rsid w:val="00157197"/>
    <w:rsid w:val="001571D4"/>
    <w:rsid w:val="001572E3"/>
    <w:rsid w:val="00157342"/>
    <w:rsid w:val="00157365"/>
    <w:rsid w:val="00157399"/>
    <w:rsid w:val="00157401"/>
    <w:rsid w:val="00157485"/>
    <w:rsid w:val="0015751D"/>
    <w:rsid w:val="0015755B"/>
    <w:rsid w:val="001578C9"/>
    <w:rsid w:val="001579A6"/>
    <w:rsid w:val="00157A8E"/>
    <w:rsid w:val="00157C2D"/>
    <w:rsid w:val="00157CF1"/>
    <w:rsid w:val="00157E93"/>
    <w:rsid w:val="00157EC2"/>
    <w:rsid w:val="00157F85"/>
    <w:rsid w:val="00160156"/>
    <w:rsid w:val="00160200"/>
    <w:rsid w:val="0016020E"/>
    <w:rsid w:val="001602BC"/>
    <w:rsid w:val="00160384"/>
    <w:rsid w:val="00160469"/>
    <w:rsid w:val="001606D1"/>
    <w:rsid w:val="001606E2"/>
    <w:rsid w:val="00160704"/>
    <w:rsid w:val="00160833"/>
    <w:rsid w:val="00160878"/>
    <w:rsid w:val="00160928"/>
    <w:rsid w:val="00160AA6"/>
    <w:rsid w:val="00160CF4"/>
    <w:rsid w:val="00160CFC"/>
    <w:rsid w:val="00160DA9"/>
    <w:rsid w:val="00160EEB"/>
    <w:rsid w:val="00160FB9"/>
    <w:rsid w:val="00161703"/>
    <w:rsid w:val="00161718"/>
    <w:rsid w:val="00161749"/>
    <w:rsid w:val="0016178E"/>
    <w:rsid w:val="001617F0"/>
    <w:rsid w:val="00161915"/>
    <w:rsid w:val="001619A7"/>
    <w:rsid w:val="00161A3D"/>
    <w:rsid w:val="00161AFE"/>
    <w:rsid w:val="00161C1E"/>
    <w:rsid w:val="00161DDB"/>
    <w:rsid w:val="00161E29"/>
    <w:rsid w:val="001620CE"/>
    <w:rsid w:val="00162146"/>
    <w:rsid w:val="00162213"/>
    <w:rsid w:val="0016221A"/>
    <w:rsid w:val="001624DE"/>
    <w:rsid w:val="00162744"/>
    <w:rsid w:val="001627ED"/>
    <w:rsid w:val="00162C00"/>
    <w:rsid w:val="00162E1F"/>
    <w:rsid w:val="00162E7C"/>
    <w:rsid w:val="001630E8"/>
    <w:rsid w:val="00163181"/>
    <w:rsid w:val="00163236"/>
    <w:rsid w:val="00163278"/>
    <w:rsid w:val="0016331F"/>
    <w:rsid w:val="00163344"/>
    <w:rsid w:val="0016336E"/>
    <w:rsid w:val="001634B3"/>
    <w:rsid w:val="001634FA"/>
    <w:rsid w:val="001637AE"/>
    <w:rsid w:val="00163979"/>
    <w:rsid w:val="001639E7"/>
    <w:rsid w:val="00163AC8"/>
    <w:rsid w:val="00163C9E"/>
    <w:rsid w:val="00163CF5"/>
    <w:rsid w:val="00163D5B"/>
    <w:rsid w:val="00163D6D"/>
    <w:rsid w:val="00163EB4"/>
    <w:rsid w:val="001640F4"/>
    <w:rsid w:val="00164105"/>
    <w:rsid w:val="001641C8"/>
    <w:rsid w:val="00164223"/>
    <w:rsid w:val="001642EA"/>
    <w:rsid w:val="0016435E"/>
    <w:rsid w:val="00164469"/>
    <w:rsid w:val="00164481"/>
    <w:rsid w:val="00164557"/>
    <w:rsid w:val="001645F8"/>
    <w:rsid w:val="0016479F"/>
    <w:rsid w:val="00164852"/>
    <w:rsid w:val="001648B5"/>
    <w:rsid w:val="00164B85"/>
    <w:rsid w:val="00164BC1"/>
    <w:rsid w:val="00164CE1"/>
    <w:rsid w:val="00164F1C"/>
    <w:rsid w:val="00164F78"/>
    <w:rsid w:val="00165074"/>
    <w:rsid w:val="0016519D"/>
    <w:rsid w:val="0016530D"/>
    <w:rsid w:val="00165313"/>
    <w:rsid w:val="00165347"/>
    <w:rsid w:val="00165349"/>
    <w:rsid w:val="001653FD"/>
    <w:rsid w:val="001654DA"/>
    <w:rsid w:val="001655DB"/>
    <w:rsid w:val="0016560F"/>
    <w:rsid w:val="00165673"/>
    <w:rsid w:val="0016576C"/>
    <w:rsid w:val="00165778"/>
    <w:rsid w:val="001659A6"/>
    <w:rsid w:val="00165A24"/>
    <w:rsid w:val="00165A66"/>
    <w:rsid w:val="00165DC2"/>
    <w:rsid w:val="00165F19"/>
    <w:rsid w:val="001660E5"/>
    <w:rsid w:val="00166280"/>
    <w:rsid w:val="001663A9"/>
    <w:rsid w:val="00166457"/>
    <w:rsid w:val="001665A7"/>
    <w:rsid w:val="0016663C"/>
    <w:rsid w:val="0016673F"/>
    <w:rsid w:val="001667AD"/>
    <w:rsid w:val="0016682B"/>
    <w:rsid w:val="0016686D"/>
    <w:rsid w:val="00166A9E"/>
    <w:rsid w:val="00166B19"/>
    <w:rsid w:val="00166B7C"/>
    <w:rsid w:val="00166B93"/>
    <w:rsid w:val="00166C37"/>
    <w:rsid w:val="00166C56"/>
    <w:rsid w:val="00166D6B"/>
    <w:rsid w:val="00166DFB"/>
    <w:rsid w:val="00166E49"/>
    <w:rsid w:val="00166ED2"/>
    <w:rsid w:val="001670BA"/>
    <w:rsid w:val="00167193"/>
    <w:rsid w:val="00167262"/>
    <w:rsid w:val="00167397"/>
    <w:rsid w:val="00167475"/>
    <w:rsid w:val="0016753A"/>
    <w:rsid w:val="00167748"/>
    <w:rsid w:val="00167A50"/>
    <w:rsid w:val="00167C89"/>
    <w:rsid w:val="00167D68"/>
    <w:rsid w:val="00167F97"/>
    <w:rsid w:val="001700A3"/>
    <w:rsid w:val="001701E5"/>
    <w:rsid w:val="00170367"/>
    <w:rsid w:val="00170463"/>
    <w:rsid w:val="001704C6"/>
    <w:rsid w:val="00170598"/>
    <w:rsid w:val="00170680"/>
    <w:rsid w:val="001707EF"/>
    <w:rsid w:val="00170873"/>
    <w:rsid w:val="00170B9B"/>
    <w:rsid w:val="00170BE9"/>
    <w:rsid w:val="00170C19"/>
    <w:rsid w:val="00170D2A"/>
    <w:rsid w:val="00170DDC"/>
    <w:rsid w:val="00170E37"/>
    <w:rsid w:val="00170F55"/>
    <w:rsid w:val="00171035"/>
    <w:rsid w:val="00171079"/>
    <w:rsid w:val="00171295"/>
    <w:rsid w:val="00171298"/>
    <w:rsid w:val="001717E2"/>
    <w:rsid w:val="0017191C"/>
    <w:rsid w:val="0017193E"/>
    <w:rsid w:val="00171A0D"/>
    <w:rsid w:val="00171EF4"/>
    <w:rsid w:val="00172236"/>
    <w:rsid w:val="00172381"/>
    <w:rsid w:val="00172547"/>
    <w:rsid w:val="00172583"/>
    <w:rsid w:val="00172584"/>
    <w:rsid w:val="001726A7"/>
    <w:rsid w:val="00172807"/>
    <w:rsid w:val="00172A54"/>
    <w:rsid w:val="00172A6C"/>
    <w:rsid w:val="00172B16"/>
    <w:rsid w:val="00172C20"/>
    <w:rsid w:val="00172C9E"/>
    <w:rsid w:val="00172DA9"/>
    <w:rsid w:val="00172DC1"/>
    <w:rsid w:val="00172E52"/>
    <w:rsid w:val="00172F1C"/>
    <w:rsid w:val="00172F37"/>
    <w:rsid w:val="0017305C"/>
    <w:rsid w:val="00173228"/>
    <w:rsid w:val="00173423"/>
    <w:rsid w:val="00173495"/>
    <w:rsid w:val="001735EA"/>
    <w:rsid w:val="00173853"/>
    <w:rsid w:val="001738C3"/>
    <w:rsid w:val="00173938"/>
    <w:rsid w:val="00173A09"/>
    <w:rsid w:val="00173A25"/>
    <w:rsid w:val="00173DFD"/>
    <w:rsid w:val="00173E44"/>
    <w:rsid w:val="00173E9B"/>
    <w:rsid w:val="00173EB3"/>
    <w:rsid w:val="00173FA3"/>
    <w:rsid w:val="0017400F"/>
    <w:rsid w:val="001742F0"/>
    <w:rsid w:val="00174444"/>
    <w:rsid w:val="00174472"/>
    <w:rsid w:val="00174513"/>
    <w:rsid w:val="0017464F"/>
    <w:rsid w:val="00174666"/>
    <w:rsid w:val="001746A3"/>
    <w:rsid w:val="001747A8"/>
    <w:rsid w:val="00174AC2"/>
    <w:rsid w:val="00174B3E"/>
    <w:rsid w:val="00174B60"/>
    <w:rsid w:val="00174BCB"/>
    <w:rsid w:val="00174BF9"/>
    <w:rsid w:val="00174DA6"/>
    <w:rsid w:val="00174EE3"/>
    <w:rsid w:val="00174F1E"/>
    <w:rsid w:val="00175867"/>
    <w:rsid w:val="00175921"/>
    <w:rsid w:val="001759FA"/>
    <w:rsid w:val="00175A32"/>
    <w:rsid w:val="00175CFB"/>
    <w:rsid w:val="00175D1A"/>
    <w:rsid w:val="00175DD6"/>
    <w:rsid w:val="00176055"/>
    <w:rsid w:val="001760A7"/>
    <w:rsid w:val="00176267"/>
    <w:rsid w:val="00176275"/>
    <w:rsid w:val="001762D1"/>
    <w:rsid w:val="0017660C"/>
    <w:rsid w:val="00176699"/>
    <w:rsid w:val="00176990"/>
    <w:rsid w:val="00176B85"/>
    <w:rsid w:val="00176B87"/>
    <w:rsid w:val="00176E23"/>
    <w:rsid w:val="00176E74"/>
    <w:rsid w:val="001771C2"/>
    <w:rsid w:val="001772BC"/>
    <w:rsid w:val="00177413"/>
    <w:rsid w:val="00177475"/>
    <w:rsid w:val="0017749B"/>
    <w:rsid w:val="001775F8"/>
    <w:rsid w:val="001776C5"/>
    <w:rsid w:val="00177767"/>
    <w:rsid w:val="0017792F"/>
    <w:rsid w:val="001779C5"/>
    <w:rsid w:val="001779D6"/>
    <w:rsid w:val="00177BCB"/>
    <w:rsid w:val="00177C69"/>
    <w:rsid w:val="00177DE2"/>
    <w:rsid w:val="00177EA5"/>
    <w:rsid w:val="00177FC6"/>
    <w:rsid w:val="001800F4"/>
    <w:rsid w:val="0018016C"/>
    <w:rsid w:val="0018023A"/>
    <w:rsid w:val="00180528"/>
    <w:rsid w:val="0018068A"/>
    <w:rsid w:val="0018077A"/>
    <w:rsid w:val="0018077E"/>
    <w:rsid w:val="00180A5F"/>
    <w:rsid w:val="00180B77"/>
    <w:rsid w:val="00180CBB"/>
    <w:rsid w:val="00180D3C"/>
    <w:rsid w:val="00180DD8"/>
    <w:rsid w:val="00180F85"/>
    <w:rsid w:val="00181015"/>
    <w:rsid w:val="0018105F"/>
    <w:rsid w:val="00181238"/>
    <w:rsid w:val="00181241"/>
    <w:rsid w:val="001812DA"/>
    <w:rsid w:val="0018130C"/>
    <w:rsid w:val="0018134C"/>
    <w:rsid w:val="001814A2"/>
    <w:rsid w:val="001815F0"/>
    <w:rsid w:val="00181618"/>
    <w:rsid w:val="00181650"/>
    <w:rsid w:val="001817BD"/>
    <w:rsid w:val="001819EC"/>
    <w:rsid w:val="00181AB7"/>
    <w:rsid w:val="00181B3F"/>
    <w:rsid w:val="00181C1D"/>
    <w:rsid w:val="00181CBA"/>
    <w:rsid w:val="00181D65"/>
    <w:rsid w:val="00181EAC"/>
    <w:rsid w:val="00181F3D"/>
    <w:rsid w:val="00181FAD"/>
    <w:rsid w:val="0018233A"/>
    <w:rsid w:val="00182520"/>
    <w:rsid w:val="0018266D"/>
    <w:rsid w:val="001826B3"/>
    <w:rsid w:val="0018275F"/>
    <w:rsid w:val="00182845"/>
    <w:rsid w:val="00182891"/>
    <w:rsid w:val="00182904"/>
    <w:rsid w:val="00182A41"/>
    <w:rsid w:val="00182B60"/>
    <w:rsid w:val="00182C22"/>
    <w:rsid w:val="00182D40"/>
    <w:rsid w:val="00182D83"/>
    <w:rsid w:val="00182DDB"/>
    <w:rsid w:val="00182E70"/>
    <w:rsid w:val="0018305D"/>
    <w:rsid w:val="001831B7"/>
    <w:rsid w:val="001831FC"/>
    <w:rsid w:val="001832E5"/>
    <w:rsid w:val="00183380"/>
    <w:rsid w:val="00183408"/>
    <w:rsid w:val="00183479"/>
    <w:rsid w:val="001834A5"/>
    <w:rsid w:val="001834FD"/>
    <w:rsid w:val="001836A5"/>
    <w:rsid w:val="00183868"/>
    <w:rsid w:val="00183BF2"/>
    <w:rsid w:val="00183F87"/>
    <w:rsid w:val="0018424C"/>
    <w:rsid w:val="00184266"/>
    <w:rsid w:val="00184433"/>
    <w:rsid w:val="0018452E"/>
    <w:rsid w:val="001846BE"/>
    <w:rsid w:val="00184719"/>
    <w:rsid w:val="00184798"/>
    <w:rsid w:val="001847B8"/>
    <w:rsid w:val="00184882"/>
    <w:rsid w:val="001848DA"/>
    <w:rsid w:val="001848EA"/>
    <w:rsid w:val="00184B51"/>
    <w:rsid w:val="00184C41"/>
    <w:rsid w:val="00184CAB"/>
    <w:rsid w:val="00184CEF"/>
    <w:rsid w:val="00184F59"/>
    <w:rsid w:val="00184FC1"/>
    <w:rsid w:val="00185003"/>
    <w:rsid w:val="001851EE"/>
    <w:rsid w:val="0018541A"/>
    <w:rsid w:val="00185523"/>
    <w:rsid w:val="00185591"/>
    <w:rsid w:val="001855E6"/>
    <w:rsid w:val="0018564C"/>
    <w:rsid w:val="0018584C"/>
    <w:rsid w:val="001859F3"/>
    <w:rsid w:val="00185A9F"/>
    <w:rsid w:val="00185B0C"/>
    <w:rsid w:val="00185B8B"/>
    <w:rsid w:val="00185CB8"/>
    <w:rsid w:val="00185D47"/>
    <w:rsid w:val="00185D86"/>
    <w:rsid w:val="0018612A"/>
    <w:rsid w:val="00186311"/>
    <w:rsid w:val="00186460"/>
    <w:rsid w:val="00186647"/>
    <w:rsid w:val="00186897"/>
    <w:rsid w:val="0018692A"/>
    <w:rsid w:val="001869C5"/>
    <w:rsid w:val="00186B30"/>
    <w:rsid w:val="00186B64"/>
    <w:rsid w:val="00186C14"/>
    <w:rsid w:val="00186C6F"/>
    <w:rsid w:val="0018708A"/>
    <w:rsid w:val="0018737B"/>
    <w:rsid w:val="001873EF"/>
    <w:rsid w:val="001874BA"/>
    <w:rsid w:val="00187599"/>
    <w:rsid w:val="0018770F"/>
    <w:rsid w:val="00187881"/>
    <w:rsid w:val="00187C13"/>
    <w:rsid w:val="00187D49"/>
    <w:rsid w:val="0019013E"/>
    <w:rsid w:val="001901E1"/>
    <w:rsid w:val="001901F5"/>
    <w:rsid w:val="00190420"/>
    <w:rsid w:val="0019047F"/>
    <w:rsid w:val="0019055D"/>
    <w:rsid w:val="00190571"/>
    <w:rsid w:val="0019058F"/>
    <w:rsid w:val="00190627"/>
    <w:rsid w:val="0019099C"/>
    <w:rsid w:val="00190D0B"/>
    <w:rsid w:val="00190E15"/>
    <w:rsid w:val="00191188"/>
    <w:rsid w:val="001914DB"/>
    <w:rsid w:val="00191908"/>
    <w:rsid w:val="00191A34"/>
    <w:rsid w:val="00191BB8"/>
    <w:rsid w:val="00191D35"/>
    <w:rsid w:val="00191D79"/>
    <w:rsid w:val="00191E7E"/>
    <w:rsid w:val="00191F93"/>
    <w:rsid w:val="00191FB3"/>
    <w:rsid w:val="00192001"/>
    <w:rsid w:val="0019203F"/>
    <w:rsid w:val="00192200"/>
    <w:rsid w:val="001923EE"/>
    <w:rsid w:val="0019260F"/>
    <w:rsid w:val="00192682"/>
    <w:rsid w:val="001927B6"/>
    <w:rsid w:val="001927C1"/>
    <w:rsid w:val="00192883"/>
    <w:rsid w:val="00192BE0"/>
    <w:rsid w:val="00192C06"/>
    <w:rsid w:val="00192C44"/>
    <w:rsid w:val="00192E93"/>
    <w:rsid w:val="0019303C"/>
    <w:rsid w:val="001930A9"/>
    <w:rsid w:val="001930CF"/>
    <w:rsid w:val="0019319E"/>
    <w:rsid w:val="0019330C"/>
    <w:rsid w:val="00193340"/>
    <w:rsid w:val="001933F9"/>
    <w:rsid w:val="00193476"/>
    <w:rsid w:val="001934E4"/>
    <w:rsid w:val="00193770"/>
    <w:rsid w:val="00193789"/>
    <w:rsid w:val="00193810"/>
    <w:rsid w:val="00193875"/>
    <w:rsid w:val="00193A55"/>
    <w:rsid w:val="00193B16"/>
    <w:rsid w:val="00193B3A"/>
    <w:rsid w:val="00193C38"/>
    <w:rsid w:val="00193C50"/>
    <w:rsid w:val="00193CC2"/>
    <w:rsid w:val="00193DCA"/>
    <w:rsid w:val="00193F0C"/>
    <w:rsid w:val="00194082"/>
    <w:rsid w:val="001940B7"/>
    <w:rsid w:val="00194557"/>
    <w:rsid w:val="0019477F"/>
    <w:rsid w:val="0019479C"/>
    <w:rsid w:val="00194888"/>
    <w:rsid w:val="0019488D"/>
    <w:rsid w:val="00194959"/>
    <w:rsid w:val="00194991"/>
    <w:rsid w:val="00194AA9"/>
    <w:rsid w:val="00194BDF"/>
    <w:rsid w:val="00194D1C"/>
    <w:rsid w:val="00194D7C"/>
    <w:rsid w:val="00194D9D"/>
    <w:rsid w:val="00194EFC"/>
    <w:rsid w:val="00194F42"/>
    <w:rsid w:val="00195050"/>
    <w:rsid w:val="00195069"/>
    <w:rsid w:val="00195227"/>
    <w:rsid w:val="00195303"/>
    <w:rsid w:val="00195420"/>
    <w:rsid w:val="00195458"/>
    <w:rsid w:val="00195576"/>
    <w:rsid w:val="0019567C"/>
    <w:rsid w:val="00195731"/>
    <w:rsid w:val="0019585A"/>
    <w:rsid w:val="001958FA"/>
    <w:rsid w:val="00195936"/>
    <w:rsid w:val="00195A3F"/>
    <w:rsid w:val="00195A53"/>
    <w:rsid w:val="00195BE5"/>
    <w:rsid w:val="00195C1F"/>
    <w:rsid w:val="00195C8E"/>
    <w:rsid w:val="00195D17"/>
    <w:rsid w:val="00195DCD"/>
    <w:rsid w:val="00195F20"/>
    <w:rsid w:val="00195F49"/>
    <w:rsid w:val="00195F99"/>
    <w:rsid w:val="00195FFB"/>
    <w:rsid w:val="0019600B"/>
    <w:rsid w:val="00196051"/>
    <w:rsid w:val="0019607D"/>
    <w:rsid w:val="0019614A"/>
    <w:rsid w:val="0019646E"/>
    <w:rsid w:val="001969FA"/>
    <w:rsid w:val="00196AB6"/>
    <w:rsid w:val="00196BD7"/>
    <w:rsid w:val="00196E9A"/>
    <w:rsid w:val="00196F3B"/>
    <w:rsid w:val="00197006"/>
    <w:rsid w:val="001970F8"/>
    <w:rsid w:val="00197271"/>
    <w:rsid w:val="001972F3"/>
    <w:rsid w:val="00197406"/>
    <w:rsid w:val="00197678"/>
    <w:rsid w:val="0019774A"/>
    <w:rsid w:val="00197797"/>
    <w:rsid w:val="001977AE"/>
    <w:rsid w:val="0019780B"/>
    <w:rsid w:val="0019795F"/>
    <w:rsid w:val="00197A95"/>
    <w:rsid w:val="00197B60"/>
    <w:rsid w:val="00197D66"/>
    <w:rsid w:val="00197DD0"/>
    <w:rsid w:val="001A01A1"/>
    <w:rsid w:val="001A01C5"/>
    <w:rsid w:val="001A01E7"/>
    <w:rsid w:val="001A02A8"/>
    <w:rsid w:val="001A035A"/>
    <w:rsid w:val="001A037B"/>
    <w:rsid w:val="001A0417"/>
    <w:rsid w:val="001A041D"/>
    <w:rsid w:val="001A097D"/>
    <w:rsid w:val="001A0EBB"/>
    <w:rsid w:val="001A0EF4"/>
    <w:rsid w:val="001A1041"/>
    <w:rsid w:val="001A11FC"/>
    <w:rsid w:val="001A1266"/>
    <w:rsid w:val="001A1387"/>
    <w:rsid w:val="001A13C7"/>
    <w:rsid w:val="001A1408"/>
    <w:rsid w:val="001A143B"/>
    <w:rsid w:val="001A15E0"/>
    <w:rsid w:val="001A1798"/>
    <w:rsid w:val="001A1A54"/>
    <w:rsid w:val="001A1A85"/>
    <w:rsid w:val="001A1BEC"/>
    <w:rsid w:val="001A1D31"/>
    <w:rsid w:val="001A2110"/>
    <w:rsid w:val="001A21D3"/>
    <w:rsid w:val="001A22C7"/>
    <w:rsid w:val="001A2533"/>
    <w:rsid w:val="001A259D"/>
    <w:rsid w:val="001A2620"/>
    <w:rsid w:val="001A26AC"/>
    <w:rsid w:val="001A2758"/>
    <w:rsid w:val="001A2A66"/>
    <w:rsid w:val="001A2A67"/>
    <w:rsid w:val="001A2CD7"/>
    <w:rsid w:val="001A2D12"/>
    <w:rsid w:val="001A2F10"/>
    <w:rsid w:val="001A2F16"/>
    <w:rsid w:val="001A2F4B"/>
    <w:rsid w:val="001A3272"/>
    <w:rsid w:val="001A335D"/>
    <w:rsid w:val="001A344C"/>
    <w:rsid w:val="001A34E3"/>
    <w:rsid w:val="001A3777"/>
    <w:rsid w:val="001A378F"/>
    <w:rsid w:val="001A39D3"/>
    <w:rsid w:val="001A3A0E"/>
    <w:rsid w:val="001A3C82"/>
    <w:rsid w:val="001A3DA8"/>
    <w:rsid w:val="001A3F0A"/>
    <w:rsid w:val="001A4002"/>
    <w:rsid w:val="001A4137"/>
    <w:rsid w:val="001A44CC"/>
    <w:rsid w:val="001A455B"/>
    <w:rsid w:val="001A478F"/>
    <w:rsid w:val="001A47A2"/>
    <w:rsid w:val="001A481B"/>
    <w:rsid w:val="001A4923"/>
    <w:rsid w:val="001A4AAC"/>
    <w:rsid w:val="001A4AC0"/>
    <w:rsid w:val="001A4D1A"/>
    <w:rsid w:val="001A4DD4"/>
    <w:rsid w:val="001A4DE4"/>
    <w:rsid w:val="001A4EF1"/>
    <w:rsid w:val="001A52C8"/>
    <w:rsid w:val="001A5609"/>
    <w:rsid w:val="001A5794"/>
    <w:rsid w:val="001A5AD6"/>
    <w:rsid w:val="001A5D0A"/>
    <w:rsid w:val="001A5D25"/>
    <w:rsid w:val="001A5D67"/>
    <w:rsid w:val="001A5EB7"/>
    <w:rsid w:val="001A5EEA"/>
    <w:rsid w:val="001A5F66"/>
    <w:rsid w:val="001A6036"/>
    <w:rsid w:val="001A6105"/>
    <w:rsid w:val="001A611E"/>
    <w:rsid w:val="001A620B"/>
    <w:rsid w:val="001A63CF"/>
    <w:rsid w:val="001A640F"/>
    <w:rsid w:val="001A64BE"/>
    <w:rsid w:val="001A6511"/>
    <w:rsid w:val="001A653C"/>
    <w:rsid w:val="001A6563"/>
    <w:rsid w:val="001A6675"/>
    <w:rsid w:val="001A66B5"/>
    <w:rsid w:val="001A6927"/>
    <w:rsid w:val="001A6E2C"/>
    <w:rsid w:val="001A6E41"/>
    <w:rsid w:val="001A6E7B"/>
    <w:rsid w:val="001A6F9C"/>
    <w:rsid w:val="001A704B"/>
    <w:rsid w:val="001A7080"/>
    <w:rsid w:val="001A710A"/>
    <w:rsid w:val="001A721B"/>
    <w:rsid w:val="001A7410"/>
    <w:rsid w:val="001A7638"/>
    <w:rsid w:val="001A7668"/>
    <w:rsid w:val="001A76F4"/>
    <w:rsid w:val="001A7797"/>
    <w:rsid w:val="001A79BF"/>
    <w:rsid w:val="001A7BAE"/>
    <w:rsid w:val="001A7E57"/>
    <w:rsid w:val="001B0303"/>
    <w:rsid w:val="001B0411"/>
    <w:rsid w:val="001B0A37"/>
    <w:rsid w:val="001B0A86"/>
    <w:rsid w:val="001B0B5D"/>
    <w:rsid w:val="001B0ECC"/>
    <w:rsid w:val="001B0FEF"/>
    <w:rsid w:val="001B1061"/>
    <w:rsid w:val="001B10AF"/>
    <w:rsid w:val="001B10B4"/>
    <w:rsid w:val="001B1191"/>
    <w:rsid w:val="001B11BA"/>
    <w:rsid w:val="001B12E0"/>
    <w:rsid w:val="001B130B"/>
    <w:rsid w:val="001B13DC"/>
    <w:rsid w:val="001B17C3"/>
    <w:rsid w:val="001B1987"/>
    <w:rsid w:val="001B1B9C"/>
    <w:rsid w:val="001B1CC7"/>
    <w:rsid w:val="001B1D27"/>
    <w:rsid w:val="001B1D9B"/>
    <w:rsid w:val="001B1DFC"/>
    <w:rsid w:val="001B1E13"/>
    <w:rsid w:val="001B1EE8"/>
    <w:rsid w:val="001B1F2B"/>
    <w:rsid w:val="001B206B"/>
    <w:rsid w:val="001B2287"/>
    <w:rsid w:val="001B234A"/>
    <w:rsid w:val="001B23BC"/>
    <w:rsid w:val="001B246B"/>
    <w:rsid w:val="001B2518"/>
    <w:rsid w:val="001B26F1"/>
    <w:rsid w:val="001B278F"/>
    <w:rsid w:val="001B2872"/>
    <w:rsid w:val="001B29D3"/>
    <w:rsid w:val="001B2C54"/>
    <w:rsid w:val="001B2EBF"/>
    <w:rsid w:val="001B2ECB"/>
    <w:rsid w:val="001B2FEC"/>
    <w:rsid w:val="001B3131"/>
    <w:rsid w:val="001B32C0"/>
    <w:rsid w:val="001B3355"/>
    <w:rsid w:val="001B335F"/>
    <w:rsid w:val="001B3372"/>
    <w:rsid w:val="001B347D"/>
    <w:rsid w:val="001B34BD"/>
    <w:rsid w:val="001B357F"/>
    <w:rsid w:val="001B35FF"/>
    <w:rsid w:val="001B3726"/>
    <w:rsid w:val="001B3764"/>
    <w:rsid w:val="001B38E6"/>
    <w:rsid w:val="001B3918"/>
    <w:rsid w:val="001B3A64"/>
    <w:rsid w:val="001B3B2E"/>
    <w:rsid w:val="001B3DB5"/>
    <w:rsid w:val="001B3EB5"/>
    <w:rsid w:val="001B406F"/>
    <w:rsid w:val="001B40E3"/>
    <w:rsid w:val="001B4137"/>
    <w:rsid w:val="001B4173"/>
    <w:rsid w:val="001B4322"/>
    <w:rsid w:val="001B4406"/>
    <w:rsid w:val="001B441E"/>
    <w:rsid w:val="001B4522"/>
    <w:rsid w:val="001B454E"/>
    <w:rsid w:val="001B461A"/>
    <w:rsid w:val="001B46D3"/>
    <w:rsid w:val="001B4712"/>
    <w:rsid w:val="001B4802"/>
    <w:rsid w:val="001B4882"/>
    <w:rsid w:val="001B4AD9"/>
    <w:rsid w:val="001B4C76"/>
    <w:rsid w:val="001B4C9F"/>
    <w:rsid w:val="001B4D7B"/>
    <w:rsid w:val="001B5072"/>
    <w:rsid w:val="001B514C"/>
    <w:rsid w:val="001B5298"/>
    <w:rsid w:val="001B52F1"/>
    <w:rsid w:val="001B5415"/>
    <w:rsid w:val="001B54D3"/>
    <w:rsid w:val="001B5602"/>
    <w:rsid w:val="001B569E"/>
    <w:rsid w:val="001B583C"/>
    <w:rsid w:val="001B5A10"/>
    <w:rsid w:val="001B5A68"/>
    <w:rsid w:val="001B5AAB"/>
    <w:rsid w:val="001B5AAC"/>
    <w:rsid w:val="001B5B1F"/>
    <w:rsid w:val="001B5BB3"/>
    <w:rsid w:val="001B5C17"/>
    <w:rsid w:val="001B5D24"/>
    <w:rsid w:val="001B5E47"/>
    <w:rsid w:val="001B5EA9"/>
    <w:rsid w:val="001B619B"/>
    <w:rsid w:val="001B6216"/>
    <w:rsid w:val="001B6266"/>
    <w:rsid w:val="001B6372"/>
    <w:rsid w:val="001B64AC"/>
    <w:rsid w:val="001B66A3"/>
    <w:rsid w:val="001B66D7"/>
    <w:rsid w:val="001B6759"/>
    <w:rsid w:val="001B694B"/>
    <w:rsid w:val="001B69F8"/>
    <w:rsid w:val="001B6A64"/>
    <w:rsid w:val="001B6BB6"/>
    <w:rsid w:val="001B6C5E"/>
    <w:rsid w:val="001B6C76"/>
    <w:rsid w:val="001B6C80"/>
    <w:rsid w:val="001B6CD3"/>
    <w:rsid w:val="001B6D21"/>
    <w:rsid w:val="001B6D29"/>
    <w:rsid w:val="001B6DBB"/>
    <w:rsid w:val="001B6EF7"/>
    <w:rsid w:val="001B6FE5"/>
    <w:rsid w:val="001B7024"/>
    <w:rsid w:val="001B709D"/>
    <w:rsid w:val="001B7388"/>
    <w:rsid w:val="001B738E"/>
    <w:rsid w:val="001B7508"/>
    <w:rsid w:val="001B75D8"/>
    <w:rsid w:val="001B782A"/>
    <w:rsid w:val="001B7910"/>
    <w:rsid w:val="001B7996"/>
    <w:rsid w:val="001B7A7D"/>
    <w:rsid w:val="001B7AEA"/>
    <w:rsid w:val="001B7B38"/>
    <w:rsid w:val="001B7E18"/>
    <w:rsid w:val="001B7E1C"/>
    <w:rsid w:val="001B7F32"/>
    <w:rsid w:val="001B7F6F"/>
    <w:rsid w:val="001B7F8E"/>
    <w:rsid w:val="001C042D"/>
    <w:rsid w:val="001C0553"/>
    <w:rsid w:val="001C07FB"/>
    <w:rsid w:val="001C0954"/>
    <w:rsid w:val="001C0984"/>
    <w:rsid w:val="001C09D3"/>
    <w:rsid w:val="001C0A2E"/>
    <w:rsid w:val="001C0D65"/>
    <w:rsid w:val="001C1004"/>
    <w:rsid w:val="001C1078"/>
    <w:rsid w:val="001C122C"/>
    <w:rsid w:val="001C12EE"/>
    <w:rsid w:val="001C13EC"/>
    <w:rsid w:val="001C14DC"/>
    <w:rsid w:val="001C152A"/>
    <w:rsid w:val="001C164C"/>
    <w:rsid w:val="001C172C"/>
    <w:rsid w:val="001C1815"/>
    <w:rsid w:val="001C1844"/>
    <w:rsid w:val="001C197F"/>
    <w:rsid w:val="001C19C4"/>
    <w:rsid w:val="001C1A03"/>
    <w:rsid w:val="001C1C52"/>
    <w:rsid w:val="001C1CDC"/>
    <w:rsid w:val="001C1D72"/>
    <w:rsid w:val="001C1F3A"/>
    <w:rsid w:val="001C1F93"/>
    <w:rsid w:val="001C2043"/>
    <w:rsid w:val="001C207D"/>
    <w:rsid w:val="001C2084"/>
    <w:rsid w:val="001C20EE"/>
    <w:rsid w:val="001C21C8"/>
    <w:rsid w:val="001C2212"/>
    <w:rsid w:val="001C227E"/>
    <w:rsid w:val="001C23F6"/>
    <w:rsid w:val="001C246C"/>
    <w:rsid w:val="001C2656"/>
    <w:rsid w:val="001C2684"/>
    <w:rsid w:val="001C2855"/>
    <w:rsid w:val="001C293B"/>
    <w:rsid w:val="001C293D"/>
    <w:rsid w:val="001C2951"/>
    <w:rsid w:val="001C2AA1"/>
    <w:rsid w:val="001C2BCC"/>
    <w:rsid w:val="001C2D46"/>
    <w:rsid w:val="001C2EC5"/>
    <w:rsid w:val="001C2FE1"/>
    <w:rsid w:val="001C2FE7"/>
    <w:rsid w:val="001C30E4"/>
    <w:rsid w:val="001C329F"/>
    <w:rsid w:val="001C32C0"/>
    <w:rsid w:val="001C3383"/>
    <w:rsid w:val="001C385F"/>
    <w:rsid w:val="001C3967"/>
    <w:rsid w:val="001C3C3C"/>
    <w:rsid w:val="001C3C8E"/>
    <w:rsid w:val="001C3CDF"/>
    <w:rsid w:val="001C41CA"/>
    <w:rsid w:val="001C41EC"/>
    <w:rsid w:val="001C42AF"/>
    <w:rsid w:val="001C42DF"/>
    <w:rsid w:val="001C4431"/>
    <w:rsid w:val="001C4505"/>
    <w:rsid w:val="001C45A1"/>
    <w:rsid w:val="001C4643"/>
    <w:rsid w:val="001C473B"/>
    <w:rsid w:val="001C481A"/>
    <w:rsid w:val="001C4B61"/>
    <w:rsid w:val="001C4C03"/>
    <w:rsid w:val="001C4D07"/>
    <w:rsid w:val="001C4D3F"/>
    <w:rsid w:val="001C4D5E"/>
    <w:rsid w:val="001C4E0F"/>
    <w:rsid w:val="001C4EC6"/>
    <w:rsid w:val="001C52E7"/>
    <w:rsid w:val="001C5529"/>
    <w:rsid w:val="001C56F2"/>
    <w:rsid w:val="001C5963"/>
    <w:rsid w:val="001C59DF"/>
    <w:rsid w:val="001C5B75"/>
    <w:rsid w:val="001C5E9C"/>
    <w:rsid w:val="001C5F53"/>
    <w:rsid w:val="001C6222"/>
    <w:rsid w:val="001C6304"/>
    <w:rsid w:val="001C6305"/>
    <w:rsid w:val="001C6424"/>
    <w:rsid w:val="001C661F"/>
    <w:rsid w:val="001C67BA"/>
    <w:rsid w:val="001C694A"/>
    <w:rsid w:val="001C6CC3"/>
    <w:rsid w:val="001C6D7A"/>
    <w:rsid w:val="001C6EBE"/>
    <w:rsid w:val="001C7147"/>
    <w:rsid w:val="001C7211"/>
    <w:rsid w:val="001C73B6"/>
    <w:rsid w:val="001C7647"/>
    <w:rsid w:val="001C785C"/>
    <w:rsid w:val="001C79D0"/>
    <w:rsid w:val="001C7BA8"/>
    <w:rsid w:val="001C7D91"/>
    <w:rsid w:val="001C7D94"/>
    <w:rsid w:val="001C7EFE"/>
    <w:rsid w:val="001D012E"/>
    <w:rsid w:val="001D0172"/>
    <w:rsid w:val="001D01CE"/>
    <w:rsid w:val="001D01D5"/>
    <w:rsid w:val="001D02F3"/>
    <w:rsid w:val="001D0376"/>
    <w:rsid w:val="001D037F"/>
    <w:rsid w:val="001D03CB"/>
    <w:rsid w:val="001D0684"/>
    <w:rsid w:val="001D06CC"/>
    <w:rsid w:val="001D07B0"/>
    <w:rsid w:val="001D07B6"/>
    <w:rsid w:val="001D0A99"/>
    <w:rsid w:val="001D0AC1"/>
    <w:rsid w:val="001D0BB2"/>
    <w:rsid w:val="001D0BC0"/>
    <w:rsid w:val="001D0EC4"/>
    <w:rsid w:val="001D0F14"/>
    <w:rsid w:val="001D0F55"/>
    <w:rsid w:val="001D0FCE"/>
    <w:rsid w:val="001D0FDE"/>
    <w:rsid w:val="001D11F8"/>
    <w:rsid w:val="001D1312"/>
    <w:rsid w:val="001D1413"/>
    <w:rsid w:val="001D149E"/>
    <w:rsid w:val="001D1521"/>
    <w:rsid w:val="001D15D5"/>
    <w:rsid w:val="001D1835"/>
    <w:rsid w:val="001D1A61"/>
    <w:rsid w:val="001D1D16"/>
    <w:rsid w:val="001D1E49"/>
    <w:rsid w:val="001D1ECE"/>
    <w:rsid w:val="001D1EE4"/>
    <w:rsid w:val="001D2002"/>
    <w:rsid w:val="001D2070"/>
    <w:rsid w:val="001D2235"/>
    <w:rsid w:val="001D23E6"/>
    <w:rsid w:val="001D2404"/>
    <w:rsid w:val="001D2410"/>
    <w:rsid w:val="001D2646"/>
    <w:rsid w:val="001D279D"/>
    <w:rsid w:val="001D2806"/>
    <w:rsid w:val="001D2861"/>
    <w:rsid w:val="001D287E"/>
    <w:rsid w:val="001D28A8"/>
    <w:rsid w:val="001D28C4"/>
    <w:rsid w:val="001D2BA5"/>
    <w:rsid w:val="001D2D59"/>
    <w:rsid w:val="001D2F4A"/>
    <w:rsid w:val="001D3008"/>
    <w:rsid w:val="001D3012"/>
    <w:rsid w:val="001D31B8"/>
    <w:rsid w:val="001D3351"/>
    <w:rsid w:val="001D33B4"/>
    <w:rsid w:val="001D342B"/>
    <w:rsid w:val="001D352C"/>
    <w:rsid w:val="001D3671"/>
    <w:rsid w:val="001D38B4"/>
    <w:rsid w:val="001D38FB"/>
    <w:rsid w:val="001D39B1"/>
    <w:rsid w:val="001D3A27"/>
    <w:rsid w:val="001D3ABE"/>
    <w:rsid w:val="001D3B54"/>
    <w:rsid w:val="001D3C63"/>
    <w:rsid w:val="001D3E18"/>
    <w:rsid w:val="001D3E39"/>
    <w:rsid w:val="001D3FF6"/>
    <w:rsid w:val="001D4135"/>
    <w:rsid w:val="001D41ED"/>
    <w:rsid w:val="001D4305"/>
    <w:rsid w:val="001D4337"/>
    <w:rsid w:val="001D43FA"/>
    <w:rsid w:val="001D44AD"/>
    <w:rsid w:val="001D44EA"/>
    <w:rsid w:val="001D4802"/>
    <w:rsid w:val="001D48DF"/>
    <w:rsid w:val="001D48E4"/>
    <w:rsid w:val="001D49EB"/>
    <w:rsid w:val="001D4A82"/>
    <w:rsid w:val="001D4D61"/>
    <w:rsid w:val="001D4E37"/>
    <w:rsid w:val="001D4E5D"/>
    <w:rsid w:val="001D5360"/>
    <w:rsid w:val="001D5588"/>
    <w:rsid w:val="001D583C"/>
    <w:rsid w:val="001D5ACF"/>
    <w:rsid w:val="001D5B23"/>
    <w:rsid w:val="001D5BFF"/>
    <w:rsid w:val="001D5C18"/>
    <w:rsid w:val="001D5E0C"/>
    <w:rsid w:val="001D6096"/>
    <w:rsid w:val="001D62DF"/>
    <w:rsid w:val="001D632C"/>
    <w:rsid w:val="001D6536"/>
    <w:rsid w:val="001D66C0"/>
    <w:rsid w:val="001D681C"/>
    <w:rsid w:val="001D682F"/>
    <w:rsid w:val="001D6855"/>
    <w:rsid w:val="001D6AB6"/>
    <w:rsid w:val="001D6C37"/>
    <w:rsid w:val="001D6D71"/>
    <w:rsid w:val="001D6DAE"/>
    <w:rsid w:val="001D6E45"/>
    <w:rsid w:val="001D6F54"/>
    <w:rsid w:val="001D7090"/>
    <w:rsid w:val="001D7196"/>
    <w:rsid w:val="001D726F"/>
    <w:rsid w:val="001D7362"/>
    <w:rsid w:val="001D7488"/>
    <w:rsid w:val="001D7520"/>
    <w:rsid w:val="001D757A"/>
    <w:rsid w:val="001D75B5"/>
    <w:rsid w:val="001D75C8"/>
    <w:rsid w:val="001D761E"/>
    <w:rsid w:val="001D762D"/>
    <w:rsid w:val="001D76C2"/>
    <w:rsid w:val="001D77FA"/>
    <w:rsid w:val="001D7813"/>
    <w:rsid w:val="001D78B1"/>
    <w:rsid w:val="001D78BF"/>
    <w:rsid w:val="001D7AB1"/>
    <w:rsid w:val="001D7AFD"/>
    <w:rsid w:val="001D7E49"/>
    <w:rsid w:val="001D7F46"/>
    <w:rsid w:val="001E0142"/>
    <w:rsid w:val="001E0174"/>
    <w:rsid w:val="001E01C7"/>
    <w:rsid w:val="001E0394"/>
    <w:rsid w:val="001E03FB"/>
    <w:rsid w:val="001E05EE"/>
    <w:rsid w:val="001E0658"/>
    <w:rsid w:val="001E0773"/>
    <w:rsid w:val="001E089E"/>
    <w:rsid w:val="001E0AB6"/>
    <w:rsid w:val="001E0B26"/>
    <w:rsid w:val="001E0DBC"/>
    <w:rsid w:val="001E0DE7"/>
    <w:rsid w:val="001E0ECA"/>
    <w:rsid w:val="001E0FC6"/>
    <w:rsid w:val="001E0FF9"/>
    <w:rsid w:val="001E10C6"/>
    <w:rsid w:val="001E1195"/>
    <w:rsid w:val="001E11C1"/>
    <w:rsid w:val="001E122B"/>
    <w:rsid w:val="001E12ED"/>
    <w:rsid w:val="001E13AE"/>
    <w:rsid w:val="001E1434"/>
    <w:rsid w:val="001E14E0"/>
    <w:rsid w:val="001E1526"/>
    <w:rsid w:val="001E15AC"/>
    <w:rsid w:val="001E17C2"/>
    <w:rsid w:val="001E1855"/>
    <w:rsid w:val="001E199B"/>
    <w:rsid w:val="001E1ABE"/>
    <w:rsid w:val="001E1B5A"/>
    <w:rsid w:val="001E1CBF"/>
    <w:rsid w:val="001E1D18"/>
    <w:rsid w:val="001E1D77"/>
    <w:rsid w:val="001E1D88"/>
    <w:rsid w:val="001E1DB9"/>
    <w:rsid w:val="001E1DE0"/>
    <w:rsid w:val="001E2043"/>
    <w:rsid w:val="001E2064"/>
    <w:rsid w:val="001E2066"/>
    <w:rsid w:val="001E2080"/>
    <w:rsid w:val="001E2346"/>
    <w:rsid w:val="001E2381"/>
    <w:rsid w:val="001E24A8"/>
    <w:rsid w:val="001E24BB"/>
    <w:rsid w:val="001E24BE"/>
    <w:rsid w:val="001E2868"/>
    <w:rsid w:val="001E29BB"/>
    <w:rsid w:val="001E2A51"/>
    <w:rsid w:val="001E2C73"/>
    <w:rsid w:val="001E2D7B"/>
    <w:rsid w:val="001E2DDB"/>
    <w:rsid w:val="001E319F"/>
    <w:rsid w:val="001E32A0"/>
    <w:rsid w:val="001E33DD"/>
    <w:rsid w:val="001E359D"/>
    <w:rsid w:val="001E361D"/>
    <w:rsid w:val="001E363D"/>
    <w:rsid w:val="001E3663"/>
    <w:rsid w:val="001E36E3"/>
    <w:rsid w:val="001E3861"/>
    <w:rsid w:val="001E3869"/>
    <w:rsid w:val="001E3A53"/>
    <w:rsid w:val="001E3AE3"/>
    <w:rsid w:val="001E3B59"/>
    <w:rsid w:val="001E3B76"/>
    <w:rsid w:val="001E3D5F"/>
    <w:rsid w:val="001E3E42"/>
    <w:rsid w:val="001E3E80"/>
    <w:rsid w:val="001E3F7E"/>
    <w:rsid w:val="001E433A"/>
    <w:rsid w:val="001E444F"/>
    <w:rsid w:val="001E44F6"/>
    <w:rsid w:val="001E4718"/>
    <w:rsid w:val="001E4849"/>
    <w:rsid w:val="001E4A88"/>
    <w:rsid w:val="001E4D07"/>
    <w:rsid w:val="001E4D65"/>
    <w:rsid w:val="001E4F28"/>
    <w:rsid w:val="001E50B0"/>
    <w:rsid w:val="001E52C4"/>
    <w:rsid w:val="001E53B3"/>
    <w:rsid w:val="001E53D9"/>
    <w:rsid w:val="001E55E0"/>
    <w:rsid w:val="001E56FE"/>
    <w:rsid w:val="001E59F9"/>
    <w:rsid w:val="001E5DD4"/>
    <w:rsid w:val="001E5EB4"/>
    <w:rsid w:val="001E5F7B"/>
    <w:rsid w:val="001E6005"/>
    <w:rsid w:val="001E6131"/>
    <w:rsid w:val="001E6264"/>
    <w:rsid w:val="001E6494"/>
    <w:rsid w:val="001E66EE"/>
    <w:rsid w:val="001E6870"/>
    <w:rsid w:val="001E69C4"/>
    <w:rsid w:val="001E6A61"/>
    <w:rsid w:val="001E6BB7"/>
    <w:rsid w:val="001E6C3C"/>
    <w:rsid w:val="001E6C99"/>
    <w:rsid w:val="001E6FD3"/>
    <w:rsid w:val="001E70A7"/>
    <w:rsid w:val="001E7401"/>
    <w:rsid w:val="001E7426"/>
    <w:rsid w:val="001E75F4"/>
    <w:rsid w:val="001E789E"/>
    <w:rsid w:val="001E79AE"/>
    <w:rsid w:val="001E79D8"/>
    <w:rsid w:val="001E7ACD"/>
    <w:rsid w:val="001E7C2E"/>
    <w:rsid w:val="001E7F6D"/>
    <w:rsid w:val="001F0037"/>
    <w:rsid w:val="001F022C"/>
    <w:rsid w:val="001F0278"/>
    <w:rsid w:val="001F02D7"/>
    <w:rsid w:val="001F05EB"/>
    <w:rsid w:val="001F09C8"/>
    <w:rsid w:val="001F0AF0"/>
    <w:rsid w:val="001F0B4F"/>
    <w:rsid w:val="001F0B5C"/>
    <w:rsid w:val="001F0B65"/>
    <w:rsid w:val="001F0E91"/>
    <w:rsid w:val="001F0EB5"/>
    <w:rsid w:val="001F1091"/>
    <w:rsid w:val="001F124A"/>
    <w:rsid w:val="001F1258"/>
    <w:rsid w:val="001F13E2"/>
    <w:rsid w:val="001F15B6"/>
    <w:rsid w:val="001F17B2"/>
    <w:rsid w:val="001F1819"/>
    <w:rsid w:val="001F1A35"/>
    <w:rsid w:val="001F1BC1"/>
    <w:rsid w:val="001F1D5C"/>
    <w:rsid w:val="001F1F1B"/>
    <w:rsid w:val="001F1FF0"/>
    <w:rsid w:val="001F201D"/>
    <w:rsid w:val="001F221C"/>
    <w:rsid w:val="001F23FF"/>
    <w:rsid w:val="001F27A2"/>
    <w:rsid w:val="001F2813"/>
    <w:rsid w:val="001F28D9"/>
    <w:rsid w:val="001F2959"/>
    <w:rsid w:val="001F29BA"/>
    <w:rsid w:val="001F2F50"/>
    <w:rsid w:val="001F2F6E"/>
    <w:rsid w:val="001F3010"/>
    <w:rsid w:val="001F30D8"/>
    <w:rsid w:val="001F32C4"/>
    <w:rsid w:val="001F354E"/>
    <w:rsid w:val="001F37C5"/>
    <w:rsid w:val="001F39D7"/>
    <w:rsid w:val="001F3A02"/>
    <w:rsid w:val="001F3CBD"/>
    <w:rsid w:val="001F3CC8"/>
    <w:rsid w:val="001F3CD2"/>
    <w:rsid w:val="001F3DB7"/>
    <w:rsid w:val="001F3DBB"/>
    <w:rsid w:val="001F3E31"/>
    <w:rsid w:val="001F4113"/>
    <w:rsid w:val="001F4168"/>
    <w:rsid w:val="001F4332"/>
    <w:rsid w:val="001F458D"/>
    <w:rsid w:val="001F4A4A"/>
    <w:rsid w:val="001F4F37"/>
    <w:rsid w:val="001F4F54"/>
    <w:rsid w:val="001F5069"/>
    <w:rsid w:val="001F5085"/>
    <w:rsid w:val="001F53DB"/>
    <w:rsid w:val="001F55CC"/>
    <w:rsid w:val="001F582E"/>
    <w:rsid w:val="001F589C"/>
    <w:rsid w:val="001F5B01"/>
    <w:rsid w:val="001F5B1C"/>
    <w:rsid w:val="001F5BFF"/>
    <w:rsid w:val="001F5CFA"/>
    <w:rsid w:val="001F5D6C"/>
    <w:rsid w:val="001F5EE7"/>
    <w:rsid w:val="001F5FE6"/>
    <w:rsid w:val="001F61D5"/>
    <w:rsid w:val="001F6252"/>
    <w:rsid w:val="001F62F2"/>
    <w:rsid w:val="001F64E1"/>
    <w:rsid w:val="001F6552"/>
    <w:rsid w:val="001F6569"/>
    <w:rsid w:val="001F6625"/>
    <w:rsid w:val="001F6987"/>
    <w:rsid w:val="001F69F7"/>
    <w:rsid w:val="001F6A1F"/>
    <w:rsid w:val="001F6A3C"/>
    <w:rsid w:val="001F6C64"/>
    <w:rsid w:val="001F6D2B"/>
    <w:rsid w:val="001F7660"/>
    <w:rsid w:val="001F7731"/>
    <w:rsid w:val="001F7753"/>
    <w:rsid w:val="001F7C26"/>
    <w:rsid w:val="001F7CA3"/>
    <w:rsid w:val="001F7D90"/>
    <w:rsid w:val="0020000D"/>
    <w:rsid w:val="00200100"/>
    <w:rsid w:val="00200152"/>
    <w:rsid w:val="0020024B"/>
    <w:rsid w:val="00200722"/>
    <w:rsid w:val="0020089E"/>
    <w:rsid w:val="00200907"/>
    <w:rsid w:val="00200AF6"/>
    <w:rsid w:val="00200EDC"/>
    <w:rsid w:val="00200F0F"/>
    <w:rsid w:val="00200FA0"/>
    <w:rsid w:val="00201040"/>
    <w:rsid w:val="0020109A"/>
    <w:rsid w:val="00201147"/>
    <w:rsid w:val="00201395"/>
    <w:rsid w:val="0020152D"/>
    <w:rsid w:val="0020163A"/>
    <w:rsid w:val="00201743"/>
    <w:rsid w:val="00201751"/>
    <w:rsid w:val="002018CE"/>
    <w:rsid w:val="002019B0"/>
    <w:rsid w:val="00201A30"/>
    <w:rsid w:val="00201B92"/>
    <w:rsid w:val="00201C84"/>
    <w:rsid w:val="00201D62"/>
    <w:rsid w:val="00201E3D"/>
    <w:rsid w:val="00201EB2"/>
    <w:rsid w:val="00201FBF"/>
    <w:rsid w:val="00201FEA"/>
    <w:rsid w:val="00202120"/>
    <w:rsid w:val="00202145"/>
    <w:rsid w:val="00202193"/>
    <w:rsid w:val="002022AC"/>
    <w:rsid w:val="0020237D"/>
    <w:rsid w:val="00202418"/>
    <w:rsid w:val="0020281E"/>
    <w:rsid w:val="002028C0"/>
    <w:rsid w:val="0020294E"/>
    <w:rsid w:val="00202A0A"/>
    <w:rsid w:val="00202A8D"/>
    <w:rsid w:val="00202DC4"/>
    <w:rsid w:val="00202FEB"/>
    <w:rsid w:val="002031C1"/>
    <w:rsid w:val="002033B5"/>
    <w:rsid w:val="002033D6"/>
    <w:rsid w:val="00203673"/>
    <w:rsid w:val="00203782"/>
    <w:rsid w:val="00203B07"/>
    <w:rsid w:val="00203B71"/>
    <w:rsid w:val="00203CA8"/>
    <w:rsid w:val="00203D62"/>
    <w:rsid w:val="00203DB9"/>
    <w:rsid w:val="00203DF4"/>
    <w:rsid w:val="00204140"/>
    <w:rsid w:val="00204362"/>
    <w:rsid w:val="00204534"/>
    <w:rsid w:val="0020467E"/>
    <w:rsid w:val="002046E2"/>
    <w:rsid w:val="00204736"/>
    <w:rsid w:val="0020473D"/>
    <w:rsid w:val="00204798"/>
    <w:rsid w:val="002047CB"/>
    <w:rsid w:val="002048F9"/>
    <w:rsid w:val="00204A26"/>
    <w:rsid w:val="00204A70"/>
    <w:rsid w:val="00204AED"/>
    <w:rsid w:val="00204AFA"/>
    <w:rsid w:val="00204D44"/>
    <w:rsid w:val="00204E05"/>
    <w:rsid w:val="00204ECD"/>
    <w:rsid w:val="0020504D"/>
    <w:rsid w:val="0020535D"/>
    <w:rsid w:val="002053D8"/>
    <w:rsid w:val="00205466"/>
    <w:rsid w:val="0020581E"/>
    <w:rsid w:val="00205849"/>
    <w:rsid w:val="00205B2D"/>
    <w:rsid w:val="00205B7E"/>
    <w:rsid w:val="00205C25"/>
    <w:rsid w:val="00205D27"/>
    <w:rsid w:val="00205D8C"/>
    <w:rsid w:val="00205DAC"/>
    <w:rsid w:val="00205E5D"/>
    <w:rsid w:val="00205F88"/>
    <w:rsid w:val="002060F2"/>
    <w:rsid w:val="00206112"/>
    <w:rsid w:val="00206224"/>
    <w:rsid w:val="00206370"/>
    <w:rsid w:val="00206438"/>
    <w:rsid w:val="00206754"/>
    <w:rsid w:val="0020684E"/>
    <w:rsid w:val="00206871"/>
    <w:rsid w:val="002068A7"/>
    <w:rsid w:val="00206A42"/>
    <w:rsid w:val="00206E82"/>
    <w:rsid w:val="002071A3"/>
    <w:rsid w:val="002072EE"/>
    <w:rsid w:val="00207354"/>
    <w:rsid w:val="00207369"/>
    <w:rsid w:val="00207489"/>
    <w:rsid w:val="00207667"/>
    <w:rsid w:val="0020767B"/>
    <w:rsid w:val="002076EF"/>
    <w:rsid w:val="002078F2"/>
    <w:rsid w:val="00207989"/>
    <w:rsid w:val="002079AE"/>
    <w:rsid w:val="00207AB5"/>
    <w:rsid w:val="00207AD3"/>
    <w:rsid w:val="00207B9C"/>
    <w:rsid w:val="00207C51"/>
    <w:rsid w:val="00207DB8"/>
    <w:rsid w:val="00207DE2"/>
    <w:rsid w:val="00207ED3"/>
    <w:rsid w:val="00207EEC"/>
    <w:rsid w:val="00210149"/>
    <w:rsid w:val="00210212"/>
    <w:rsid w:val="00210271"/>
    <w:rsid w:val="00210275"/>
    <w:rsid w:val="0021037B"/>
    <w:rsid w:val="002103D4"/>
    <w:rsid w:val="00210546"/>
    <w:rsid w:val="00210662"/>
    <w:rsid w:val="00210774"/>
    <w:rsid w:val="00210863"/>
    <w:rsid w:val="002108B9"/>
    <w:rsid w:val="002109A8"/>
    <w:rsid w:val="00210A23"/>
    <w:rsid w:val="00210A8F"/>
    <w:rsid w:val="00210CB5"/>
    <w:rsid w:val="00210CC6"/>
    <w:rsid w:val="00210D9A"/>
    <w:rsid w:val="00210DC1"/>
    <w:rsid w:val="00210EB3"/>
    <w:rsid w:val="00210F58"/>
    <w:rsid w:val="00210FCD"/>
    <w:rsid w:val="00211041"/>
    <w:rsid w:val="002111ED"/>
    <w:rsid w:val="002115B0"/>
    <w:rsid w:val="00211756"/>
    <w:rsid w:val="002117E7"/>
    <w:rsid w:val="00211956"/>
    <w:rsid w:val="00211BF1"/>
    <w:rsid w:val="00211D11"/>
    <w:rsid w:val="00211D19"/>
    <w:rsid w:val="00211FF7"/>
    <w:rsid w:val="00212050"/>
    <w:rsid w:val="00212234"/>
    <w:rsid w:val="00212310"/>
    <w:rsid w:val="00212487"/>
    <w:rsid w:val="00212546"/>
    <w:rsid w:val="00212558"/>
    <w:rsid w:val="0021258B"/>
    <w:rsid w:val="0021261A"/>
    <w:rsid w:val="00212635"/>
    <w:rsid w:val="002126A9"/>
    <w:rsid w:val="002126B5"/>
    <w:rsid w:val="00212758"/>
    <w:rsid w:val="0021286D"/>
    <w:rsid w:val="0021288A"/>
    <w:rsid w:val="002128A8"/>
    <w:rsid w:val="00212950"/>
    <w:rsid w:val="00212965"/>
    <w:rsid w:val="002129B9"/>
    <w:rsid w:val="00212A98"/>
    <w:rsid w:val="00212AD3"/>
    <w:rsid w:val="00212BEF"/>
    <w:rsid w:val="00212D4F"/>
    <w:rsid w:val="00212E36"/>
    <w:rsid w:val="00212E88"/>
    <w:rsid w:val="00212F6F"/>
    <w:rsid w:val="00213126"/>
    <w:rsid w:val="00213343"/>
    <w:rsid w:val="002133B9"/>
    <w:rsid w:val="00213436"/>
    <w:rsid w:val="0021343D"/>
    <w:rsid w:val="002134D3"/>
    <w:rsid w:val="0021355D"/>
    <w:rsid w:val="0021376E"/>
    <w:rsid w:val="002138C7"/>
    <w:rsid w:val="00213AC6"/>
    <w:rsid w:val="00213BE8"/>
    <w:rsid w:val="00213E76"/>
    <w:rsid w:val="00213FBD"/>
    <w:rsid w:val="00214126"/>
    <w:rsid w:val="0021427B"/>
    <w:rsid w:val="00214562"/>
    <w:rsid w:val="002145B7"/>
    <w:rsid w:val="0021462E"/>
    <w:rsid w:val="00214737"/>
    <w:rsid w:val="00214A95"/>
    <w:rsid w:val="00214C03"/>
    <w:rsid w:val="00214C0C"/>
    <w:rsid w:val="00214C96"/>
    <w:rsid w:val="00214E3F"/>
    <w:rsid w:val="00214E64"/>
    <w:rsid w:val="00214FBB"/>
    <w:rsid w:val="00215010"/>
    <w:rsid w:val="0021526E"/>
    <w:rsid w:val="002152F5"/>
    <w:rsid w:val="002154D3"/>
    <w:rsid w:val="00215552"/>
    <w:rsid w:val="00215701"/>
    <w:rsid w:val="002158AD"/>
    <w:rsid w:val="00215A32"/>
    <w:rsid w:val="00215A8A"/>
    <w:rsid w:val="00215AF2"/>
    <w:rsid w:val="00215CC0"/>
    <w:rsid w:val="00215D84"/>
    <w:rsid w:val="00215E00"/>
    <w:rsid w:val="00216131"/>
    <w:rsid w:val="002161C6"/>
    <w:rsid w:val="00216251"/>
    <w:rsid w:val="002162B5"/>
    <w:rsid w:val="00216397"/>
    <w:rsid w:val="00216652"/>
    <w:rsid w:val="00216734"/>
    <w:rsid w:val="0021679A"/>
    <w:rsid w:val="002167A1"/>
    <w:rsid w:val="00216819"/>
    <w:rsid w:val="00216832"/>
    <w:rsid w:val="002168E2"/>
    <w:rsid w:val="00216C5C"/>
    <w:rsid w:val="00216D4F"/>
    <w:rsid w:val="00216F7C"/>
    <w:rsid w:val="00216FFA"/>
    <w:rsid w:val="002170BC"/>
    <w:rsid w:val="00217251"/>
    <w:rsid w:val="0021727C"/>
    <w:rsid w:val="002172C1"/>
    <w:rsid w:val="00217449"/>
    <w:rsid w:val="0021746B"/>
    <w:rsid w:val="002176CB"/>
    <w:rsid w:val="002178AB"/>
    <w:rsid w:val="002179ED"/>
    <w:rsid w:val="002179F7"/>
    <w:rsid w:val="00217BB6"/>
    <w:rsid w:val="00217C4D"/>
    <w:rsid w:val="00217E34"/>
    <w:rsid w:val="00217F28"/>
    <w:rsid w:val="00220323"/>
    <w:rsid w:val="002203AA"/>
    <w:rsid w:val="00220467"/>
    <w:rsid w:val="002206B7"/>
    <w:rsid w:val="002206D4"/>
    <w:rsid w:val="0022078D"/>
    <w:rsid w:val="002208F8"/>
    <w:rsid w:val="002209BC"/>
    <w:rsid w:val="00220A05"/>
    <w:rsid w:val="00220A4E"/>
    <w:rsid w:val="00220B5C"/>
    <w:rsid w:val="00220D2D"/>
    <w:rsid w:val="00220DDA"/>
    <w:rsid w:val="00220DF3"/>
    <w:rsid w:val="00220EC9"/>
    <w:rsid w:val="00220F30"/>
    <w:rsid w:val="00220F73"/>
    <w:rsid w:val="002213A1"/>
    <w:rsid w:val="00221635"/>
    <w:rsid w:val="00221798"/>
    <w:rsid w:val="0022188A"/>
    <w:rsid w:val="002218E0"/>
    <w:rsid w:val="00221928"/>
    <w:rsid w:val="00221BD1"/>
    <w:rsid w:val="00221CDB"/>
    <w:rsid w:val="00221D0F"/>
    <w:rsid w:val="00221D94"/>
    <w:rsid w:val="00221FDD"/>
    <w:rsid w:val="002220E9"/>
    <w:rsid w:val="0022222D"/>
    <w:rsid w:val="002222AE"/>
    <w:rsid w:val="00222578"/>
    <w:rsid w:val="00222781"/>
    <w:rsid w:val="002227C9"/>
    <w:rsid w:val="00222AA6"/>
    <w:rsid w:val="00222B08"/>
    <w:rsid w:val="00222CBB"/>
    <w:rsid w:val="00222D57"/>
    <w:rsid w:val="00222E02"/>
    <w:rsid w:val="00222F26"/>
    <w:rsid w:val="002232C4"/>
    <w:rsid w:val="0022330D"/>
    <w:rsid w:val="00223A6C"/>
    <w:rsid w:val="00223BDB"/>
    <w:rsid w:val="00223C83"/>
    <w:rsid w:val="00223C88"/>
    <w:rsid w:val="00223C9C"/>
    <w:rsid w:val="00223D50"/>
    <w:rsid w:val="00223DC1"/>
    <w:rsid w:val="00223DE3"/>
    <w:rsid w:val="00223F4B"/>
    <w:rsid w:val="00223FA5"/>
    <w:rsid w:val="002241B9"/>
    <w:rsid w:val="0022466E"/>
    <w:rsid w:val="002246D2"/>
    <w:rsid w:val="002246F2"/>
    <w:rsid w:val="0022479C"/>
    <w:rsid w:val="0022489F"/>
    <w:rsid w:val="002248AC"/>
    <w:rsid w:val="002248D9"/>
    <w:rsid w:val="00224A5B"/>
    <w:rsid w:val="00224D85"/>
    <w:rsid w:val="0022500F"/>
    <w:rsid w:val="002255B7"/>
    <w:rsid w:val="0022564F"/>
    <w:rsid w:val="002257F5"/>
    <w:rsid w:val="00225847"/>
    <w:rsid w:val="00225857"/>
    <w:rsid w:val="002258D3"/>
    <w:rsid w:val="00225AF9"/>
    <w:rsid w:val="00225BC3"/>
    <w:rsid w:val="00225E84"/>
    <w:rsid w:val="00225E9E"/>
    <w:rsid w:val="00226228"/>
    <w:rsid w:val="00226361"/>
    <w:rsid w:val="002265A3"/>
    <w:rsid w:val="00226671"/>
    <w:rsid w:val="002266DF"/>
    <w:rsid w:val="00226862"/>
    <w:rsid w:val="0022695F"/>
    <w:rsid w:val="002269D5"/>
    <w:rsid w:val="00226E25"/>
    <w:rsid w:val="0022706E"/>
    <w:rsid w:val="002270B7"/>
    <w:rsid w:val="002270B9"/>
    <w:rsid w:val="002270F8"/>
    <w:rsid w:val="00227123"/>
    <w:rsid w:val="00227167"/>
    <w:rsid w:val="00227243"/>
    <w:rsid w:val="0022736F"/>
    <w:rsid w:val="00227526"/>
    <w:rsid w:val="002275FE"/>
    <w:rsid w:val="00227745"/>
    <w:rsid w:val="0022782F"/>
    <w:rsid w:val="00227A5A"/>
    <w:rsid w:val="00227D0D"/>
    <w:rsid w:val="00227D6C"/>
    <w:rsid w:val="00227D9E"/>
    <w:rsid w:val="00227DD2"/>
    <w:rsid w:val="00227EEE"/>
    <w:rsid w:val="00227F9A"/>
    <w:rsid w:val="00227FCB"/>
    <w:rsid w:val="00230284"/>
    <w:rsid w:val="0023036B"/>
    <w:rsid w:val="002307BF"/>
    <w:rsid w:val="00230841"/>
    <w:rsid w:val="00230916"/>
    <w:rsid w:val="0023094C"/>
    <w:rsid w:val="00230AA4"/>
    <w:rsid w:val="00230ADE"/>
    <w:rsid w:val="00230BBD"/>
    <w:rsid w:val="00230C6F"/>
    <w:rsid w:val="00230D1E"/>
    <w:rsid w:val="00231092"/>
    <w:rsid w:val="00231770"/>
    <w:rsid w:val="002317B6"/>
    <w:rsid w:val="0023197B"/>
    <w:rsid w:val="00231D25"/>
    <w:rsid w:val="00231D2C"/>
    <w:rsid w:val="002320F5"/>
    <w:rsid w:val="0023225B"/>
    <w:rsid w:val="00232324"/>
    <w:rsid w:val="002323DC"/>
    <w:rsid w:val="002324B0"/>
    <w:rsid w:val="002325B0"/>
    <w:rsid w:val="00232903"/>
    <w:rsid w:val="00232A08"/>
    <w:rsid w:val="00232ABC"/>
    <w:rsid w:val="00232BCA"/>
    <w:rsid w:val="00232CD1"/>
    <w:rsid w:val="00232E0F"/>
    <w:rsid w:val="00232E6A"/>
    <w:rsid w:val="00232F4D"/>
    <w:rsid w:val="00232FD0"/>
    <w:rsid w:val="00233127"/>
    <w:rsid w:val="002334D8"/>
    <w:rsid w:val="002335AA"/>
    <w:rsid w:val="002337BB"/>
    <w:rsid w:val="00233B33"/>
    <w:rsid w:val="00233DB2"/>
    <w:rsid w:val="00233E05"/>
    <w:rsid w:val="00233ECB"/>
    <w:rsid w:val="0023403F"/>
    <w:rsid w:val="00234137"/>
    <w:rsid w:val="00234242"/>
    <w:rsid w:val="002343F1"/>
    <w:rsid w:val="00234620"/>
    <w:rsid w:val="002346AA"/>
    <w:rsid w:val="002347EA"/>
    <w:rsid w:val="0023495A"/>
    <w:rsid w:val="00234C91"/>
    <w:rsid w:val="00234D4C"/>
    <w:rsid w:val="00234DC1"/>
    <w:rsid w:val="00234E1F"/>
    <w:rsid w:val="00234E8D"/>
    <w:rsid w:val="00234F6F"/>
    <w:rsid w:val="00235336"/>
    <w:rsid w:val="0023539A"/>
    <w:rsid w:val="00235483"/>
    <w:rsid w:val="0023567F"/>
    <w:rsid w:val="002357FB"/>
    <w:rsid w:val="00235A5F"/>
    <w:rsid w:val="00235A97"/>
    <w:rsid w:val="00235A9E"/>
    <w:rsid w:val="00235C1A"/>
    <w:rsid w:val="00235C67"/>
    <w:rsid w:val="00235DE1"/>
    <w:rsid w:val="0023649C"/>
    <w:rsid w:val="00236842"/>
    <w:rsid w:val="00236959"/>
    <w:rsid w:val="00236A15"/>
    <w:rsid w:val="00236A87"/>
    <w:rsid w:val="00236B18"/>
    <w:rsid w:val="00236BA3"/>
    <w:rsid w:val="00236F9A"/>
    <w:rsid w:val="0023708A"/>
    <w:rsid w:val="002371C0"/>
    <w:rsid w:val="002371E9"/>
    <w:rsid w:val="002371FC"/>
    <w:rsid w:val="00237270"/>
    <w:rsid w:val="0023743C"/>
    <w:rsid w:val="00237784"/>
    <w:rsid w:val="00237901"/>
    <w:rsid w:val="00237BDC"/>
    <w:rsid w:val="00237DDA"/>
    <w:rsid w:val="00237F9C"/>
    <w:rsid w:val="00237FD2"/>
    <w:rsid w:val="0024006A"/>
    <w:rsid w:val="0024009F"/>
    <w:rsid w:val="002400DC"/>
    <w:rsid w:val="00240203"/>
    <w:rsid w:val="002406EF"/>
    <w:rsid w:val="0024074E"/>
    <w:rsid w:val="00240B13"/>
    <w:rsid w:val="00240C7D"/>
    <w:rsid w:val="00240D14"/>
    <w:rsid w:val="00240D82"/>
    <w:rsid w:val="00240E8C"/>
    <w:rsid w:val="00240EBD"/>
    <w:rsid w:val="00240FAE"/>
    <w:rsid w:val="00241199"/>
    <w:rsid w:val="0024141C"/>
    <w:rsid w:val="0024143C"/>
    <w:rsid w:val="0024160A"/>
    <w:rsid w:val="00241771"/>
    <w:rsid w:val="00241789"/>
    <w:rsid w:val="002417E5"/>
    <w:rsid w:val="00241C5D"/>
    <w:rsid w:val="00241CF3"/>
    <w:rsid w:val="00241D90"/>
    <w:rsid w:val="00241EDD"/>
    <w:rsid w:val="002420B3"/>
    <w:rsid w:val="002422A5"/>
    <w:rsid w:val="002422BB"/>
    <w:rsid w:val="00242353"/>
    <w:rsid w:val="002423F2"/>
    <w:rsid w:val="002424BB"/>
    <w:rsid w:val="002426B2"/>
    <w:rsid w:val="002428F5"/>
    <w:rsid w:val="00242AF1"/>
    <w:rsid w:val="00242B2D"/>
    <w:rsid w:val="00242CB9"/>
    <w:rsid w:val="00242F38"/>
    <w:rsid w:val="0024303C"/>
    <w:rsid w:val="002430F4"/>
    <w:rsid w:val="00243149"/>
    <w:rsid w:val="0024315A"/>
    <w:rsid w:val="00243161"/>
    <w:rsid w:val="00243196"/>
    <w:rsid w:val="00243343"/>
    <w:rsid w:val="0024374B"/>
    <w:rsid w:val="00243783"/>
    <w:rsid w:val="002437DC"/>
    <w:rsid w:val="00243CA8"/>
    <w:rsid w:val="00243DA0"/>
    <w:rsid w:val="00243EB1"/>
    <w:rsid w:val="00243EB2"/>
    <w:rsid w:val="00243F6F"/>
    <w:rsid w:val="00243F8D"/>
    <w:rsid w:val="00243F98"/>
    <w:rsid w:val="00243FC9"/>
    <w:rsid w:val="00244140"/>
    <w:rsid w:val="00244146"/>
    <w:rsid w:val="002443B4"/>
    <w:rsid w:val="002444A8"/>
    <w:rsid w:val="00244513"/>
    <w:rsid w:val="002445FC"/>
    <w:rsid w:val="002446BE"/>
    <w:rsid w:val="0024478A"/>
    <w:rsid w:val="002447AE"/>
    <w:rsid w:val="0024486E"/>
    <w:rsid w:val="00244BB7"/>
    <w:rsid w:val="002450F0"/>
    <w:rsid w:val="0024524D"/>
    <w:rsid w:val="00245294"/>
    <w:rsid w:val="002454C5"/>
    <w:rsid w:val="00245555"/>
    <w:rsid w:val="00245564"/>
    <w:rsid w:val="00245647"/>
    <w:rsid w:val="00245662"/>
    <w:rsid w:val="00245840"/>
    <w:rsid w:val="00245A7F"/>
    <w:rsid w:val="00245AA8"/>
    <w:rsid w:val="00245BC7"/>
    <w:rsid w:val="00245BC8"/>
    <w:rsid w:val="00245C0C"/>
    <w:rsid w:val="00245C7C"/>
    <w:rsid w:val="00245ED1"/>
    <w:rsid w:val="00245F3F"/>
    <w:rsid w:val="002460F6"/>
    <w:rsid w:val="00246210"/>
    <w:rsid w:val="002462A2"/>
    <w:rsid w:val="002465E2"/>
    <w:rsid w:val="002467E9"/>
    <w:rsid w:val="00246831"/>
    <w:rsid w:val="0024692C"/>
    <w:rsid w:val="002469B5"/>
    <w:rsid w:val="00246BE8"/>
    <w:rsid w:val="00246D35"/>
    <w:rsid w:val="00246D87"/>
    <w:rsid w:val="00246E05"/>
    <w:rsid w:val="00246F4E"/>
    <w:rsid w:val="00246FD6"/>
    <w:rsid w:val="0024703D"/>
    <w:rsid w:val="00247052"/>
    <w:rsid w:val="0024714A"/>
    <w:rsid w:val="0024718B"/>
    <w:rsid w:val="002471A9"/>
    <w:rsid w:val="0024745B"/>
    <w:rsid w:val="00247598"/>
    <w:rsid w:val="00247670"/>
    <w:rsid w:val="00247701"/>
    <w:rsid w:val="00247965"/>
    <w:rsid w:val="00247EE3"/>
    <w:rsid w:val="00250086"/>
    <w:rsid w:val="002500D9"/>
    <w:rsid w:val="002501DA"/>
    <w:rsid w:val="0025023C"/>
    <w:rsid w:val="0025025F"/>
    <w:rsid w:val="00250400"/>
    <w:rsid w:val="0025051C"/>
    <w:rsid w:val="002506F9"/>
    <w:rsid w:val="00250883"/>
    <w:rsid w:val="0025088F"/>
    <w:rsid w:val="002509AA"/>
    <w:rsid w:val="002509F5"/>
    <w:rsid w:val="00250C2D"/>
    <w:rsid w:val="00250C78"/>
    <w:rsid w:val="00250CE7"/>
    <w:rsid w:val="00250D61"/>
    <w:rsid w:val="00250D9B"/>
    <w:rsid w:val="00250E09"/>
    <w:rsid w:val="00250F73"/>
    <w:rsid w:val="00251036"/>
    <w:rsid w:val="0025112F"/>
    <w:rsid w:val="0025118E"/>
    <w:rsid w:val="002513CB"/>
    <w:rsid w:val="00251418"/>
    <w:rsid w:val="00251462"/>
    <w:rsid w:val="002514B1"/>
    <w:rsid w:val="002516C9"/>
    <w:rsid w:val="00251856"/>
    <w:rsid w:val="002519EB"/>
    <w:rsid w:val="002519F5"/>
    <w:rsid w:val="00251ADE"/>
    <w:rsid w:val="00251AE6"/>
    <w:rsid w:val="00251B4A"/>
    <w:rsid w:val="00251BC7"/>
    <w:rsid w:val="00251E66"/>
    <w:rsid w:val="00251FD2"/>
    <w:rsid w:val="0025202A"/>
    <w:rsid w:val="00252057"/>
    <w:rsid w:val="00252184"/>
    <w:rsid w:val="002521F9"/>
    <w:rsid w:val="00252270"/>
    <w:rsid w:val="00252433"/>
    <w:rsid w:val="0025256B"/>
    <w:rsid w:val="00252583"/>
    <w:rsid w:val="002525BB"/>
    <w:rsid w:val="002526E5"/>
    <w:rsid w:val="00252858"/>
    <w:rsid w:val="0025286D"/>
    <w:rsid w:val="00252A92"/>
    <w:rsid w:val="00252ABD"/>
    <w:rsid w:val="00252ADB"/>
    <w:rsid w:val="00252B13"/>
    <w:rsid w:val="00252DA9"/>
    <w:rsid w:val="00252DEE"/>
    <w:rsid w:val="00252EA5"/>
    <w:rsid w:val="00252F0C"/>
    <w:rsid w:val="00252FFB"/>
    <w:rsid w:val="002532AB"/>
    <w:rsid w:val="00253348"/>
    <w:rsid w:val="002533B4"/>
    <w:rsid w:val="0025352B"/>
    <w:rsid w:val="00253699"/>
    <w:rsid w:val="00253861"/>
    <w:rsid w:val="00253917"/>
    <w:rsid w:val="00253919"/>
    <w:rsid w:val="00253A2A"/>
    <w:rsid w:val="00253B5E"/>
    <w:rsid w:val="00253BDF"/>
    <w:rsid w:val="00253CB4"/>
    <w:rsid w:val="00253CFF"/>
    <w:rsid w:val="00253D9A"/>
    <w:rsid w:val="00253E24"/>
    <w:rsid w:val="00253EEA"/>
    <w:rsid w:val="00253F10"/>
    <w:rsid w:val="00253F7F"/>
    <w:rsid w:val="002540C6"/>
    <w:rsid w:val="002541B8"/>
    <w:rsid w:val="00254240"/>
    <w:rsid w:val="002542D3"/>
    <w:rsid w:val="002543A0"/>
    <w:rsid w:val="0025489B"/>
    <w:rsid w:val="00254DDE"/>
    <w:rsid w:val="00254F5E"/>
    <w:rsid w:val="00255010"/>
    <w:rsid w:val="0025512D"/>
    <w:rsid w:val="00255131"/>
    <w:rsid w:val="002551AE"/>
    <w:rsid w:val="00255204"/>
    <w:rsid w:val="00255579"/>
    <w:rsid w:val="002557BF"/>
    <w:rsid w:val="0025580A"/>
    <w:rsid w:val="002558B2"/>
    <w:rsid w:val="00255A7C"/>
    <w:rsid w:val="00255A8D"/>
    <w:rsid w:val="00255B21"/>
    <w:rsid w:val="00255BCC"/>
    <w:rsid w:val="00255C60"/>
    <w:rsid w:val="00255C74"/>
    <w:rsid w:val="00256065"/>
    <w:rsid w:val="00256093"/>
    <w:rsid w:val="00256311"/>
    <w:rsid w:val="002563F8"/>
    <w:rsid w:val="0025668B"/>
    <w:rsid w:val="002566A3"/>
    <w:rsid w:val="00256A60"/>
    <w:rsid w:val="00256E8F"/>
    <w:rsid w:val="00256EEA"/>
    <w:rsid w:val="00257078"/>
    <w:rsid w:val="00257207"/>
    <w:rsid w:val="0025746A"/>
    <w:rsid w:val="00257556"/>
    <w:rsid w:val="002575E0"/>
    <w:rsid w:val="00257A0C"/>
    <w:rsid w:val="00257A47"/>
    <w:rsid w:val="00257D0A"/>
    <w:rsid w:val="00257E2A"/>
    <w:rsid w:val="002600A9"/>
    <w:rsid w:val="002600F5"/>
    <w:rsid w:val="002601B7"/>
    <w:rsid w:val="002601FE"/>
    <w:rsid w:val="0026030E"/>
    <w:rsid w:val="00260414"/>
    <w:rsid w:val="00260432"/>
    <w:rsid w:val="0026050F"/>
    <w:rsid w:val="002606B5"/>
    <w:rsid w:val="0026094D"/>
    <w:rsid w:val="00260A47"/>
    <w:rsid w:val="00260A95"/>
    <w:rsid w:val="00260DC2"/>
    <w:rsid w:val="00260E4A"/>
    <w:rsid w:val="00261218"/>
    <w:rsid w:val="0026128E"/>
    <w:rsid w:val="002612A6"/>
    <w:rsid w:val="002612A7"/>
    <w:rsid w:val="00261388"/>
    <w:rsid w:val="0026148B"/>
    <w:rsid w:val="00261562"/>
    <w:rsid w:val="0026198B"/>
    <w:rsid w:val="00261A24"/>
    <w:rsid w:val="00261BB2"/>
    <w:rsid w:val="00261ECA"/>
    <w:rsid w:val="002620B8"/>
    <w:rsid w:val="00262350"/>
    <w:rsid w:val="00262414"/>
    <w:rsid w:val="0026246B"/>
    <w:rsid w:val="00262478"/>
    <w:rsid w:val="002624AC"/>
    <w:rsid w:val="00262551"/>
    <w:rsid w:val="00262944"/>
    <w:rsid w:val="00262948"/>
    <w:rsid w:val="002629B3"/>
    <w:rsid w:val="00262AB7"/>
    <w:rsid w:val="00262B9B"/>
    <w:rsid w:val="00262C4B"/>
    <w:rsid w:val="00262E49"/>
    <w:rsid w:val="00262E69"/>
    <w:rsid w:val="00262E80"/>
    <w:rsid w:val="0026304F"/>
    <w:rsid w:val="002630DC"/>
    <w:rsid w:val="00263266"/>
    <w:rsid w:val="002632A7"/>
    <w:rsid w:val="002632E0"/>
    <w:rsid w:val="00263566"/>
    <w:rsid w:val="0026372D"/>
    <w:rsid w:val="002638C8"/>
    <w:rsid w:val="00263A82"/>
    <w:rsid w:val="00263C28"/>
    <w:rsid w:val="00263C80"/>
    <w:rsid w:val="00263CE4"/>
    <w:rsid w:val="00263F5A"/>
    <w:rsid w:val="002644A3"/>
    <w:rsid w:val="0026457B"/>
    <w:rsid w:val="002645C1"/>
    <w:rsid w:val="00264767"/>
    <w:rsid w:val="00264997"/>
    <w:rsid w:val="002649D5"/>
    <w:rsid w:val="002649EB"/>
    <w:rsid w:val="00264A78"/>
    <w:rsid w:val="00264C35"/>
    <w:rsid w:val="00264D27"/>
    <w:rsid w:val="00264EA4"/>
    <w:rsid w:val="00264FB4"/>
    <w:rsid w:val="00265020"/>
    <w:rsid w:val="00265116"/>
    <w:rsid w:val="002651C2"/>
    <w:rsid w:val="002651EB"/>
    <w:rsid w:val="0026531C"/>
    <w:rsid w:val="00265369"/>
    <w:rsid w:val="00265372"/>
    <w:rsid w:val="00265410"/>
    <w:rsid w:val="00265420"/>
    <w:rsid w:val="0026548D"/>
    <w:rsid w:val="00265626"/>
    <w:rsid w:val="00265627"/>
    <w:rsid w:val="002659C5"/>
    <w:rsid w:val="00265B4C"/>
    <w:rsid w:val="00265B6D"/>
    <w:rsid w:val="00265C3F"/>
    <w:rsid w:val="00265C8A"/>
    <w:rsid w:val="00265D0E"/>
    <w:rsid w:val="00265DB9"/>
    <w:rsid w:val="00265F9F"/>
    <w:rsid w:val="0026609F"/>
    <w:rsid w:val="00266248"/>
    <w:rsid w:val="002665E3"/>
    <w:rsid w:val="002666F1"/>
    <w:rsid w:val="0026676E"/>
    <w:rsid w:val="00266804"/>
    <w:rsid w:val="00266884"/>
    <w:rsid w:val="00266B1E"/>
    <w:rsid w:val="00266B96"/>
    <w:rsid w:val="00266EDE"/>
    <w:rsid w:val="00266FDA"/>
    <w:rsid w:val="00267047"/>
    <w:rsid w:val="002670F6"/>
    <w:rsid w:val="0026715F"/>
    <w:rsid w:val="002671F9"/>
    <w:rsid w:val="00267354"/>
    <w:rsid w:val="00267461"/>
    <w:rsid w:val="0026778D"/>
    <w:rsid w:val="0026786D"/>
    <w:rsid w:val="002678DF"/>
    <w:rsid w:val="00267A47"/>
    <w:rsid w:val="00267EA7"/>
    <w:rsid w:val="00267F2C"/>
    <w:rsid w:val="00270215"/>
    <w:rsid w:val="002703B4"/>
    <w:rsid w:val="0027047E"/>
    <w:rsid w:val="00270490"/>
    <w:rsid w:val="002705F2"/>
    <w:rsid w:val="0027065C"/>
    <w:rsid w:val="00270979"/>
    <w:rsid w:val="00270BE3"/>
    <w:rsid w:val="00270C59"/>
    <w:rsid w:val="00270C94"/>
    <w:rsid w:val="00270CA2"/>
    <w:rsid w:val="00270D1C"/>
    <w:rsid w:val="00270D1D"/>
    <w:rsid w:val="00270F15"/>
    <w:rsid w:val="002710C8"/>
    <w:rsid w:val="002710DD"/>
    <w:rsid w:val="002711B3"/>
    <w:rsid w:val="002711C3"/>
    <w:rsid w:val="00271206"/>
    <w:rsid w:val="00271281"/>
    <w:rsid w:val="002712E2"/>
    <w:rsid w:val="0027146B"/>
    <w:rsid w:val="002714AA"/>
    <w:rsid w:val="002716BD"/>
    <w:rsid w:val="0027181F"/>
    <w:rsid w:val="002718BA"/>
    <w:rsid w:val="002718DC"/>
    <w:rsid w:val="00271933"/>
    <w:rsid w:val="0027195C"/>
    <w:rsid w:val="00271A43"/>
    <w:rsid w:val="00271C1E"/>
    <w:rsid w:val="00271C41"/>
    <w:rsid w:val="00271D91"/>
    <w:rsid w:val="00271EFD"/>
    <w:rsid w:val="00271FCA"/>
    <w:rsid w:val="0027206D"/>
    <w:rsid w:val="00272087"/>
    <w:rsid w:val="002720A0"/>
    <w:rsid w:val="00272169"/>
    <w:rsid w:val="0027230C"/>
    <w:rsid w:val="00272377"/>
    <w:rsid w:val="002723A6"/>
    <w:rsid w:val="0027279B"/>
    <w:rsid w:val="002727E4"/>
    <w:rsid w:val="00272893"/>
    <w:rsid w:val="00272B80"/>
    <w:rsid w:val="00272C62"/>
    <w:rsid w:val="00273185"/>
    <w:rsid w:val="002732A6"/>
    <w:rsid w:val="0027330D"/>
    <w:rsid w:val="0027332F"/>
    <w:rsid w:val="002733C3"/>
    <w:rsid w:val="00273504"/>
    <w:rsid w:val="002736A6"/>
    <w:rsid w:val="00273714"/>
    <w:rsid w:val="002737F4"/>
    <w:rsid w:val="00273870"/>
    <w:rsid w:val="00273C32"/>
    <w:rsid w:val="00273C99"/>
    <w:rsid w:val="00273CDF"/>
    <w:rsid w:val="00273E70"/>
    <w:rsid w:val="002740E3"/>
    <w:rsid w:val="0027416A"/>
    <w:rsid w:val="0027420E"/>
    <w:rsid w:val="0027436A"/>
    <w:rsid w:val="0027442E"/>
    <w:rsid w:val="002745BE"/>
    <w:rsid w:val="002746D3"/>
    <w:rsid w:val="0027477E"/>
    <w:rsid w:val="00274886"/>
    <w:rsid w:val="002749EA"/>
    <w:rsid w:val="00274A28"/>
    <w:rsid w:val="00274B4E"/>
    <w:rsid w:val="00274BD9"/>
    <w:rsid w:val="00274CB1"/>
    <w:rsid w:val="00274D46"/>
    <w:rsid w:val="00274E96"/>
    <w:rsid w:val="00274F5A"/>
    <w:rsid w:val="002753F2"/>
    <w:rsid w:val="00275515"/>
    <w:rsid w:val="00275561"/>
    <w:rsid w:val="0027560B"/>
    <w:rsid w:val="00275627"/>
    <w:rsid w:val="0027562D"/>
    <w:rsid w:val="00275664"/>
    <w:rsid w:val="00275805"/>
    <w:rsid w:val="002758A5"/>
    <w:rsid w:val="00275A40"/>
    <w:rsid w:val="00275AC9"/>
    <w:rsid w:val="00275E0E"/>
    <w:rsid w:val="0027603E"/>
    <w:rsid w:val="002760EE"/>
    <w:rsid w:val="002760FC"/>
    <w:rsid w:val="0027633F"/>
    <w:rsid w:val="00276434"/>
    <w:rsid w:val="00276562"/>
    <w:rsid w:val="002765B0"/>
    <w:rsid w:val="002766CA"/>
    <w:rsid w:val="00276878"/>
    <w:rsid w:val="00276939"/>
    <w:rsid w:val="00276A7F"/>
    <w:rsid w:val="00276AB1"/>
    <w:rsid w:val="00276E61"/>
    <w:rsid w:val="00276F23"/>
    <w:rsid w:val="00276F67"/>
    <w:rsid w:val="00277080"/>
    <w:rsid w:val="002770E1"/>
    <w:rsid w:val="0027717C"/>
    <w:rsid w:val="00277305"/>
    <w:rsid w:val="00277327"/>
    <w:rsid w:val="002773DE"/>
    <w:rsid w:val="00277416"/>
    <w:rsid w:val="0027743E"/>
    <w:rsid w:val="002774D2"/>
    <w:rsid w:val="002775F2"/>
    <w:rsid w:val="00277646"/>
    <w:rsid w:val="002776A2"/>
    <w:rsid w:val="002776DF"/>
    <w:rsid w:val="0027771C"/>
    <w:rsid w:val="002777CF"/>
    <w:rsid w:val="00277882"/>
    <w:rsid w:val="00277945"/>
    <w:rsid w:val="00277AA4"/>
    <w:rsid w:val="00277C82"/>
    <w:rsid w:val="00277C90"/>
    <w:rsid w:val="00277C9A"/>
    <w:rsid w:val="00277CB1"/>
    <w:rsid w:val="00277D46"/>
    <w:rsid w:val="00277DA7"/>
    <w:rsid w:val="00277EE0"/>
    <w:rsid w:val="00277F98"/>
    <w:rsid w:val="0028004C"/>
    <w:rsid w:val="00280271"/>
    <w:rsid w:val="00280295"/>
    <w:rsid w:val="002803AA"/>
    <w:rsid w:val="002806C9"/>
    <w:rsid w:val="00280709"/>
    <w:rsid w:val="00280944"/>
    <w:rsid w:val="00280A54"/>
    <w:rsid w:val="00280A60"/>
    <w:rsid w:val="00280AFD"/>
    <w:rsid w:val="00280B41"/>
    <w:rsid w:val="00280C31"/>
    <w:rsid w:val="00280C88"/>
    <w:rsid w:val="00280CFF"/>
    <w:rsid w:val="00280F69"/>
    <w:rsid w:val="00280FD5"/>
    <w:rsid w:val="0028104D"/>
    <w:rsid w:val="002810FE"/>
    <w:rsid w:val="002811DE"/>
    <w:rsid w:val="00281403"/>
    <w:rsid w:val="00281423"/>
    <w:rsid w:val="00281477"/>
    <w:rsid w:val="00281611"/>
    <w:rsid w:val="0028161F"/>
    <w:rsid w:val="002816B8"/>
    <w:rsid w:val="00281B35"/>
    <w:rsid w:val="00281C5D"/>
    <w:rsid w:val="00281C6D"/>
    <w:rsid w:val="00281C88"/>
    <w:rsid w:val="00281D0F"/>
    <w:rsid w:val="00281E52"/>
    <w:rsid w:val="00281EB8"/>
    <w:rsid w:val="00281F92"/>
    <w:rsid w:val="0028208B"/>
    <w:rsid w:val="0028212E"/>
    <w:rsid w:val="00282135"/>
    <w:rsid w:val="00282180"/>
    <w:rsid w:val="0028228B"/>
    <w:rsid w:val="002822AB"/>
    <w:rsid w:val="00282365"/>
    <w:rsid w:val="00282403"/>
    <w:rsid w:val="0028245E"/>
    <w:rsid w:val="002824BF"/>
    <w:rsid w:val="002825F0"/>
    <w:rsid w:val="002828A9"/>
    <w:rsid w:val="002828BF"/>
    <w:rsid w:val="00282B03"/>
    <w:rsid w:val="00282B22"/>
    <w:rsid w:val="00282B5D"/>
    <w:rsid w:val="00282B84"/>
    <w:rsid w:val="00282B86"/>
    <w:rsid w:val="00282C0A"/>
    <w:rsid w:val="00282CE7"/>
    <w:rsid w:val="00282D5F"/>
    <w:rsid w:val="0028321C"/>
    <w:rsid w:val="0028321E"/>
    <w:rsid w:val="002832A2"/>
    <w:rsid w:val="002832F5"/>
    <w:rsid w:val="0028341A"/>
    <w:rsid w:val="002834FD"/>
    <w:rsid w:val="00283577"/>
    <w:rsid w:val="002838D8"/>
    <w:rsid w:val="00283901"/>
    <w:rsid w:val="00283BF8"/>
    <w:rsid w:val="00283E33"/>
    <w:rsid w:val="002840A5"/>
    <w:rsid w:val="002840E9"/>
    <w:rsid w:val="00284302"/>
    <w:rsid w:val="00284320"/>
    <w:rsid w:val="00284329"/>
    <w:rsid w:val="00284398"/>
    <w:rsid w:val="0028439A"/>
    <w:rsid w:val="002843EC"/>
    <w:rsid w:val="0028447A"/>
    <w:rsid w:val="002844C9"/>
    <w:rsid w:val="002844EE"/>
    <w:rsid w:val="0028465F"/>
    <w:rsid w:val="00284667"/>
    <w:rsid w:val="00284782"/>
    <w:rsid w:val="002847AA"/>
    <w:rsid w:val="002848EB"/>
    <w:rsid w:val="00284971"/>
    <w:rsid w:val="002849CD"/>
    <w:rsid w:val="00284AE3"/>
    <w:rsid w:val="00284B7F"/>
    <w:rsid w:val="00284C40"/>
    <w:rsid w:val="00284C70"/>
    <w:rsid w:val="00284DBA"/>
    <w:rsid w:val="00284F64"/>
    <w:rsid w:val="00285132"/>
    <w:rsid w:val="002851AE"/>
    <w:rsid w:val="002851B7"/>
    <w:rsid w:val="002853E1"/>
    <w:rsid w:val="0028544F"/>
    <w:rsid w:val="00285563"/>
    <w:rsid w:val="002856E8"/>
    <w:rsid w:val="0028595E"/>
    <w:rsid w:val="002859A8"/>
    <w:rsid w:val="00285B53"/>
    <w:rsid w:val="00285C4A"/>
    <w:rsid w:val="00285C98"/>
    <w:rsid w:val="00285E32"/>
    <w:rsid w:val="00285E5A"/>
    <w:rsid w:val="00285EFE"/>
    <w:rsid w:val="00286237"/>
    <w:rsid w:val="002862FE"/>
    <w:rsid w:val="00286505"/>
    <w:rsid w:val="00286571"/>
    <w:rsid w:val="002865C5"/>
    <w:rsid w:val="00286872"/>
    <w:rsid w:val="002869C9"/>
    <w:rsid w:val="002869D9"/>
    <w:rsid w:val="00286A61"/>
    <w:rsid w:val="00286BA3"/>
    <w:rsid w:val="00286D1E"/>
    <w:rsid w:val="00286EEA"/>
    <w:rsid w:val="002872D7"/>
    <w:rsid w:val="00287569"/>
    <w:rsid w:val="00287639"/>
    <w:rsid w:val="002876D6"/>
    <w:rsid w:val="002876DE"/>
    <w:rsid w:val="00287832"/>
    <w:rsid w:val="0028785E"/>
    <w:rsid w:val="00287A03"/>
    <w:rsid w:val="00287B09"/>
    <w:rsid w:val="00287B7A"/>
    <w:rsid w:val="00287C0D"/>
    <w:rsid w:val="00287D2C"/>
    <w:rsid w:val="00287F09"/>
    <w:rsid w:val="00287F2E"/>
    <w:rsid w:val="00287FB5"/>
    <w:rsid w:val="00287FED"/>
    <w:rsid w:val="00287FEE"/>
    <w:rsid w:val="0029007B"/>
    <w:rsid w:val="002901AB"/>
    <w:rsid w:val="002901CD"/>
    <w:rsid w:val="00290240"/>
    <w:rsid w:val="002902C6"/>
    <w:rsid w:val="00290B0A"/>
    <w:rsid w:val="00290DCE"/>
    <w:rsid w:val="00290DFA"/>
    <w:rsid w:val="00290E25"/>
    <w:rsid w:val="00290F0C"/>
    <w:rsid w:val="00290FD0"/>
    <w:rsid w:val="00291064"/>
    <w:rsid w:val="002910EA"/>
    <w:rsid w:val="002911BD"/>
    <w:rsid w:val="00291429"/>
    <w:rsid w:val="002914ED"/>
    <w:rsid w:val="00291771"/>
    <w:rsid w:val="002917DF"/>
    <w:rsid w:val="00291D42"/>
    <w:rsid w:val="00291D5B"/>
    <w:rsid w:val="00291F0E"/>
    <w:rsid w:val="002921B5"/>
    <w:rsid w:val="002921C3"/>
    <w:rsid w:val="00292252"/>
    <w:rsid w:val="00292557"/>
    <w:rsid w:val="002925B4"/>
    <w:rsid w:val="00292627"/>
    <w:rsid w:val="00292790"/>
    <w:rsid w:val="002927A8"/>
    <w:rsid w:val="00292868"/>
    <w:rsid w:val="00292946"/>
    <w:rsid w:val="002929F1"/>
    <w:rsid w:val="00292A4E"/>
    <w:rsid w:val="00292B0D"/>
    <w:rsid w:val="00292C0A"/>
    <w:rsid w:val="00292E8E"/>
    <w:rsid w:val="00292EA6"/>
    <w:rsid w:val="0029300E"/>
    <w:rsid w:val="00293039"/>
    <w:rsid w:val="00293157"/>
    <w:rsid w:val="002931BB"/>
    <w:rsid w:val="0029320C"/>
    <w:rsid w:val="002933B8"/>
    <w:rsid w:val="0029374C"/>
    <w:rsid w:val="00293883"/>
    <w:rsid w:val="002938E6"/>
    <w:rsid w:val="0029391B"/>
    <w:rsid w:val="00293929"/>
    <w:rsid w:val="00293A33"/>
    <w:rsid w:val="00293A76"/>
    <w:rsid w:val="00293AE2"/>
    <w:rsid w:val="00293B3B"/>
    <w:rsid w:val="00293C69"/>
    <w:rsid w:val="00293CAA"/>
    <w:rsid w:val="00293DB8"/>
    <w:rsid w:val="00294360"/>
    <w:rsid w:val="002943C4"/>
    <w:rsid w:val="002944A1"/>
    <w:rsid w:val="0029474C"/>
    <w:rsid w:val="002947B9"/>
    <w:rsid w:val="002947FA"/>
    <w:rsid w:val="002948B9"/>
    <w:rsid w:val="00294A4E"/>
    <w:rsid w:val="00294B20"/>
    <w:rsid w:val="00294BE6"/>
    <w:rsid w:val="00294C7F"/>
    <w:rsid w:val="00294C8B"/>
    <w:rsid w:val="00294CFE"/>
    <w:rsid w:val="00295090"/>
    <w:rsid w:val="002951D9"/>
    <w:rsid w:val="002951E1"/>
    <w:rsid w:val="00295270"/>
    <w:rsid w:val="002952E7"/>
    <w:rsid w:val="00295417"/>
    <w:rsid w:val="0029553B"/>
    <w:rsid w:val="0029568A"/>
    <w:rsid w:val="002958E9"/>
    <w:rsid w:val="002959D0"/>
    <w:rsid w:val="00295AC1"/>
    <w:rsid w:val="00295B39"/>
    <w:rsid w:val="00295C1E"/>
    <w:rsid w:val="00295C5E"/>
    <w:rsid w:val="00295CE4"/>
    <w:rsid w:val="00295D28"/>
    <w:rsid w:val="002960AE"/>
    <w:rsid w:val="00296365"/>
    <w:rsid w:val="0029643F"/>
    <w:rsid w:val="002965C9"/>
    <w:rsid w:val="0029668A"/>
    <w:rsid w:val="00296742"/>
    <w:rsid w:val="00296829"/>
    <w:rsid w:val="00296AD3"/>
    <w:rsid w:val="00296EA6"/>
    <w:rsid w:val="00296F4B"/>
    <w:rsid w:val="00297061"/>
    <w:rsid w:val="002971AD"/>
    <w:rsid w:val="002973DB"/>
    <w:rsid w:val="002973E8"/>
    <w:rsid w:val="00297496"/>
    <w:rsid w:val="002974DA"/>
    <w:rsid w:val="0029754A"/>
    <w:rsid w:val="00297565"/>
    <w:rsid w:val="00297811"/>
    <w:rsid w:val="002979DD"/>
    <w:rsid w:val="00297B72"/>
    <w:rsid w:val="00297C61"/>
    <w:rsid w:val="00297C73"/>
    <w:rsid w:val="00297EB6"/>
    <w:rsid w:val="00297EF8"/>
    <w:rsid w:val="002A002D"/>
    <w:rsid w:val="002A0249"/>
    <w:rsid w:val="002A0503"/>
    <w:rsid w:val="002A0730"/>
    <w:rsid w:val="002A085C"/>
    <w:rsid w:val="002A08EE"/>
    <w:rsid w:val="002A0967"/>
    <w:rsid w:val="002A0BF9"/>
    <w:rsid w:val="002A0C8D"/>
    <w:rsid w:val="002A0EC5"/>
    <w:rsid w:val="002A0FF4"/>
    <w:rsid w:val="002A10C2"/>
    <w:rsid w:val="002A1269"/>
    <w:rsid w:val="002A13C5"/>
    <w:rsid w:val="002A1474"/>
    <w:rsid w:val="002A14A4"/>
    <w:rsid w:val="002A1620"/>
    <w:rsid w:val="002A1A3E"/>
    <w:rsid w:val="002A1BB2"/>
    <w:rsid w:val="002A1C90"/>
    <w:rsid w:val="002A1D23"/>
    <w:rsid w:val="002A1D60"/>
    <w:rsid w:val="002A1E67"/>
    <w:rsid w:val="002A1F40"/>
    <w:rsid w:val="002A2037"/>
    <w:rsid w:val="002A2272"/>
    <w:rsid w:val="002A2631"/>
    <w:rsid w:val="002A2743"/>
    <w:rsid w:val="002A27D0"/>
    <w:rsid w:val="002A284E"/>
    <w:rsid w:val="002A291A"/>
    <w:rsid w:val="002A2B80"/>
    <w:rsid w:val="002A2C0C"/>
    <w:rsid w:val="002A2DB5"/>
    <w:rsid w:val="002A2FB8"/>
    <w:rsid w:val="002A3082"/>
    <w:rsid w:val="002A34F6"/>
    <w:rsid w:val="002A3520"/>
    <w:rsid w:val="002A36BD"/>
    <w:rsid w:val="002A370B"/>
    <w:rsid w:val="002A371F"/>
    <w:rsid w:val="002A386A"/>
    <w:rsid w:val="002A3878"/>
    <w:rsid w:val="002A39B5"/>
    <w:rsid w:val="002A3C52"/>
    <w:rsid w:val="002A3D8E"/>
    <w:rsid w:val="002A3F8F"/>
    <w:rsid w:val="002A3FAE"/>
    <w:rsid w:val="002A404B"/>
    <w:rsid w:val="002A416A"/>
    <w:rsid w:val="002A41F9"/>
    <w:rsid w:val="002A4227"/>
    <w:rsid w:val="002A4364"/>
    <w:rsid w:val="002A4456"/>
    <w:rsid w:val="002A45B2"/>
    <w:rsid w:val="002A4831"/>
    <w:rsid w:val="002A4AC5"/>
    <w:rsid w:val="002A4BAB"/>
    <w:rsid w:val="002A4DA0"/>
    <w:rsid w:val="002A4EA3"/>
    <w:rsid w:val="002A50DE"/>
    <w:rsid w:val="002A526D"/>
    <w:rsid w:val="002A53D8"/>
    <w:rsid w:val="002A54A4"/>
    <w:rsid w:val="002A550A"/>
    <w:rsid w:val="002A5694"/>
    <w:rsid w:val="002A57F1"/>
    <w:rsid w:val="002A58FB"/>
    <w:rsid w:val="002A5957"/>
    <w:rsid w:val="002A59C1"/>
    <w:rsid w:val="002A59DA"/>
    <w:rsid w:val="002A5A10"/>
    <w:rsid w:val="002A5BC4"/>
    <w:rsid w:val="002A5E2D"/>
    <w:rsid w:val="002A60A4"/>
    <w:rsid w:val="002A61E0"/>
    <w:rsid w:val="002A639E"/>
    <w:rsid w:val="002A63BE"/>
    <w:rsid w:val="002A63DD"/>
    <w:rsid w:val="002A6488"/>
    <w:rsid w:val="002A649B"/>
    <w:rsid w:val="002A64B8"/>
    <w:rsid w:val="002A65BE"/>
    <w:rsid w:val="002A6885"/>
    <w:rsid w:val="002A68CE"/>
    <w:rsid w:val="002A6A12"/>
    <w:rsid w:val="002A6A70"/>
    <w:rsid w:val="002A6B9C"/>
    <w:rsid w:val="002A6BE6"/>
    <w:rsid w:val="002A7026"/>
    <w:rsid w:val="002A73F0"/>
    <w:rsid w:val="002A7673"/>
    <w:rsid w:val="002A7759"/>
    <w:rsid w:val="002A7964"/>
    <w:rsid w:val="002A79E0"/>
    <w:rsid w:val="002A7A47"/>
    <w:rsid w:val="002A7AD2"/>
    <w:rsid w:val="002A7C5A"/>
    <w:rsid w:val="002A7D71"/>
    <w:rsid w:val="002A7DDC"/>
    <w:rsid w:val="002A7F0B"/>
    <w:rsid w:val="002A7F62"/>
    <w:rsid w:val="002B005C"/>
    <w:rsid w:val="002B007F"/>
    <w:rsid w:val="002B0099"/>
    <w:rsid w:val="002B01DB"/>
    <w:rsid w:val="002B037F"/>
    <w:rsid w:val="002B0430"/>
    <w:rsid w:val="002B0456"/>
    <w:rsid w:val="002B04F4"/>
    <w:rsid w:val="002B0554"/>
    <w:rsid w:val="002B064D"/>
    <w:rsid w:val="002B06F3"/>
    <w:rsid w:val="002B08E5"/>
    <w:rsid w:val="002B08FD"/>
    <w:rsid w:val="002B0AD6"/>
    <w:rsid w:val="002B0B74"/>
    <w:rsid w:val="002B0BBB"/>
    <w:rsid w:val="002B0C09"/>
    <w:rsid w:val="002B0CB2"/>
    <w:rsid w:val="002B0DA8"/>
    <w:rsid w:val="002B0DB5"/>
    <w:rsid w:val="002B0E3F"/>
    <w:rsid w:val="002B0EE2"/>
    <w:rsid w:val="002B0FDC"/>
    <w:rsid w:val="002B1153"/>
    <w:rsid w:val="002B127F"/>
    <w:rsid w:val="002B12B4"/>
    <w:rsid w:val="002B13A6"/>
    <w:rsid w:val="002B1701"/>
    <w:rsid w:val="002B171A"/>
    <w:rsid w:val="002B1918"/>
    <w:rsid w:val="002B1B27"/>
    <w:rsid w:val="002B1B82"/>
    <w:rsid w:val="002B1C22"/>
    <w:rsid w:val="002B1CB2"/>
    <w:rsid w:val="002B1EE4"/>
    <w:rsid w:val="002B1F76"/>
    <w:rsid w:val="002B217A"/>
    <w:rsid w:val="002B2242"/>
    <w:rsid w:val="002B22F2"/>
    <w:rsid w:val="002B23A5"/>
    <w:rsid w:val="002B23D4"/>
    <w:rsid w:val="002B25C9"/>
    <w:rsid w:val="002B25E0"/>
    <w:rsid w:val="002B265D"/>
    <w:rsid w:val="002B26BC"/>
    <w:rsid w:val="002B2702"/>
    <w:rsid w:val="002B28D2"/>
    <w:rsid w:val="002B29BE"/>
    <w:rsid w:val="002B2FEA"/>
    <w:rsid w:val="002B2FEC"/>
    <w:rsid w:val="002B3055"/>
    <w:rsid w:val="002B30B9"/>
    <w:rsid w:val="002B31D7"/>
    <w:rsid w:val="002B32CF"/>
    <w:rsid w:val="002B33FD"/>
    <w:rsid w:val="002B3C88"/>
    <w:rsid w:val="002B3DCC"/>
    <w:rsid w:val="002B3F06"/>
    <w:rsid w:val="002B415E"/>
    <w:rsid w:val="002B4315"/>
    <w:rsid w:val="002B4637"/>
    <w:rsid w:val="002B4830"/>
    <w:rsid w:val="002B48A3"/>
    <w:rsid w:val="002B4970"/>
    <w:rsid w:val="002B4AAE"/>
    <w:rsid w:val="002B4B31"/>
    <w:rsid w:val="002B4BD7"/>
    <w:rsid w:val="002B4D37"/>
    <w:rsid w:val="002B4E8B"/>
    <w:rsid w:val="002B4EF3"/>
    <w:rsid w:val="002B50D9"/>
    <w:rsid w:val="002B5174"/>
    <w:rsid w:val="002B5181"/>
    <w:rsid w:val="002B5297"/>
    <w:rsid w:val="002B52C8"/>
    <w:rsid w:val="002B52FF"/>
    <w:rsid w:val="002B532F"/>
    <w:rsid w:val="002B5330"/>
    <w:rsid w:val="002B5475"/>
    <w:rsid w:val="002B551E"/>
    <w:rsid w:val="002B55BF"/>
    <w:rsid w:val="002B5662"/>
    <w:rsid w:val="002B5749"/>
    <w:rsid w:val="002B5774"/>
    <w:rsid w:val="002B57D6"/>
    <w:rsid w:val="002B5817"/>
    <w:rsid w:val="002B5822"/>
    <w:rsid w:val="002B5A97"/>
    <w:rsid w:val="002B5B26"/>
    <w:rsid w:val="002B5B7C"/>
    <w:rsid w:val="002B5CBB"/>
    <w:rsid w:val="002B5CD9"/>
    <w:rsid w:val="002B5F30"/>
    <w:rsid w:val="002B612E"/>
    <w:rsid w:val="002B61C9"/>
    <w:rsid w:val="002B6246"/>
    <w:rsid w:val="002B626F"/>
    <w:rsid w:val="002B62CC"/>
    <w:rsid w:val="002B630C"/>
    <w:rsid w:val="002B65C0"/>
    <w:rsid w:val="002B6788"/>
    <w:rsid w:val="002B67B4"/>
    <w:rsid w:val="002B6972"/>
    <w:rsid w:val="002B6AEB"/>
    <w:rsid w:val="002B6B9E"/>
    <w:rsid w:val="002B6C9F"/>
    <w:rsid w:val="002B6E71"/>
    <w:rsid w:val="002B71D3"/>
    <w:rsid w:val="002B7215"/>
    <w:rsid w:val="002B752E"/>
    <w:rsid w:val="002B75FD"/>
    <w:rsid w:val="002B763D"/>
    <w:rsid w:val="002B7692"/>
    <w:rsid w:val="002B77C5"/>
    <w:rsid w:val="002B7B6A"/>
    <w:rsid w:val="002B7D53"/>
    <w:rsid w:val="002C07C5"/>
    <w:rsid w:val="002C0887"/>
    <w:rsid w:val="002C0896"/>
    <w:rsid w:val="002C0919"/>
    <w:rsid w:val="002C0A24"/>
    <w:rsid w:val="002C0A4F"/>
    <w:rsid w:val="002C0AFD"/>
    <w:rsid w:val="002C0C16"/>
    <w:rsid w:val="002C0C84"/>
    <w:rsid w:val="002C0CE4"/>
    <w:rsid w:val="002C0D82"/>
    <w:rsid w:val="002C0F02"/>
    <w:rsid w:val="002C0F62"/>
    <w:rsid w:val="002C0FD1"/>
    <w:rsid w:val="002C134F"/>
    <w:rsid w:val="002C13C3"/>
    <w:rsid w:val="002C1486"/>
    <w:rsid w:val="002C14DC"/>
    <w:rsid w:val="002C1524"/>
    <w:rsid w:val="002C15C5"/>
    <w:rsid w:val="002C1630"/>
    <w:rsid w:val="002C1719"/>
    <w:rsid w:val="002C183C"/>
    <w:rsid w:val="002C1A2E"/>
    <w:rsid w:val="002C1BF6"/>
    <w:rsid w:val="002C1D0E"/>
    <w:rsid w:val="002C1D49"/>
    <w:rsid w:val="002C1D84"/>
    <w:rsid w:val="002C2133"/>
    <w:rsid w:val="002C2252"/>
    <w:rsid w:val="002C248E"/>
    <w:rsid w:val="002C265B"/>
    <w:rsid w:val="002C268F"/>
    <w:rsid w:val="002C27A3"/>
    <w:rsid w:val="002C2812"/>
    <w:rsid w:val="002C289D"/>
    <w:rsid w:val="002C28F5"/>
    <w:rsid w:val="002C28FB"/>
    <w:rsid w:val="002C2B76"/>
    <w:rsid w:val="002C2BB4"/>
    <w:rsid w:val="002C2C58"/>
    <w:rsid w:val="002C2D3B"/>
    <w:rsid w:val="002C2E25"/>
    <w:rsid w:val="002C32D8"/>
    <w:rsid w:val="002C346D"/>
    <w:rsid w:val="002C355B"/>
    <w:rsid w:val="002C35B9"/>
    <w:rsid w:val="002C3683"/>
    <w:rsid w:val="002C371B"/>
    <w:rsid w:val="002C385B"/>
    <w:rsid w:val="002C3938"/>
    <w:rsid w:val="002C39D5"/>
    <w:rsid w:val="002C3FF4"/>
    <w:rsid w:val="002C40D8"/>
    <w:rsid w:val="002C40F6"/>
    <w:rsid w:val="002C4132"/>
    <w:rsid w:val="002C421B"/>
    <w:rsid w:val="002C43EC"/>
    <w:rsid w:val="002C44D4"/>
    <w:rsid w:val="002C4543"/>
    <w:rsid w:val="002C45DF"/>
    <w:rsid w:val="002C4669"/>
    <w:rsid w:val="002C46ED"/>
    <w:rsid w:val="002C472E"/>
    <w:rsid w:val="002C483C"/>
    <w:rsid w:val="002C4841"/>
    <w:rsid w:val="002C48B4"/>
    <w:rsid w:val="002C48DE"/>
    <w:rsid w:val="002C498C"/>
    <w:rsid w:val="002C49BE"/>
    <w:rsid w:val="002C4A71"/>
    <w:rsid w:val="002C4AD7"/>
    <w:rsid w:val="002C4BEA"/>
    <w:rsid w:val="002C4C2D"/>
    <w:rsid w:val="002C4E06"/>
    <w:rsid w:val="002C4EED"/>
    <w:rsid w:val="002C5048"/>
    <w:rsid w:val="002C50A8"/>
    <w:rsid w:val="002C513B"/>
    <w:rsid w:val="002C5218"/>
    <w:rsid w:val="002C5284"/>
    <w:rsid w:val="002C5343"/>
    <w:rsid w:val="002C5421"/>
    <w:rsid w:val="002C550C"/>
    <w:rsid w:val="002C55A7"/>
    <w:rsid w:val="002C5728"/>
    <w:rsid w:val="002C58DD"/>
    <w:rsid w:val="002C59B0"/>
    <w:rsid w:val="002C5A09"/>
    <w:rsid w:val="002C5B15"/>
    <w:rsid w:val="002C5B5E"/>
    <w:rsid w:val="002C5C44"/>
    <w:rsid w:val="002C5C86"/>
    <w:rsid w:val="002C5E76"/>
    <w:rsid w:val="002C5F92"/>
    <w:rsid w:val="002C61D3"/>
    <w:rsid w:val="002C622B"/>
    <w:rsid w:val="002C624E"/>
    <w:rsid w:val="002C6300"/>
    <w:rsid w:val="002C6366"/>
    <w:rsid w:val="002C639C"/>
    <w:rsid w:val="002C63CF"/>
    <w:rsid w:val="002C6507"/>
    <w:rsid w:val="002C6567"/>
    <w:rsid w:val="002C65F0"/>
    <w:rsid w:val="002C6695"/>
    <w:rsid w:val="002C6924"/>
    <w:rsid w:val="002C6C86"/>
    <w:rsid w:val="002C6D1C"/>
    <w:rsid w:val="002C6D51"/>
    <w:rsid w:val="002C6DD7"/>
    <w:rsid w:val="002C7106"/>
    <w:rsid w:val="002C7157"/>
    <w:rsid w:val="002C71CB"/>
    <w:rsid w:val="002C722E"/>
    <w:rsid w:val="002C7270"/>
    <w:rsid w:val="002C729B"/>
    <w:rsid w:val="002C7385"/>
    <w:rsid w:val="002C799A"/>
    <w:rsid w:val="002C7B5A"/>
    <w:rsid w:val="002C7C52"/>
    <w:rsid w:val="002C7CE3"/>
    <w:rsid w:val="002C7D10"/>
    <w:rsid w:val="002D0053"/>
    <w:rsid w:val="002D016C"/>
    <w:rsid w:val="002D018C"/>
    <w:rsid w:val="002D0266"/>
    <w:rsid w:val="002D04F1"/>
    <w:rsid w:val="002D0553"/>
    <w:rsid w:val="002D056D"/>
    <w:rsid w:val="002D09D6"/>
    <w:rsid w:val="002D09FB"/>
    <w:rsid w:val="002D0A40"/>
    <w:rsid w:val="002D0AC1"/>
    <w:rsid w:val="002D0C27"/>
    <w:rsid w:val="002D0C4D"/>
    <w:rsid w:val="002D0CC0"/>
    <w:rsid w:val="002D0CEF"/>
    <w:rsid w:val="002D0D07"/>
    <w:rsid w:val="002D0EB2"/>
    <w:rsid w:val="002D1097"/>
    <w:rsid w:val="002D1175"/>
    <w:rsid w:val="002D12C7"/>
    <w:rsid w:val="002D1384"/>
    <w:rsid w:val="002D1437"/>
    <w:rsid w:val="002D147D"/>
    <w:rsid w:val="002D14F3"/>
    <w:rsid w:val="002D1621"/>
    <w:rsid w:val="002D172F"/>
    <w:rsid w:val="002D17C1"/>
    <w:rsid w:val="002D1902"/>
    <w:rsid w:val="002D1A30"/>
    <w:rsid w:val="002D1B3F"/>
    <w:rsid w:val="002D1B8D"/>
    <w:rsid w:val="002D1C0D"/>
    <w:rsid w:val="002D1F8B"/>
    <w:rsid w:val="002D22BC"/>
    <w:rsid w:val="002D2375"/>
    <w:rsid w:val="002D2601"/>
    <w:rsid w:val="002D2727"/>
    <w:rsid w:val="002D2764"/>
    <w:rsid w:val="002D29B6"/>
    <w:rsid w:val="002D2AFF"/>
    <w:rsid w:val="002D2E36"/>
    <w:rsid w:val="002D2E8A"/>
    <w:rsid w:val="002D2FBA"/>
    <w:rsid w:val="002D2FDB"/>
    <w:rsid w:val="002D30AC"/>
    <w:rsid w:val="002D31BA"/>
    <w:rsid w:val="002D3353"/>
    <w:rsid w:val="002D34B3"/>
    <w:rsid w:val="002D35B2"/>
    <w:rsid w:val="002D35C4"/>
    <w:rsid w:val="002D35D6"/>
    <w:rsid w:val="002D3633"/>
    <w:rsid w:val="002D36F2"/>
    <w:rsid w:val="002D3723"/>
    <w:rsid w:val="002D37A3"/>
    <w:rsid w:val="002D3A3E"/>
    <w:rsid w:val="002D3AFE"/>
    <w:rsid w:val="002D3B93"/>
    <w:rsid w:val="002D3CCE"/>
    <w:rsid w:val="002D3DE0"/>
    <w:rsid w:val="002D3FFF"/>
    <w:rsid w:val="002D40E9"/>
    <w:rsid w:val="002D40FF"/>
    <w:rsid w:val="002D4113"/>
    <w:rsid w:val="002D4303"/>
    <w:rsid w:val="002D43F7"/>
    <w:rsid w:val="002D47B8"/>
    <w:rsid w:val="002D47D9"/>
    <w:rsid w:val="002D49BF"/>
    <w:rsid w:val="002D4A95"/>
    <w:rsid w:val="002D4BE2"/>
    <w:rsid w:val="002D4D27"/>
    <w:rsid w:val="002D4DB9"/>
    <w:rsid w:val="002D50DC"/>
    <w:rsid w:val="002D513B"/>
    <w:rsid w:val="002D5223"/>
    <w:rsid w:val="002D53F6"/>
    <w:rsid w:val="002D5476"/>
    <w:rsid w:val="002D5578"/>
    <w:rsid w:val="002D58C0"/>
    <w:rsid w:val="002D58D1"/>
    <w:rsid w:val="002D5CCC"/>
    <w:rsid w:val="002D5D62"/>
    <w:rsid w:val="002D5E82"/>
    <w:rsid w:val="002D5EB6"/>
    <w:rsid w:val="002D5F8B"/>
    <w:rsid w:val="002D61F6"/>
    <w:rsid w:val="002D665C"/>
    <w:rsid w:val="002D682D"/>
    <w:rsid w:val="002D685F"/>
    <w:rsid w:val="002D68D1"/>
    <w:rsid w:val="002D6ACB"/>
    <w:rsid w:val="002D6AD5"/>
    <w:rsid w:val="002D6F56"/>
    <w:rsid w:val="002D6FB4"/>
    <w:rsid w:val="002D6FBF"/>
    <w:rsid w:val="002D6FFE"/>
    <w:rsid w:val="002D702C"/>
    <w:rsid w:val="002D72AE"/>
    <w:rsid w:val="002D72D0"/>
    <w:rsid w:val="002D73A4"/>
    <w:rsid w:val="002D76B3"/>
    <w:rsid w:val="002D788F"/>
    <w:rsid w:val="002D78A2"/>
    <w:rsid w:val="002D7934"/>
    <w:rsid w:val="002D79A9"/>
    <w:rsid w:val="002D7B53"/>
    <w:rsid w:val="002D7CD2"/>
    <w:rsid w:val="002D7E0C"/>
    <w:rsid w:val="002D7F57"/>
    <w:rsid w:val="002E005C"/>
    <w:rsid w:val="002E0108"/>
    <w:rsid w:val="002E02C6"/>
    <w:rsid w:val="002E04FC"/>
    <w:rsid w:val="002E0666"/>
    <w:rsid w:val="002E06AD"/>
    <w:rsid w:val="002E06DE"/>
    <w:rsid w:val="002E07AB"/>
    <w:rsid w:val="002E07BB"/>
    <w:rsid w:val="002E07FB"/>
    <w:rsid w:val="002E0877"/>
    <w:rsid w:val="002E0903"/>
    <w:rsid w:val="002E09B9"/>
    <w:rsid w:val="002E09C8"/>
    <w:rsid w:val="002E0AF7"/>
    <w:rsid w:val="002E0B76"/>
    <w:rsid w:val="002E0C6C"/>
    <w:rsid w:val="002E0CD1"/>
    <w:rsid w:val="002E0CD2"/>
    <w:rsid w:val="002E0D7D"/>
    <w:rsid w:val="002E0F39"/>
    <w:rsid w:val="002E10A1"/>
    <w:rsid w:val="002E10C7"/>
    <w:rsid w:val="002E1245"/>
    <w:rsid w:val="002E12C9"/>
    <w:rsid w:val="002E1605"/>
    <w:rsid w:val="002E1643"/>
    <w:rsid w:val="002E17A4"/>
    <w:rsid w:val="002E19E8"/>
    <w:rsid w:val="002E1D0A"/>
    <w:rsid w:val="002E1DF8"/>
    <w:rsid w:val="002E1E0B"/>
    <w:rsid w:val="002E20A9"/>
    <w:rsid w:val="002E2332"/>
    <w:rsid w:val="002E2478"/>
    <w:rsid w:val="002E24A1"/>
    <w:rsid w:val="002E2512"/>
    <w:rsid w:val="002E254E"/>
    <w:rsid w:val="002E2584"/>
    <w:rsid w:val="002E27CD"/>
    <w:rsid w:val="002E2A3A"/>
    <w:rsid w:val="002E2B5D"/>
    <w:rsid w:val="002E2B74"/>
    <w:rsid w:val="002E2C0B"/>
    <w:rsid w:val="002E2C13"/>
    <w:rsid w:val="002E2C7C"/>
    <w:rsid w:val="002E2CB9"/>
    <w:rsid w:val="002E2D71"/>
    <w:rsid w:val="002E2D81"/>
    <w:rsid w:val="002E2F4B"/>
    <w:rsid w:val="002E30AF"/>
    <w:rsid w:val="002E315D"/>
    <w:rsid w:val="002E336C"/>
    <w:rsid w:val="002E3481"/>
    <w:rsid w:val="002E3572"/>
    <w:rsid w:val="002E3592"/>
    <w:rsid w:val="002E3661"/>
    <w:rsid w:val="002E36DB"/>
    <w:rsid w:val="002E36EF"/>
    <w:rsid w:val="002E381F"/>
    <w:rsid w:val="002E3828"/>
    <w:rsid w:val="002E3B4B"/>
    <w:rsid w:val="002E3C31"/>
    <w:rsid w:val="002E3CD5"/>
    <w:rsid w:val="002E3D25"/>
    <w:rsid w:val="002E3D5B"/>
    <w:rsid w:val="002E3D98"/>
    <w:rsid w:val="002E3DFE"/>
    <w:rsid w:val="002E3E81"/>
    <w:rsid w:val="002E4083"/>
    <w:rsid w:val="002E458D"/>
    <w:rsid w:val="002E4671"/>
    <w:rsid w:val="002E4707"/>
    <w:rsid w:val="002E4727"/>
    <w:rsid w:val="002E4D30"/>
    <w:rsid w:val="002E4D32"/>
    <w:rsid w:val="002E4D65"/>
    <w:rsid w:val="002E4F21"/>
    <w:rsid w:val="002E510A"/>
    <w:rsid w:val="002E514A"/>
    <w:rsid w:val="002E52CF"/>
    <w:rsid w:val="002E53C5"/>
    <w:rsid w:val="002E5696"/>
    <w:rsid w:val="002E56F6"/>
    <w:rsid w:val="002E5742"/>
    <w:rsid w:val="002E576B"/>
    <w:rsid w:val="002E59D9"/>
    <w:rsid w:val="002E5A0C"/>
    <w:rsid w:val="002E5BAA"/>
    <w:rsid w:val="002E5BBD"/>
    <w:rsid w:val="002E5CB0"/>
    <w:rsid w:val="002E5CEC"/>
    <w:rsid w:val="002E5D18"/>
    <w:rsid w:val="002E5E4A"/>
    <w:rsid w:val="002E60E6"/>
    <w:rsid w:val="002E6153"/>
    <w:rsid w:val="002E617E"/>
    <w:rsid w:val="002E61DA"/>
    <w:rsid w:val="002E627F"/>
    <w:rsid w:val="002E6737"/>
    <w:rsid w:val="002E6AA1"/>
    <w:rsid w:val="002E6B60"/>
    <w:rsid w:val="002E6CA8"/>
    <w:rsid w:val="002E6CC3"/>
    <w:rsid w:val="002E6E08"/>
    <w:rsid w:val="002E6ED5"/>
    <w:rsid w:val="002E6EF5"/>
    <w:rsid w:val="002E6F71"/>
    <w:rsid w:val="002E70D1"/>
    <w:rsid w:val="002E7233"/>
    <w:rsid w:val="002E72EA"/>
    <w:rsid w:val="002E7369"/>
    <w:rsid w:val="002E73B1"/>
    <w:rsid w:val="002E73FB"/>
    <w:rsid w:val="002E765E"/>
    <w:rsid w:val="002E77F7"/>
    <w:rsid w:val="002E7820"/>
    <w:rsid w:val="002E7AB6"/>
    <w:rsid w:val="002E7B2F"/>
    <w:rsid w:val="002E7C31"/>
    <w:rsid w:val="002E7CDE"/>
    <w:rsid w:val="002E7D46"/>
    <w:rsid w:val="002E7D77"/>
    <w:rsid w:val="002E7F56"/>
    <w:rsid w:val="002E7F66"/>
    <w:rsid w:val="002F00BE"/>
    <w:rsid w:val="002F015E"/>
    <w:rsid w:val="002F032A"/>
    <w:rsid w:val="002F03F2"/>
    <w:rsid w:val="002F04BB"/>
    <w:rsid w:val="002F0682"/>
    <w:rsid w:val="002F0710"/>
    <w:rsid w:val="002F0886"/>
    <w:rsid w:val="002F0915"/>
    <w:rsid w:val="002F0982"/>
    <w:rsid w:val="002F098B"/>
    <w:rsid w:val="002F09D2"/>
    <w:rsid w:val="002F0A41"/>
    <w:rsid w:val="002F0A48"/>
    <w:rsid w:val="002F0C3C"/>
    <w:rsid w:val="002F0CE9"/>
    <w:rsid w:val="002F0E53"/>
    <w:rsid w:val="002F0FC6"/>
    <w:rsid w:val="002F10B2"/>
    <w:rsid w:val="002F10D9"/>
    <w:rsid w:val="002F11B5"/>
    <w:rsid w:val="002F11C3"/>
    <w:rsid w:val="002F12B6"/>
    <w:rsid w:val="002F144E"/>
    <w:rsid w:val="002F14B6"/>
    <w:rsid w:val="002F1621"/>
    <w:rsid w:val="002F175F"/>
    <w:rsid w:val="002F18B7"/>
    <w:rsid w:val="002F1906"/>
    <w:rsid w:val="002F1A3B"/>
    <w:rsid w:val="002F1AEF"/>
    <w:rsid w:val="002F1E9A"/>
    <w:rsid w:val="002F1EF1"/>
    <w:rsid w:val="002F1FF2"/>
    <w:rsid w:val="002F2398"/>
    <w:rsid w:val="002F2582"/>
    <w:rsid w:val="002F2667"/>
    <w:rsid w:val="002F270A"/>
    <w:rsid w:val="002F2722"/>
    <w:rsid w:val="002F273E"/>
    <w:rsid w:val="002F279C"/>
    <w:rsid w:val="002F2B4A"/>
    <w:rsid w:val="002F2D42"/>
    <w:rsid w:val="002F2DDB"/>
    <w:rsid w:val="002F2DDC"/>
    <w:rsid w:val="002F31BE"/>
    <w:rsid w:val="002F3304"/>
    <w:rsid w:val="002F333F"/>
    <w:rsid w:val="002F35AD"/>
    <w:rsid w:val="002F36B8"/>
    <w:rsid w:val="002F3B4A"/>
    <w:rsid w:val="002F3B8A"/>
    <w:rsid w:val="002F3BD5"/>
    <w:rsid w:val="002F3C58"/>
    <w:rsid w:val="002F3CEF"/>
    <w:rsid w:val="002F3E07"/>
    <w:rsid w:val="002F3E23"/>
    <w:rsid w:val="002F3E9E"/>
    <w:rsid w:val="002F3F40"/>
    <w:rsid w:val="002F3F6A"/>
    <w:rsid w:val="002F3F98"/>
    <w:rsid w:val="002F4057"/>
    <w:rsid w:val="002F40AA"/>
    <w:rsid w:val="002F4214"/>
    <w:rsid w:val="002F4299"/>
    <w:rsid w:val="002F42BA"/>
    <w:rsid w:val="002F447F"/>
    <w:rsid w:val="002F4497"/>
    <w:rsid w:val="002F4516"/>
    <w:rsid w:val="002F4533"/>
    <w:rsid w:val="002F457B"/>
    <w:rsid w:val="002F45F5"/>
    <w:rsid w:val="002F460C"/>
    <w:rsid w:val="002F467A"/>
    <w:rsid w:val="002F4725"/>
    <w:rsid w:val="002F489B"/>
    <w:rsid w:val="002F4917"/>
    <w:rsid w:val="002F4949"/>
    <w:rsid w:val="002F49A9"/>
    <w:rsid w:val="002F4A75"/>
    <w:rsid w:val="002F4ACD"/>
    <w:rsid w:val="002F4AD8"/>
    <w:rsid w:val="002F4B21"/>
    <w:rsid w:val="002F4B39"/>
    <w:rsid w:val="002F4CC2"/>
    <w:rsid w:val="002F4EAF"/>
    <w:rsid w:val="002F4F5D"/>
    <w:rsid w:val="002F519B"/>
    <w:rsid w:val="002F5658"/>
    <w:rsid w:val="002F598B"/>
    <w:rsid w:val="002F5AF1"/>
    <w:rsid w:val="002F5C6D"/>
    <w:rsid w:val="002F5E16"/>
    <w:rsid w:val="002F60CE"/>
    <w:rsid w:val="002F62DC"/>
    <w:rsid w:val="002F63E7"/>
    <w:rsid w:val="002F656B"/>
    <w:rsid w:val="002F6575"/>
    <w:rsid w:val="002F664E"/>
    <w:rsid w:val="002F6CCC"/>
    <w:rsid w:val="002F6D3D"/>
    <w:rsid w:val="002F705D"/>
    <w:rsid w:val="002F7074"/>
    <w:rsid w:val="002F7122"/>
    <w:rsid w:val="002F72E3"/>
    <w:rsid w:val="002F73C5"/>
    <w:rsid w:val="002F73EE"/>
    <w:rsid w:val="002F74F8"/>
    <w:rsid w:val="002F7657"/>
    <w:rsid w:val="002F7712"/>
    <w:rsid w:val="002F7A19"/>
    <w:rsid w:val="002F7A77"/>
    <w:rsid w:val="002F7A88"/>
    <w:rsid w:val="002F7ABB"/>
    <w:rsid w:val="002F7CFF"/>
    <w:rsid w:val="00300271"/>
    <w:rsid w:val="00300419"/>
    <w:rsid w:val="00300589"/>
    <w:rsid w:val="0030063D"/>
    <w:rsid w:val="00300720"/>
    <w:rsid w:val="00300C41"/>
    <w:rsid w:val="00301008"/>
    <w:rsid w:val="003010E9"/>
    <w:rsid w:val="0030117E"/>
    <w:rsid w:val="003011C2"/>
    <w:rsid w:val="0030137F"/>
    <w:rsid w:val="003016CB"/>
    <w:rsid w:val="003017A4"/>
    <w:rsid w:val="003017B6"/>
    <w:rsid w:val="00301842"/>
    <w:rsid w:val="0030193F"/>
    <w:rsid w:val="003019F5"/>
    <w:rsid w:val="00301B1E"/>
    <w:rsid w:val="00301B7E"/>
    <w:rsid w:val="00301D89"/>
    <w:rsid w:val="00301E03"/>
    <w:rsid w:val="00302015"/>
    <w:rsid w:val="0030204E"/>
    <w:rsid w:val="00302076"/>
    <w:rsid w:val="00302292"/>
    <w:rsid w:val="00302612"/>
    <w:rsid w:val="0030279F"/>
    <w:rsid w:val="003029A5"/>
    <w:rsid w:val="00302E34"/>
    <w:rsid w:val="00303209"/>
    <w:rsid w:val="003033D0"/>
    <w:rsid w:val="003033FE"/>
    <w:rsid w:val="003034AE"/>
    <w:rsid w:val="003034FB"/>
    <w:rsid w:val="0030352D"/>
    <w:rsid w:val="00303583"/>
    <w:rsid w:val="00303585"/>
    <w:rsid w:val="00303601"/>
    <w:rsid w:val="00303604"/>
    <w:rsid w:val="0030363A"/>
    <w:rsid w:val="003038C5"/>
    <w:rsid w:val="00303962"/>
    <w:rsid w:val="00303994"/>
    <w:rsid w:val="00303B1A"/>
    <w:rsid w:val="00303B76"/>
    <w:rsid w:val="00303B7D"/>
    <w:rsid w:val="00303B8B"/>
    <w:rsid w:val="00303C29"/>
    <w:rsid w:val="00303D19"/>
    <w:rsid w:val="003042DE"/>
    <w:rsid w:val="0030432F"/>
    <w:rsid w:val="00304579"/>
    <w:rsid w:val="0030464E"/>
    <w:rsid w:val="003048CB"/>
    <w:rsid w:val="00304906"/>
    <w:rsid w:val="0030495B"/>
    <w:rsid w:val="00304E6A"/>
    <w:rsid w:val="00305012"/>
    <w:rsid w:val="003053AA"/>
    <w:rsid w:val="003057ED"/>
    <w:rsid w:val="003059F2"/>
    <w:rsid w:val="00305A3A"/>
    <w:rsid w:val="00305CD1"/>
    <w:rsid w:val="00305CDB"/>
    <w:rsid w:val="00305E7F"/>
    <w:rsid w:val="00305EB9"/>
    <w:rsid w:val="00305F18"/>
    <w:rsid w:val="0030602B"/>
    <w:rsid w:val="003060BF"/>
    <w:rsid w:val="003060ED"/>
    <w:rsid w:val="00306187"/>
    <w:rsid w:val="00306444"/>
    <w:rsid w:val="00306501"/>
    <w:rsid w:val="003067DB"/>
    <w:rsid w:val="00306954"/>
    <w:rsid w:val="00306B52"/>
    <w:rsid w:val="00306BD0"/>
    <w:rsid w:val="00306E0F"/>
    <w:rsid w:val="00306F69"/>
    <w:rsid w:val="0030712F"/>
    <w:rsid w:val="003071A4"/>
    <w:rsid w:val="0030727A"/>
    <w:rsid w:val="00307358"/>
    <w:rsid w:val="0030747E"/>
    <w:rsid w:val="00307491"/>
    <w:rsid w:val="003076A0"/>
    <w:rsid w:val="003079EF"/>
    <w:rsid w:val="00307AB3"/>
    <w:rsid w:val="00307AFA"/>
    <w:rsid w:val="00307DA6"/>
    <w:rsid w:val="00307E1C"/>
    <w:rsid w:val="00307E99"/>
    <w:rsid w:val="00307F14"/>
    <w:rsid w:val="00310161"/>
    <w:rsid w:val="00310181"/>
    <w:rsid w:val="0031042E"/>
    <w:rsid w:val="003105E0"/>
    <w:rsid w:val="00310768"/>
    <w:rsid w:val="00310844"/>
    <w:rsid w:val="003109C9"/>
    <w:rsid w:val="003109E0"/>
    <w:rsid w:val="00310C35"/>
    <w:rsid w:val="00310C44"/>
    <w:rsid w:val="00310EDA"/>
    <w:rsid w:val="00310F33"/>
    <w:rsid w:val="00311180"/>
    <w:rsid w:val="00311462"/>
    <w:rsid w:val="00311610"/>
    <w:rsid w:val="0031192A"/>
    <w:rsid w:val="00311A44"/>
    <w:rsid w:val="00311B5C"/>
    <w:rsid w:val="00311D0F"/>
    <w:rsid w:val="00311D17"/>
    <w:rsid w:val="00311D8F"/>
    <w:rsid w:val="00312174"/>
    <w:rsid w:val="0031247D"/>
    <w:rsid w:val="0031250A"/>
    <w:rsid w:val="003129E7"/>
    <w:rsid w:val="00312AC3"/>
    <w:rsid w:val="00312CA2"/>
    <w:rsid w:val="00312D5D"/>
    <w:rsid w:val="00312D8B"/>
    <w:rsid w:val="00312ED7"/>
    <w:rsid w:val="00312F83"/>
    <w:rsid w:val="003130B6"/>
    <w:rsid w:val="003132A4"/>
    <w:rsid w:val="003135CB"/>
    <w:rsid w:val="00313810"/>
    <w:rsid w:val="00313933"/>
    <w:rsid w:val="00313BD5"/>
    <w:rsid w:val="00313C39"/>
    <w:rsid w:val="00313CD0"/>
    <w:rsid w:val="00313E13"/>
    <w:rsid w:val="00313E61"/>
    <w:rsid w:val="00314086"/>
    <w:rsid w:val="003140B3"/>
    <w:rsid w:val="00314164"/>
    <w:rsid w:val="003142B5"/>
    <w:rsid w:val="003143D3"/>
    <w:rsid w:val="003144FF"/>
    <w:rsid w:val="0031464E"/>
    <w:rsid w:val="00314A3D"/>
    <w:rsid w:val="00314C5D"/>
    <w:rsid w:val="00314EA8"/>
    <w:rsid w:val="00314F84"/>
    <w:rsid w:val="00314FF0"/>
    <w:rsid w:val="00315117"/>
    <w:rsid w:val="00315268"/>
    <w:rsid w:val="00315388"/>
    <w:rsid w:val="003153D6"/>
    <w:rsid w:val="0031549C"/>
    <w:rsid w:val="003155F1"/>
    <w:rsid w:val="00315906"/>
    <w:rsid w:val="0031599A"/>
    <w:rsid w:val="00315A81"/>
    <w:rsid w:val="00315C3F"/>
    <w:rsid w:val="00315E8F"/>
    <w:rsid w:val="0031600E"/>
    <w:rsid w:val="00316026"/>
    <w:rsid w:val="003160DD"/>
    <w:rsid w:val="00316164"/>
    <w:rsid w:val="003161E1"/>
    <w:rsid w:val="0031635E"/>
    <w:rsid w:val="00316376"/>
    <w:rsid w:val="0031645C"/>
    <w:rsid w:val="00316500"/>
    <w:rsid w:val="003165B1"/>
    <w:rsid w:val="00316956"/>
    <w:rsid w:val="00316990"/>
    <w:rsid w:val="00316A32"/>
    <w:rsid w:val="00316BF1"/>
    <w:rsid w:val="00316C6A"/>
    <w:rsid w:val="00316E05"/>
    <w:rsid w:val="00316E80"/>
    <w:rsid w:val="00317015"/>
    <w:rsid w:val="00317133"/>
    <w:rsid w:val="003171F8"/>
    <w:rsid w:val="00317209"/>
    <w:rsid w:val="0031720E"/>
    <w:rsid w:val="003174A0"/>
    <w:rsid w:val="00317578"/>
    <w:rsid w:val="00317716"/>
    <w:rsid w:val="00317851"/>
    <w:rsid w:val="003178EF"/>
    <w:rsid w:val="00317A28"/>
    <w:rsid w:val="00317DCA"/>
    <w:rsid w:val="00317E91"/>
    <w:rsid w:val="00317F7D"/>
    <w:rsid w:val="0032006B"/>
    <w:rsid w:val="0032023E"/>
    <w:rsid w:val="0032054A"/>
    <w:rsid w:val="0032054B"/>
    <w:rsid w:val="0032062E"/>
    <w:rsid w:val="0032075E"/>
    <w:rsid w:val="003208BF"/>
    <w:rsid w:val="0032099F"/>
    <w:rsid w:val="00320AFC"/>
    <w:rsid w:val="00320B7F"/>
    <w:rsid w:val="00320BB2"/>
    <w:rsid w:val="00320D0D"/>
    <w:rsid w:val="00320F7E"/>
    <w:rsid w:val="00320FD0"/>
    <w:rsid w:val="00321085"/>
    <w:rsid w:val="00321136"/>
    <w:rsid w:val="003211AE"/>
    <w:rsid w:val="003211DC"/>
    <w:rsid w:val="00321332"/>
    <w:rsid w:val="003214A9"/>
    <w:rsid w:val="003216E0"/>
    <w:rsid w:val="0032178D"/>
    <w:rsid w:val="00321858"/>
    <w:rsid w:val="00321A22"/>
    <w:rsid w:val="00321AFD"/>
    <w:rsid w:val="00321B82"/>
    <w:rsid w:val="00321EF0"/>
    <w:rsid w:val="0032200B"/>
    <w:rsid w:val="0032202D"/>
    <w:rsid w:val="0032216D"/>
    <w:rsid w:val="003221C2"/>
    <w:rsid w:val="00322341"/>
    <w:rsid w:val="00322592"/>
    <w:rsid w:val="003225BA"/>
    <w:rsid w:val="00322942"/>
    <w:rsid w:val="00322A23"/>
    <w:rsid w:val="00322B85"/>
    <w:rsid w:val="00322C14"/>
    <w:rsid w:val="00322CA7"/>
    <w:rsid w:val="00322CC6"/>
    <w:rsid w:val="00322D12"/>
    <w:rsid w:val="00322D70"/>
    <w:rsid w:val="0032322F"/>
    <w:rsid w:val="00323300"/>
    <w:rsid w:val="00323306"/>
    <w:rsid w:val="00323326"/>
    <w:rsid w:val="003233D7"/>
    <w:rsid w:val="00323471"/>
    <w:rsid w:val="00323581"/>
    <w:rsid w:val="003235C5"/>
    <w:rsid w:val="00323693"/>
    <w:rsid w:val="003236E9"/>
    <w:rsid w:val="003237EA"/>
    <w:rsid w:val="003238BA"/>
    <w:rsid w:val="003239E3"/>
    <w:rsid w:val="00323B7C"/>
    <w:rsid w:val="00323BA8"/>
    <w:rsid w:val="00323BBF"/>
    <w:rsid w:val="00323C52"/>
    <w:rsid w:val="00323D9A"/>
    <w:rsid w:val="003241AE"/>
    <w:rsid w:val="00324304"/>
    <w:rsid w:val="003243EA"/>
    <w:rsid w:val="0032474F"/>
    <w:rsid w:val="00324813"/>
    <w:rsid w:val="003248C1"/>
    <w:rsid w:val="003249B4"/>
    <w:rsid w:val="003249ED"/>
    <w:rsid w:val="00324C26"/>
    <w:rsid w:val="00324CE5"/>
    <w:rsid w:val="00324D13"/>
    <w:rsid w:val="00324D70"/>
    <w:rsid w:val="00324EB5"/>
    <w:rsid w:val="00325000"/>
    <w:rsid w:val="00325002"/>
    <w:rsid w:val="00325062"/>
    <w:rsid w:val="00325204"/>
    <w:rsid w:val="003252CE"/>
    <w:rsid w:val="00325337"/>
    <w:rsid w:val="00325383"/>
    <w:rsid w:val="0032540B"/>
    <w:rsid w:val="003254FF"/>
    <w:rsid w:val="0032566E"/>
    <w:rsid w:val="00325859"/>
    <w:rsid w:val="0032592C"/>
    <w:rsid w:val="0032597C"/>
    <w:rsid w:val="00325ACE"/>
    <w:rsid w:val="00325B0C"/>
    <w:rsid w:val="00325D68"/>
    <w:rsid w:val="00325D6F"/>
    <w:rsid w:val="00325E20"/>
    <w:rsid w:val="00325E77"/>
    <w:rsid w:val="00325F15"/>
    <w:rsid w:val="00325F55"/>
    <w:rsid w:val="003261C0"/>
    <w:rsid w:val="00326320"/>
    <w:rsid w:val="003264AF"/>
    <w:rsid w:val="00326564"/>
    <w:rsid w:val="0032662C"/>
    <w:rsid w:val="003267D3"/>
    <w:rsid w:val="003268D1"/>
    <w:rsid w:val="003269A8"/>
    <w:rsid w:val="003269D3"/>
    <w:rsid w:val="00326CBF"/>
    <w:rsid w:val="00326FDB"/>
    <w:rsid w:val="00327178"/>
    <w:rsid w:val="003271DB"/>
    <w:rsid w:val="00327650"/>
    <w:rsid w:val="00327700"/>
    <w:rsid w:val="003277AB"/>
    <w:rsid w:val="003277B1"/>
    <w:rsid w:val="00327836"/>
    <w:rsid w:val="003278B7"/>
    <w:rsid w:val="00327B0C"/>
    <w:rsid w:val="00327C8B"/>
    <w:rsid w:val="00327DD0"/>
    <w:rsid w:val="00327DDE"/>
    <w:rsid w:val="00327EC4"/>
    <w:rsid w:val="00330022"/>
    <w:rsid w:val="00330261"/>
    <w:rsid w:val="0033060B"/>
    <w:rsid w:val="0033065C"/>
    <w:rsid w:val="003307E3"/>
    <w:rsid w:val="00330889"/>
    <w:rsid w:val="003308EC"/>
    <w:rsid w:val="003309BA"/>
    <w:rsid w:val="003309E0"/>
    <w:rsid w:val="003309E8"/>
    <w:rsid w:val="00330A20"/>
    <w:rsid w:val="00330A95"/>
    <w:rsid w:val="00330B6F"/>
    <w:rsid w:val="00330BBA"/>
    <w:rsid w:val="00330C08"/>
    <w:rsid w:val="00330C7B"/>
    <w:rsid w:val="00330C9D"/>
    <w:rsid w:val="00330CF1"/>
    <w:rsid w:val="00330CF2"/>
    <w:rsid w:val="00330DBC"/>
    <w:rsid w:val="00330F1F"/>
    <w:rsid w:val="003312DC"/>
    <w:rsid w:val="00331447"/>
    <w:rsid w:val="00331509"/>
    <w:rsid w:val="00331693"/>
    <w:rsid w:val="00331D6E"/>
    <w:rsid w:val="00331D89"/>
    <w:rsid w:val="00331DD2"/>
    <w:rsid w:val="00331F8E"/>
    <w:rsid w:val="00331FA2"/>
    <w:rsid w:val="00332077"/>
    <w:rsid w:val="003321B8"/>
    <w:rsid w:val="003322DF"/>
    <w:rsid w:val="00332381"/>
    <w:rsid w:val="0033239C"/>
    <w:rsid w:val="00332526"/>
    <w:rsid w:val="0033252B"/>
    <w:rsid w:val="003326F9"/>
    <w:rsid w:val="00332700"/>
    <w:rsid w:val="0033276F"/>
    <w:rsid w:val="00332876"/>
    <w:rsid w:val="00332B75"/>
    <w:rsid w:val="00332B8B"/>
    <w:rsid w:val="00332C5F"/>
    <w:rsid w:val="00332D2A"/>
    <w:rsid w:val="00332D4D"/>
    <w:rsid w:val="003332AD"/>
    <w:rsid w:val="0033346E"/>
    <w:rsid w:val="00333572"/>
    <w:rsid w:val="00333623"/>
    <w:rsid w:val="0033377C"/>
    <w:rsid w:val="003338BD"/>
    <w:rsid w:val="003338E8"/>
    <w:rsid w:val="003339DB"/>
    <w:rsid w:val="00333A87"/>
    <w:rsid w:val="00333B2C"/>
    <w:rsid w:val="00333B7F"/>
    <w:rsid w:val="00333CF3"/>
    <w:rsid w:val="00333D09"/>
    <w:rsid w:val="00333EC3"/>
    <w:rsid w:val="00333ECE"/>
    <w:rsid w:val="00333EF0"/>
    <w:rsid w:val="00333FA7"/>
    <w:rsid w:val="00334075"/>
    <w:rsid w:val="003340BD"/>
    <w:rsid w:val="00334284"/>
    <w:rsid w:val="003342F7"/>
    <w:rsid w:val="00334537"/>
    <w:rsid w:val="00334612"/>
    <w:rsid w:val="00334657"/>
    <w:rsid w:val="00334673"/>
    <w:rsid w:val="003346CB"/>
    <w:rsid w:val="0033471A"/>
    <w:rsid w:val="00334B9E"/>
    <w:rsid w:val="00334BB0"/>
    <w:rsid w:val="00334C40"/>
    <w:rsid w:val="00334EB4"/>
    <w:rsid w:val="00334F0D"/>
    <w:rsid w:val="00334F3D"/>
    <w:rsid w:val="00334FE7"/>
    <w:rsid w:val="003350EB"/>
    <w:rsid w:val="003351B8"/>
    <w:rsid w:val="0033522A"/>
    <w:rsid w:val="00335232"/>
    <w:rsid w:val="003353C6"/>
    <w:rsid w:val="00335771"/>
    <w:rsid w:val="00335CE2"/>
    <w:rsid w:val="00335ECD"/>
    <w:rsid w:val="00336157"/>
    <w:rsid w:val="003362A9"/>
    <w:rsid w:val="0033651B"/>
    <w:rsid w:val="0033667D"/>
    <w:rsid w:val="003367FE"/>
    <w:rsid w:val="00336BD8"/>
    <w:rsid w:val="00336CEB"/>
    <w:rsid w:val="00336E56"/>
    <w:rsid w:val="00336EEF"/>
    <w:rsid w:val="00336EFA"/>
    <w:rsid w:val="00336FAB"/>
    <w:rsid w:val="00337111"/>
    <w:rsid w:val="00337174"/>
    <w:rsid w:val="003374F8"/>
    <w:rsid w:val="00337506"/>
    <w:rsid w:val="003378F7"/>
    <w:rsid w:val="0033790B"/>
    <w:rsid w:val="00337A9A"/>
    <w:rsid w:val="00337B16"/>
    <w:rsid w:val="00337CB2"/>
    <w:rsid w:val="00337E40"/>
    <w:rsid w:val="00337E87"/>
    <w:rsid w:val="00337F2D"/>
    <w:rsid w:val="003400A6"/>
    <w:rsid w:val="00340387"/>
    <w:rsid w:val="00340848"/>
    <w:rsid w:val="0034091E"/>
    <w:rsid w:val="00340A05"/>
    <w:rsid w:val="00340A54"/>
    <w:rsid w:val="00341052"/>
    <w:rsid w:val="00341059"/>
    <w:rsid w:val="00341101"/>
    <w:rsid w:val="00341251"/>
    <w:rsid w:val="0034129F"/>
    <w:rsid w:val="003413B3"/>
    <w:rsid w:val="003413F8"/>
    <w:rsid w:val="0034157E"/>
    <w:rsid w:val="003415D2"/>
    <w:rsid w:val="003416A6"/>
    <w:rsid w:val="003418EF"/>
    <w:rsid w:val="00341959"/>
    <w:rsid w:val="0034199A"/>
    <w:rsid w:val="00341ACB"/>
    <w:rsid w:val="00341B8D"/>
    <w:rsid w:val="00341C6C"/>
    <w:rsid w:val="00341D5E"/>
    <w:rsid w:val="00341F19"/>
    <w:rsid w:val="00341F47"/>
    <w:rsid w:val="00341FDB"/>
    <w:rsid w:val="003423DC"/>
    <w:rsid w:val="003424A7"/>
    <w:rsid w:val="00342626"/>
    <w:rsid w:val="00342827"/>
    <w:rsid w:val="0034283C"/>
    <w:rsid w:val="003428F6"/>
    <w:rsid w:val="0034296F"/>
    <w:rsid w:val="003429FD"/>
    <w:rsid w:val="00342E0F"/>
    <w:rsid w:val="00342E73"/>
    <w:rsid w:val="00342EB2"/>
    <w:rsid w:val="00342F9B"/>
    <w:rsid w:val="00343004"/>
    <w:rsid w:val="00343044"/>
    <w:rsid w:val="00343386"/>
    <w:rsid w:val="0034344E"/>
    <w:rsid w:val="00343649"/>
    <w:rsid w:val="003437D1"/>
    <w:rsid w:val="00343820"/>
    <w:rsid w:val="00343906"/>
    <w:rsid w:val="003439DE"/>
    <w:rsid w:val="00343C5F"/>
    <w:rsid w:val="00343D98"/>
    <w:rsid w:val="00343F3B"/>
    <w:rsid w:val="00343FAF"/>
    <w:rsid w:val="003441AC"/>
    <w:rsid w:val="003441F9"/>
    <w:rsid w:val="00344221"/>
    <w:rsid w:val="003442B9"/>
    <w:rsid w:val="0034444B"/>
    <w:rsid w:val="0034459A"/>
    <w:rsid w:val="003446EB"/>
    <w:rsid w:val="0034484A"/>
    <w:rsid w:val="003449F3"/>
    <w:rsid w:val="00344DEB"/>
    <w:rsid w:val="00344EDD"/>
    <w:rsid w:val="00345006"/>
    <w:rsid w:val="003450A5"/>
    <w:rsid w:val="003450ED"/>
    <w:rsid w:val="00345116"/>
    <w:rsid w:val="00345258"/>
    <w:rsid w:val="00345292"/>
    <w:rsid w:val="0034544F"/>
    <w:rsid w:val="00345751"/>
    <w:rsid w:val="00345809"/>
    <w:rsid w:val="0034587A"/>
    <w:rsid w:val="003459D1"/>
    <w:rsid w:val="00345BAA"/>
    <w:rsid w:val="00345D01"/>
    <w:rsid w:val="00345D67"/>
    <w:rsid w:val="00345EEE"/>
    <w:rsid w:val="00345EF1"/>
    <w:rsid w:val="00345FC3"/>
    <w:rsid w:val="0034606C"/>
    <w:rsid w:val="003460DB"/>
    <w:rsid w:val="00346196"/>
    <w:rsid w:val="003462E3"/>
    <w:rsid w:val="00346791"/>
    <w:rsid w:val="003467BA"/>
    <w:rsid w:val="0034689F"/>
    <w:rsid w:val="00346952"/>
    <w:rsid w:val="00346B19"/>
    <w:rsid w:val="00346BA6"/>
    <w:rsid w:val="00346D07"/>
    <w:rsid w:val="00346D23"/>
    <w:rsid w:val="00346D7A"/>
    <w:rsid w:val="00346E05"/>
    <w:rsid w:val="00346EBD"/>
    <w:rsid w:val="00346FEB"/>
    <w:rsid w:val="00347018"/>
    <w:rsid w:val="003471B9"/>
    <w:rsid w:val="003471FF"/>
    <w:rsid w:val="00347331"/>
    <w:rsid w:val="00347338"/>
    <w:rsid w:val="0034765C"/>
    <w:rsid w:val="00347671"/>
    <w:rsid w:val="00347700"/>
    <w:rsid w:val="003477C8"/>
    <w:rsid w:val="00347872"/>
    <w:rsid w:val="00347B84"/>
    <w:rsid w:val="00347C8F"/>
    <w:rsid w:val="00347CA4"/>
    <w:rsid w:val="00347CDB"/>
    <w:rsid w:val="00347D2E"/>
    <w:rsid w:val="00347E0A"/>
    <w:rsid w:val="00347EE9"/>
    <w:rsid w:val="00347F98"/>
    <w:rsid w:val="003500F3"/>
    <w:rsid w:val="003501C6"/>
    <w:rsid w:val="0035045A"/>
    <w:rsid w:val="0035047D"/>
    <w:rsid w:val="003508CB"/>
    <w:rsid w:val="00350A77"/>
    <w:rsid w:val="00350B95"/>
    <w:rsid w:val="00350C9C"/>
    <w:rsid w:val="00350CE3"/>
    <w:rsid w:val="00350D0E"/>
    <w:rsid w:val="00350ECD"/>
    <w:rsid w:val="00350FDD"/>
    <w:rsid w:val="00351076"/>
    <w:rsid w:val="00351220"/>
    <w:rsid w:val="0035141E"/>
    <w:rsid w:val="0035147A"/>
    <w:rsid w:val="0035149D"/>
    <w:rsid w:val="003514F0"/>
    <w:rsid w:val="0035152F"/>
    <w:rsid w:val="003516EE"/>
    <w:rsid w:val="00351791"/>
    <w:rsid w:val="003518DA"/>
    <w:rsid w:val="00351967"/>
    <w:rsid w:val="00351B25"/>
    <w:rsid w:val="00351B8E"/>
    <w:rsid w:val="00351EB1"/>
    <w:rsid w:val="00351FA9"/>
    <w:rsid w:val="00351FBC"/>
    <w:rsid w:val="00351FD4"/>
    <w:rsid w:val="003521B1"/>
    <w:rsid w:val="003522D7"/>
    <w:rsid w:val="00352399"/>
    <w:rsid w:val="00352420"/>
    <w:rsid w:val="0035298C"/>
    <w:rsid w:val="00352A8F"/>
    <w:rsid w:val="00352B60"/>
    <w:rsid w:val="00352DC3"/>
    <w:rsid w:val="00352FB7"/>
    <w:rsid w:val="003530E7"/>
    <w:rsid w:val="00353230"/>
    <w:rsid w:val="00353267"/>
    <w:rsid w:val="0035343D"/>
    <w:rsid w:val="003534E9"/>
    <w:rsid w:val="00353545"/>
    <w:rsid w:val="003536C3"/>
    <w:rsid w:val="00353797"/>
    <w:rsid w:val="003538F2"/>
    <w:rsid w:val="00353A60"/>
    <w:rsid w:val="00353AAD"/>
    <w:rsid w:val="00353C1B"/>
    <w:rsid w:val="00353DC8"/>
    <w:rsid w:val="00353E35"/>
    <w:rsid w:val="00353EF1"/>
    <w:rsid w:val="00353F60"/>
    <w:rsid w:val="003541B5"/>
    <w:rsid w:val="00354343"/>
    <w:rsid w:val="0035434D"/>
    <w:rsid w:val="00354358"/>
    <w:rsid w:val="0035439C"/>
    <w:rsid w:val="003543F7"/>
    <w:rsid w:val="003544EE"/>
    <w:rsid w:val="003545A5"/>
    <w:rsid w:val="003545F0"/>
    <w:rsid w:val="00354854"/>
    <w:rsid w:val="003549C2"/>
    <w:rsid w:val="003549F4"/>
    <w:rsid w:val="00354A0D"/>
    <w:rsid w:val="00354A30"/>
    <w:rsid w:val="00354BE3"/>
    <w:rsid w:val="00354D6A"/>
    <w:rsid w:val="00354E10"/>
    <w:rsid w:val="00354E28"/>
    <w:rsid w:val="00354E75"/>
    <w:rsid w:val="00355339"/>
    <w:rsid w:val="003553C4"/>
    <w:rsid w:val="00355627"/>
    <w:rsid w:val="00355677"/>
    <w:rsid w:val="003556C1"/>
    <w:rsid w:val="00355725"/>
    <w:rsid w:val="003557EE"/>
    <w:rsid w:val="003558FC"/>
    <w:rsid w:val="00355B71"/>
    <w:rsid w:val="00355C40"/>
    <w:rsid w:val="00355DDA"/>
    <w:rsid w:val="003560E3"/>
    <w:rsid w:val="00356143"/>
    <w:rsid w:val="00356254"/>
    <w:rsid w:val="003562EF"/>
    <w:rsid w:val="003563D2"/>
    <w:rsid w:val="00356508"/>
    <w:rsid w:val="003566D7"/>
    <w:rsid w:val="003566F8"/>
    <w:rsid w:val="003567EE"/>
    <w:rsid w:val="00356E39"/>
    <w:rsid w:val="00356FE8"/>
    <w:rsid w:val="00357424"/>
    <w:rsid w:val="0035743C"/>
    <w:rsid w:val="0035745F"/>
    <w:rsid w:val="0035747E"/>
    <w:rsid w:val="003577C4"/>
    <w:rsid w:val="003577D7"/>
    <w:rsid w:val="00357823"/>
    <w:rsid w:val="0035788C"/>
    <w:rsid w:val="00357913"/>
    <w:rsid w:val="00357B35"/>
    <w:rsid w:val="00357BB8"/>
    <w:rsid w:val="00357BE2"/>
    <w:rsid w:val="00357C64"/>
    <w:rsid w:val="00357CCB"/>
    <w:rsid w:val="00357E27"/>
    <w:rsid w:val="00357F82"/>
    <w:rsid w:val="0036002C"/>
    <w:rsid w:val="0036005F"/>
    <w:rsid w:val="00360116"/>
    <w:rsid w:val="003601A4"/>
    <w:rsid w:val="003602FA"/>
    <w:rsid w:val="00360358"/>
    <w:rsid w:val="00360383"/>
    <w:rsid w:val="00360402"/>
    <w:rsid w:val="00360461"/>
    <w:rsid w:val="003604D7"/>
    <w:rsid w:val="003606FD"/>
    <w:rsid w:val="003608BA"/>
    <w:rsid w:val="00360CD2"/>
    <w:rsid w:val="00360D25"/>
    <w:rsid w:val="00360D7C"/>
    <w:rsid w:val="00360ED2"/>
    <w:rsid w:val="00360FC1"/>
    <w:rsid w:val="00361096"/>
    <w:rsid w:val="00361177"/>
    <w:rsid w:val="003612AD"/>
    <w:rsid w:val="003612E1"/>
    <w:rsid w:val="00361374"/>
    <w:rsid w:val="003615D9"/>
    <w:rsid w:val="003615DA"/>
    <w:rsid w:val="0036161A"/>
    <w:rsid w:val="003616FB"/>
    <w:rsid w:val="0036175F"/>
    <w:rsid w:val="00361770"/>
    <w:rsid w:val="0036199A"/>
    <w:rsid w:val="00361A67"/>
    <w:rsid w:val="00361A6B"/>
    <w:rsid w:val="00361BC3"/>
    <w:rsid w:val="00361CD8"/>
    <w:rsid w:val="00361DA9"/>
    <w:rsid w:val="00361E49"/>
    <w:rsid w:val="00361EAB"/>
    <w:rsid w:val="00361EBF"/>
    <w:rsid w:val="003620A4"/>
    <w:rsid w:val="003620D1"/>
    <w:rsid w:val="00362127"/>
    <w:rsid w:val="003621EB"/>
    <w:rsid w:val="003624F6"/>
    <w:rsid w:val="0036253B"/>
    <w:rsid w:val="00362602"/>
    <w:rsid w:val="0036273A"/>
    <w:rsid w:val="00362771"/>
    <w:rsid w:val="00362A3A"/>
    <w:rsid w:val="00362B99"/>
    <w:rsid w:val="00362C33"/>
    <w:rsid w:val="00362EDB"/>
    <w:rsid w:val="003632A3"/>
    <w:rsid w:val="00363482"/>
    <w:rsid w:val="00363606"/>
    <w:rsid w:val="0036361F"/>
    <w:rsid w:val="003636E4"/>
    <w:rsid w:val="003636E8"/>
    <w:rsid w:val="0036378D"/>
    <w:rsid w:val="00363899"/>
    <w:rsid w:val="00363A8F"/>
    <w:rsid w:val="00363B75"/>
    <w:rsid w:val="00363B90"/>
    <w:rsid w:val="00363CC6"/>
    <w:rsid w:val="00363D93"/>
    <w:rsid w:val="00363E91"/>
    <w:rsid w:val="00363F48"/>
    <w:rsid w:val="00364000"/>
    <w:rsid w:val="0036408E"/>
    <w:rsid w:val="0036408F"/>
    <w:rsid w:val="0036417E"/>
    <w:rsid w:val="003641A3"/>
    <w:rsid w:val="003641BF"/>
    <w:rsid w:val="00364212"/>
    <w:rsid w:val="00364532"/>
    <w:rsid w:val="00364798"/>
    <w:rsid w:val="00364869"/>
    <w:rsid w:val="003648C0"/>
    <w:rsid w:val="00364A6D"/>
    <w:rsid w:val="00364B5B"/>
    <w:rsid w:val="00364D4A"/>
    <w:rsid w:val="00364DD9"/>
    <w:rsid w:val="00364E4A"/>
    <w:rsid w:val="00364EEB"/>
    <w:rsid w:val="0036500F"/>
    <w:rsid w:val="0036505D"/>
    <w:rsid w:val="00365109"/>
    <w:rsid w:val="00365133"/>
    <w:rsid w:val="003651E1"/>
    <w:rsid w:val="003652B6"/>
    <w:rsid w:val="00365340"/>
    <w:rsid w:val="0036545F"/>
    <w:rsid w:val="00365464"/>
    <w:rsid w:val="00365635"/>
    <w:rsid w:val="00365689"/>
    <w:rsid w:val="003656D2"/>
    <w:rsid w:val="00365745"/>
    <w:rsid w:val="003657BF"/>
    <w:rsid w:val="003658E4"/>
    <w:rsid w:val="0036595D"/>
    <w:rsid w:val="00365C19"/>
    <w:rsid w:val="00365E21"/>
    <w:rsid w:val="00365E85"/>
    <w:rsid w:val="00365EC8"/>
    <w:rsid w:val="00365F3F"/>
    <w:rsid w:val="00365F61"/>
    <w:rsid w:val="00365FF6"/>
    <w:rsid w:val="0036601B"/>
    <w:rsid w:val="003660CC"/>
    <w:rsid w:val="0036634B"/>
    <w:rsid w:val="003663CC"/>
    <w:rsid w:val="00366428"/>
    <w:rsid w:val="00366576"/>
    <w:rsid w:val="0036659C"/>
    <w:rsid w:val="003665A3"/>
    <w:rsid w:val="00366748"/>
    <w:rsid w:val="003669AA"/>
    <w:rsid w:val="00366B7E"/>
    <w:rsid w:val="00366CF2"/>
    <w:rsid w:val="00366D85"/>
    <w:rsid w:val="00366D9E"/>
    <w:rsid w:val="00366DA3"/>
    <w:rsid w:val="00366DC4"/>
    <w:rsid w:val="00366EBD"/>
    <w:rsid w:val="00366EE6"/>
    <w:rsid w:val="00366F3C"/>
    <w:rsid w:val="00367066"/>
    <w:rsid w:val="0036727E"/>
    <w:rsid w:val="003673B0"/>
    <w:rsid w:val="00367498"/>
    <w:rsid w:val="00367620"/>
    <w:rsid w:val="00367838"/>
    <w:rsid w:val="00367857"/>
    <w:rsid w:val="0036788A"/>
    <w:rsid w:val="0036793E"/>
    <w:rsid w:val="003679FE"/>
    <w:rsid w:val="00367AAD"/>
    <w:rsid w:val="00367AC3"/>
    <w:rsid w:val="00367B0D"/>
    <w:rsid w:val="00367B59"/>
    <w:rsid w:val="00367C44"/>
    <w:rsid w:val="00367C88"/>
    <w:rsid w:val="00367D30"/>
    <w:rsid w:val="00367DF1"/>
    <w:rsid w:val="00367E6B"/>
    <w:rsid w:val="00367E9E"/>
    <w:rsid w:val="00367EDB"/>
    <w:rsid w:val="003701A4"/>
    <w:rsid w:val="003701A7"/>
    <w:rsid w:val="003702CC"/>
    <w:rsid w:val="00370324"/>
    <w:rsid w:val="003703A2"/>
    <w:rsid w:val="003703D3"/>
    <w:rsid w:val="00370582"/>
    <w:rsid w:val="003705F6"/>
    <w:rsid w:val="0037063B"/>
    <w:rsid w:val="00370897"/>
    <w:rsid w:val="00370943"/>
    <w:rsid w:val="003709CC"/>
    <w:rsid w:val="00370C1C"/>
    <w:rsid w:val="00370CD7"/>
    <w:rsid w:val="00370F30"/>
    <w:rsid w:val="00370F8B"/>
    <w:rsid w:val="00370F9B"/>
    <w:rsid w:val="003712E5"/>
    <w:rsid w:val="003713CD"/>
    <w:rsid w:val="003713FA"/>
    <w:rsid w:val="00371492"/>
    <w:rsid w:val="003715F8"/>
    <w:rsid w:val="0037180B"/>
    <w:rsid w:val="00371837"/>
    <w:rsid w:val="00371BC0"/>
    <w:rsid w:val="00371BFF"/>
    <w:rsid w:val="00371C57"/>
    <w:rsid w:val="00371D70"/>
    <w:rsid w:val="00371EB1"/>
    <w:rsid w:val="00371FA8"/>
    <w:rsid w:val="003720F0"/>
    <w:rsid w:val="00372114"/>
    <w:rsid w:val="0037225E"/>
    <w:rsid w:val="0037227F"/>
    <w:rsid w:val="00372313"/>
    <w:rsid w:val="00372362"/>
    <w:rsid w:val="0037239E"/>
    <w:rsid w:val="003723D2"/>
    <w:rsid w:val="0037240A"/>
    <w:rsid w:val="00372429"/>
    <w:rsid w:val="00372490"/>
    <w:rsid w:val="00372682"/>
    <w:rsid w:val="00372722"/>
    <w:rsid w:val="003727CE"/>
    <w:rsid w:val="00372A7B"/>
    <w:rsid w:val="00372AC5"/>
    <w:rsid w:val="00372C68"/>
    <w:rsid w:val="00373094"/>
    <w:rsid w:val="003730C9"/>
    <w:rsid w:val="00373583"/>
    <w:rsid w:val="0037372F"/>
    <w:rsid w:val="003738E0"/>
    <w:rsid w:val="00373A79"/>
    <w:rsid w:val="00373C13"/>
    <w:rsid w:val="00373C97"/>
    <w:rsid w:val="00373D8D"/>
    <w:rsid w:val="00373DB5"/>
    <w:rsid w:val="003742CF"/>
    <w:rsid w:val="003743C3"/>
    <w:rsid w:val="003744C0"/>
    <w:rsid w:val="003744C1"/>
    <w:rsid w:val="00374520"/>
    <w:rsid w:val="003745C0"/>
    <w:rsid w:val="003745F3"/>
    <w:rsid w:val="003747C5"/>
    <w:rsid w:val="003747FB"/>
    <w:rsid w:val="003748BE"/>
    <w:rsid w:val="003749B3"/>
    <w:rsid w:val="00374B35"/>
    <w:rsid w:val="00375117"/>
    <w:rsid w:val="00375244"/>
    <w:rsid w:val="0037528D"/>
    <w:rsid w:val="003752FE"/>
    <w:rsid w:val="003753D8"/>
    <w:rsid w:val="00375519"/>
    <w:rsid w:val="003755DE"/>
    <w:rsid w:val="003756A6"/>
    <w:rsid w:val="003756AF"/>
    <w:rsid w:val="003757EF"/>
    <w:rsid w:val="00375904"/>
    <w:rsid w:val="003759B0"/>
    <w:rsid w:val="00375F17"/>
    <w:rsid w:val="00375F3A"/>
    <w:rsid w:val="0037606A"/>
    <w:rsid w:val="0037611C"/>
    <w:rsid w:val="003761BB"/>
    <w:rsid w:val="00376540"/>
    <w:rsid w:val="00376693"/>
    <w:rsid w:val="003767B2"/>
    <w:rsid w:val="00376973"/>
    <w:rsid w:val="00376A1B"/>
    <w:rsid w:val="00376BEF"/>
    <w:rsid w:val="00376C36"/>
    <w:rsid w:val="00376D96"/>
    <w:rsid w:val="00376E3E"/>
    <w:rsid w:val="00377109"/>
    <w:rsid w:val="003771E1"/>
    <w:rsid w:val="003774C9"/>
    <w:rsid w:val="00377514"/>
    <w:rsid w:val="00377539"/>
    <w:rsid w:val="003777A3"/>
    <w:rsid w:val="003777E3"/>
    <w:rsid w:val="003777FE"/>
    <w:rsid w:val="00377992"/>
    <w:rsid w:val="003779AF"/>
    <w:rsid w:val="00377B20"/>
    <w:rsid w:val="00377D58"/>
    <w:rsid w:val="00377FA0"/>
    <w:rsid w:val="00380040"/>
    <w:rsid w:val="003800E7"/>
    <w:rsid w:val="00380260"/>
    <w:rsid w:val="00380418"/>
    <w:rsid w:val="00380469"/>
    <w:rsid w:val="00380518"/>
    <w:rsid w:val="003805D1"/>
    <w:rsid w:val="0038061D"/>
    <w:rsid w:val="00380639"/>
    <w:rsid w:val="00380850"/>
    <w:rsid w:val="003808C1"/>
    <w:rsid w:val="00380A20"/>
    <w:rsid w:val="00380ABE"/>
    <w:rsid w:val="00380B51"/>
    <w:rsid w:val="00380B82"/>
    <w:rsid w:val="00380CC7"/>
    <w:rsid w:val="00381138"/>
    <w:rsid w:val="0038124D"/>
    <w:rsid w:val="00381329"/>
    <w:rsid w:val="00381482"/>
    <w:rsid w:val="003815CA"/>
    <w:rsid w:val="003815D3"/>
    <w:rsid w:val="003816CD"/>
    <w:rsid w:val="00381807"/>
    <w:rsid w:val="00381903"/>
    <w:rsid w:val="0038190A"/>
    <w:rsid w:val="00381A66"/>
    <w:rsid w:val="00381AEA"/>
    <w:rsid w:val="00381B25"/>
    <w:rsid w:val="00381DD0"/>
    <w:rsid w:val="00381DD1"/>
    <w:rsid w:val="00381E67"/>
    <w:rsid w:val="00381EE3"/>
    <w:rsid w:val="00382444"/>
    <w:rsid w:val="0038244F"/>
    <w:rsid w:val="00382503"/>
    <w:rsid w:val="0038254D"/>
    <w:rsid w:val="0038263A"/>
    <w:rsid w:val="0038265B"/>
    <w:rsid w:val="0038269F"/>
    <w:rsid w:val="0038275B"/>
    <w:rsid w:val="003828AB"/>
    <w:rsid w:val="00382C6B"/>
    <w:rsid w:val="00382C98"/>
    <w:rsid w:val="00382CC0"/>
    <w:rsid w:val="00382DC9"/>
    <w:rsid w:val="00382E49"/>
    <w:rsid w:val="00382E62"/>
    <w:rsid w:val="00382F0C"/>
    <w:rsid w:val="00382F3A"/>
    <w:rsid w:val="0038329D"/>
    <w:rsid w:val="003834A6"/>
    <w:rsid w:val="003834D8"/>
    <w:rsid w:val="003834E9"/>
    <w:rsid w:val="0038357D"/>
    <w:rsid w:val="00383734"/>
    <w:rsid w:val="0038388A"/>
    <w:rsid w:val="00383B64"/>
    <w:rsid w:val="00383B71"/>
    <w:rsid w:val="00383B86"/>
    <w:rsid w:val="00383C10"/>
    <w:rsid w:val="00383D63"/>
    <w:rsid w:val="00383F35"/>
    <w:rsid w:val="00383FAA"/>
    <w:rsid w:val="0038442A"/>
    <w:rsid w:val="00384500"/>
    <w:rsid w:val="00384734"/>
    <w:rsid w:val="00384756"/>
    <w:rsid w:val="00384914"/>
    <w:rsid w:val="003849C0"/>
    <w:rsid w:val="003849FE"/>
    <w:rsid w:val="00384C51"/>
    <w:rsid w:val="00384C6E"/>
    <w:rsid w:val="00384CF5"/>
    <w:rsid w:val="00384D66"/>
    <w:rsid w:val="00384DB4"/>
    <w:rsid w:val="00384FEA"/>
    <w:rsid w:val="003850AF"/>
    <w:rsid w:val="003851BD"/>
    <w:rsid w:val="003851FE"/>
    <w:rsid w:val="00385317"/>
    <w:rsid w:val="00385453"/>
    <w:rsid w:val="003854E6"/>
    <w:rsid w:val="003855D7"/>
    <w:rsid w:val="003857C7"/>
    <w:rsid w:val="00385970"/>
    <w:rsid w:val="003859BB"/>
    <w:rsid w:val="00385C19"/>
    <w:rsid w:val="00385C6B"/>
    <w:rsid w:val="00385D1A"/>
    <w:rsid w:val="00385DB2"/>
    <w:rsid w:val="00385E65"/>
    <w:rsid w:val="00385E80"/>
    <w:rsid w:val="003862B7"/>
    <w:rsid w:val="003862D7"/>
    <w:rsid w:val="00386684"/>
    <w:rsid w:val="003867D4"/>
    <w:rsid w:val="0038680E"/>
    <w:rsid w:val="003868B9"/>
    <w:rsid w:val="00386D89"/>
    <w:rsid w:val="00386EB2"/>
    <w:rsid w:val="00386EFA"/>
    <w:rsid w:val="00386F0D"/>
    <w:rsid w:val="00386F43"/>
    <w:rsid w:val="0038708C"/>
    <w:rsid w:val="00387135"/>
    <w:rsid w:val="00387159"/>
    <w:rsid w:val="003873D8"/>
    <w:rsid w:val="003874A4"/>
    <w:rsid w:val="00387651"/>
    <w:rsid w:val="003877F1"/>
    <w:rsid w:val="00387A60"/>
    <w:rsid w:val="00387A7D"/>
    <w:rsid w:val="00387B2B"/>
    <w:rsid w:val="00387B2C"/>
    <w:rsid w:val="00387C9B"/>
    <w:rsid w:val="00387CD1"/>
    <w:rsid w:val="00387D61"/>
    <w:rsid w:val="00387E65"/>
    <w:rsid w:val="00387ED5"/>
    <w:rsid w:val="003900FB"/>
    <w:rsid w:val="0039028A"/>
    <w:rsid w:val="0039035D"/>
    <w:rsid w:val="00390388"/>
    <w:rsid w:val="00390476"/>
    <w:rsid w:val="0039050E"/>
    <w:rsid w:val="003905F8"/>
    <w:rsid w:val="0039073E"/>
    <w:rsid w:val="0039080E"/>
    <w:rsid w:val="00390886"/>
    <w:rsid w:val="00390988"/>
    <w:rsid w:val="003909BD"/>
    <w:rsid w:val="00390A16"/>
    <w:rsid w:val="00390BA2"/>
    <w:rsid w:val="00390BF6"/>
    <w:rsid w:val="00390C22"/>
    <w:rsid w:val="00390DBB"/>
    <w:rsid w:val="0039104A"/>
    <w:rsid w:val="00391052"/>
    <w:rsid w:val="00391285"/>
    <w:rsid w:val="003915F9"/>
    <w:rsid w:val="00391680"/>
    <w:rsid w:val="0039196F"/>
    <w:rsid w:val="00391A3D"/>
    <w:rsid w:val="00391B00"/>
    <w:rsid w:val="00391B8E"/>
    <w:rsid w:val="00391C26"/>
    <w:rsid w:val="00391EDF"/>
    <w:rsid w:val="00391FD3"/>
    <w:rsid w:val="0039207C"/>
    <w:rsid w:val="00392118"/>
    <w:rsid w:val="0039216D"/>
    <w:rsid w:val="0039220E"/>
    <w:rsid w:val="003923D6"/>
    <w:rsid w:val="00392415"/>
    <w:rsid w:val="0039248F"/>
    <w:rsid w:val="00392522"/>
    <w:rsid w:val="00392772"/>
    <w:rsid w:val="00392775"/>
    <w:rsid w:val="003928AA"/>
    <w:rsid w:val="00392DC6"/>
    <w:rsid w:val="00392E91"/>
    <w:rsid w:val="00392E9A"/>
    <w:rsid w:val="00392ED8"/>
    <w:rsid w:val="00392F58"/>
    <w:rsid w:val="00393026"/>
    <w:rsid w:val="0039329A"/>
    <w:rsid w:val="0039332F"/>
    <w:rsid w:val="0039355D"/>
    <w:rsid w:val="003937D7"/>
    <w:rsid w:val="00393815"/>
    <w:rsid w:val="003938CE"/>
    <w:rsid w:val="003938F7"/>
    <w:rsid w:val="00393DED"/>
    <w:rsid w:val="00393EB3"/>
    <w:rsid w:val="00393FC3"/>
    <w:rsid w:val="00394144"/>
    <w:rsid w:val="0039422C"/>
    <w:rsid w:val="00394232"/>
    <w:rsid w:val="00394238"/>
    <w:rsid w:val="00394461"/>
    <w:rsid w:val="00394466"/>
    <w:rsid w:val="003944E6"/>
    <w:rsid w:val="00394502"/>
    <w:rsid w:val="00394864"/>
    <w:rsid w:val="003948B3"/>
    <w:rsid w:val="00394A73"/>
    <w:rsid w:val="00394BB6"/>
    <w:rsid w:val="00394C87"/>
    <w:rsid w:val="00394D16"/>
    <w:rsid w:val="00394E28"/>
    <w:rsid w:val="00394F6C"/>
    <w:rsid w:val="00394FB0"/>
    <w:rsid w:val="00395402"/>
    <w:rsid w:val="00395510"/>
    <w:rsid w:val="00395560"/>
    <w:rsid w:val="00395586"/>
    <w:rsid w:val="003955CA"/>
    <w:rsid w:val="0039575A"/>
    <w:rsid w:val="003957A5"/>
    <w:rsid w:val="00395F52"/>
    <w:rsid w:val="00395FC0"/>
    <w:rsid w:val="00396043"/>
    <w:rsid w:val="00396303"/>
    <w:rsid w:val="0039631A"/>
    <w:rsid w:val="00396324"/>
    <w:rsid w:val="00396430"/>
    <w:rsid w:val="00396433"/>
    <w:rsid w:val="00396497"/>
    <w:rsid w:val="003964D8"/>
    <w:rsid w:val="00396566"/>
    <w:rsid w:val="003965A0"/>
    <w:rsid w:val="00396C85"/>
    <w:rsid w:val="00396E89"/>
    <w:rsid w:val="00396F20"/>
    <w:rsid w:val="00397020"/>
    <w:rsid w:val="003970B4"/>
    <w:rsid w:val="00397182"/>
    <w:rsid w:val="00397188"/>
    <w:rsid w:val="003971A7"/>
    <w:rsid w:val="00397239"/>
    <w:rsid w:val="003972A6"/>
    <w:rsid w:val="003972CA"/>
    <w:rsid w:val="003973C4"/>
    <w:rsid w:val="00397417"/>
    <w:rsid w:val="0039748A"/>
    <w:rsid w:val="003974EB"/>
    <w:rsid w:val="003976A9"/>
    <w:rsid w:val="003976F2"/>
    <w:rsid w:val="00397879"/>
    <w:rsid w:val="003978C1"/>
    <w:rsid w:val="00397A1D"/>
    <w:rsid w:val="00397B1D"/>
    <w:rsid w:val="00397C6A"/>
    <w:rsid w:val="00397E70"/>
    <w:rsid w:val="00397F19"/>
    <w:rsid w:val="00397F77"/>
    <w:rsid w:val="003A02F1"/>
    <w:rsid w:val="003A038A"/>
    <w:rsid w:val="003A03D8"/>
    <w:rsid w:val="003A0698"/>
    <w:rsid w:val="003A07D7"/>
    <w:rsid w:val="003A098E"/>
    <w:rsid w:val="003A0EBA"/>
    <w:rsid w:val="003A10A6"/>
    <w:rsid w:val="003A1442"/>
    <w:rsid w:val="003A15FF"/>
    <w:rsid w:val="003A16BC"/>
    <w:rsid w:val="003A176E"/>
    <w:rsid w:val="003A19EE"/>
    <w:rsid w:val="003A1BE8"/>
    <w:rsid w:val="003A1BEF"/>
    <w:rsid w:val="003A1C31"/>
    <w:rsid w:val="003A1D60"/>
    <w:rsid w:val="003A1D8C"/>
    <w:rsid w:val="003A1D92"/>
    <w:rsid w:val="003A1E1E"/>
    <w:rsid w:val="003A1EAF"/>
    <w:rsid w:val="003A1F3C"/>
    <w:rsid w:val="003A20E0"/>
    <w:rsid w:val="003A21C0"/>
    <w:rsid w:val="003A28FB"/>
    <w:rsid w:val="003A2A0A"/>
    <w:rsid w:val="003A2B77"/>
    <w:rsid w:val="003A2D11"/>
    <w:rsid w:val="003A2D25"/>
    <w:rsid w:val="003A2D83"/>
    <w:rsid w:val="003A2ED1"/>
    <w:rsid w:val="003A2EDE"/>
    <w:rsid w:val="003A2F22"/>
    <w:rsid w:val="003A2FD2"/>
    <w:rsid w:val="003A3070"/>
    <w:rsid w:val="003A319F"/>
    <w:rsid w:val="003A3286"/>
    <w:rsid w:val="003A3385"/>
    <w:rsid w:val="003A3462"/>
    <w:rsid w:val="003A349E"/>
    <w:rsid w:val="003A358C"/>
    <w:rsid w:val="003A35C1"/>
    <w:rsid w:val="003A3600"/>
    <w:rsid w:val="003A37F3"/>
    <w:rsid w:val="003A384A"/>
    <w:rsid w:val="003A390F"/>
    <w:rsid w:val="003A3C25"/>
    <w:rsid w:val="003A3D74"/>
    <w:rsid w:val="003A3E08"/>
    <w:rsid w:val="003A4331"/>
    <w:rsid w:val="003A446E"/>
    <w:rsid w:val="003A484E"/>
    <w:rsid w:val="003A48B9"/>
    <w:rsid w:val="003A4ABF"/>
    <w:rsid w:val="003A4AC1"/>
    <w:rsid w:val="003A4D5B"/>
    <w:rsid w:val="003A4E2E"/>
    <w:rsid w:val="003A4EA3"/>
    <w:rsid w:val="003A4F48"/>
    <w:rsid w:val="003A4F53"/>
    <w:rsid w:val="003A5061"/>
    <w:rsid w:val="003A50E8"/>
    <w:rsid w:val="003A518E"/>
    <w:rsid w:val="003A520E"/>
    <w:rsid w:val="003A521A"/>
    <w:rsid w:val="003A5311"/>
    <w:rsid w:val="003A554B"/>
    <w:rsid w:val="003A5611"/>
    <w:rsid w:val="003A58A4"/>
    <w:rsid w:val="003A58D3"/>
    <w:rsid w:val="003A5AA2"/>
    <w:rsid w:val="003A5E4E"/>
    <w:rsid w:val="003A5EC8"/>
    <w:rsid w:val="003A63AE"/>
    <w:rsid w:val="003A63EB"/>
    <w:rsid w:val="003A663E"/>
    <w:rsid w:val="003A66D7"/>
    <w:rsid w:val="003A6750"/>
    <w:rsid w:val="003A69A1"/>
    <w:rsid w:val="003A69BE"/>
    <w:rsid w:val="003A6B38"/>
    <w:rsid w:val="003A6B75"/>
    <w:rsid w:val="003A6CAA"/>
    <w:rsid w:val="003A6E4A"/>
    <w:rsid w:val="003A6E8F"/>
    <w:rsid w:val="003A731E"/>
    <w:rsid w:val="003A7353"/>
    <w:rsid w:val="003A737F"/>
    <w:rsid w:val="003A752A"/>
    <w:rsid w:val="003A772E"/>
    <w:rsid w:val="003A77F5"/>
    <w:rsid w:val="003A788C"/>
    <w:rsid w:val="003A7A52"/>
    <w:rsid w:val="003A7AB6"/>
    <w:rsid w:val="003A7ACF"/>
    <w:rsid w:val="003A7B05"/>
    <w:rsid w:val="003A7BB3"/>
    <w:rsid w:val="003A7BC9"/>
    <w:rsid w:val="003B0066"/>
    <w:rsid w:val="003B00C0"/>
    <w:rsid w:val="003B0119"/>
    <w:rsid w:val="003B0240"/>
    <w:rsid w:val="003B032B"/>
    <w:rsid w:val="003B0361"/>
    <w:rsid w:val="003B05D3"/>
    <w:rsid w:val="003B0665"/>
    <w:rsid w:val="003B06C0"/>
    <w:rsid w:val="003B086F"/>
    <w:rsid w:val="003B09F7"/>
    <w:rsid w:val="003B0B6C"/>
    <w:rsid w:val="003B0BDA"/>
    <w:rsid w:val="003B0C0E"/>
    <w:rsid w:val="003B0EB7"/>
    <w:rsid w:val="003B0F35"/>
    <w:rsid w:val="003B0FD5"/>
    <w:rsid w:val="003B1046"/>
    <w:rsid w:val="003B10BD"/>
    <w:rsid w:val="003B10CF"/>
    <w:rsid w:val="003B118A"/>
    <w:rsid w:val="003B142C"/>
    <w:rsid w:val="003B15AC"/>
    <w:rsid w:val="003B181B"/>
    <w:rsid w:val="003B188D"/>
    <w:rsid w:val="003B189F"/>
    <w:rsid w:val="003B1CDB"/>
    <w:rsid w:val="003B1E3C"/>
    <w:rsid w:val="003B1F10"/>
    <w:rsid w:val="003B2015"/>
    <w:rsid w:val="003B20DB"/>
    <w:rsid w:val="003B213A"/>
    <w:rsid w:val="003B2144"/>
    <w:rsid w:val="003B21DA"/>
    <w:rsid w:val="003B23BD"/>
    <w:rsid w:val="003B25D7"/>
    <w:rsid w:val="003B2688"/>
    <w:rsid w:val="003B2920"/>
    <w:rsid w:val="003B2C34"/>
    <w:rsid w:val="003B2FA1"/>
    <w:rsid w:val="003B3212"/>
    <w:rsid w:val="003B32DA"/>
    <w:rsid w:val="003B33C1"/>
    <w:rsid w:val="003B3557"/>
    <w:rsid w:val="003B3680"/>
    <w:rsid w:val="003B37A6"/>
    <w:rsid w:val="003B3851"/>
    <w:rsid w:val="003B3966"/>
    <w:rsid w:val="003B39E8"/>
    <w:rsid w:val="003B3A11"/>
    <w:rsid w:val="003B3B55"/>
    <w:rsid w:val="003B3CF6"/>
    <w:rsid w:val="003B3DDE"/>
    <w:rsid w:val="003B3F79"/>
    <w:rsid w:val="003B3F89"/>
    <w:rsid w:val="003B4003"/>
    <w:rsid w:val="003B42CE"/>
    <w:rsid w:val="003B44B2"/>
    <w:rsid w:val="003B4555"/>
    <w:rsid w:val="003B458A"/>
    <w:rsid w:val="003B464C"/>
    <w:rsid w:val="003B47BE"/>
    <w:rsid w:val="003B48D2"/>
    <w:rsid w:val="003B4955"/>
    <w:rsid w:val="003B4AA9"/>
    <w:rsid w:val="003B4B77"/>
    <w:rsid w:val="003B4BF0"/>
    <w:rsid w:val="003B4C29"/>
    <w:rsid w:val="003B4D75"/>
    <w:rsid w:val="003B50BD"/>
    <w:rsid w:val="003B553E"/>
    <w:rsid w:val="003B5753"/>
    <w:rsid w:val="003B5801"/>
    <w:rsid w:val="003B5896"/>
    <w:rsid w:val="003B5952"/>
    <w:rsid w:val="003B5963"/>
    <w:rsid w:val="003B5A98"/>
    <w:rsid w:val="003B5D8A"/>
    <w:rsid w:val="003B6033"/>
    <w:rsid w:val="003B6164"/>
    <w:rsid w:val="003B6230"/>
    <w:rsid w:val="003B63EF"/>
    <w:rsid w:val="003B65B7"/>
    <w:rsid w:val="003B65C3"/>
    <w:rsid w:val="003B6844"/>
    <w:rsid w:val="003B6897"/>
    <w:rsid w:val="003B6922"/>
    <w:rsid w:val="003B6A15"/>
    <w:rsid w:val="003B6C44"/>
    <w:rsid w:val="003B6D1F"/>
    <w:rsid w:val="003B6F8A"/>
    <w:rsid w:val="003B7083"/>
    <w:rsid w:val="003B767A"/>
    <w:rsid w:val="003B784E"/>
    <w:rsid w:val="003B79AE"/>
    <w:rsid w:val="003B7E26"/>
    <w:rsid w:val="003B7EAC"/>
    <w:rsid w:val="003B7F8B"/>
    <w:rsid w:val="003C011C"/>
    <w:rsid w:val="003C01B1"/>
    <w:rsid w:val="003C01D8"/>
    <w:rsid w:val="003C02CD"/>
    <w:rsid w:val="003C02E9"/>
    <w:rsid w:val="003C0326"/>
    <w:rsid w:val="003C0333"/>
    <w:rsid w:val="003C0410"/>
    <w:rsid w:val="003C0895"/>
    <w:rsid w:val="003C08EB"/>
    <w:rsid w:val="003C0913"/>
    <w:rsid w:val="003C0A30"/>
    <w:rsid w:val="003C0C05"/>
    <w:rsid w:val="003C0C62"/>
    <w:rsid w:val="003C127A"/>
    <w:rsid w:val="003C1375"/>
    <w:rsid w:val="003C1387"/>
    <w:rsid w:val="003C14AC"/>
    <w:rsid w:val="003C18F7"/>
    <w:rsid w:val="003C1A06"/>
    <w:rsid w:val="003C1B09"/>
    <w:rsid w:val="003C1B50"/>
    <w:rsid w:val="003C1CD2"/>
    <w:rsid w:val="003C1D3A"/>
    <w:rsid w:val="003C1D73"/>
    <w:rsid w:val="003C1E1F"/>
    <w:rsid w:val="003C1E5E"/>
    <w:rsid w:val="003C1F5A"/>
    <w:rsid w:val="003C21B2"/>
    <w:rsid w:val="003C23A5"/>
    <w:rsid w:val="003C24E2"/>
    <w:rsid w:val="003C2683"/>
    <w:rsid w:val="003C270B"/>
    <w:rsid w:val="003C27EE"/>
    <w:rsid w:val="003C28D5"/>
    <w:rsid w:val="003C2A87"/>
    <w:rsid w:val="003C2AD6"/>
    <w:rsid w:val="003C2B17"/>
    <w:rsid w:val="003C2BCF"/>
    <w:rsid w:val="003C2BD1"/>
    <w:rsid w:val="003C2D19"/>
    <w:rsid w:val="003C3156"/>
    <w:rsid w:val="003C32F7"/>
    <w:rsid w:val="003C3525"/>
    <w:rsid w:val="003C3572"/>
    <w:rsid w:val="003C3644"/>
    <w:rsid w:val="003C36BC"/>
    <w:rsid w:val="003C3991"/>
    <w:rsid w:val="003C3B0C"/>
    <w:rsid w:val="003C3BBE"/>
    <w:rsid w:val="003C3DED"/>
    <w:rsid w:val="003C3E0F"/>
    <w:rsid w:val="003C3F64"/>
    <w:rsid w:val="003C4125"/>
    <w:rsid w:val="003C41E1"/>
    <w:rsid w:val="003C438C"/>
    <w:rsid w:val="003C4442"/>
    <w:rsid w:val="003C44AD"/>
    <w:rsid w:val="003C4535"/>
    <w:rsid w:val="003C4652"/>
    <w:rsid w:val="003C49F9"/>
    <w:rsid w:val="003C4A39"/>
    <w:rsid w:val="003C4B36"/>
    <w:rsid w:val="003C4B98"/>
    <w:rsid w:val="003C4BB3"/>
    <w:rsid w:val="003C4C4A"/>
    <w:rsid w:val="003C4D53"/>
    <w:rsid w:val="003C5081"/>
    <w:rsid w:val="003C50AA"/>
    <w:rsid w:val="003C50B2"/>
    <w:rsid w:val="003C5178"/>
    <w:rsid w:val="003C51C7"/>
    <w:rsid w:val="003C5373"/>
    <w:rsid w:val="003C5612"/>
    <w:rsid w:val="003C5680"/>
    <w:rsid w:val="003C56AB"/>
    <w:rsid w:val="003C5735"/>
    <w:rsid w:val="003C597C"/>
    <w:rsid w:val="003C59CE"/>
    <w:rsid w:val="003C5B16"/>
    <w:rsid w:val="003C5B32"/>
    <w:rsid w:val="003C5B61"/>
    <w:rsid w:val="003C5B97"/>
    <w:rsid w:val="003C5BD7"/>
    <w:rsid w:val="003C5C29"/>
    <w:rsid w:val="003C5D1C"/>
    <w:rsid w:val="003C5E13"/>
    <w:rsid w:val="003C5E1D"/>
    <w:rsid w:val="003C5EBE"/>
    <w:rsid w:val="003C5F06"/>
    <w:rsid w:val="003C5FC2"/>
    <w:rsid w:val="003C5FEA"/>
    <w:rsid w:val="003C60E4"/>
    <w:rsid w:val="003C60F9"/>
    <w:rsid w:val="003C61BA"/>
    <w:rsid w:val="003C6353"/>
    <w:rsid w:val="003C65F1"/>
    <w:rsid w:val="003C6694"/>
    <w:rsid w:val="003C67A4"/>
    <w:rsid w:val="003C686F"/>
    <w:rsid w:val="003C6987"/>
    <w:rsid w:val="003C69BD"/>
    <w:rsid w:val="003C6B90"/>
    <w:rsid w:val="003C6CBF"/>
    <w:rsid w:val="003C6DC4"/>
    <w:rsid w:val="003C6EE8"/>
    <w:rsid w:val="003C7026"/>
    <w:rsid w:val="003C7129"/>
    <w:rsid w:val="003C7321"/>
    <w:rsid w:val="003C73DA"/>
    <w:rsid w:val="003C7439"/>
    <w:rsid w:val="003C76B1"/>
    <w:rsid w:val="003C76C3"/>
    <w:rsid w:val="003C775A"/>
    <w:rsid w:val="003C7B3A"/>
    <w:rsid w:val="003C7BA6"/>
    <w:rsid w:val="003C7E7C"/>
    <w:rsid w:val="003C7E9D"/>
    <w:rsid w:val="003C7F1C"/>
    <w:rsid w:val="003C7F53"/>
    <w:rsid w:val="003D003F"/>
    <w:rsid w:val="003D00C7"/>
    <w:rsid w:val="003D031B"/>
    <w:rsid w:val="003D052A"/>
    <w:rsid w:val="003D065D"/>
    <w:rsid w:val="003D0828"/>
    <w:rsid w:val="003D08CD"/>
    <w:rsid w:val="003D08D4"/>
    <w:rsid w:val="003D0989"/>
    <w:rsid w:val="003D0CFF"/>
    <w:rsid w:val="003D0E28"/>
    <w:rsid w:val="003D0EE0"/>
    <w:rsid w:val="003D1183"/>
    <w:rsid w:val="003D1301"/>
    <w:rsid w:val="003D1440"/>
    <w:rsid w:val="003D14CC"/>
    <w:rsid w:val="003D1514"/>
    <w:rsid w:val="003D18AD"/>
    <w:rsid w:val="003D191B"/>
    <w:rsid w:val="003D1B86"/>
    <w:rsid w:val="003D1BEA"/>
    <w:rsid w:val="003D1CCA"/>
    <w:rsid w:val="003D1F8D"/>
    <w:rsid w:val="003D1F96"/>
    <w:rsid w:val="003D2011"/>
    <w:rsid w:val="003D2055"/>
    <w:rsid w:val="003D20F4"/>
    <w:rsid w:val="003D21ED"/>
    <w:rsid w:val="003D221A"/>
    <w:rsid w:val="003D2432"/>
    <w:rsid w:val="003D248B"/>
    <w:rsid w:val="003D252C"/>
    <w:rsid w:val="003D2601"/>
    <w:rsid w:val="003D26AD"/>
    <w:rsid w:val="003D26D9"/>
    <w:rsid w:val="003D29B6"/>
    <w:rsid w:val="003D2C2A"/>
    <w:rsid w:val="003D2CE4"/>
    <w:rsid w:val="003D3186"/>
    <w:rsid w:val="003D32BF"/>
    <w:rsid w:val="003D32CA"/>
    <w:rsid w:val="003D33DB"/>
    <w:rsid w:val="003D34CC"/>
    <w:rsid w:val="003D35A3"/>
    <w:rsid w:val="003D36EB"/>
    <w:rsid w:val="003D36F1"/>
    <w:rsid w:val="003D36FB"/>
    <w:rsid w:val="003D3992"/>
    <w:rsid w:val="003D3B80"/>
    <w:rsid w:val="003D3BA1"/>
    <w:rsid w:val="003D3D63"/>
    <w:rsid w:val="003D3EDD"/>
    <w:rsid w:val="003D3EE2"/>
    <w:rsid w:val="003D3EF4"/>
    <w:rsid w:val="003D404E"/>
    <w:rsid w:val="003D42A9"/>
    <w:rsid w:val="003D42AA"/>
    <w:rsid w:val="003D451D"/>
    <w:rsid w:val="003D4586"/>
    <w:rsid w:val="003D477B"/>
    <w:rsid w:val="003D4B03"/>
    <w:rsid w:val="003D4B53"/>
    <w:rsid w:val="003D4B6E"/>
    <w:rsid w:val="003D4C19"/>
    <w:rsid w:val="003D4C60"/>
    <w:rsid w:val="003D4CA3"/>
    <w:rsid w:val="003D4CA7"/>
    <w:rsid w:val="003D4D67"/>
    <w:rsid w:val="003D4EC1"/>
    <w:rsid w:val="003D5074"/>
    <w:rsid w:val="003D5199"/>
    <w:rsid w:val="003D5379"/>
    <w:rsid w:val="003D53A2"/>
    <w:rsid w:val="003D5491"/>
    <w:rsid w:val="003D55FE"/>
    <w:rsid w:val="003D5737"/>
    <w:rsid w:val="003D5755"/>
    <w:rsid w:val="003D580B"/>
    <w:rsid w:val="003D5A26"/>
    <w:rsid w:val="003D5A44"/>
    <w:rsid w:val="003D5BAF"/>
    <w:rsid w:val="003D5D09"/>
    <w:rsid w:val="003D5D30"/>
    <w:rsid w:val="003D5DBA"/>
    <w:rsid w:val="003D5E60"/>
    <w:rsid w:val="003D5ED5"/>
    <w:rsid w:val="003D5F67"/>
    <w:rsid w:val="003D5F87"/>
    <w:rsid w:val="003D6046"/>
    <w:rsid w:val="003D60E4"/>
    <w:rsid w:val="003D6573"/>
    <w:rsid w:val="003D6575"/>
    <w:rsid w:val="003D6740"/>
    <w:rsid w:val="003D67F4"/>
    <w:rsid w:val="003D68DB"/>
    <w:rsid w:val="003D68EC"/>
    <w:rsid w:val="003D6AFF"/>
    <w:rsid w:val="003D6DA8"/>
    <w:rsid w:val="003D6F24"/>
    <w:rsid w:val="003D70A9"/>
    <w:rsid w:val="003D7121"/>
    <w:rsid w:val="003D7228"/>
    <w:rsid w:val="003D745E"/>
    <w:rsid w:val="003D75A1"/>
    <w:rsid w:val="003D7870"/>
    <w:rsid w:val="003D7948"/>
    <w:rsid w:val="003D7A58"/>
    <w:rsid w:val="003D7B58"/>
    <w:rsid w:val="003D7B9D"/>
    <w:rsid w:val="003D7BC8"/>
    <w:rsid w:val="003D7BCA"/>
    <w:rsid w:val="003D7BD8"/>
    <w:rsid w:val="003D7F03"/>
    <w:rsid w:val="003E0132"/>
    <w:rsid w:val="003E0578"/>
    <w:rsid w:val="003E06A5"/>
    <w:rsid w:val="003E06C7"/>
    <w:rsid w:val="003E07E1"/>
    <w:rsid w:val="003E0826"/>
    <w:rsid w:val="003E0864"/>
    <w:rsid w:val="003E08E6"/>
    <w:rsid w:val="003E09C5"/>
    <w:rsid w:val="003E09F0"/>
    <w:rsid w:val="003E0B5C"/>
    <w:rsid w:val="003E0B70"/>
    <w:rsid w:val="003E0CF7"/>
    <w:rsid w:val="003E0D7C"/>
    <w:rsid w:val="003E0DFA"/>
    <w:rsid w:val="003E0EE4"/>
    <w:rsid w:val="003E10CA"/>
    <w:rsid w:val="003E135B"/>
    <w:rsid w:val="003E148C"/>
    <w:rsid w:val="003E1600"/>
    <w:rsid w:val="003E1700"/>
    <w:rsid w:val="003E17B2"/>
    <w:rsid w:val="003E184F"/>
    <w:rsid w:val="003E18C5"/>
    <w:rsid w:val="003E1A6E"/>
    <w:rsid w:val="003E1B4B"/>
    <w:rsid w:val="003E1BD2"/>
    <w:rsid w:val="003E1BDA"/>
    <w:rsid w:val="003E1CD4"/>
    <w:rsid w:val="003E1D79"/>
    <w:rsid w:val="003E20FD"/>
    <w:rsid w:val="003E212A"/>
    <w:rsid w:val="003E2209"/>
    <w:rsid w:val="003E2A38"/>
    <w:rsid w:val="003E2BAD"/>
    <w:rsid w:val="003E2C62"/>
    <w:rsid w:val="003E2D90"/>
    <w:rsid w:val="003E2E2A"/>
    <w:rsid w:val="003E332F"/>
    <w:rsid w:val="003E343A"/>
    <w:rsid w:val="003E3B18"/>
    <w:rsid w:val="003E3C08"/>
    <w:rsid w:val="003E3DCF"/>
    <w:rsid w:val="003E4220"/>
    <w:rsid w:val="003E42CB"/>
    <w:rsid w:val="003E42DE"/>
    <w:rsid w:val="003E4377"/>
    <w:rsid w:val="003E45C6"/>
    <w:rsid w:val="003E4786"/>
    <w:rsid w:val="003E47AD"/>
    <w:rsid w:val="003E4920"/>
    <w:rsid w:val="003E4964"/>
    <w:rsid w:val="003E4C15"/>
    <w:rsid w:val="003E4EAC"/>
    <w:rsid w:val="003E51D5"/>
    <w:rsid w:val="003E52BA"/>
    <w:rsid w:val="003E531C"/>
    <w:rsid w:val="003E533B"/>
    <w:rsid w:val="003E5360"/>
    <w:rsid w:val="003E5400"/>
    <w:rsid w:val="003E55AF"/>
    <w:rsid w:val="003E5601"/>
    <w:rsid w:val="003E56D9"/>
    <w:rsid w:val="003E5788"/>
    <w:rsid w:val="003E582B"/>
    <w:rsid w:val="003E594E"/>
    <w:rsid w:val="003E59CD"/>
    <w:rsid w:val="003E5A4E"/>
    <w:rsid w:val="003E5B24"/>
    <w:rsid w:val="003E5CD0"/>
    <w:rsid w:val="003E5D1A"/>
    <w:rsid w:val="003E6085"/>
    <w:rsid w:val="003E6277"/>
    <w:rsid w:val="003E62D0"/>
    <w:rsid w:val="003E67CD"/>
    <w:rsid w:val="003E6827"/>
    <w:rsid w:val="003E684A"/>
    <w:rsid w:val="003E699B"/>
    <w:rsid w:val="003E6A28"/>
    <w:rsid w:val="003E6D17"/>
    <w:rsid w:val="003E6FC7"/>
    <w:rsid w:val="003E72E8"/>
    <w:rsid w:val="003E72EA"/>
    <w:rsid w:val="003E7315"/>
    <w:rsid w:val="003E7520"/>
    <w:rsid w:val="003E752E"/>
    <w:rsid w:val="003E755D"/>
    <w:rsid w:val="003E758F"/>
    <w:rsid w:val="003E761D"/>
    <w:rsid w:val="003E7693"/>
    <w:rsid w:val="003E77FD"/>
    <w:rsid w:val="003E7914"/>
    <w:rsid w:val="003E791F"/>
    <w:rsid w:val="003E7A0C"/>
    <w:rsid w:val="003E7B7C"/>
    <w:rsid w:val="003E7CD2"/>
    <w:rsid w:val="003E7DFF"/>
    <w:rsid w:val="003E7E85"/>
    <w:rsid w:val="003F00FC"/>
    <w:rsid w:val="003F019C"/>
    <w:rsid w:val="003F02AB"/>
    <w:rsid w:val="003F04D0"/>
    <w:rsid w:val="003F073C"/>
    <w:rsid w:val="003F08F8"/>
    <w:rsid w:val="003F0A62"/>
    <w:rsid w:val="003F0C1A"/>
    <w:rsid w:val="003F0C5E"/>
    <w:rsid w:val="003F0E32"/>
    <w:rsid w:val="003F112A"/>
    <w:rsid w:val="003F116B"/>
    <w:rsid w:val="003F11D4"/>
    <w:rsid w:val="003F143A"/>
    <w:rsid w:val="003F1516"/>
    <w:rsid w:val="003F1844"/>
    <w:rsid w:val="003F1A1E"/>
    <w:rsid w:val="003F1C59"/>
    <w:rsid w:val="003F1E9D"/>
    <w:rsid w:val="003F1F7F"/>
    <w:rsid w:val="003F2077"/>
    <w:rsid w:val="003F219C"/>
    <w:rsid w:val="003F22E1"/>
    <w:rsid w:val="003F22EC"/>
    <w:rsid w:val="003F2345"/>
    <w:rsid w:val="003F23BC"/>
    <w:rsid w:val="003F23D0"/>
    <w:rsid w:val="003F244A"/>
    <w:rsid w:val="003F24BE"/>
    <w:rsid w:val="003F24C0"/>
    <w:rsid w:val="003F2750"/>
    <w:rsid w:val="003F2792"/>
    <w:rsid w:val="003F2883"/>
    <w:rsid w:val="003F2A3E"/>
    <w:rsid w:val="003F2ADB"/>
    <w:rsid w:val="003F2B2F"/>
    <w:rsid w:val="003F2B6C"/>
    <w:rsid w:val="003F2B9C"/>
    <w:rsid w:val="003F2BF2"/>
    <w:rsid w:val="003F2C57"/>
    <w:rsid w:val="003F2C5E"/>
    <w:rsid w:val="003F2C87"/>
    <w:rsid w:val="003F2CCD"/>
    <w:rsid w:val="003F2FD4"/>
    <w:rsid w:val="003F313E"/>
    <w:rsid w:val="003F3146"/>
    <w:rsid w:val="003F314A"/>
    <w:rsid w:val="003F3368"/>
    <w:rsid w:val="003F350A"/>
    <w:rsid w:val="003F3534"/>
    <w:rsid w:val="003F35F8"/>
    <w:rsid w:val="003F3643"/>
    <w:rsid w:val="003F37BE"/>
    <w:rsid w:val="003F382A"/>
    <w:rsid w:val="003F38B8"/>
    <w:rsid w:val="003F38CA"/>
    <w:rsid w:val="003F3A5C"/>
    <w:rsid w:val="003F3B02"/>
    <w:rsid w:val="003F3C5C"/>
    <w:rsid w:val="003F3CAA"/>
    <w:rsid w:val="003F3D8E"/>
    <w:rsid w:val="003F3EBA"/>
    <w:rsid w:val="003F3EC1"/>
    <w:rsid w:val="003F4168"/>
    <w:rsid w:val="003F42BB"/>
    <w:rsid w:val="003F42D9"/>
    <w:rsid w:val="003F4579"/>
    <w:rsid w:val="003F461A"/>
    <w:rsid w:val="003F46C7"/>
    <w:rsid w:val="003F4723"/>
    <w:rsid w:val="003F48B1"/>
    <w:rsid w:val="003F492F"/>
    <w:rsid w:val="003F4BE2"/>
    <w:rsid w:val="003F4E35"/>
    <w:rsid w:val="003F4EFC"/>
    <w:rsid w:val="003F4F42"/>
    <w:rsid w:val="003F5171"/>
    <w:rsid w:val="003F51E5"/>
    <w:rsid w:val="003F5276"/>
    <w:rsid w:val="003F5286"/>
    <w:rsid w:val="003F529B"/>
    <w:rsid w:val="003F52EB"/>
    <w:rsid w:val="003F5328"/>
    <w:rsid w:val="003F53AF"/>
    <w:rsid w:val="003F53CD"/>
    <w:rsid w:val="003F54CF"/>
    <w:rsid w:val="003F559B"/>
    <w:rsid w:val="003F56DB"/>
    <w:rsid w:val="003F5760"/>
    <w:rsid w:val="003F5DAC"/>
    <w:rsid w:val="003F5DDF"/>
    <w:rsid w:val="003F5DEA"/>
    <w:rsid w:val="003F5E98"/>
    <w:rsid w:val="003F5EA2"/>
    <w:rsid w:val="003F5F19"/>
    <w:rsid w:val="003F6104"/>
    <w:rsid w:val="003F6159"/>
    <w:rsid w:val="003F6409"/>
    <w:rsid w:val="003F64C8"/>
    <w:rsid w:val="003F662C"/>
    <w:rsid w:val="003F66C1"/>
    <w:rsid w:val="003F683F"/>
    <w:rsid w:val="003F68E5"/>
    <w:rsid w:val="003F6DC4"/>
    <w:rsid w:val="003F6DEB"/>
    <w:rsid w:val="003F6F47"/>
    <w:rsid w:val="003F71CD"/>
    <w:rsid w:val="003F71D5"/>
    <w:rsid w:val="003F72E8"/>
    <w:rsid w:val="003F7314"/>
    <w:rsid w:val="003F73F2"/>
    <w:rsid w:val="003F7453"/>
    <w:rsid w:val="003F75CD"/>
    <w:rsid w:val="003F7AB1"/>
    <w:rsid w:val="003F7BE0"/>
    <w:rsid w:val="003F7D14"/>
    <w:rsid w:val="003F7EB5"/>
    <w:rsid w:val="003F7F44"/>
    <w:rsid w:val="00400143"/>
    <w:rsid w:val="00400287"/>
    <w:rsid w:val="00400414"/>
    <w:rsid w:val="00400701"/>
    <w:rsid w:val="004007B4"/>
    <w:rsid w:val="004008C7"/>
    <w:rsid w:val="00400941"/>
    <w:rsid w:val="004009D5"/>
    <w:rsid w:val="00400A8E"/>
    <w:rsid w:val="00400B58"/>
    <w:rsid w:val="00400BD6"/>
    <w:rsid w:val="00400DBF"/>
    <w:rsid w:val="004012BC"/>
    <w:rsid w:val="004012EE"/>
    <w:rsid w:val="00401314"/>
    <w:rsid w:val="00401342"/>
    <w:rsid w:val="004013D8"/>
    <w:rsid w:val="004014AC"/>
    <w:rsid w:val="004014EE"/>
    <w:rsid w:val="004015BB"/>
    <w:rsid w:val="004015F1"/>
    <w:rsid w:val="004016E1"/>
    <w:rsid w:val="0040173F"/>
    <w:rsid w:val="004017FD"/>
    <w:rsid w:val="0040183E"/>
    <w:rsid w:val="00401938"/>
    <w:rsid w:val="004019F7"/>
    <w:rsid w:val="00401ACD"/>
    <w:rsid w:val="00401B88"/>
    <w:rsid w:val="00401CA6"/>
    <w:rsid w:val="00401D41"/>
    <w:rsid w:val="00401E0E"/>
    <w:rsid w:val="00401EB2"/>
    <w:rsid w:val="00401F81"/>
    <w:rsid w:val="0040222D"/>
    <w:rsid w:val="00402246"/>
    <w:rsid w:val="004022C2"/>
    <w:rsid w:val="004023D2"/>
    <w:rsid w:val="00402602"/>
    <w:rsid w:val="00402655"/>
    <w:rsid w:val="00402758"/>
    <w:rsid w:val="00402865"/>
    <w:rsid w:val="00402A93"/>
    <w:rsid w:val="00402B36"/>
    <w:rsid w:val="00402DBB"/>
    <w:rsid w:val="00402E01"/>
    <w:rsid w:val="00402E14"/>
    <w:rsid w:val="00402F8C"/>
    <w:rsid w:val="0040306C"/>
    <w:rsid w:val="00403102"/>
    <w:rsid w:val="004031BF"/>
    <w:rsid w:val="004032AA"/>
    <w:rsid w:val="0040341C"/>
    <w:rsid w:val="004034B4"/>
    <w:rsid w:val="00403561"/>
    <w:rsid w:val="004036F8"/>
    <w:rsid w:val="00403743"/>
    <w:rsid w:val="004038F0"/>
    <w:rsid w:val="0040394F"/>
    <w:rsid w:val="00403990"/>
    <w:rsid w:val="004039D7"/>
    <w:rsid w:val="00403A73"/>
    <w:rsid w:val="00403BB7"/>
    <w:rsid w:val="00403BD1"/>
    <w:rsid w:val="00403BF6"/>
    <w:rsid w:val="00403C06"/>
    <w:rsid w:val="00403C74"/>
    <w:rsid w:val="00403D70"/>
    <w:rsid w:val="00403DC1"/>
    <w:rsid w:val="00403EE4"/>
    <w:rsid w:val="004040B9"/>
    <w:rsid w:val="00404111"/>
    <w:rsid w:val="00404219"/>
    <w:rsid w:val="00404400"/>
    <w:rsid w:val="004044D8"/>
    <w:rsid w:val="004044FF"/>
    <w:rsid w:val="00404822"/>
    <w:rsid w:val="004048E1"/>
    <w:rsid w:val="00404988"/>
    <w:rsid w:val="00404AA7"/>
    <w:rsid w:val="00404B38"/>
    <w:rsid w:val="00404CCF"/>
    <w:rsid w:val="00404CE9"/>
    <w:rsid w:val="00404E81"/>
    <w:rsid w:val="00404E9B"/>
    <w:rsid w:val="00404FEC"/>
    <w:rsid w:val="00404FFF"/>
    <w:rsid w:val="00405081"/>
    <w:rsid w:val="004050FD"/>
    <w:rsid w:val="00405348"/>
    <w:rsid w:val="004053C4"/>
    <w:rsid w:val="00405402"/>
    <w:rsid w:val="00405571"/>
    <w:rsid w:val="004055C6"/>
    <w:rsid w:val="004056F1"/>
    <w:rsid w:val="00405707"/>
    <w:rsid w:val="0040578A"/>
    <w:rsid w:val="004057A6"/>
    <w:rsid w:val="004058D5"/>
    <w:rsid w:val="00405A70"/>
    <w:rsid w:val="00405C2E"/>
    <w:rsid w:val="00405C59"/>
    <w:rsid w:val="00405DCF"/>
    <w:rsid w:val="00405EC0"/>
    <w:rsid w:val="00405F52"/>
    <w:rsid w:val="00406013"/>
    <w:rsid w:val="004063B7"/>
    <w:rsid w:val="00406636"/>
    <w:rsid w:val="004066B2"/>
    <w:rsid w:val="00406905"/>
    <w:rsid w:val="00406B63"/>
    <w:rsid w:val="00406B9C"/>
    <w:rsid w:val="00406BEC"/>
    <w:rsid w:val="00406C29"/>
    <w:rsid w:val="00406C91"/>
    <w:rsid w:val="00406CE1"/>
    <w:rsid w:val="00406CF8"/>
    <w:rsid w:val="00406F85"/>
    <w:rsid w:val="0040716E"/>
    <w:rsid w:val="0040719F"/>
    <w:rsid w:val="0040729C"/>
    <w:rsid w:val="0040743C"/>
    <w:rsid w:val="00407472"/>
    <w:rsid w:val="004075B8"/>
    <w:rsid w:val="004078A4"/>
    <w:rsid w:val="004078E0"/>
    <w:rsid w:val="004078F5"/>
    <w:rsid w:val="00407991"/>
    <w:rsid w:val="004079E3"/>
    <w:rsid w:val="00407A08"/>
    <w:rsid w:val="00407A4A"/>
    <w:rsid w:val="00407B55"/>
    <w:rsid w:val="004101E4"/>
    <w:rsid w:val="004101FA"/>
    <w:rsid w:val="004102FF"/>
    <w:rsid w:val="004103AA"/>
    <w:rsid w:val="004106F6"/>
    <w:rsid w:val="004107A3"/>
    <w:rsid w:val="004107B6"/>
    <w:rsid w:val="004107EA"/>
    <w:rsid w:val="004108D8"/>
    <w:rsid w:val="00410A06"/>
    <w:rsid w:val="00410A73"/>
    <w:rsid w:val="00410CDF"/>
    <w:rsid w:val="00410DB2"/>
    <w:rsid w:val="00410E2C"/>
    <w:rsid w:val="00411037"/>
    <w:rsid w:val="0041115F"/>
    <w:rsid w:val="00411180"/>
    <w:rsid w:val="00411292"/>
    <w:rsid w:val="0041146E"/>
    <w:rsid w:val="0041163F"/>
    <w:rsid w:val="0041180D"/>
    <w:rsid w:val="0041183B"/>
    <w:rsid w:val="00411AF6"/>
    <w:rsid w:val="00411B09"/>
    <w:rsid w:val="00411BFC"/>
    <w:rsid w:val="00411CC9"/>
    <w:rsid w:val="00411D45"/>
    <w:rsid w:val="00412159"/>
    <w:rsid w:val="00412452"/>
    <w:rsid w:val="00412586"/>
    <w:rsid w:val="00412854"/>
    <w:rsid w:val="00412901"/>
    <w:rsid w:val="00412A92"/>
    <w:rsid w:val="00412C18"/>
    <w:rsid w:val="00412D78"/>
    <w:rsid w:val="00412F03"/>
    <w:rsid w:val="0041309E"/>
    <w:rsid w:val="004131B5"/>
    <w:rsid w:val="00413249"/>
    <w:rsid w:val="00413262"/>
    <w:rsid w:val="004132A8"/>
    <w:rsid w:val="00413374"/>
    <w:rsid w:val="0041338E"/>
    <w:rsid w:val="004133AC"/>
    <w:rsid w:val="004133C7"/>
    <w:rsid w:val="004135FB"/>
    <w:rsid w:val="00413747"/>
    <w:rsid w:val="00413840"/>
    <w:rsid w:val="00413973"/>
    <w:rsid w:val="00413A6C"/>
    <w:rsid w:val="00413AAA"/>
    <w:rsid w:val="00413ADD"/>
    <w:rsid w:val="00413D75"/>
    <w:rsid w:val="00414011"/>
    <w:rsid w:val="004140A2"/>
    <w:rsid w:val="004140FC"/>
    <w:rsid w:val="0041431A"/>
    <w:rsid w:val="00414455"/>
    <w:rsid w:val="004144C7"/>
    <w:rsid w:val="004144FE"/>
    <w:rsid w:val="00414568"/>
    <w:rsid w:val="00414598"/>
    <w:rsid w:val="00414716"/>
    <w:rsid w:val="004147BC"/>
    <w:rsid w:val="00414BD7"/>
    <w:rsid w:val="00414CD4"/>
    <w:rsid w:val="00414F1B"/>
    <w:rsid w:val="00414F4A"/>
    <w:rsid w:val="00414F68"/>
    <w:rsid w:val="00414F7A"/>
    <w:rsid w:val="00414FA9"/>
    <w:rsid w:val="004153C5"/>
    <w:rsid w:val="0041545A"/>
    <w:rsid w:val="00415775"/>
    <w:rsid w:val="00415A46"/>
    <w:rsid w:val="00415AD2"/>
    <w:rsid w:val="00415B5C"/>
    <w:rsid w:val="00415BF0"/>
    <w:rsid w:val="00415D19"/>
    <w:rsid w:val="00415D24"/>
    <w:rsid w:val="00415E5F"/>
    <w:rsid w:val="00415FD5"/>
    <w:rsid w:val="00416008"/>
    <w:rsid w:val="0041600F"/>
    <w:rsid w:val="0041632F"/>
    <w:rsid w:val="00416425"/>
    <w:rsid w:val="0041659E"/>
    <w:rsid w:val="00416629"/>
    <w:rsid w:val="00416703"/>
    <w:rsid w:val="004167CF"/>
    <w:rsid w:val="00416851"/>
    <w:rsid w:val="004168A8"/>
    <w:rsid w:val="00416923"/>
    <w:rsid w:val="004169A8"/>
    <w:rsid w:val="00416A44"/>
    <w:rsid w:val="00416B79"/>
    <w:rsid w:val="00416B9A"/>
    <w:rsid w:val="00416BD2"/>
    <w:rsid w:val="00416BE8"/>
    <w:rsid w:val="00416BF4"/>
    <w:rsid w:val="00416CDE"/>
    <w:rsid w:val="00416D23"/>
    <w:rsid w:val="00416F2D"/>
    <w:rsid w:val="00417028"/>
    <w:rsid w:val="004170E7"/>
    <w:rsid w:val="00417111"/>
    <w:rsid w:val="00417115"/>
    <w:rsid w:val="004171EB"/>
    <w:rsid w:val="0041724A"/>
    <w:rsid w:val="0041727D"/>
    <w:rsid w:val="00417347"/>
    <w:rsid w:val="00417413"/>
    <w:rsid w:val="0041767F"/>
    <w:rsid w:val="00417708"/>
    <w:rsid w:val="00417772"/>
    <w:rsid w:val="004177DB"/>
    <w:rsid w:val="004177F8"/>
    <w:rsid w:val="0041780D"/>
    <w:rsid w:val="00417815"/>
    <w:rsid w:val="00417B1A"/>
    <w:rsid w:val="00417B30"/>
    <w:rsid w:val="00417C86"/>
    <w:rsid w:val="00417C8F"/>
    <w:rsid w:val="00417CF3"/>
    <w:rsid w:val="00417DA9"/>
    <w:rsid w:val="00417E1B"/>
    <w:rsid w:val="00417EDD"/>
    <w:rsid w:val="004200D9"/>
    <w:rsid w:val="004202B2"/>
    <w:rsid w:val="00420487"/>
    <w:rsid w:val="00420590"/>
    <w:rsid w:val="00420613"/>
    <w:rsid w:val="00420624"/>
    <w:rsid w:val="0042062A"/>
    <w:rsid w:val="0042073D"/>
    <w:rsid w:val="0042086F"/>
    <w:rsid w:val="004209C9"/>
    <w:rsid w:val="00420A05"/>
    <w:rsid w:val="00420AA3"/>
    <w:rsid w:val="00420E4F"/>
    <w:rsid w:val="00420EE6"/>
    <w:rsid w:val="00421014"/>
    <w:rsid w:val="004212D3"/>
    <w:rsid w:val="00421368"/>
    <w:rsid w:val="00421451"/>
    <w:rsid w:val="00421484"/>
    <w:rsid w:val="00421529"/>
    <w:rsid w:val="0042159A"/>
    <w:rsid w:val="004216C9"/>
    <w:rsid w:val="0042175A"/>
    <w:rsid w:val="00421798"/>
    <w:rsid w:val="004217FB"/>
    <w:rsid w:val="0042185C"/>
    <w:rsid w:val="00421CC6"/>
    <w:rsid w:val="00421DEC"/>
    <w:rsid w:val="00421DFA"/>
    <w:rsid w:val="00421E71"/>
    <w:rsid w:val="00421E7C"/>
    <w:rsid w:val="00421EAA"/>
    <w:rsid w:val="00421F82"/>
    <w:rsid w:val="0042214F"/>
    <w:rsid w:val="004224A1"/>
    <w:rsid w:val="004224F6"/>
    <w:rsid w:val="0042265D"/>
    <w:rsid w:val="0042266F"/>
    <w:rsid w:val="00422ACE"/>
    <w:rsid w:val="00422C6D"/>
    <w:rsid w:val="00422D20"/>
    <w:rsid w:val="00422F68"/>
    <w:rsid w:val="00422FFF"/>
    <w:rsid w:val="00423397"/>
    <w:rsid w:val="0042361B"/>
    <w:rsid w:val="0042378F"/>
    <w:rsid w:val="004239B5"/>
    <w:rsid w:val="00423A0B"/>
    <w:rsid w:val="00423A4D"/>
    <w:rsid w:val="00423A88"/>
    <w:rsid w:val="00423C0D"/>
    <w:rsid w:val="00423C2B"/>
    <w:rsid w:val="00423CCC"/>
    <w:rsid w:val="00423DE3"/>
    <w:rsid w:val="00423EE8"/>
    <w:rsid w:val="00423F45"/>
    <w:rsid w:val="00423FA6"/>
    <w:rsid w:val="004240CC"/>
    <w:rsid w:val="00424157"/>
    <w:rsid w:val="004241B0"/>
    <w:rsid w:val="004241E3"/>
    <w:rsid w:val="004241F5"/>
    <w:rsid w:val="004241FA"/>
    <w:rsid w:val="00424397"/>
    <w:rsid w:val="00424640"/>
    <w:rsid w:val="0042476C"/>
    <w:rsid w:val="00424821"/>
    <w:rsid w:val="004248D3"/>
    <w:rsid w:val="0042493E"/>
    <w:rsid w:val="004249E7"/>
    <w:rsid w:val="00424A79"/>
    <w:rsid w:val="00424B1E"/>
    <w:rsid w:val="00424CAD"/>
    <w:rsid w:val="00424CD1"/>
    <w:rsid w:val="00424DE4"/>
    <w:rsid w:val="00424E08"/>
    <w:rsid w:val="00424F80"/>
    <w:rsid w:val="00425062"/>
    <w:rsid w:val="004251D5"/>
    <w:rsid w:val="0042533B"/>
    <w:rsid w:val="004253A8"/>
    <w:rsid w:val="004254AE"/>
    <w:rsid w:val="004254F2"/>
    <w:rsid w:val="004255B5"/>
    <w:rsid w:val="004256A1"/>
    <w:rsid w:val="004257E5"/>
    <w:rsid w:val="00425A7C"/>
    <w:rsid w:val="00425CA2"/>
    <w:rsid w:val="00425CAE"/>
    <w:rsid w:val="00425D6E"/>
    <w:rsid w:val="00425F07"/>
    <w:rsid w:val="00426078"/>
    <w:rsid w:val="00426091"/>
    <w:rsid w:val="004260FD"/>
    <w:rsid w:val="00426136"/>
    <w:rsid w:val="004264A4"/>
    <w:rsid w:val="00426819"/>
    <w:rsid w:val="00426A8C"/>
    <w:rsid w:val="00426C3B"/>
    <w:rsid w:val="00426DC1"/>
    <w:rsid w:val="00426E7B"/>
    <w:rsid w:val="00426E9D"/>
    <w:rsid w:val="004272C3"/>
    <w:rsid w:val="004272CC"/>
    <w:rsid w:val="004274F7"/>
    <w:rsid w:val="0042753D"/>
    <w:rsid w:val="004275A2"/>
    <w:rsid w:val="0042767D"/>
    <w:rsid w:val="00427792"/>
    <w:rsid w:val="00427851"/>
    <w:rsid w:val="004278EF"/>
    <w:rsid w:val="004279D7"/>
    <w:rsid w:val="00427BFB"/>
    <w:rsid w:val="00427C75"/>
    <w:rsid w:val="00427E8F"/>
    <w:rsid w:val="00427F82"/>
    <w:rsid w:val="00427FAD"/>
    <w:rsid w:val="00430175"/>
    <w:rsid w:val="00430233"/>
    <w:rsid w:val="0043024B"/>
    <w:rsid w:val="0043027C"/>
    <w:rsid w:val="004303C5"/>
    <w:rsid w:val="0043042C"/>
    <w:rsid w:val="004304FF"/>
    <w:rsid w:val="00430A43"/>
    <w:rsid w:val="00430BE4"/>
    <w:rsid w:val="00430D94"/>
    <w:rsid w:val="00430DB9"/>
    <w:rsid w:val="00430DBB"/>
    <w:rsid w:val="00430E4C"/>
    <w:rsid w:val="00430E8A"/>
    <w:rsid w:val="00430EFC"/>
    <w:rsid w:val="00430F6E"/>
    <w:rsid w:val="00431155"/>
    <w:rsid w:val="004311FA"/>
    <w:rsid w:val="004315D3"/>
    <w:rsid w:val="004317B0"/>
    <w:rsid w:val="00431808"/>
    <w:rsid w:val="0043185D"/>
    <w:rsid w:val="004319BB"/>
    <w:rsid w:val="00431A04"/>
    <w:rsid w:val="00431A44"/>
    <w:rsid w:val="00431A4A"/>
    <w:rsid w:val="00431C5B"/>
    <w:rsid w:val="00431DEA"/>
    <w:rsid w:val="00431E12"/>
    <w:rsid w:val="00432255"/>
    <w:rsid w:val="004322EA"/>
    <w:rsid w:val="0043233A"/>
    <w:rsid w:val="0043244D"/>
    <w:rsid w:val="00432465"/>
    <w:rsid w:val="00432751"/>
    <w:rsid w:val="0043278A"/>
    <w:rsid w:val="0043287D"/>
    <w:rsid w:val="004328BB"/>
    <w:rsid w:val="004329AB"/>
    <w:rsid w:val="004329E8"/>
    <w:rsid w:val="00432A20"/>
    <w:rsid w:val="00432B5D"/>
    <w:rsid w:val="00432BD5"/>
    <w:rsid w:val="00432CF6"/>
    <w:rsid w:val="00432D5F"/>
    <w:rsid w:val="00432DEA"/>
    <w:rsid w:val="00432EB9"/>
    <w:rsid w:val="00432F1F"/>
    <w:rsid w:val="00433022"/>
    <w:rsid w:val="0043303B"/>
    <w:rsid w:val="004333AC"/>
    <w:rsid w:val="004335D0"/>
    <w:rsid w:val="0043368E"/>
    <w:rsid w:val="00433725"/>
    <w:rsid w:val="00433A03"/>
    <w:rsid w:val="00433A26"/>
    <w:rsid w:val="00433DA4"/>
    <w:rsid w:val="00433FAE"/>
    <w:rsid w:val="00433FB8"/>
    <w:rsid w:val="00434088"/>
    <w:rsid w:val="00434120"/>
    <w:rsid w:val="00434167"/>
    <w:rsid w:val="00434275"/>
    <w:rsid w:val="0043428B"/>
    <w:rsid w:val="00434430"/>
    <w:rsid w:val="0043448E"/>
    <w:rsid w:val="00434630"/>
    <w:rsid w:val="0043478F"/>
    <w:rsid w:val="004347A2"/>
    <w:rsid w:val="0043486B"/>
    <w:rsid w:val="00434AEF"/>
    <w:rsid w:val="00434C1F"/>
    <w:rsid w:val="00434C2B"/>
    <w:rsid w:val="00434C6D"/>
    <w:rsid w:val="00434D04"/>
    <w:rsid w:val="00434EFF"/>
    <w:rsid w:val="00434F07"/>
    <w:rsid w:val="004352AD"/>
    <w:rsid w:val="004352AE"/>
    <w:rsid w:val="004352C0"/>
    <w:rsid w:val="004352FD"/>
    <w:rsid w:val="004354C1"/>
    <w:rsid w:val="004355E6"/>
    <w:rsid w:val="0043561B"/>
    <w:rsid w:val="00435758"/>
    <w:rsid w:val="004357A2"/>
    <w:rsid w:val="004358BE"/>
    <w:rsid w:val="00435AA6"/>
    <w:rsid w:val="00435AEC"/>
    <w:rsid w:val="00435B88"/>
    <w:rsid w:val="00435C2F"/>
    <w:rsid w:val="00435D05"/>
    <w:rsid w:val="00435D0E"/>
    <w:rsid w:val="00436197"/>
    <w:rsid w:val="00436332"/>
    <w:rsid w:val="0043633D"/>
    <w:rsid w:val="00436689"/>
    <w:rsid w:val="00436788"/>
    <w:rsid w:val="0043683F"/>
    <w:rsid w:val="00436985"/>
    <w:rsid w:val="004369E5"/>
    <w:rsid w:val="00436C67"/>
    <w:rsid w:val="00436CB2"/>
    <w:rsid w:val="00436F1E"/>
    <w:rsid w:val="00436F20"/>
    <w:rsid w:val="00436F41"/>
    <w:rsid w:val="004371C0"/>
    <w:rsid w:val="004371F9"/>
    <w:rsid w:val="004373E0"/>
    <w:rsid w:val="0043758A"/>
    <w:rsid w:val="0043775B"/>
    <w:rsid w:val="004377A0"/>
    <w:rsid w:val="004377A6"/>
    <w:rsid w:val="00437A43"/>
    <w:rsid w:val="00437B72"/>
    <w:rsid w:val="00437BC5"/>
    <w:rsid w:val="00437EBE"/>
    <w:rsid w:val="00437FB8"/>
    <w:rsid w:val="00437FC2"/>
    <w:rsid w:val="00440126"/>
    <w:rsid w:val="0044016D"/>
    <w:rsid w:val="0044017F"/>
    <w:rsid w:val="004401C0"/>
    <w:rsid w:val="0044031A"/>
    <w:rsid w:val="0044034C"/>
    <w:rsid w:val="00440362"/>
    <w:rsid w:val="00440624"/>
    <w:rsid w:val="004406D4"/>
    <w:rsid w:val="0044072A"/>
    <w:rsid w:val="004407DD"/>
    <w:rsid w:val="0044091F"/>
    <w:rsid w:val="004409C3"/>
    <w:rsid w:val="004409E8"/>
    <w:rsid w:val="00440AE4"/>
    <w:rsid w:val="00440B3E"/>
    <w:rsid w:val="00440C53"/>
    <w:rsid w:val="00440D70"/>
    <w:rsid w:val="004410FB"/>
    <w:rsid w:val="00441151"/>
    <w:rsid w:val="0044117D"/>
    <w:rsid w:val="0044122C"/>
    <w:rsid w:val="00441329"/>
    <w:rsid w:val="00441636"/>
    <w:rsid w:val="00441690"/>
    <w:rsid w:val="00441A63"/>
    <w:rsid w:val="00441B0A"/>
    <w:rsid w:val="00441B39"/>
    <w:rsid w:val="00441C9D"/>
    <w:rsid w:val="00441DA7"/>
    <w:rsid w:val="00441DF0"/>
    <w:rsid w:val="00441E11"/>
    <w:rsid w:val="0044220C"/>
    <w:rsid w:val="0044228D"/>
    <w:rsid w:val="004425BC"/>
    <w:rsid w:val="00442603"/>
    <w:rsid w:val="00442848"/>
    <w:rsid w:val="004428E2"/>
    <w:rsid w:val="00442A20"/>
    <w:rsid w:val="00442A54"/>
    <w:rsid w:val="00442B33"/>
    <w:rsid w:val="00442B4A"/>
    <w:rsid w:val="00442C44"/>
    <w:rsid w:val="00442E1F"/>
    <w:rsid w:val="00442F77"/>
    <w:rsid w:val="0044308B"/>
    <w:rsid w:val="004431D7"/>
    <w:rsid w:val="00443247"/>
    <w:rsid w:val="004432F8"/>
    <w:rsid w:val="0044337A"/>
    <w:rsid w:val="00443446"/>
    <w:rsid w:val="004435A4"/>
    <w:rsid w:val="004435AF"/>
    <w:rsid w:val="004435EC"/>
    <w:rsid w:val="0044380B"/>
    <w:rsid w:val="00443B23"/>
    <w:rsid w:val="00443B44"/>
    <w:rsid w:val="00443BE0"/>
    <w:rsid w:val="00443C3B"/>
    <w:rsid w:val="00443D43"/>
    <w:rsid w:val="00443D56"/>
    <w:rsid w:val="00443DAA"/>
    <w:rsid w:val="00443E88"/>
    <w:rsid w:val="00443F1B"/>
    <w:rsid w:val="00443F39"/>
    <w:rsid w:val="0044402A"/>
    <w:rsid w:val="004441B5"/>
    <w:rsid w:val="004444B5"/>
    <w:rsid w:val="00444555"/>
    <w:rsid w:val="004446C5"/>
    <w:rsid w:val="004449C9"/>
    <w:rsid w:val="00444B3F"/>
    <w:rsid w:val="00444B97"/>
    <w:rsid w:val="00444D2E"/>
    <w:rsid w:val="00444DD9"/>
    <w:rsid w:val="00444E57"/>
    <w:rsid w:val="00445129"/>
    <w:rsid w:val="00445212"/>
    <w:rsid w:val="0044563E"/>
    <w:rsid w:val="004457FC"/>
    <w:rsid w:val="00445896"/>
    <w:rsid w:val="00445A99"/>
    <w:rsid w:val="00445AEB"/>
    <w:rsid w:val="00445BA7"/>
    <w:rsid w:val="00445D46"/>
    <w:rsid w:val="00445FD3"/>
    <w:rsid w:val="00446153"/>
    <w:rsid w:val="004461B2"/>
    <w:rsid w:val="004461E1"/>
    <w:rsid w:val="004461E9"/>
    <w:rsid w:val="004461FB"/>
    <w:rsid w:val="00446597"/>
    <w:rsid w:val="004465D6"/>
    <w:rsid w:val="00446602"/>
    <w:rsid w:val="004466A3"/>
    <w:rsid w:val="004466D5"/>
    <w:rsid w:val="004467D2"/>
    <w:rsid w:val="00446813"/>
    <w:rsid w:val="004468FC"/>
    <w:rsid w:val="00446919"/>
    <w:rsid w:val="004469A8"/>
    <w:rsid w:val="00446AE2"/>
    <w:rsid w:val="00446C04"/>
    <w:rsid w:val="00446E6C"/>
    <w:rsid w:val="00446E7B"/>
    <w:rsid w:val="00446F3F"/>
    <w:rsid w:val="00446FB4"/>
    <w:rsid w:val="004470F2"/>
    <w:rsid w:val="00447153"/>
    <w:rsid w:val="004471AE"/>
    <w:rsid w:val="004472B7"/>
    <w:rsid w:val="004472C0"/>
    <w:rsid w:val="0044732F"/>
    <w:rsid w:val="0044741C"/>
    <w:rsid w:val="004474A6"/>
    <w:rsid w:val="0044767E"/>
    <w:rsid w:val="00447796"/>
    <w:rsid w:val="00447A75"/>
    <w:rsid w:val="00447AE6"/>
    <w:rsid w:val="00447C3D"/>
    <w:rsid w:val="00447D36"/>
    <w:rsid w:val="00447E1D"/>
    <w:rsid w:val="00447E7F"/>
    <w:rsid w:val="00447F0D"/>
    <w:rsid w:val="00450018"/>
    <w:rsid w:val="0045013A"/>
    <w:rsid w:val="00450209"/>
    <w:rsid w:val="0045027E"/>
    <w:rsid w:val="0045032A"/>
    <w:rsid w:val="004505A4"/>
    <w:rsid w:val="0045067B"/>
    <w:rsid w:val="00450721"/>
    <w:rsid w:val="00450751"/>
    <w:rsid w:val="00450774"/>
    <w:rsid w:val="004507EB"/>
    <w:rsid w:val="00450811"/>
    <w:rsid w:val="004509A5"/>
    <w:rsid w:val="004509FF"/>
    <w:rsid w:val="00450A1B"/>
    <w:rsid w:val="00450ACB"/>
    <w:rsid w:val="00450AED"/>
    <w:rsid w:val="00450B15"/>
    <w:rsid w:val="00450B78"/>
    <w:rsid w:val="00450C87"/>
    <w:rsid w:val="00450CF5"/>
    <w:rsid w:val="00450D87"/>
    <w:rsid w:val="00450E29"/>
    <w:rsid w:val="00451061"/>
    <w:rsid w:val="00451068"/>
    <w:rsid w:val="004510B4"/>
    <w:rsid w:val="00451148"/>
    <w:rsid w:val="00451174"/>
    <w:rsid w:val="004511A4"/>
    <w:rsid w:val="004511E7"/>
    <w:rsid w:val="0045126D"/>
    <w:rsid w:val="004512F5"/>
    <w:rsid w:val="004513D3"/>
    <w:rsid w:val="0045149F"/>
    <w:rsid w:val="004514ED"/>
    <w:rsid w:val="004516F0"/>
    <w:rsid w:val="0045180F"/>
    <w:rsid w:val="00451810"/>
    <w:rsid w:val="0045184F"/>
    <w:rsid w:val="004519A7"/>
    <w:rsid w:val="00451BB7"/>
    <w:rsid w:val="00451DA6"/>
    <w:rsid w:val="00451EC9"/>
    <w:rsid w:val="00452135"/>
    <w:rsid w:val="004522A2"/>
    <w:rsid w:val="004522B7"/>
    <w:rsid w:val="00452526"/>
    <w:rsid w:val="00452539"/>
    <w:rsid w:val="00452617"/>
    <w:rsid w:val="004526B4"/>
    <w:rsid w:val="004526BF"/>
    <w:rsid w:val="00452788"/>
    <w:rsid w:val="004528A8"/>
    <w:rsid w:val="0045298A"/>
    <w:rsid w:val="00452C2F"/>
    <w:rsid w:val="00452F6E"/>
    <w:rsid w:val="00453016"/>
    <w:rsid w:val="00453247"/>
    <w:rsid w:val="004533DE"/>
    <w:rsid w:val="0045346C"/>
    <w:rsid w:val="00453561"/>
    <w:rsid w:val="00453805"/>
    <w:rsid w:val="00453A0A"/>
    <w:rsid w:val="00453B64"/>
    <w:rsid w:val="00453DF7"/>
    <w:rsid w:val="00453E12"/>
    <w:rsid w:val="0045400C"/>
    <w:rsid w:val="00454112"/>
    <w:rsid w:val="00454244"/>
    <w:rsid w:val="004543D3"/>
    <w:rsid w:val="004544B4"/>
    <w:rsid w:val="0045458C"/>
    <w:rsid w:val="00454685"/>
    <w:rsid w:val="004546F1"/>
    <w:rsid w:val="0045476F"/>
    <w:rsid w:val="00454776"/>
    <w:rsid w:val="00454834"/>
    <w:rsid w:val="00454860"/>
    <w:rsid w:val="0045498D"/>
    <w:rsid w:val="00454996"/>
    <w:rsid w:val="004549C9"/>
    <w:rsid w:val="00454AD4"/>
    <w:rsid w:val="00454B7D"/>
    <w:rsid w:val="00454D6E"/>
    <w:rsid w:val="00454DE1"/>
    <w:rsid w:val="00454F47"/>
    <w:rsid w:val="00455106"/>
    <w:rsid w:val="004551CC"/>
    <w:rsid w:val="00455377"/>
    <w:rsid w:val="00455429"/>
    <w:rsid w:val="00455570"/>
    <w:rsid w:val="004555CB"/>
    <w:rsid w:val="00455761"/>
    <w:rsid w:val="00455782"/>
    <w:rsid w:val="0045581A"/>
    <w:rsid w:val="0045588C"/>
    <w:rsid w:val="004559BA"/>
    <w:rsid w:val="00455BE8"/>
    <w:rsid w:val="00455C6B"/>
    <w:rsid w:val="00455D48"/>
    <w:rsid w:val="00455D69"/>
    <w:rsid w:val="00455EF8"/>
    <w:rsid w:val="00456072"/>
    <w:rsid w:val="0045609A"/>
    <w:rsid w:val="0045649C"/>
    <w:rsid w:val="004564CF"/>
    <w:rsid w:val="00456588"/>
    <w:rsid w:val="004565B0"/>
    <w:rsid w:val="004566D4"/>
    <w:rsid w:val="00456783"/>
    <w:rsid w:val="00456839"/>
    <w:rsid w:val="00456970"/>
    <w:rsid w:val="00456B72"/>
    <w:rsid w:val="00456B76"/>
    <w:rsid w:val="00456CE4"/>
    <w:rsid w:val="00456D19"/>
    <w:rsid w:val="00456DDC"/>
    <w:rsid w:val="00457118"/>
    <w:rsid w:val="0045716F"/>
    <w:rsid w:val="00457225"/>
    <w:rsid w:val="004572A3"/>
    <w:rsid w:val="004572BE"/>
    <w:rsid w:val="004573BD"/>
    <w:rsid w:val="004573FA"/>
    <w:rsid w:val="00457458"/>
    <w:rsid w:val="004574CF"/>
    <w:rsid w:val="004575FD"/>
    <w:rsid w:val="004576F0"/>
    <w:rsid w:val="00457772"/>
    <w:rsid w:val="004577FA"/>
    <w:rsid w:val="0045788F"/>
    <w:rsid w:val="004579FD"/>
    <w:rsid w:val="00457DD2"/>
    <w:rsid w:val="00457EDB"/>
    <w:rsid w:val="00457F51"/>
    <w:rsid w:val="00460051"/>
    <w:rsid w:val="00460080"/>
    <w:rsid w:val="00460111"/>
    <w:rsid w:val="00460342"/>
    <w:rsid w:val="00460411"/>
    <w:rsid w:val="004605CE"/>
    <w:rsid w:val="004606D0"/>
    <w:rsid w:val="00460926"/>
    <w:rsid w:val="00460AB4"/>
    <w:rsid w:val="00460D47"/>
    <w:rsid w:val="00460DA4"/>
    <w:rsid w:val="00460DFB"/>
    <w:rsid w:val="00460E1D"/>
    <w:rsid w:val="00460EB3"/>
    <w:rsid w:val="00461039"/>
    <w:rsid w:val="004610A0"/>
    <w:rsid w:val="004612E8"/>
    <w:rsid w:val="00461318"/>
    <w:rsid w:val="0046134A"/>
    <w:rsid w:val="004615F8"/>
    <w:rsid w:val="0046163C"/>
    <w:rsid w:val="00461711"/>
    <w:rsid w:val="00461810"/>
    <w:rsid w:val="00461948"/>
    <w:rsid w:val="00461B56"/>
    <w:rsid w:val="00461C9C"/>
    <w:rsid w:val="00461D64"/>
    <w:rsid w:val="00461E02"/>
    <w:rsid w:val="00461E1E"/>
    <w:rsid w:val="00461F88"/>
    <w:rsid w:val="00462153"/>
    <w:rsid w:val="00462232"/>
    <w:rsid w:val="00462565"/>
    <w:rsid w:val="004625D5"/>
    <w:rsid w:val="0046278A"/>
    <w:rsid w:val="004627B1"/>
    <w:rsid w:val="00462801"/>
    <w:rsid w:val="00462A43"/>
    <w:rsid w:val="00462AF2"/>
    <w:rsid w:val="00462B64"/>
    <w:rsid w:val="00462BD5"/>
    <w:rsid w:val="00462E67"/>
    <w:rsid w:val="00462E76"/>
    <w:rsid w:val="00463094"/>
    <w:rsid w:val="0046313C"/>
    <w:rsid w:val="004631A4"/>
    <w:rsid w:val="0046332C"/>
    <w:rsid w:val="0046333C"/>
    <w:rsid w:val="00463382"/>
    <w:rsid w:val="004634A6"/>
    <w:rsid w:val="004635B8"/>
    <w:rsid w:val="0046363F"/>
    <w:rsid w:val="00463649"/>
    <w:rsid w:val="00463721"/>
    <w:rsid w:val="004637E9"/>
    <w:rsid w:val="0046380E"/>
    <w:rsid w:val="004638AF"/>
    <w:rsid w:val="00463A16"/>
    <w:rsid w:val="00463B19"/>
    <w:rsid w:val="00463B3F"/>
    <w:rsid w:val="00463D74"/>
    <w:rsid w:val="00463DA6"/>
    <w:rsid w:val="00463DD2"/>
    <w:rsid w:val="00463E94"/>
    <w:rsid w:val="00463EFE"/>
    <w:rsid w:val="00463F7E"/>
    <w:rsid w:val="00464358"/>
    <w:rsid w:val="004643AD"/>
    <w:rsid w:val="004645F5"/>
    <w:rsid w:val="004646D2"/>
    <w:rsid w:val="004647B6"/>
    <w:rsid w:val="004648E7"/>
    <w:rsid w:val="00464B08"/>
    <w:rsid w:val="00464C69"/>
    <w:rsid w:val="00464CA9"/>
    <w:rsid w:val="00464CE0"/>
    <w:rsid w:val="00464D70"/>
    <w:rsid w:val="00464DB3"/>
    <w:rsid w:val="00464E06"/>
    <w:rsid w:val="00464F07"/>
    <w:rsid w:val="00464F79"/>
    <w:rsid w:val="00464FD3"/>
    <w:rsid w:val="00464FDC"/>
    <w:rsid w:val="004650E4"/>
    <w:rsid w:val="00465252"/>
    <w:rsid w:val="00465372"/>
    <w:rsid w:val="0046562C"/>
    <w:rsid w:val="004656BE"/>
    <w:rsid w:val="00465891"/>
    <w:rsid w:val="004659C6"/>
    <w:rsid w:val="00465ACA"/>
    <w:rsid w:val="00465B7D"/>
    <w:rsid w:val="00465C0A"/>
    <w:rsid w:val="00465C82"/>
    <w:rsid w:val="00465C93"/>
    <w:rsid w:val="00465D38"/>
    <w:rsid w:val="00465DA8"/>
    <w:rsid w:val="00465F07"/>
    <w:rsid w:val="00465FC5"/>
    <w:rsid w:val="00466103"/>
    <w:rsid w:val="0046617D"/>
    <w:rsid w:val="00466312"/>
    <w:rsid w:val="00466325"/>
    <w:rsid w:val="0046633C"/>
    <w:rsid w:val="00466511"/>
    <w:rsid w:val="0046674F"/>
    <w:rsid w:val="004668D4"/>
    <w:rsid w:val="00466978"/>
    <w:rsid w:val="00466C13"/>
    <w:rsid w:val="00466C99"/>
    <w:rsid w:val="00466D19"/>
    <w:rsid w:val="00466D3F"/>
    <w:rsid w:val="00466E7C"/>
    <w:rsid w:val="00466EEA"/>
    <w:rsid w:val="00467052"/>
    <w:rsid w:val="0046706C"/>
    <w:rsid w:val="004670A2"/>
    <w:rsid w:val="004670F0"/>
    <w:rsid w:val="0046725B"/>
    <w:rsid w:val="004672BD"/>
    <w:rsid w:val="00467679"/>
    <w:rsid w:val="004677AF"/>
    <w:rsid w:val="00467C10"/>
    <w:rsid w:val="00467CAB"/>
    <w:rsid w:val="00467D81"/>
    <w:rsid w:val="0047021C"/>
    <w:rsid w:val="00470328"/>
    <w:rsid w:val="00470370"/>
    <w:rsid w:val="00470438"/>
    <w:rsid w:val="0047080D"/>
    <w:rsid w:val="00470A92"/>
    <w:rsid w:val="00470A9B"/>
    <w:rsid w:val="00470B6B"/>
    <w:rsid w:val="00470C5D"/>
    <w:rsid w:val="00470CB0"/>
    <w:rsid w:val="00470D15"/>
    <w:rsid w:val="00470F27"/>
    <w:rsid w:val="00470F3D"/>
    <w:rsid w:val="00470FF0"/>
    <w:rsid w:val="004712FD"/>
    <w:rsid w:val="00471461"/>
    <w:rsid w:val="004714E4"/>
    <w:rsid w:val="00471540"/>
    <w:rsid w:val="00471595"/>
    <w:rsid w:val="004717C9"/>
    <w:rsid w:val="004718CF"/>
    <w:rsid w:val="00471953"/>
    <w:rsid w:val="004719E4"/>
    <w:rsid w:val="00471C36"/>
    <w:rsid w:val="00471CAF"/>
    <w:rsid w:val="00471EA2"/>
    <w:rsid w:val="00471FB8"/>
    <w:rsid w:val="00471FE8"/>
    <w:rsid w:val="004721B0"/>
    <w:rsid w:val="004721E5"/>
    <w:rsid w:val="00472261"/>
    <w:rsid w:val="004722E8"/>
    <w:rsid w:val="004723A2"/>
    <w:rsid w:val="0047262F"/>
    <w:rsid w:val="0047268F"/>
    <w:rsid w:val="00472A73"/>
    <w:rsid w:val="00472CAE"/>
    <w:rsid w:val="00472CD5"/>
    <w:rsid w:val="00472E08"/>
    <w:rsid w:val="00472E7B"/>
    <w:rsid w:val="00472F3E"/>
    <w:rsid w:val="0047313E"/>
    <w:rsid w:val="004731CA"/>
    <w:rsid w:val="00473275"/>
    <w:rsid w:val="004732B1"/>
    <w:rsid w:val="00473390"/>
    <w:rsid w:val="004736D1"/>
    <w:rsid w:val="004736E6"/>
    <w:rsid w:val="004737C3"/>
    <w:rsid w:val="004737E2"/>
    <w:rsid w:val="004737E3"/>
    <w:rsid w:val="00473AAF"/>
    <w:rsid w:val="00473AD1"/>
    <w:rsid w:val="00473BEB"/>
    <w:rsid w:val="00473DCA"/>
    <w:rsid w:val="00473E92"/>
    <w:rsid w:val="00473F6B"/>
    <w:rsid w:val="0047407F"/>
    <w:rsid w:val="00474122"/>
    <w:rsid w:val="0047424F"/>
    <w:rsid w:val="004746B7"/>
    <w:rsid w:val="0047477C"/>
    <w:rsid w:val="004748BE"/>
    <w:rsid w:val="004748EB"/>
    <w:rsid w:val="004749E2"/>
    <w:rsid w:val="00474C6B"/>
    <w:rsid w:val="00474D82"/>
    <w:rsid w:val="00474EF0"/>
    <w:rsid w:val="00475130"/>
    <w:rsid w:val="004752B1"/>
    <w:rsid w:val="00475322"/>
    <w:rsid w:val="0047555F"/>
    <w:rsid w:val="0047579B"/>
    <w:rsid w:val="004757DE"/>
    <w:rsid w:val="004758E3"/>
    <w:rsid w:val="00475941"/>
    <w:rsid w:val="00475AFC"/>
    <w:rsid w:val="00475B0D"/>
    <w:rsid w:val="004761D0"/>
    <w:rsid w:val="00476220"/>
    <w:rsid w:val="00476226"/>
    <w:rsid w:val="004762E7"/>
    <w:rsid w:val="00476410"/>
    <w:rsid w:val="004764C8"/>
    <w:rsid w:val="00476532"/>
    <w:rsid w:val="004766DB"/>
    <w:rsid w:val="00476786"/>
    <w:rsid w:val="0047687B"/>
    <w:rsid w:val="004768DE"/>
    <w:rsid w:val="00476B7E"/>
    <w:rsid w:val="00476C13"/>
    <w:rsid w:val="00476E0A"/>
    <w:rsid w:val="00477229"/>
    <w:rsid w:val="004772EC"/>
    <w:rsid w:val="0047734A"/>
    <w:rsid w:val="00477670"/>
    <w:rsid w:val="004779A1"/>
    <w:rsid w:val="004779A3"/>
    <w:rsid w:val="00477ABB"/>
    <w:rsid w:val="00477C53"/>
    <w:rsid w:val="00477D44"/>
    <w:rsid w:val="00477F02"/>
    <w:rsid w:val="00480167"/>
    <w:rsid w:val="004801E8"/>
    <w:rsid w:val="004803E6"/>
    <w:rsid w:val="00480459"/>
    <w:rsid w:val="00480559"/>
    <w:rsid w:val="0048060B"/>
    <w:rsid w:val="00480667"/>
    <w:rsid w:val="00480922"/>
    <w:rsid w:val="00480A93"/>
    <w:rsid w:val="00480ACA"/>
    <w:rsid w:val="00480AD3"/>
    <w:rsid w:val="00480B6B"/>
    <w:rsid w:val="00480CAD"/>
    <w:rsid w:val="00480D46"/>
    <w:rsid w:val="0048105B"/>
    <w:rsid w:val="0048105C"/>
    <w:rsid w:val="00481139"/>
    <w:rsid w:val="004814E5"/>
    <w:rsid w:val="00481533"/>
    <w:rsid w:val="004815DE"/>
    <w:rsid w:val="00481636"/>
    <w:rsid w:val="004817B4"/>
    <w:rsid w:val="00481A46"/>
    <w:rsid w:val="00481A65"/>
    <w:rsid w:val="00481B19"/>
    <w:rsid w:val="00481BC2"/>
    <w:rsid w:val="00481C85"/>
    <w:rsid w:val="00481E93"/>
    <w:rsid w:val="00481FA3"/>
    <w:rsid w:val="00481FAE"/>
    <w:rsid w:val="004821C5"/>
    <w:rsid w:val="004823C1"/>
    <w:rsid w:val="004824D8"/>
    <w:rsid w:val="004826E7"/>
    <w:rsid w:val="00482715"/>
    <w:rsid w:val="00482774"/>
    <w:rsid w:val="00482896"/>
    <w:rsid w:val="00482BAB"/>
    <w:rsid w:val="00482DD2"/>
    <w:rsid w:val="00482F76"/>
    <w:rsid w:val="0048336A"/>
    <w:rsid w:val="004834AF"/>
    <w:rsid w:val="004834F5"/>
    <w:rsid w:val="00483546"/>
    <w:rsid w:val="00483561"/>
    <w:rsid w:val="004837C3"/>
    <w:rsid w:val="00483A82"/>
    <w:rsid w:val="00483ACF"/>
    <w:rsid w:val="00483B52"/>
    <w:rsid w:val="00483B9B"/>
    <w:rsid w:val="00483D6A"/>
    <w:rsid w:val="00483D7F"/>
    <w:rsid w:val="00483F6F"/>
    <w:rsid w:val="00484067"/>
    <w:rsid w:val="0048413B"/>
    <w:rsid w:val="0048414D"/>
    <w:rsid w:val="0048416D"/>
    <w:rsid w:val="004841BE"/>
    <w:rsid w:val="004843A0"/>
    <w:rsid w:val="0048455F"/>
    <w:rsid w:val="004845A1"/>
    <w:rsid w:val="00484783"/>
    <w:rsid w:val="004848B1"/>
    <w:rsid w:val="004848F2"/>
    <w:rsid w:val="0048492C"/>
    <w:rsid w:val="00484C1D"/>
    <w:rsid w:val="00484C7C"/>
    <w:rsid w:val="00484CD8"/>
    <w:rsid w:val="00484F4F"/>
    <w:rsid w:val="00484FEF"/>
    <w:rsid w:val="00485026"/>
    <w:rsid w:val="00485029"/>
    <w:rsid w:val="00485052"/>
    <w:rsid w:val="0048507C"/>
    <w:rsid w:val="00485103"/>
    <w:rsid w:val="00485242"/>
    <w:rsid w:val="0048554C"/>
    <w:rsid w:val="004856E9"/>
    <w:rsid w:val="004858D0"/>
    <w:rsid w:val="004859BD"/>
    <w:rsid w:val="004859F5"/>
    <w:rsid w:val="00485AD0"/>
    <w:rsid w:val="00485AF1"/>
    <w:rsid w:val="00485B05"/>
    <w:rsid w:val="00485B74"/>
    <w:rsid w:val="00485BB4"/>
    <w:rsid w:val="00485BC2"/>
    <w:rsid w:val="00485BC4"/>
    <w:rsid w:val="00485C45"/>
    <w:rsid w:val="00485CB1"/>
    <w:rsid w:val="00485CD3"/>
    <w:rsid w:val="00485D46"/>
    <w:rsid w:val="00485DEC"/>
    <w:rsid w:val="00485E1E"/>
    <w:rsid w:val="00485F57"/>
    <w:rsid w:val="00485FA9"/>
    <w:rsid w:val="00485FFF"/>
    <w:rsid w:val="00486334"/>
    <w:rsid w:val="0048647B"/>
    <w:rsid w:val="0048665F"/>
    <w:rsid w:val="0048674A"/>
    <w:rsid w:val="0048692E"/>
    <w:rsid w:val="00486983"/>
    <w:rsid w:val="00486B41"/>
    <w:rsid w:val="00486B77"/>
    <w:rsid w:val="00486CC1"/>
    <w:rsid w:val="00486D28"/>
    <w:rsid w:val="00486D71"/>
    <w:rsid w:val="00486E85"/>
    <w:rsid w:val="00486EB0"/>
    <w:rsid w:val="004871EC"/>
    <w:rsid w:val="00487390"/>
    <w:rsid w:val="004873A4"/>
    <w:rsid w:val="004873D8"/>
    <w:rsid w:val="0048754B"/>
    <w:rsid w:val="004876CD"/>
    <w:rsid w:val="00487812"/>
    <w:rsid w:val="00487C20"/>
    <w:rsid w:val="00487C9B"/>
    <w:rsid w:val="00487D90"/>
    <w:rsid w:val="00487D9D"/>
    <w:rsid w:val="00487E2C"/>
    <w:rsid w:val="00487EC2"/>
    <w:rsid w:val="00487ED4"/>
    <w:rsid w:val="00487F45"/>
    <w:rsid w:val="00490063"/>
    <w:rsid w:val="0049006F"/>
    <w:rsid w:val="00490098"/>
    <w:rsid w:val="004900FD"/>
    <w:rsid w:val="0049020E"/>
    <w:rsid w:val="004903AC"/>
    <w:rsid w:val="004903EB"/>
    <w:rsid w:val="00490573"/>
    <w:rsid w:val="004908BE"/>
    <w:rsid w:val="00490AA6"/>
    <w:rsid w:val="00490B96"/>
    <w:rsid w:val="00490C0D"/>
    <w:rsid w:val="00490D18"/>
    <w:rsid w:val="00490DE6"/>
    <w:rsid w:val="00490ECB"/>
    <w:rsid w:val="00490FA5"/>
    <w:rsid w:val="00491170"/>
    <w:rsid w:val="004913D0"/>
    <w:rsid w:val="004914D6"/>
    <w:rsid w:val="004918BB"/>
    <w:rsid w:val="00491A06"/>
    <w:rsid w:val="00491AD9"/>
    <w:rsid w:val="00492224"/>
    <w:rsid w:val="00492284"/>
    <w:rsid w:val="00492442"/>
    <w:rsid w:val="004926FC"/>
    <w:rsid w:val="00492796"/>
    <w:rsid w:val="004929DA"/>
    <w:rsid w:val="004929ED"/>
    <w:rsid w:val="00492A98"/>
    <w:rsid w:val="00492B9B"/>
    <w:rsid w:val="00492D4A"/>
    <w:rsid w:val="0049306B"/>
    <w:rsid w:val="004932E0"/>
    <w:rsid w:val="0049347D"/>
    <w:rsid w:val="004934FE"/>
    <w:rsid w:val="004935F9"/>
    <w:rsid w:val="0049371A"/>
    <w:rsid w:val="004938BB"/>
    <w:rsid w:val="00493C59"/>
    <w:rsid w:val="00493E7C"/>
    <w:rsid w:val="00493F20"/>
    <w:rsid w:val="00493FD4"/>
    <w:rsid w:val="004943AC"/>
    <w:rsid w:val="00494578"/>
    <w:rsid w:val="00494789"/>
    <w:rsid w:val="004948F3"/>
    <w:rsid w:val="00494CA6"/>
    <w:rsid w:val="00494D97"/>
    <w:rsid w:val="00494DCB"/>
    <w:rsid w:val="00494FA7"/>
    <w:rsid w:val="004950E2"/>
    <w:rsid w:val="00495108"/>
    <w:rsid w:val="0049527E"/>
    <w:rsid w:val="0049528B"/>
    <w:rsid w:val="004952CE"/>
    <w:rsid w:val="004954E0"/>
    <w:rsid w:val="00495658"/>
    <w:rsid w:val="00495C64"/>
    <w:rsid w:val="00495CEE"/>
    <w:rsid w:val="00495FC2"/>
    <w:rsid w:val="00496021"/>
    <w:rsid w:val="0049607F"/>
    <w:rsid w:val="00496140"/>
    <w:rsid w:val="00496255"/>
    <w:rsid w:val="00496319"/>
    <w:rsid w:val="0049637F"/>
    <w:rsid w:val="00496422"/>
    <w:rsid w:val="0049648D"/>
    <w:rsid w:val="00496593"/>
    <w:rsid w:val="004966A9"/>
    <w:rsid w:val="00496701"/>
    <w:rsid w:val="00496831"/>
    <w:rsid w:val="004968EF"/>
    <w:rsid w:val="00496A86"/>
    <w:rsid w:val="00496AA3"/>
    <w:rsid w:val="00496B9D"/>
    <w:rsid w:val="00496BF9"/>
    <w:rsid w:val="00496CA0"/>
    <w:rsid w:val="00496DA1"/>
    <w:rsid w:val="00496DE8"/>
    <w:rsid w:val="00496E6F"/>
    <w:rsid w:val="00496EED"/>
    <w:rsid w:val="00497068"/>
    <w:rsid w:val="004971F7"/>
    <w:rsid w:val="0049725F"/>
    <w:rsid w:val="00497352"/>
    <w:rsid w:val="004973BD"/>
    <w:rsid w:val="0049747B"/>
    <w:rsid w:val="00497788"/>
    <w:rsid w:val="004977B9"/>
    <w:rsid w:val="004978C9"/>
    <w:rsid w:val="0049797B"/>
    <w:rsid w:val="00497A4F"/>
    <w:rsid w:val="00497A53"/>
    <w:rsid w:val="00497A65"/>
    <w:rsid w:val="00497AB9"/>
    <w:rsid w:val="00497AC8"/>
    <w:rsid w:val="00497C58"/>
    <w:rsid w:val="00497CFE"/>
    <w:rsid w:val="00497F3A"/>
    <w:rsid w:val="00497FC1"/>
    <w:rsid w:val="004A01A0"/>
    <w:rsid w:val="004A033E"/>
    <w:rsid w:val="004A0397"/>
    <w:rsid w:val="004A03D8"/>
    <w:rsid w:val="004A05DE"/>
    <w:rsid w:val="004A0621"/>
    <w:rsid w:val="004A073F"/>
    <w:rsid w:val="004A078D"/>
    <w:rsid w:val="004A0B66"/>
    <w:rsid w:val="004A0BF4"/>
    <w:rsid w:val="004A0CEB"/>
    <w:rsid w:val="004A0E2C"/>
    <w:rsid w:val="004A1154"/>
    <w:rsid w:val="004A127F"/>
    <w:rsid w:val="004A1301"/>
    <w:rsid w:val="004A141C"/>
    <w:rsid w:val="004A1537"/>
    <w:rsid w:val="004A1634"/>
    <w:rsid w:val="004A1777"/>
    <w:rsid w:val="004A1C0B"/>
    <w:rsid w:val="004A1C8E"/>
    <w:rsid w:val="004A1CB4"/>
    <w:rsid w:val="004A1E4F"/>
    <w:rsid w:val="004A1F77"/>
    <w:rsid w:val="004A1F9C"/>
    <w:rsid w:val="004A2034"/>
    <w:rsid w:val="004A2166"/>
    <w:rsid w:val="004A2337"/>
    <w:rsid w:val="004A2540"/>
    <w:rsid w:val="004A25C6"/>
    <w:rsid w:val="004A25EC"/>
    <w:rsid w:val="004A2685"/>
    <w:rsid w:val="004A285E"/>
    <w:rsid w:val="004A2899"/>
    <w:rsid w:val="004A293B"/>
    <w:rsid w:val="004A2A90"/>
    <w:rsid w:val="004A2ADC"/>
    <w:rsid w:val="004A2BE4"/>
    <w:rsid w:val="004A2CA9"/>
    <w:rsid w:val="004A2FA6"/>
    <w:rsid w:val="004A3134"/>
    <w:rsid w:val="004A3195"/>
    <w:rsid w:val="004A31EC"/>
    <w:rsid w:val="004A3A29"/>
    <w:rsid w:val="004A3BD7"/>
    <w:rsid w:val="004A3BDD"/>
    <w:rsid w:val="004A3DCA"/>
    <w:rsid w:val="004A3DF1"/>
    <w:rsid w:val="004A411F"/>
    <w:rsid w:val="004A4227"/>
    <w:rsid w:val="004A428E"/>
    <w:rsid w:val="004A42A5"/>
    <w:rsid w:val="004A42D6"/>
    <w:rsid w:val="004A4300"/>
    <w:rsid w:val="004A431F"/>
    <w:rsid w:val="004A4341"/>
    <w:rsid w:val="004A4376"/>
    <w:rsid w:val="004A4448"/>
    <w:rsid w:val="004A4498"/>
    <w:rsid w:val="004A4562"/>
    <w:rsid w:val="004A45CD"/>
    <w:rsid w:val="004A4665"/>
    <w:rsid w:val="004A476B"/>
    <w:rsid w:val="004A4917"/>
    <w:rsid w:val="004A497B"/>
    <w:rsid w:val="004A497D"/>
    <w:rsid w:val="004A49D0"/>
    <w:rsid w:val="004A4B01"/>
    <w:rsid w:val="004A4C51"/>
    <w:rsid w:val="004A4C82"/>
    <w:rsid w:val="004A4DF0"/>
    <w:rsid w:val="004A4F9C"/>
    <w:rsid w:val="004A4FC6"/>
    <w:rsid w:val="004A506F"/>
    <w:rsid w:val="004A511F"/>
    <w:rsid w:val="004A512A"/>
    <w:rsid w:val="004A513D"/>
    <w:rsid w:val="004A51F9"/>
    <w:rsid w:val="004A547D"/>
    <w:rsid w:val="004A54B9"/>
    <w:rsid w:val="004A54C2"/>
    <w:rsid w:val="004A54E2"/>
    <w:rsid w:val="004A55C3"/>
    <w:rsid w:val="004A58DC"/>
    <w:rsid w:val="004A5967"/>
    <w:rsid w:val="004A59AE"/>
    <w:rsid w:val="004A5B48"/>
    <w:rsid w:val="004A5BB4"/>
    <w:rsid w:val="004A5E34"/>
    <w:rsid w:val="004A5F1D"/>
    <w:rsid w:val="004A5F7E"/>
    <w:rsid w:val="004A6090"/>
    <w:rsid w:val="004A62A6"/>
    <w:rsid w:val="004A634E"/>
    <w:rsid w:val="004A65A3"/>
    <w:rsid w:val="004A65D7"/>
    <w:rsid w:val="004A6688"/>
    <w:rsid w:val="004A6753"/>
    <w:rsid w:val="004A68AF"/>
    <w:rsid w:val="004A699A"/>
    <w:rsid w:val="004A69F5"/>
    <w:rsid w:val="004A6A0E"/>
    <w:rsid w:val="004A6B51"/>
    <w:rsid w:val="004A711D"/>
    <w:rsid w:val="004A7299"/>
    <w:rsid w:val="004A74AD"/>
    <w:rsid w:val="004A76A2"/>
    <w:rsid w:val="004A7766"/>
    <w:rsid w:val="004A77F5"/>
    <w:rsid w:val="004A786F"/>
    <w:rsid w:val="004A7875"/>
    <w:rsid w:val="004A79A7"/>
    <w:rsid w:val="004A7A01"/>
    <w:rsid w:val="004A7E01"/>
    <w:rsid w:val="004A7EF6"/>
    <w:rsid w:val="004B0179"/>
    <w:rsid w:val="004B01E2"/>
    <w:rsid w:val="004B0271"/>
    <w:rsid w:val="004B030F"/>
    <w:rsid w:val="004B03F4"/>
    <w:rsid w:val="004B043B"/>
    <w:rsid w:val="004B05A7"/>
    <w:rsid w:val="004B066C"/>
    <w:rsid w:val="004B0AB8"/>
    <w:rsid w:val="004B1042"/>
    <w:rsid w:val="004B108B"/>
    <w:rsid w:val="004B114D"/>
    <w:rsid w:val="004B1197"/>
    <w:rsid w:val="004B1277"/>
    <w:rsid w:val="004B1455"/>
    <w:rsid w:val="004B151F"/>
    <w:rsid w:val="004B19CB"/>
    <w:rsid w:val="004B1A8F"/>
    <w:rsid w:val="004B1B22"/>
    <w:rsid w:val="004B1C67"/>
    <w:rsid w:val="004B1C75"/>
    <w:rsid w:val="004B1C9C"/>
    <w:rsid w:val="004B1CC4"/>
    <w:rsid w:val="004B1CFE"/>
    <w:rsid w:val="004B1E6F"/>
    <w:rsid w:val="004B1ECC"/>
    <w:rsid w:val="004B1EE2"/>
    <w:rsid w:val="004B1F74"/>
    <w:rsid w:val="004B1FC7"/>
    <w:rsid w:val="004B27B7"/>
    <w:rsid w:val="004B2975"/>
    <w:rsid w:val="004B2997"/>
    <w:rsid w:val="004B2A09"/>
    <w:rsid w:val="004B2B09"/>
    <w:rsid w:val="004B2D18"/>
    <w:rsid w:val="004B2D2A"/>
    <w:rsid w:val="004B2F26"/>
    <w:rsid w:val="004B310E"/>
    <w:rsid w:val="004B3145"/>
    <w:rsid w:val="004B3235"/>
    <w:rsid w:val="004B348A"/>
    <w:rsid w:val="004B357B"/>
    <w:rsid w:val="004B35FF"/>
    <w:rsid w:val="004B3763"/>
    <w:rsid w:val="004B377F"/>
    <w:rsid w:val="004B381E"/>
    <w:rsid w:val="004B3859"/>
    <w:rsid w:val="004B3AAE"/>
    <w:rsid w:val="004B3B74"/>
    <w:rsid w:val="004B3CF8"/>
    <w:rsid w:val="004B3F43"/>
    <w:rsid w:val="004B406D"/>
    <w:rsid w:val="004B4093"/>
    <w:rsid w:val="004B4125"/>
    <w:rsid w:val="004B414C"/>
    <w:rsid w:val="004B426F"/>
    <w:rsid w:val="004B427E"/>
    <w:rsid w:val="004B430E"/>
    <w:rsid w:val="004B43BE"/>
    <w:rsid w:val="004B43F6"/>
    <w:rsid w:val="004B4430"/>
    <w:rsid w:val="004B4499"/>
    <w:rsid w:val="004B4592"/>
    <w:rsid w:val="004B45F6"/>
    <w:rsid w:val="004B46EA"/>
    <w:rsid w:val="004B4755"/>
    <w:rsid w:val="004B47A7"/>
    <w:rsid w:val="004B4844"/>
    <w:rsid w:val="004B49DB"/>
    <w:rsid w:val="004B4B46"/>
    <w:rsid w:val="004B4D2A"/>
    <w:rsid w:val="004B4DB5"/>
    <w:rsid w:val="004B50F4"/>
    <w:rsid w:val="004B5208"/>
    <w:rsid w:val="004B5373"/>
    <w:rsid w:val="004B5400"/>
    <w:rsid w:val="004B5410"/>
    <w:rsid w:val="004B557F"/>
    <w:rsid w:val="004B559B"/>
    <w:rsid w:val="004B597A"/>
    <w:rsid w:val="004B5981"/>
    <w:rsid w:val="004B59F5"/>
    <w:rsid w:val="004B5BE8"/>
    <w:rsid w:val="004B5DB9"/>
    <w:rsid w:val="004B5FE3"/>
    <w:rsid w:val="004B6093"/>
    <w:rsid w:val="004B62DE"/>
    <w:rsid w:val="004B6347"/>
    <w:rsid w:val="004B63EF"/>
    <w:rsid w:val="004B6491"/>
    <w:rsid w:val="004B64BF"/>
    <w:rsid w:val="004B65A3"/>
    <w:rsid w:val="004B683E"/>
    <w:rsid w:val="004B6936"/>
    <w:rsid w:val="004B6B3D"/>
    <w:rsid w:val="004B6B5E"/>
    <w:rsid w:val="004B6EBA"/>
    <w:rsid w:val="004B6FAD"/>
    <w:rsid w:val="004B70E8"/>
    <w:rsid w:val="004B7131"/>
    <w:rsid w:val="004B718C"/>
    <w:rsid w:val="004B72AA"/>
    <w:rsid w:val="004B7374"/>
    <w:rsid w:val="004B73CA"/>
    <w:rsid w:val="004B7552"/>
    <w:rsid w:val="004B78E9"/>
    <w:rsid w:val="004B79CA"/>
    <w:rsid w:val="004B79DA"/>
    <w:rsid w:val="004B7A0A"/>
    <w:rsid w:val="004B7CCA"/>
    <w:rsid w:val="004B7E2B"/>
    <w:rsid w:val="004B7F91"/>
    <w:rsid w:val="004C01AC"/>
    <w:rsid w:val="004C0236"/>
    <w:rsid w:val="004C0468"/>
    <w:rsid w:val="004C0549"/>
    <w:rsid w:val="004C071B"/>
    <w:rsid w:val="004C0730"/>
    <w:rsid w:val="004C07BD"/>
    <w:rsid w:val="004C0A31"/>
    <w:rsid w:val="004C0B6E"/>
    <w:rsid w:val="004C0BAA"/>
    <w:rsid w:val="004C0BF9"/>
    <w:rsid w:val="004C0D34"/>
    <w:rsid w:val="004C0DEC"/>
    <w:rsid w:val="004C0E62"/>
    <w:rsid w:val="004C0FF3"/>
    <w:rsid w:val="004C1091"/>
    <w:rsid w:val="004C1433"/>
    <w:rsid w:val="004C1572"/>
    <w:rsid w:val="004C1579"/>
    <w:rsid w:val="004C15AF"/>
    <w:rsid w:val="004C17F3"/>
    <w:rsid w:val="004C17F8"/>
    <w:rsid w:val="004C1AE2"/>
    <w:rsid w:val="004C1C6B"/>
    <w:rsid w:val="004C1CD1"/>
    <w:rsid w:val="004C1EBD"/>
    <w:rsid w:val="004C23EC"/>
    <w:rsid w:val="004C24A6"/>
    <w:rsid w:val="004C24DF"/>
    <w:rsid w:val="004C256B"/>
    <w:rsid w:val="004C260F"/>
    <w:rsid w:val="004C272C"/>
    <w:rsid w:val="004C2777"/>
    <w:rsid w:val="004C2981"/>
    <w:rsid w:val="004C29EA"/>
    <w:rsid w:val="004C2BB2"/>
    <w:rsid w:val="004C2CD6"/>
    <w:rsid w:val="004C2F64"/>
    <w:rsid w:val="004C3045"/>
    <w:rsid w:val="004C31A0"/>
    <w:rsid w:val="004C31AB"/>
    <w:rsid w:val="004C33C1"/>
    <w:rsid w:val="004C35F1"/>
    <w:rsid w:val="004C377F"/>
    <w:rsid w:val="004C3926"/>
    <w:rsid w:val="004C3A78"/>
    <w:rsid w:val="004C3A8D"/>
    <w:rsid w:val="004C3C85"/>
    <w:rsid w:val="004C3CCD"/>
    <w:rsid w:val="004C3DE3"/>
    <w:rsid w:val="004C4001"/>
    <w:rsid w:val="004C4120"/>
    <w:rsid w:val="004C4246"/>
    <w:rsid w:val="004C472D"/>
    <w:rsid w:val="004C47A3"/>
    <w:rsid w:val="004C487B"/>
    <w:rsid w:val="004C4934"/>
    <w:rsid w:val="004C4AA1"/>
    <w:rsid w:val="004C4AC7"/>
    <w:rsid w:val="004C4ADB"/>
    <w:rsid w:val="004C4BD2"/>
    <w:rsid w:val="004C50D4"/>
    <w:rsid w:val="004C5348"/>
    <w:rsid w:val="004C53B3"/>
    <w:rsid w:val="004C553E"/>
    <w:rsid w:val="004C561B"/>
    <w:rsid w:val="004C5716"/>
    <w:rsid w:val="004C57AF"/>
    <w:rsid w:val="004C5912"/>
    <w:rsid w:val="004C5A06"/>
    <w:rsid w:val="004C5A10"/>
    <w:rsid w:val="004C5B05"/>
    <w:rsid w:val="004C5BFD"/>
    <w:rsid w:val="004C5C9F"/>
    <w:rsid w:val="004C5CD2"/>
    <w:rsid w:val="004C5DBB"/>
    <w:rsid w:val="004C5E76"/>
    <w:rsid w:val="004C6091"/>
    <w:rsid w:val="004C611B"/>
    <w:rsid w:val="004C6180"/>
    <w:rsid w:val="004C61D5"/>
    <w:rsid w:val="004C639F"/>
    <w:rsid w:val="004C647A"/>
    <w:rsid w:val="004C6511"/>
    <w:rsid w:val="004C6781"/>
    <w:rsid w:val="004C67BC"/>
    <w:rsid w:val="004C6915"/>
    <w:rsid w:val="004C6936"/>
    <w:rsid w:val="004C6B77"/>
    <w:rsid w:val="004C6DE6"/>
    <w:rsid w:val="004C6F46"/>
    <w:rsid w:val="004C70A1"/>
    <w:rsid w:val="004C7203"/>
    <w:rsid w:val="004C745A"/>
    <w:rsid w:val="004C747C"/>
    <w:rsid w:val="004C7632"/>
    <w:rsid w:val="004C7738"/>
    <w:rsid w:val="004C77A9"/>
    <w:rsid w:val="004C77FB"/>
    <w:rsid w:val="004C7848"/>
    <w:rsid w:val="004C7A58"/>
    <w:rsid w:val="004C7AB2"/>
    <w:rsid w:val="004C7DD5"/>
    <w:rsid w:val="004C7FA6"/>
    <w:rsid w:val="004D0103"/>
    <w:rsid w:val="004D02AA"/>
    <w:rsid w:val="004D0370"/>
    <w:rsid w:val="004D0385"/>
    <w:rsid w:val="004D04B1"/>
    <w:rsid w:val="004D0589"/>
    <w:rsid w:val="004D093C"/>
    <w:rsid w:val="004D0A94"/>
    <w:rsid w:val="004D0AB2"/>
    <w:rsid w:val="004D0B78"/>
    <w:rsid w:val="004D0BBA"/>
    <w:rsid w:val="004D0C3A"/>
    <w:rsid w:val="004D0F5F"/>
    <w:rsid w:val="004D0FDD"/>
    <w:rsid w:val="004D11AB"/>
    <w:rsid w:val="004D12C2"/>
    <w:rsid w:val="004D146D"/>
    <w:rsid w:val="004D14E9"/>
    <w:rsid w:val="004D1505"/>
    <w:rsid w:val="004D1772"/>
    <w:rsid w:val="004D1795"/>
    <w:rsid w:val="004D17C7"/>
    <w:rsid w:val="004D1934"/>
    <w:rsid w:val="004D1963"/>
    <w:rsid w:val="004D19EE"/>
    <w:rsid w:val="004D1C72"/>
    <w:rsid w:val="004D1DD7"/>
    <w:rsid w:val="004D1E01"/>
    <w:rsid w:val="004D1EE9"/>
    <w:rsid w:val="004D2119"/>
    <w:rsid w:val="004D2196"/>
    <w:rsid w:val="004D2215"/>
    <w:rsid w:val="004D232F"/>
    <w:rsid w:val="004D2378"/>
    <w:rsid w:val="004D2497"/>
    <w:rsid w:val="004D24A2"/>
    <w:rsid w:val="004D25E2"/>
    <w:rsid w:val="004D28A6"/>
    <w:rsid w:val="004D299B"/>
    <w:rsid w:val="004D2B65"/>
    <w:rsid w:val="004D2D7F"/>
    <w:rsid w:val="004D2FDE"/>
    <w:rsid w:val="004D3088"/>
    <w:rsid w:val="004D3106"/>
    <w:rsid w:val="004D31BF"/>
    <w:rsid w:val="004D32D9"/>
    <w:rsid w:val="004D32F8"/>
    <w:rsid w:val="004D351B"/>
    <w:rsid w:val="004D3575"/>
    <w:rsid w:val="004D35B9"/>
    <w:rsid w:val="004D396E"/>
    <w:rsid w:val="004D3A4D"/>
    <w:rsid w:val="004D3BA6"/>
    <w:rsid w:val="004D3C61"/>
    <w:rsid w:val="004D3D45"/>
    <w:rsid w:val="004D3DC1"/>
    <w:rsid w:val="004D3DF3"/>
    <w:rsid w:val="004D3F07"/>
    <w:rsid w:val="004D3FD1"/>
    <w:rsid w:val="004D4108"/>
    <w:rsid w:val="004D410A"/>
    <w:rsid w:val="004D41CB"/>
    <w:rsid w:val="004D43EE"/>
    <w:rsid w:val="004D4521"/>
    <w:rsid w:val="004D496A"/>
    <w:rsid w:val="004D4992"/>
    <w:rsid w:val="004D4A34"/>
    <w:rsid w:val="004D4A68"/>
    <w:rsid w:val="004D4C4D"/>
    <w:rsid w:val="004D4EE0"/>
    <w:rsid w:val="004D503B"/>
    <w:rsid w:val="004D5130"/>
    <w:rsid w:val="004D5331"/>
    <w:rsid w:val="004D5418"/>
    <w:rsid w:val="004D5825"/>
    <w:rsid w:val="004D58CB"/>
    <w:rsid w:val="004D5A0D"/>
    <w:rsid w:val="004D5B47"/>
    <w:rsid w:val="004D5C4E"/>
    <w:rsid w:val="004D5CEE"/>
    <w:rsid w:val="004D5E9D"/>
    <w:rsid w:val="004D5EBB"/>
    <w:rsid w:val="004D5F1A"/>
    <w:rsid w:val="004D5F89"/>
    <w:rsid w:val="004D61D3"/>
    <w:rsid w:val="004D61E7"/>
    <w:rsid w:val="004D62A1"/>
    <w:rsid w:val="004D6451"/>
    <w:rsid w:val="004D658F"/>
    <w:rsid w:val="004D678A"/>
    <w:rsid w:val="004D67BA"/>
    <w:rsid w:val="004D694E"/>
    <w:rsid w:val="004D69C6"/>
    <w:rsid w:val="004D6A9E"/>
    <w:rsid w:val="004D6ACD"/>
    <w:rsid w:val="004D6D51"/>
    <w:rsid w:val="004D6D6E"/>
    <w:rsid w:val="004D6E58"/>
    <w:rsid w:val="004D6F37"/>
    <w:rsid w:val="004D7161"/>
    <w:rsid w:val="004D73AE"/>
    <w:rsid w:val="004D750A"/>
    <w:rsid w:val="004D76C7"/>
    <w:rsid w:val="004D7767"/>
    <w:rsid w:val="004D776B"/>
    <w:rsid w:val="004D788A"/>
    <w:rsid w:val="004D7B86"/>
    <w:rsid w:val="004D7D2A"/>
    <w:rsid w:val="004D7E87"/>
    <w:rsid w:val="004D7FAF"/>
    <w:rsid w:val="004E0007"/>
    <w:rsid w:val="004E00B3"/>
    <w:rsid w:val="004E0265"/>
    <w:rsid w:val="004E03BE"/>
    <w:rsid w:val="004E040A"/>
    <w:rsid w:val="004E047B"/>
    <w:rsid w:val="004E07B2"/>
    <w:rsid w:val="004E08BD"/>
    <w:rsid w:val="004E0986"/>
    <w:rsid w:val="004E0AAB"/>
    <w:rsid w:val="004E0B02"/>
    <w:rsid w:val="004E0B58"/>
    <w:rsid w:val="004E0CD6"/>
    <w:rsid w:val="004E114D"/>
    <w:rsid w:val="004E16FB"/>
    <w:rsid w:val="004E1967"/>
    <w:rsid w:val="004E196D"/>
    <w:rsid w:val="004E197A"/>
    <w:rsid w:val="004E19C2"/>
    <w:rsid w:val="004E1AED"/>
    <w:rsid w:val="004E1C5C"/>
    <w:rsid w:val="004E1F28"/>
    <w:rsid w:val="004E2247"/>
    <w:rsid w:val="004E236B"/>
    <w:rsid w:val="004E274D"/>
    <w:rsid w:val="004E287B"/>
    <w:rsid w:val="004E28E9"/>
    <w:rsid w:val="004E298B"/>
    <w:rsid w:val="004E2AC7"/>
    <w:rsid w:val="004E2BCB"/>
    <w:rsid w:val="004E2C2C"/>
    <w:rsid w:val="004E2DB9"/>
    <w:rsid w:val="004E2E1E"/>
    <w:rsid w:val="004E2ECC"/>
    <w:rsid w:val="004E3234"/>
    <w:rsid w:val="004E3244"/>
    <w:rsid w:val="004E32CB"/>
    <w:rsid w:val="004E331E"/>
    <w:rsid w:val="004E334D"/>
    <w:rsid w:val="004E33B6"/>
    <w:rsid w:val="004E34C2"/>
    <w:rsid w:val="004E34D4"/>
    <w:rsid w:val="004E362E"/>
    <w:rsid w:val="004E39E3"/>
    <w:rsid w:val="004E3A77"/>
    <w:rsid w:val="004E3A9C"/>
    <w:rsid w:val="004E3AC6"/>
    <w:rsid w:val="004E3B2D"/>
    <w:rsid w:val="004E3BAF"/>
    <w:rsid w:val="004E3E5F"/>
    <w:rsid w:val="004E3E65"/>
    <w:rsid w:val="004E3F78"/>
    <w:rsid w:val="004E42DF"/>
    <w:rsid w:val="004E4307"/>
    <w:rsid w:val="004E4424"/>
    <w:rsid w:val="004E4486"/>
    <w:rsid w:val="004E465C"/>
    <w:rsid w:val="004E4AD8"/>
    <w:rsid w:val="004E4B47"/>
    <w:rsid w:val="004E4B95"/>
    <w:rsid w:val="004E4D48"/>
    <w:rsid w:val="004E4D80"/>
    <w:rsid w:val="004E4D93"/>
    <w:rsid w:val="004E4D95"/>
    <w:rsid w:val="004E4E97"/>
    <w:rsid w:val="004E4EF4"/>
    <w:rsid w:val="004E4F74"/>
    <w:rsid w:val="004E5055"/>
    <w:rsid w:val="004E51DC"/>
    <w:rsid w:val="004E5203"/>
    <w:rsid w:val="004E523A"/>
    <w:rsid w:val="004E52E2"/>
    <w:rsid w:val="004E5542"/>
    <w:rsid w:val="004E5593"/>
    <w:rsid w:val="004E55F8"/>
    <w:rsid w:val="004E57AF"/>
    <w:rsid w:val="004E58CE"/>
    <w:rsid w:val="004E5999"/>
    <w:rsid w:val="004E5B32"/>
    <w:rsid w:val="004E5BAB"/>
    <w:rsid w:val="004E5C22"/>
    <w:rsid w:val="004E5C9C"/>
    <w:rsid w:val="004E5E55"/>
    <w:rsid w:val="004E5F2F"/>
    <w:rsid w:val="004E5F6A"/>
    <w:rsid w:val="004E6008"/>
    <w:rsid w:val="004E610C"/>
    <w:rsid w:val="004E637A"/>
    <w:rsid w:val="004E6512"/>
    <w:rsid w:val="004E6636"/>
    <w:rsid w:val="004E671B"/>
    <w:rsid w:val="004E6810"/>
    <w:rsid w:val="004E6C09"/>
    <w:rsid w:val="004E6C2D"/>
    <w:rsid w:val="004E6C4B"/>
    <w:rsid w:val="004E6CCF"/>
    <w:rsid w:val="004E6D47"/>
    <w:rsid w:val="004E6DAB"/>
    <w:rsid w:val="004E6EDD"/>
    <w:rsid w:val="004E718D"/>
    <w:rsid w:val="004E71D2"/>
    <w:rsid w:val="004E731C"/>
    <w:rsid w:val="004E7732"/>
    <w:rsid w:val="004E792E"/>
    <w:rsid w:val="004E7B1D"/>
    <w:rsid w:val="004E7D70"/>
    <w:rsid w:val="004E7E14"/>
    <w:rsid w:val="004E7E6A"/>
    <w:rsid w:val="004E7FAB"/>
    <w:rsid w:val="004F0373"/>
    <w:rsid w:val="004F0474"/>
    <w:rsid w:val="004F0495"/>
    <w:rsid w:val="004F049D"/>
    <w:rsid w:val="004F0583"/>
    <w:rsid w:val="004F06B6"/>
    <w:rsid w:val="004F0732"/>
    <w:rsid w:val="004F0827"/>
    <w:rsid w:val="004F08F8"/>
    <w:rsid w:val="004F0921"/>
    <w:rsid w:val="004F0989"/>
    <w:rsid w:val="004F0B6C"/>
    <w:rsid w:val="004F0BEE"/>
    <w:rsid w:val="004F0C68"/>
    <w:rsid w:val="004F0D3E"/>
    <w:rsid w:val="004F1017"/>
    <w:rsid w:val="004F14B9"/>
    <w:rsid w:val="004F1544"/>
    <w:rsid w:val="004F1771"/>
    <w:rsid w:val="004F18ED"/>
    <w:rsid w:val="004F1959"/>
    <w:rsid w:val="004F1A76"/>
    <w:rsid w:val="004F1D48"/>
    <w:rsid w:val="004F1DE2"/>
    <w:rsid w:val="004F1F9C"/>
    <w:rsid w:val="004F1FC1"/>
    <w:rsid w:val="004F1FC4"/>
    <w:rsid w:val="004F2050"/>
    <w:rsid w:val="004F2115"/>
    <w:rsid w:val="004F2414"/>
    <w:rsid w:val="004F249B"/>
    <w:rsid w:val="004F24FE"/>
    <w:rsid w:val="004F2619"/>
    <w:rsid w:val="004F278E"/>
    <w:rsid w:val="004F28DD"/>
    <w:rsid w:val="004F29E3"/>
    <w:rsid w:val="004F2AC2"/>
    <w:rsid w:val="004F2CD9"/>
    <w:rsid w:val="004F2ED7"/>
    <w:rsid w:val="004F3147"/>
    <w:rsid w:val="004F3340"/>
    <w:rsid w:val="004F3389"/>
    <w:rsid w:val="004F352C"/>
    <w:rsid w:val="004F358B"/>
    <w:rsid w:val="004F3680"/>
    <w:rsid w:val="004F36DB"/>
    <w:rsid w:val="004F3735"/>
    <w:rsid w:val="004F3749"/>
    <w:rsid w:val="004F3760"/>
    <w:rsid w:val="004F37A7"/>
    <w:rsid w:val="004F3A2A"/>
    <w:rsid w:val="004F3A76"/>
    <w:rsid w:val="004F3B82"/>
    <w:rsid w:val="004F3C92"/>
    <w:rsid w:val="004F3F3F"/>
    <w:rsid w:val="004F3F97"/>
    <w:rsid w:val="004F407F"/>
    <w:rsid w:val="004F455E"/>
    <w:rsid w:val="004F4582"/>
    <w:rsid w:val="004F45D3"/>
    <w:rsid w:val="004F462A"/>
    <w:rsid w:val="004F4708"/>
    <w:rsid w:val="004F47F0"/>
    <w:rsid w:val="004F48BB"/>
    <w:rsid w:val="004F4B72"/>
    <w:rsid w:val="004F4CA4"/>
    <w:rsid w:val="004F4CED"/>
    <w:rsid w:val="004F4D05"/>
    <w:rsid w:val="004F4D28"/>
    <w:rsid w:val="004F4E1C"/>
    <w:rsid w:val="004F4F59"/>
    <w:rsid w:val="004F5108"/>
    <w:rsid w:val="004F5398"/>
    <w:rsid w:val="004F5407"/>
    <w:rsid w:val="004F5683"/>
    <w:rsid w:val="004F58BD"/>
    <w:rsid w:val="004F58FB"/>
    <w:rsid w:val="004F593D"/>
    <w:rsid w:val="004F5968"/>
    <w:rsid w:val="004F5B68"/>
    <w:rsid w:val="004F5DFB"/>
    <w:rsid w:val="004F60E3"/>
    <w:rsid w:val="004F6113"/>
    <w:rsid w:val="004F6199"/>
    <w:rsid w:val="004F61C1"/>
    <w:rsid w:val="004F6222"/>
    <w:rsid w:val="004F6363"/>
    <w:rsid w:val="004F63A9"/>
    <w:rsid w:val="004F64D5"/>
    <w:rsid w:val="004F657A"/>
    <w:rsid w:val="004F6710"/>
    <w:rsid w:val="004F67E1"/>
    <w:rsid w:val="004F6880"/>
    <w:rsid w:val="004F6B3A"/>
    <w:rsid w:val="004F6D74"/>
    <w:rsid w:val="004F6FD4"/>
    <w:rsid w:val="004F7035"/>
    <w:rsid w:val="004F7098"/>
    <w:rsid w:val="004F7125"/>
    <w:rsid w:val="004F715A"/>
    <w:rsid w:val="004F717F"/>
    <w:rsid w:val="004F72FC"/>
    <w:rsid w:val="004F740A"/>
    <w:rsid w:val="004F7448"/>
    <w:rsid w:val="004F755D"/>
    <w:rsid w:val="004F75D5"/>
    <w:rsid w:val="004F770C"/>
    <w:rsid w:val="004F795F"/>
    <w:rsid w:val="004F7BC6"/>
    <w:rsid w:val="004F7BE4"/>
    <w:rsid w:val="004F7C58"/>
    <w:rsid w:val="004F7E50"/>
    <w:rsid w:val="005000B9"/>
    <w:rsid w:val="00500210"/>
    <w:rsid w:val="00500227"/>
    <w:rsid w:val="005002D9"/>
    <w:rsid w:val="005002F7"/>
    <w:rsid w:val="005003AF"/>
    <w:rsid w:val="005004B2"/>
    <w:rsid w:val="00500506"/>
    <w:rsid w:val="00500740"/>
    <w:rsid w:val="005007BF"/>
    <w:rsid w:val="005007C6"/>
    <w:rsid w:val="005008E2"/>
    <w:rsid w:val="00500AFF"/>
    <w:rsid w:val="00500B88"/>
    <w:rsid w:val="00500C51"/>
    <w:rsid w:val="00500CB1"/>
    <w:rsid w:val="00500D2F"/>
    <w:rsid w:val="00500D72"/>
    <w:rsid w:val="00500E5F"/>
    <w:rsid w:val="00500EA6"/>
    <w:rsid w:val="00500F22"/>
    <w:rsid w:val="00500F6C"/>
    <w:rsid w:val="00500FE2"/>
    <w:rsid w:val="00501010"/>
    <w:rsid w:val="0050107E"/>
    <w:rsid w:val="0050119A"/>
    <w:rsid w:val="005014DE"/>
    <w:rsid w:val="00501588"/>
    <w:rsid w:val="00501628"/>
    <w:rsid w:val="005016C4"/>
    <w:rsid w:val="005017E7"/>
    <w:rsid w:val="00501995"/>
    <w:rsid w:val="005019C6"/>
    <w:rsid w:val="00501B3F"/>
    <w:rsid w:val="00501D2C"/>
    <w:rsid w:val="00501E33"/>
    <w:rsid w:val="00501EBE"/>
    <w:rsid w:val="005021B7"/>
    <w:rsid w:val="00502501"/>
    <w:rsid w:val="00502966"/>
    <w:rsid w:val="00502B88"/>
    <w:rsid w:val="00502DC9"/>
    <w:rsid w:val="00502E0E"/>
    <w:rsid w:val="00503090"/>
    <w:rsid w:val="005031D8"/>
    <w:rsid w:val="005033CB"/>
    <w:rsid w:val="00503402"/>
    <w:rsid w:val="00503412"/>
    <w:rsid w:val="005035FF"/>
    <w:rsid w:val="00503624"/>
    <w:rsid w:val="005036F1"/>
    <w:rsid w:val="00503833"/>
    <w:rsid w:val="00503B3A"/>
    <w:rsid w:val="00503B4D"/>
    <w:rsid w:val="00503C47"/>
    <w:rsid w:val="00503D4E"/>
    <w:rsid w:val="00503D89"/>
    <w:rsid w:val="00503D9D"/>
    <w:rsid w:val="00503DB0"/>
    <w:rsid w:val="00503DC2"/>
    <w:rsid w:val="00504023"/>
    <w:rsid w:val="0050409F"/>
    <w:rsid w:val="0050418E"/>
    <w:rsid w:val="00504213"/>
    <w:rsid w:val="0050427E"/>
    <w:rsid w:val="00504441"/>
    <w:rsid w:val="0050453D"/>
    <w:rsid w:val="00504562"/>
    <w:rsid w:val="0050456E"/>
    <w:rsid w:val="00504575"/>
    <w:rsid w:val="005046B8"/>
    <w:rsid w:val="00504A85"/>
    <w:rsid w:val="00504B56"/>
    <w:rsid w:val="00504C4B"/>
    <w:rsid w:val="00504C60"/>
    <w:rsid w:val="00504D6D"/>
    <w:rsid w:val="00504EBF"/>
    <w:rsid w:val="00504FF0"/>
    <w:rsid w:val="005051AE"/>
    <w:rsid w:val="00505278"/>
    <w:rsid w:val="0050552D"/>
    <w:rsid w:val="00505632"/>
    <w:rsid w:val="0050579E"/>
    <w:rsid w:val="0050589A"/>
    <w:rsid w:val="00505B3C"/>
    <w:rsid w:val="00505C32"/>
    <w:rsid w:val="00505CFA"/>
    <w:rsid w:val="00505E47"/>
    <w:rsid w:val="00506158"/>
    <w:rsid w:val="0050631C"/>
    <w:rsid w:val="00506633"/>
    <w:rsid w:val="0050676F"/>
    <w:rsid w:val="005067EA"/>
    <w:rsid w:val="00506C01"/>
    <w:rsid w:val="00507006"/>
    <w:rsid w:val="0050712E"/>
    <w:rsid w:val="005071A4"/>
    <w:rsid w:val="0050745F"/>
    <w:rsid w:val="005074FF"/>
    <w:rsid w:val="00507A79"/>
    <w:rsid w:val="00507AD3"/>
    <w:rsid w:val="00507B11"/>
    <w:rsid w:val="00507DF1"/>
    <w:rsid w:val="00507E0C"/>
    <w:rsid w:val="00507F8A"/>
    <w:rsid w:val="00510079"/>
    <w:rsid w:val="005102CD"/>
    <w:rsid w:val="005102D0"/>
    <w:rsid w:val="00510394"/>
    <w:rsid w:val="0051063C"/>
    <w:rsid w:val="00510675"/>
    <w:rsid w:val="00510789"/>
    <w:rsid w:val="00510853"/>
    <w:rsid w:val="00510AA7"/>
    <w:rsid w:val="00510D76"/>
    <w:rsid w:val="00510D80"/>
    <w:rsid w:val="00510FFB"/>
    <w:rsid w:val="00511204"/>
    <w:rsid w:val="00511653"/>
    <w:rsid w:val="00511770"/>
    <w:rsid w:val="005117FA"/>
    <w:rsid w:val="00511800"/>
    <w:rsid w:val="00511808"/>
    <w:rsid w:val="00511873"/>
    <w:rsid w:val="00511B1E"/>
    <w:rsid w:val="00511EDA"/>
    <w:rsid w:val="00511EF9"/>
    <w:rsid w:val="00511F09"/>
    <w:rsid w:val="00511F40"/>
    <w:rsid w:val="00512211"/>
    <w:rsid w:val="00512249"/>
    <w:rsid w:val="0051224A"/>
    <w:rsid w:val="0051246D"/>
    <w:rsid w:val="005125C0"/>
    <w:rsid w:val="0051272B"/>
    <w:rsid w:val="005128A2"/>
    <w:rsid w:val="005128EB"/>
    <w:rsid w:val="00512967"/>
    <w:rsid w:val="00512980"/>
    <w:rsid w:val="00512AA2"/>
    <w:rsid w:val="00512B56"/>
    <w:rsid w:val="00512E17"/>
    <w:rsid w:val="005133F9"/>
    <w:rsid w:val="005134E8"/>
    <w:rsid w:val="0051369B"/>
    <w:rsid w:val="0051371A"/>
    <w:rsid w:val="00513755"/>
    <w:rsid w:val="00513855"/>
    <w:rsid w:val="00513978"/>
    <w:rsid w:val="0051397A"/>
    <w:rsid w:val="005139C9"/>
    <w:rsid w:val="00513B81"/>
    <w:rsid w:val="00513BE2"/>
    <w:rsid w:val="00513DBC"/>
    <w:rsid w:val="00513FFE"/>
    <w:rsid w:val="00514055"/>
    <w:rsid w:val="0051408B"/>
    <w:rsid w:val="005141B0"/>
    <w:rsid w:val="005141B5"/>
    <w:rsid w:val="0051454F"/>
    <w:rsid w:val="0051459B"/>
    <w:rsid w:val="00514695"/>
    <w:rsid w:val="00514873"/>
    <w:rsid w:val="005149D2"/>
    <w:rsid w:val="00514B18"/>
    <w:rsid w:val="00514C3E"/>
    <w:rsid w:val="00514DCE"/>
    <w:rsid w:val="00514DF0"/>
    <w:rsid w:val="00514E9E"/>
    <w:rsid w:val="0051502E"/>
    <w:rsid w:val="0051506A"/>
    <w:rsid w:val="0051514C"/>
    <w:rsid w:val="005151B6"/>
    <w:rsid w:val="00515325"/>
    <w:rsid w:val="005153D8"/>
    <w:rsid w:val="00515483"/>
    <w:rsid w:val="00515521"/>
    <w:rsid w:val="0051557B"/>
    <w:rsid w:val="005155D2"/>
    <w:rsid w:val="00515682"/>
    <w:rsid w:val="005156DD"/>
    <w:rsid w:val="005158CE"/>
    <w:rsid w:val="00515A98"/>
    <w:rsid w:val="00515AEB"/>
    <w:rsid w:val="00515C69"/>
    <w:rsid w:val="00515EB8"/>
    <w:rsid w:val="00516013"/>
    <w:rsid w:val="0051603C"/>
    <w:rsid w:val="005160BF"/>
    <w:rsid w:val="0051628A"/>
    <w:rsid w:val="0051636C"/>
    <w:rsid w:val="0051646B"/>
    <w:rsid w:val="0051667B"/>
    <w:rsid w:val="005166B6"/>
    <w:rsid w:val="005166EA"/>
    <w:rsid w:val="00516760"/>
    <w:rsid w:val="00516A15"/>
    <w:rsid w:val="00516AB2"/>
    <w:rsid w:val="00516BB0"/>
    <w:rsid w:val="00516CB5"/>
    <w:rsid w:val="00516EE1"/>
    <w:rsid w:val="00516F5E"/>
    <w:rsid w:val="005170D8"/>
    <w:rsid w:val="005171F5"/>
    <w:rsid w:val="005172CE"/>
    <w:rsid w:val="00517390"/>
    <w:rsid w:val="00517393"/>
    <w:rsid w:val="005174E9"/>
    <w:rsid w:val="005176FE"/>
    <w:rsid w:val="00517938"/>
    <w:rsid w:val="00517A21"/>
    <w:rsid w:val="00517BB3"/>
    <w:rsid w:val="00517C38"/>
    <w:rsid w:val="00517DD8"/>
    <w:rsid w:val="00517E88"/>
    <w:rsid w:val="00520111"/>
    <w:rsid w:val="00520135"/>
    <w:rsid w:val="0052013D"/>
    <w:rsid w:val="005201B5"/>
    <w:rsid w:val="0052033D"/>
    <w:rsid w:val="00520565"/>
    <w:rsid w:val="005207C4"/>
    <w:rsid w:val="00520876"/>
    <w:rsid w:val="0052091D"/>
    <w:rsid w:val="00520F79"/>
    <w:rsid w:val="00521004"/>
    <w:rsid w:val="00521185"/>
    <w:rsid w:val="00521214"/>
    <w:rsid w:val="0052146B"/>
    <w:rsid w:val="005214F1"/>
    <w:rsid w:val="005214FA"/>
    <w:rsid w:val="005215B7"/>
    <w:rsid w:val="00521833"/>
    <w:rsid w:val="0052196B"/>
    <w:rsid w:val="005219A0"/>
    <w:rsid w:val="005219D1"/>
    <w:rsid w:val="00521BA8"/>
    <w:rsid w:val="00521BEB"/>
    <w:rsid w:val="00521C06"/>
    <w:rsid w:val="00521DCB"/>
    <w:rsid w:val="00521E0B"/>
    <w:rsid w:val="00521EB2"/>
    <w:rsid w:val="00521F26"/>
    <w:rsid w:val="005227CC"/>
    <w:rsid w:val="00522849"/>
    <w:rsid w:val="00522876"/>
    <w:rsid w:val="005228E2"/>
    <w:rsid w:val="00522941"/>
    <w:rsid w:val="00522A30"/>
    <w:rsid w:val="00522B5E"/>
    <w:rsid w:val="00522D8E"/>
    <w:rsid w:val="00522ED8"/>
    <w:rsid w:val="00523091"/>
    <w:rsid w:val="0052317F"/>
    <w:rsid w:val="005231D1"/>
    <w:rsid w:val="00523210"/>
    <w:rsid w:val="005232AD"/>
    <w:rsid w:val="005232AF"/>
    <w:rsid w:val="0052340C"/>
    <w:rsid w:val="00523480"/>
    <w:rsid w:val="00523522"/>
    <w:rsid w:val="005235AC"/>
    <w:rsid w:val="005235DA"/>
    <w:rsid w:val="00523E92"/>
    <w:rsid w:val="00523FC5"/>
    <w:rsid w:val="0052409E"/>
    <w:rsid w:val="00524307"/>
    <w:rsid w:val="0052444D"/>
    <w:rsid w:val="0052449B"/>
    <w:rsid w:val="00524688"/>
    <w:rsid w:val="00524698"/>
    <w:rsid w:val="00524721"/>
    <w:rsid w:val="00524725"/>
    <w:rsid w:val="0052475B"/>
    <w:rsid w:val="00524A75"/>
    <w:rsid w:val="00524B16"/>
    <w:rsid w:val="00524ED9"/>
    <w:rsid w:val="00524F36"/>
    <w:rsid w:val="00524FCB"/>
    <w:rsid w:val="00525029"/>
    <w:rsid w:val="0052510A"/>
    <w:rsid w:val="005251A2"/>
    <w:rsid w:val="005253CF"/>
    <w:rsid w:val="005253E9"/>
    <w:rsid w:val="00525504"/>
    <w:rsid w:val="0052566F"/>
    <w:rsid w:val="00525BA9"/>
    <w:rsid w:val="00525C88"/>
    <w:rsid w:val="00525CA8"/>
    <w:rsid w:val="00525D44"/>
    <w:rsid w:val="00525F28"/>
    <w:rsid w:val="00525FA8"/>
    <w:rsid w:val="00525FDE"/>
    <w:rsid w:val="0052600A"/>
    <w:rsid w:val="00526044"/>
    <w:rsid w:val="0052613D"/>
    <w:rsid w:val="0052620F"/>
    <w:rsid w:val="00526497"/>
    <w:rsid w:val="005266B0"/>
    <w:rsid w:val="005269AD"/>
    <w:rsid w:val="00526B30"/>
    <w:rsid w:val="00526C85"/>
    <w:rsid w:val="00526D59"/>
    <w:rsid w:val="00526E04"/>
    <w:rsid w:val="00526EB5"/>
    <w:rsid w:val="00526F2E"/>
    <w:rsid w:val="00526F86"/>
    <w:rsid w:val="00527004"/>
    <w:rsid w:val="00527031"/>
    <w:rsid w:val="005271BC"/>
    <w:rsid w:val="00527359"/>
    <w:rsid w:val="0052736C"/>
    <w:rsid w:val="005273B7"/>
    <w:rsid w:val="00527440"/>
    <w:rsid w:val="005275BA"/>
    <w:rsid w:val="005277B7"/>
    <w:rsid w:val="005279B9"/>
    <w:rsid w:val="00527ADE"/>
    <w:rsid w:val="00527B3D"/>
    <w:rsid w:val="00527CB0"/>
    <w:rsid w:val="00527CCB"/>
    <w:rsid w:val="00527D4B"/>
    <w:rsid w:val="00527EA7"/>
    <w:rsid w:val="00527ED5"/>
    <w:rsid w:val="00527FB5"/>
    <w:rsid w:val="00530024"/>
    <w:rsid w:val="00530068"/>
    <w:rsid w:val="005301A9"/>
    <w:rsid w:val="00530216"/>
    <w:rsid w:val="0053034C"/>
    <w:rsid w:val="00530350"/>
    <w:rsid w:val="0053037E"/>
    <w:rsid w:val="0053038C"/>
    <w:rsid w:val="0053043B"/>
    <w:rsid w:val="005305BD"/>
    <w:rsid w:val="0053064C"/>
    <w:rsid w:val="005306A4"/>
    <w:rsid w:val="005308ED"/>
    <w:rsid w:val="00530A2A"/>
    <w:rsid w:val="00530B2B"/>
    <w:rsid w:val="00530BA1"/>
    <w:rsid w:val="00530D77"/>
    <w:rsid w:val="00530E78"/>
    <w:rsid w:val="00530FC8"/>
    <w:rsid w:val="0053106A"/>
    <w:rsid w:val="005310C9"/>
    <w:rsid w:val="005311E7"/>
    <w:rsid w:val="0053123C"/>
    <w:rsid w:val="005312E6"/>
    <w:rsid w:val="005314D4"/>
    <w:rsid w:val="00531519"/>
    <w:rsid w:val="0053166F"/>
    <w:rsid w:val="0053171C"/>
    <w:rsid w:val="00531762"/>
    <w:rsid w:val="005317C3"/>
    <w:rsid w:val="005319A5"/>
    <w:rsid w:val="00531AE6"/>
    <w:rsid w:val="00531AF1"/>
    <w:rsid w:val="00531ED4"/>
    <w:rsid w:val="00531EF5"/>
    <w:rsid w:val="00532029"/>
    <w:rsid w:val="00532074"/>
    <w:rsid w:val="00532277"/>
    <w:rsid w:val="0053228B"/>
    <w:rsid w:val="005325B1"/>
    <w:rsid w:val="00532616"/>
    <w:rsid w:val="005327DB"/>
    <w:rsid w:val="0053283E"/>
    <w:rsid w:val="005329CC"/>
    <w:rsid w:val="00532B37"/>
    <w:rsid w:val="00532B7D"/>
    <w:rsid w:val="00532D83"/>
    <w:rsid w:val="00532EA1"/>
    <w:rsid w:val="00532FBA"/>
    <w:rsid w:val="00533258"/>
    <w:rsid w:val="0053350F"/>
    <w:rsid w:val="005336D9"/>
    <w:rsid w:val="005337F3"/>
    <w:rsid w:val="005339A4"/>
    <w:rsid w:val="00533A8C"/>
    <w:rsid w:val="00533BFE"/>
    <w:rsid w:val="00533DF1"/>
    <w:rsid w:val="00533F12"/>
    <w:rsid w:val="00534308"/>
    <w:rsid w:val="005346E4"/>
    <w:rsid w:val="00534771"/>
    <w:rsid w:val="005347B6"/>
    <w:rsid w:val="00534939"/>
    <w:rsid w:val="00534A19"/>
    <w:rsid w:val="00534A42"/>
    <w:rsid w:val="00534C26"/>
    <w:rsid w:val="00534C45"/>
    <w:rsid w:val="00534CE8"/>
    <w:rsid w:val="00534DFC"/>
    <w:rsid w:val="00534E04"/>
    <w:rsid w:val="00534EAE"/>
    <w:rsid w:val="0053509C"/>
    <w:rsid w:val="0053518A"/>
    <w:rsid w:val="005352A5"/>
    <w:rsid w:val="005354A2"/>
    <w:rsid w:val="00535557"/>
    <w:rsid w:val="0053558A"/>
    <w:rsid w:val="0053564B"/>
    <w:rsid w:val="0053564F"/>
    <w:rsid w:val="005356F0"/>
    <w:rsid w:val="00535900"/>
    <w:rsid w:val="00535A80"/>
    <w:rsid w:val="00535C22"/>
    <w:rsid w:val="00535E2A"/>
    <w:rsid w:val="00535F1B"/>
    <w:rsid w:val="00535F93"/>
    <w:rsid w:val="0053609A"/>
    <w:rsid w:val="0053630F"/>
    <w:rsid w:val="0053641B"/>
    <w:rsid w:val="00536451"/>
    <w:rsid w:val="00536453"/>
    <w:rsid w:val="005364B0"/>
    <w:rsid w:val="005365FE"/>
    <w:rsid w:val="0053673B"/>
    <w:rsid w:val="00536780"/>
    <w:rsid w:val="005368DA"/>
    <w:rsid w:val="005369B6"/>
    <w:rsid w:val="005369C6"/>
    <w:rsid w:val="00536A72"/>
    <w:rsid w:val="00536AEE"/>
    <w:rsid w:val="00536E1F"/>
    <w:rsid w:val="00536EB7"/>
    <w:rsid w:val="00536F74"/>
    <w:rsid w:val="005371A9"/>
    <w:rsid w:val="0053722F"/>
    <w:rsid w:val="005372B0"/>
    <w:rsid w:val="005373C8"/>
    <w:rsid w:val="00537470"/>
    <w:rsid w:val="00537488"/>
    <w:rsid w:val="00537519"/>
    <w:rsid w:val="005375F5"/>
    <w:rsid w:val="00537617"/>
    <w:rsid w:val="00537620"/>
    <w:rsid w:val="005376B4"/>
    <w:rsid w:val="005377B1"/>
    <w:rsid w:val="005378C9"/>
    <w:rsid w:val="005378FC"/>
    <w:rsid w:val="00537979"/>
    <w:rsid w:val="00537A2F"/>
    <w:rsid w:val="00537A96"/>
    <w:rsid w:val="00537ACE"/>
    <w:rsid w:val="00537B53"/>
    <w:rsid w:val="00537D51"/>
    <w:rsid w:val="00537DC2"/>
    <w:rsid w:val="00537DFA"/>
    <w:rsid w:val="00537E35"/>
    <w:rsid w:val="0054008C"/>
    <w:rsid w:val="00540185"/>
    <w:rsid w:val="005402B5"/>
    <w:rsid w:val="005409A4"/>
    <w:rsid w:val="00540B04"/>
    <w:rsid w:val="00540C6E"/>
    <w:rsid w:val="00540C88"/>
    <w:rsid w:val="00540CC9"/>
    <w:rsid w:val="00540CEA"/>
    <w:rsid w:val="00540D21"/>
    <w:rsid w:val="00540D65"/>
    <w:rsid w:val="00540DC9"/>
    <w:rsid w:val="00540E3C"/>
    <w:rsid w:val="00540ECD"/>
    <w:rsid w:val="00540F60"/>
    <w:rsid w:val="00540F63"/>
    <w:rsid w:val="00541362"/>
    <w:rsid w:val="005413FA"/>
    <w:rsid w:val="0054142F"/>
    <w:rsid w:val="00541E69"/>
    <w:rsid w:val="00541FD4"/>
    <w:rsid w:val="00542044"/>
    <w:rsid w:val="005420FC"/>
    <w:rsid w:val="005423EC"/>
    <w:rsid w:val="005424DC"/>
    <w:rsid w:val="0054258E"/>
    <w:rsid w:val="00542598"/>
    <w:rsid w:val="00542722"/>
    <w:rsid w:val="00542852"/>
    <w:rsid w:val="005429C4"/>
    <w:rsid w:val="00542BC0"/>
    <w:rsid w:val="00542C0D"/>
    <w:rsid w:val="0054302B"/>
    <w:rsid w:val="00543351"/>
    <w:rsid w:val="005433C7"/>
    <w:rsid w:val="00543415"/>
    <w:rsid w:val="00543456"/>
    <w:rsid w:val="005436FA"/>
    <w:rsid w:val="005437CD"/>
    <w:rsid w:val="00543970"/>
    <w:rsid w:val="00543995"/>
    <w:rsid w:val="005439A4"/>
    <w:rsid w:val="00543A2D"/>
    <w:rsid w:val="00543B56"/>
    <w:rsid w:val="00543D25"/>
    <w:rsid w:val="00543DCC"/>
    <w:rsid w:val="00543E59"/>
    <w:rsid w:val="00543E5C"/>
    <w:rsid w:val="00543F22"/>
    <w:rsid w:val="00544043"/>
    <w:rsid w:val="00544263"/>
    <w:rsid w:val="00544300"/>
    <w:rsid w:val="00544420"/>
    <w:rsid w:val="005445A4"/>
    <w:rsid w:val="00544B6B"/>
    <w:rsid w:val="00544D59"/>
    <w:rsid w:val="00544E0B"/>
    <w:rsid w:val="00544F1C"/>
    <w:rsid w:val="0054504E"/>
    <w:rsid w:val="00545561"/>
    <w:rsid w:val="00545578"/>
    <w:rsid w:val="005456BC"/>
    <w:rsid w:val="00545793"/>
    <w:rsid w:val="0054581C"/>
    <w:rsid w:val="005458E1"/>
    <w:rsid w:val="00545937"/>
    <w:rsid w:val="0054597B"/>
    <w:rsid w:val="00545995"/>
    <w:rsid w:val="005459FF"/>
    <w:rsid w:val="00545BCD"/>
    <w:rsid w:val="00545C5E"/>
    <w:rsid w:val="00545D23"/>
    <w:rsid w:val="00545DC7"/>
    <w:rsid w:val="00545F07"/>
    <w:rsid w:val="00545F2F"/>
    <w:rsid w:val="00545FB8"/>
    <w:rsid w:val="00546118"/>
    <w:rsid w:val="0054641F"/>
    <w:rsid w:val="005464EE"/>
    <w:rsid w:val="005465DE"/>
    <w:rsid w:val="0054677F"/>
    <w:rsid w:val="005467F6"/>
    <w:rsid w:val="005468FC"/>
    <w:rsid w:val="00546BB3"/>
    <w:rsid w:val="00546C14"/>
    <w:rsid w:val="00546CA4"/>
    <w:rsid w:val="00546E34"/>
    <w:rsid w:val="00546EDF"/>
    <w:rsid w:val="00547026"/>
    <w:rsid w:val="00547043"/>
    <w:rsid w:val="0054711B"/>
    <w:rsid w:val="0054715D"/>
    <w:rsid w:val="005471AC"/>
    <w:rsid w:val="00547292"/>
    <w:rsid w:val="0054751B"/>
    <w:rsid w:val="00547A14"/>
    <w:rsid w:val="00547B29"/>
    <w:rsid w:val="00547EF3"/>
    <w:rsid w:val="00547F5B"/>
    <w:rsid w:val="005500D4"/>
    <w:rsid w:val="00550281"/>
    <w:rsid w:val="005503CE"/>
    <w:rsid w:val="005503D4"/>
    <w:rsid w:val="005504E3"/>
    <w:rsid w:val="005505ED"/>
    <w:rsid w:val="005507D4"/>
    <w:rsid w:val="00550ABB"/>
    <w:rsid w:val="00550AF1"/>
    <w:rsid w:val="00550DBB"/>
    <w:rsid w:val="00550DDC"/>
    <w:rsid w:val="00550E9E"/>
    <w:rsid w:val="005511E1"/>
    <w:rsid w:val="00551271"/>
    <w:rsid w:val="0055137B"/>
    <w:rsid w:val="005513E7"/>
    <w:rsid w:val="005515A3"/>
    <w:rsid w:val="00551600"/>
    <w:rsid w:val="0055163E"/>
    <w:rsid w:val="005516C4"/>
    <w:rsid w:val="0055173A"/>
    <w:rsid w:val="005518E3"/>
    <w:rsid w:val="00551A64"/>
    <w:rsid w:val="00551ACE"/>
    <w:rsid w:val="00551B0B"/>
    <w:rsid w:val="00551CB9"/>
    <w:rsid w:val="00551E50"/>
    <w:rsid w:val="00551F8A"/>
    <w:rsid w:val="0055204E"/>
    <w:rsid w:val="00552082"/>
    <w:rsid w:val="0055215D"/>
    <w:rsid w:val="005521D5"/>
    <w:rsid w:val="00552241"/>
    <w:rsid w:val="005523CA"/>
    <w:rsid w:val="00552414"/>
    <w:rsid w:val="0055272A"/>
    <w:rsid w:val="0055288E"/>
    <w:rsid w:val="0055297D"/>
    <w:rsid w:val="00552994"/>
    <w:rsid w:val="00552AEA"/>
    <w:rsid w:val="00552C3D"/>
    <w:rsid w:val="00552C68"/>
    <w:rsid w:val="00552C9E"/>
    <w:rsid w:val="00552E9E"/>
    <w:rsid w:val="00552F14"/>
    <w:rsid w:val="00552F7F"/>
    <w:rsid w:val="0055318D"/>
    <w:rsid w:val="005532E0"/>
    <w:rsid w:val="00553366"/>
    <w:rsid w:val="00553484"/>
    <w:rsid w:val="005535F2"/>
    <w:rsid w:val="00553697"/>
    <w:rsid w:val="00553A71"/>
    <w:rsid w:val="00553AC7"/>
    <w:rsid w:val="00553D3A"/>
    <w:rsid w:val="005543FC"/>
    <w:rsid w:val="005545A1"/>
    <w:rsid w:val="00554BD2"/>
    <w:rsid w:val="00554D1B"/>
    <w:rsid w:val="00554E09"/>
    <w:rsid w:val="00555072"/>
    <w:rsid w:val="005552D0"/>
    <w:rsid w:val="00555357"/>
    <w:rsid w:val="005553AF"/>
    <w:rsid w:val="00555467"/>
    <w:rsid w:val="005554C3"/>
    <w:rsid w:val="00555858"/>
    <w:rsid w:val="00555866"/>
    <w:rsid w:val="0055591E"/>
    <w:rsid w:val="00555980"/>
    <w:rsid w:val="005559D2"/>
    <w:rsid w:val="00555A35"/>
    <w:rsid w:val="00555BEB"/>
    <w:rsid w:val="00555E7B"/>
    <w:rsid w:val="00555EA3"/>
    <w:rsid w:val="0055605B"/>
    <w:rsid w:val="00556179"/>
    <w:rsid w:val="00556301"/>
    <w:rsid w:val="00556F14"/>
    <w:rsid w:val="00556F5D"/>
    <w:rsid w:val="0055712A"/>
    <w:rsid w:val="0055715C"/>
    <w:rsid w:val="005571A6"/>
    <w:rsid w:val="005572DD"/>
    <w:rsid w:val="00557418"/>
    <w:rsid w:val="00557665"/>
    <w:rsid w:val="005576DD"/>
    <w:rsid w:val="0055778B"/>
    <w:rsid w:val="005577CF"/>
    <w:rsid w:val="00557826"/>
    <w:rsid w:val="00557982"/>
    <w:rsid w:val="00557BFF"/>
    <w:rsid w:val="00557C61"/>
    <w:rsid w:val="00557D1F"/>
    <w:rsid w:val="00557D43"/>
    <w:rsid w:val="00557E38"/>
    <w:rsid w:val="00560005"/>
    <w:rsid w:val="00560383"/>
    <w:rsid w:val="00560639"/>
    <w:rsid w:val="005606C7"/>
    <w:rsid w:val="00560749"/>
    <w:rsid w:val="0056080C"/>
    <w:rsid w:val="00560B9D"/>
    <w:rsid w:val="00560CFD"/>
    <w:rsid w:val="00560F64"/>
    <w:rsid w:val="005611EB"/>
    <w:rsid w:val="005614AF"/>
    <w:rsid w:val="005618FA"/>
    <w:rsid w:val="0056196D"/>
    <w:rsid w:val="00561A5D"/>
    <w:rsid w:val="00561A74"/>
    <w:rsid w:val="00561A88"/>
    <w:rsid w:val="00561AD9"/>
    <w:rsid w:val="00561CBA"/>
    <w:rsid w:val="00561D0E"/>
    <w:rsid w:val="00561DD3"/>
    <w:rsid w:val="00561F4A"/>
    <w:rsid w:val="005621E2"/>
    <w:rsid w:val="00562267"/>
    <w:rsid w:val="0056230D"/>
    <w:rsid w:val="00562375"/>
    <w:rsid w:val="00562644"/>
    <w:rsid w:val="005627BD"/>
    <w:rsid w:val="00562989"/>
    <w:rsid w:val="00562CC6"/>
    <w:rsid w:val="00562E91"/>
    <w:rsid w:val="00562EFC"/>
    <w:rsid w:val="00563047"/>
    <w:rsid w:val="00563141"/>
    <w:rsid w:val="00563300"/>
    <w:rsid w:val="005633E9"/>
    <w:rsid w:val="005633FC"/>
    <w:rsid w:val="00563477"/>
    <w:rsid w:val="0056357A"/>
    <w:rsid w:val="005636B4"/>
    <w:rsid w:val="0056389A"/>
    <w:rsid w:val="005639D1"/>
    <w:rsid w:val="00563AC7"/>
    <w:rsid w:val="00563B7E"/>
    <w:rsid w:val="00563B97"/>
    <w:rsid w:val="00563C2A"/>
    <w:rsid w:val="00563C5C"/>
    <w:rsid w:val="00563DFB"/>
    <w:rsid w:val="00563E68"/>
    <w:rsid w:val="00563FE1"/>
    <w:rsid w:val="00564117"/>
    <w:rsid w:val="00564333"/>
    <w:rsid w:val="00564523"/>
    <w:rsid w:val="00564539"/>
    <w:rsid w:val="005645CD"/>
    <w:rsid w:val="005645FE"/>
    <w:rsid w:val="00564620"/>
    <w:rsid w:val="00564652"/>
    <w:rsid w:val="005647AA"/>
    <w:rsid w:val="005648DC"/>
    <w:rsid w:val="00564963"/>
    <w:rsid w:val="00564B1D"/>
    <w:rsid w:val="00564BD5"/>
    <w:rsid w:val="00564D9B"/>
    <w:rsid w:val="00564E32"/>
    <w:rsid w:val="00564FC4"/>
    <w:rsid w:val="0056506B"/>
    <w:rsid w:val="005652FA"/>
    <w:rsid w:val="0056541B"/>
    <w:rsid w:val="005655D9"/>
    <w:rsid w:val="00565718"/>
    <w:rsid w:val="005657D9"/>
    <w:rsid w:val="00565810"/>
    <w:rsid w:val="00565A35"/>
    <w:rsid w:val="00565AE4"/>
    <w:rsid w:val="00565BF7"/>
    <w:rsid w:val="00565CC5"/>
    <w:rsid w:val="00565D3A"/>
    <w:rsid w:val="00565DF2"/>
    <w:rsid w:val="00565E20"/>
    <w:rsid w:val="00565E23"/>
    <w:rsid w:val="00566071"/>
    <w:rsid w:val="0056618B"/>
    <w:rsid w:val="005661CB"/>
    <w:rsid w:val="005663D0"/>
    <w:rsid w:val="00566422"/>
    <w:rsid w:val="0056653D"/>
    <w:rsid w:val="00566561"/>
    <w:rsid w:val="00566791"/>
    <w:rsid w:val="005668A3"/>
    <w:rsid w:val="005669C1"/>
    <w:rsid w:val="00566B52"/>
    <w:rsid w:val="00566B70"/>
    <w:rsid w:val="00566BD9"/>
    <w:rsid w:val="00566CAB"/>
    <w:rsid w:val="00566D4D"/>
    <w:rsid w:val="00566E23"/>
    <w:rsid w:val="00566EB0"/>
    <w:rsid w:val="00566F81"/>
    <w:rsid w:val="0056700F"/>
    <w:rsid w:val="005670BC"/>
    <w:rsid w:val="005672A4"/>
    <w:rsid w:val="005672F8"/>
    <w:rsid w:val="005673E8"/>
    <w:rsid w:val="00567566"/>
    <w:rsid w:val="005676C8"/>
    <w:rsid w:val="00567784"/>
    <w:rsid w:val="00567848"/>
    <w:rsid w:val="0056792C"/>
    <w:rsid w:val="00567B50"/>
    <w:rsid w:val="00567B82"/>
    <w:rsid w:val="00567F0A"/>
    <w:rsid w:val="00567F8F"/>
    <w:rsid w:val="00567F96"/>
    <w:rsid w:val="00567F9B"/>
    <w:rsid w:val="005700E4"/>
    <w:rsid w:val="00570261"/>
    <w:rsid w:val="005703B9"/>
    <w:rsid w:val="00570514"/>
    <w:rsid w:val="00570548"/>
    <w:rsid w:val="00570572"/>
    <w:rsid w:val="00570612"/>
    <w:rsid w:val="005707F4"/>
    <w:rsid w:val="00570892"/>
    <w:rsid w:val="00570954"/>
    <w:rsid w:val="00570B58"/>
    <w:rsid w:val="00570BDA"/>
    <w:rsid w:val="00570F39"/>
    <w:rsid w:val="00570F4E"/>
    <w:rsid w:val="00570F61"/>
    <w:rsid w:val="00571100"/>
    <w:rsid w:val="0057156B"/>
    <w:rsid w:val="00571618"/>
    <w:rsid w:val="00571658"/>
    <w:rsid w:val="0057175F"/>
    <w:rsid w:val="00571A70"/>
    <w:rsid w:val="00571C82"/>
    <w:rsid w:val="00571D41"/>
    <w:rsid w:val="00571F2C"/>
    <w:rsid w:val="00572033"/>
    <w:rsid w:val="005720D9"/>
    <w:rsid w:val="0057213A"/>
    <w:rsid w:val="00572166"/>
    <w:rsid w:val="005721FD"/>
    <w:rsid w:val="00572204"/>
    <w:rsid w:val="0057225E"/>
    <w:rsid w:val="005722D1"/>
    <w:rsid w:val="00572553"/>
    <w:rsid w:val="005725D9"/>
    <w:rsid w:val="0057262C"/>
    <w:rsid w:val="005726F4"/>
    <w:rsid w:val="005726FF"/>
    <w:rsid w:val="0057273A"/>
    <w:rsid w:val="0057274A"/>
    <w:rsid w:val="0057288D"/>
    <w:rsid w:val="00572DF3"/>
    <w:rsid w:val="005730AD"/>
    <w:rsid w:val="00573259"/>
    <w:rsid w:val="005733C9"/>
    <w:rsid w:val="00573422"/>
    <w:rsid w:val="005736D7"/>
    <w:rsid w:val="0057385B"/>
    <w:rsid w:val="005738B9"/>
    <w:rsid w:val="005739E9"/>
    <w:rsid w:val="00573B19"/>
    <w:rsid w:val="00573C46"/>
    <w:rsid w:val="00573C82"/>
    <w:rsid w:val="00573D2C"/>
    <w:rsid w:val="00573DF5"/>
    <w:rsid w:val="00573E55"/>
    <w:rsid w:val="00573F83"/>
    <w:rsid w:val="0057408C"/>
    <w:rsid w:val="00574091"/>
    <w:rsid w:val="00574124"/>
    <w:rsid w:val="00574172"/>
    <w:rsid w:val="00574208"/>
    <w:rsid w:val="005742CE"/>
    <w:rsid w:val="00574369"/>
    <w:rsid w:val="005743D8"/>
    <w:rsid w:val="0057477F"/>
    <w:rsid w:val="00574B1C"/>
    <w:rsid w:val="00574D74"/>
    <w:rsid w:val="00574DC8"/>
    <w:rsid w:val="00574E5C"/>
    <w:rsid w:val="00574EC9"/>
    <w:rsid w:val="00574FB2"/>
    <w:rsid w:val="00575135"/>
    <w:rsid w:val="005751C0"/>
    <w:rsid w:val="0057524F"/>
    <w:rsid w:val="00575386"/>
    <w:rsid w:val="0057544D"/>
    <w:rsid w:val="0057546C"/>
    <w:rsid w:val="0057553B"/>
    <w:rsid w:val="00575670"/>
    <w:rsid w:val="00575723"/>
    <w:rsid w:val="005757B9"/>
    <w:rsid w:val="0057583C"/>
    <w:rsid w:val="005759C9"/>
    <w:rsid w:val="00575BF7"/>
    <w:rsid w:val="00575EEA"/>
    <w:rsid w:val="00576152"/>
    <w:rsid w:val="0057615E"/>
    <w:rsid w:val="005761F9"/>
    <w:rsid w:val="00576235"/>
    <w:rsid w:val="00576247"/>
    <w:rsid w:val="005762F2"/>
    <w:rsid w:val="0057631A"/>
    <w:rsid w:val="005765C8"/>
    <w:rsid w:val="0057664D"/>
    <w:rsid w:val="0057694C"/>
    <w:rsid w:val="005769A1"/>
    <w:rsid w:val="00576B7F"/>
    <w:rsid w:val="00576B9E"/>
    <w:rsid w:val="00576C03"/>
    <w:rsid w:val="00576D15"/>
    <w:rsid w:val="00576DC9"/>
    <w:rsid w:val="00576EC2"/>
    <w:rsid w:val="00576F11"/>
    <w:rsid w:val="00576FE7"/>
    <w:rsid w:val="00577039"/>
    <w:rsid w:val="005771FC"/>
    <w:rsid w:val="005772B1"/>
    <w:rsid w:val="0057738A"/>
    <w:rsid w:val="0057761C"/>
    <w:rsid w:val="00577904"/>
    <w:rsid w:val="00577912"/>
    <w:rsid w:val="0057798D"/>
    <w:rsid w:val="00577B36"/>
    <w:rsid w:val="00577B92"/>
    <w:rsid w:val="00577C1B"/>
    <w:rsid w:val="00577F55"/>
    <w:rsid w:val="00577F73"/>
    <w:rsid w:val="00577F8D"/>
    <w:rsid w:val="0058000A"/>
    <w:rsid w:val="005800FD"/>
    <w:rsid w:val="005803B4"/>
    <w:rsid w:val="00580467"/>
    <w:rsid w:val="005804C0"/>
    <w:rsid w:val="0058051B"/>
    <w:rsid w:val="0058091C"/>
    <w:rsid w:val="00580B1B"/>
    <w:rsid w:val="00580B61"/>
    <w:rsid w:val="00580B85"/>
    <w:rsid w:val="00580C72"/>
    <w:rsid w:val="00580C9C"/>
    <w:rsid w:val="00580EF5"/>
    <w:rsid w:val="00581021"/>
    <w:rsid w:val="0058135D"/>
    <w:rsid w:val="0058138C"/>
    <w:rsid w:val="00581393"/>
    <w:rsid w:val="00581479"/>
    <w:rsid w:val="005816A2"/>
    <w:rsid w:val="0058175C"/>
    <w:rsid w:val="005819F4"/>
    <w:rsid w:val="00581DF1"/>
    <w:rsid w:val="00581EAB"/>
    <w:rsid w:val="00581F37"/>
    <w:rsid w:val="00581F66"/>
    <w:rsid w:val="00582040"/>
    <w:rsid w:val="0058207B"/>
    <w:rsid w:val="005821A8"/>
    <w:rsid w:val="005821D1"/>
    <w:rsid w:val="00582241"/>
    <w:rsid w:val="00582327"/>
    <w:rsid w:val="005823B2"/>
    <w:rsid w:val="00582447"/>
    <w:rsid w:val="00582732"/>
    <w:rsid w:val="00582785"/>
    <w:rsid w:val="005827E8"/>
    <w:rsid w:val="0058289D"/>
    <w:rsid w:val="00582AF3"/>
    <w:rsid w:val="00582B20"/>
    <w:rsid w:val="00582B49"/>
    <w:rsid w:val="00582E3B"/>
    <w:rsid w:val="00582E9C"/>
    <w:rsid w:val="00583006"/>
    <w:rsid w:val="0058309F"/>
    <w:rsid w:val="005830A9"/>
    <w:rsid w:val="00583106"/>
    <w:rsid w:val="0058312E"/>
    <w:rsid w:val="005831C1"/>
    <w:rsid w:val="0058326E"/>
    <w:rsid w:val="005832B9"/>
    <w:rsid w:val="00583416"/>
    <w:rsid w:val="00583536"/>
    <w:rsid w:val="00583974"/>
    <w:rsid w:val="00583A71"/>
    <w:rsid w:val="00583BB6"/>
    <w:rsid w:val="00583C0C"/>
    <w:rsid w:val="00583F0A"/>
    <w:rsid w:val="0058404C"/>
    <w:rsid w:val="005840D5"/>
    <w:rsid w:val="005840F0"/>
    <w:rsid w:val="00584129"/>
    <w:rsid w:val="005841B9"/>
    <w:rsid w:val="005841D0"/>
    <w:rsid w:val="0058422F"/>
    <w:rsid w:val="0058442B"/>
    <w:rsid w:val="00584536"/>
    <w:rsid w:val="00584582"/>
    <w:rsid w:val="005846D7"/>
    <w:rsid w:val="00584830"/>
    <w:rsid w:val="005848BA"/>
    <w:rsid w:val="005849FE"/>
    <w:rsid w:val="00584E9C"/>
    <w:rsid w:val="00585021"/>
    <w:rsid w:val="00585085"/>
    <w:rsid w:val="005850A7"/>
    <w:rsid w:val="0058515B"/>
    <w:rsid w:val="005852B4"/>
    <w:rsid w:val="005852B6"/>
    <w:rsid w:val="005853D7"/>
    <w:rsid w:val="00585438"/>
    <w:rsid w:val="005854DF"/>
    <w:rsid w:val="0058559F"/>
    <w:rsid w:val="005855A4"/>
    <w:rsid w:val="0058569F"/>
    <w:rsid w:val="005856F6"/>
    <w:rsid w:val="005858D9"/>
    <w:rsid w:val="0058593D"/>
    <w:rsid w:val="0058594C"/>
    <w:rsid w:val="00585A6B"/>
    <w:rsid w:val="00585B14"/>
    <w:rsid w:val="00585CB7"/>
    <w:rsid w:val="00585CF9"/>
    <w:rsid w:val="00585D99"/>
    <w:rsid w:val="00585E34"/>
    <w:rsid w:val="00586016"/>
    <w:rsid w:val="0058621D"/>
    <w:rsid w:val="0058658A"/>
    <w:rsid w:val="0058662A"/>
    <w:rsid w:val="00586647"/>
    <w:rsid w:val="00586698"/>
    <w:rsid w:val="0058676C"/>
    <w:rsid w:val="0058685F"/>
    <w:rsid w:val="00586996"/>
    <w:rsid w:val="00586999"/>
    <w:rsid w:val="00586A20"/>
    <w:rsid w:val="00586EC1"/>
    <w:rsid w:val="005870E2"/>
    <w:rsid w:val="00587297"/>
    <w:rsid w:val="005872FB"/>
    <w:rsid w:val="00587514"/>
    <w:rsid w:val="0058752D"/>
    <w:rsid w:val="005877B2"/>
    <w:rsid w:val="00587909"/>
    <w:rsid w:val="005879D6"/>
    <w:rsid w:val="00587A96"/>
    <w:rsid w:val="00587C8A"/>
    <w:rsid w:val="00587E2E"/>
    <w:rsid w:val="00590156"/>
    <w:rsid w:val="00590208"/>
    <w:rsid w:val="0059022A"/>
    <w:rsid w:val="005903ED"/>
    <w:rsid w:val="005903FA"/>
    <w:rsid w:val="0059042A"/>
    <w:rsid w:val="005904F6"/>
    <w:rsid w:val="00590562"/>
    <w:rsid w:val="005905D3"/>
    <w:rsid w:val="005905E6"/>
    <w:rsid w:val="0059080B"/>
    <w:rsid w:val="0059088F"/>
    <w:rsid w:val="0059096F"/>
    <w:rsid w:val="00590995"/>
    <w:rsid w:val="005909F8"/>
    <w:rsid w:val="00590BCF"/>
    <w:rsid w:val="00590BF8"/>
    <w:rsid w:val="00590CE5"/>
    <w:rsid w:val="00590D44"/>
    <w:rsid w:val="00590DD9"/>
    <w:rsid w:val="00590DE4"/>
    <w:rsid w:val="005910BF"/>
    <w:rsid w:val="005910F2"/>
    <w:rsid w:val="00591107"/>
    <w:rsid w:val="00591317"/>
    <w:rsid w:val="005913D9"/>
    <w:rsid w:val="00591566"/>
    <w:rsid w:val="005917CD"/>
    <w:rsid w:val="005919BF"/>
    <w:rsid w:val="00591A1E"/>
    <w:rsid w:val="00591AEB"/>
    <w:rsid w:val="00591B4A"/>
    <w:rsid w:val="00591B60"/>
    <w:rsid w:val="00591BAE"/>
    <w:rsid w:val="00591C2A"/>
    <w:rsid w:val="00592157"/>
    <w:rsid w:val="005921FA"/>
    <w:rsid w:val="005924AA"/>
    <w:rsid w:val="005925F5"/>
    <w:rsid w:val="00592768"/>
    <w:rsid w:val="00592798"/>
    <w:rsid w:val="0059293A"/>
    <w:rsid w:val="00592E17"/>
    <w:rsid w:val="00592F80"/>
    <w:rsid w:val="005930C7"/>
    <w:rsid w:val="0059336B"/>
    <w:rsid w:val="00593378"/>
    <w:rsid w:val="00593408"/>
    <w:rsid w:val="00593577"/>
    <w:rsid w:val="00593761"/>
    <w:rsid w:val="00593969"/>
    <w:rsid w:val="00593A1C"/>
    <w:rsid w:val="00593C66"/>
    <w:rsid w:val="00593C75"/>
    <w:rsid w:val="00593C7F"/>
    <w:rsid w:val="00593EAE"/>
    <w:rsid w:val="00593EBE"/>
    <w:rsid w:val="00593F51"/>
    <w:rsid w:val="00593FE8"/>
    <w:rsid w:val="00594217"/>
    <w:rsid w:val="00594221"/>
    <w:rsid w:val="00594225"/>
    <w:rsid w:val="0059443C"/>
    <w:rsid w:val="005945DD"/>
    <w:rsid w:val="00594CC0"/>
    <w:rsid w:val="00594CD4"/>
    <w:rsid w:val="00594F22"/>
    <w:rsid w:val="00594FC4"/>
    <w:rsid w:val="0059515B"/>
    <w:rsid w:val="0059521D"/>
    <w:rsid w:val="005952C4"/>
    <w:rsid w:val="00595362"/>
    <w:rsid w:val="0059556A"/>
    <w:rsid w:val="005958BE"/>
    <w:rsid w:val="0059590D"/>
    <w:rsid w:val="00595959"/>
    <w:rsid w:val="00595AC2"/>
    <w:rsid w:val="00595CE6"/>
    <w:rsid w:val="00595CED"/>
    <w:rsid w:val="00595D85"/>
    <w:rsid w:val="00595DAC"/>
    <w:rsid w:val="00595DC3"/>
    <w:rsid w:val="00595EEC"/>
    <w:rsid w:val="00595F45"/>
    <w:rsid w:val="00596174"/>
    <w:rsid w:val="005963A7"/>
    <w:rsid w:val="0059642D"/>
    <w:rsid w:val="005966D5"/>
    <w:rsid w:val="00596736"/>
    <w:rsid w:val="0059688A"/>
    <w:rsid w:val="00596A31"/>
    <w:rsid w:val="00596C3F"/>
    <w:rsid w:val="00596C64"/>
    <w:rsid w:val="00596CF2"/>
    <w:rsid w:val="005971F2"/>
    <w:rsid w:val="005974F8"/>
    <w:rsid w:val="005975DA"/>
    <w:rsid w:val="0059765E"/>
    <w:rsid w:val="0059794C"/>
    <w:rsid w:val="005979B5"/>
    <w:rsid w:val="00597A4A"/>
    <w:rsid w:val="00597B6A"/>
    <w:rsid w:val="00597C5A"/>
    <w:rsid w:val="00597C65"/>
    <w:rsid w:val="00597DC5"/>
    <w:rsid w:val="00597F5F"/>
    <w:rsid w:val="005A009C"/>
    <w:rsid w:val="005A00E8"/>
    <w:rsid w:val="005A00FB"/>
    <w:rsid w:val="005A0303"/>
    <w:rsid w:val="005A039E"/>
    <w:rsid w:val="005A0491"/>
    <w:rsid w:val="005A05C7"/>
    <w:rsid w:val="005A05FD"/>
    <w:rsid w:val="005A071C"/>
    <w:rsid w:val="005A0726"/>
    <w:rsid w:val="005A0C76"/>
    <w:rsid w:val="005A0C81"/>
    <w:rsid w:val="005A0F2B"/>
    <w:rsid w:val="005A0F78"/>
    <w:rsid w:val="005A132B"/>
    <w:rsid w:val="005A14A8"/>
    <w:rsid w:val="005A18FE"/>
    <w:rsid w:val="005A1A9A"/>
    <w:rsid w:val="005A1AAC"/>
    <w:rsid w:val="005A1CDE"/>
    <w:rsid w:val="005A1DC3"/>
    <w:rsid w:val="005A1E04"/>
    <w:rsid w:val="005A1E05"/>
    <w:rsid w:val="005A1FD8"/>
    <w:rsid w:val="005A1FF0"/>
    <w:rsid w:val="005A21F1"/>
    <w:rsid w:val="005A22E5"/>
    <w:rsid w:val="005A237B"/>
    <w:rsid w:val="005A24B7"/>
    <w:rsid w:val="005A24D3"/>
    <w:rsid w:val="005A252F"/>
    <w:rsid w:val="005A26E5"/>
    <w:rsid w:val="005A27D5"/>
    <w:rsid w:val="005A287B"/>
    <w:rsid w:val="005A29A7"/>
    <w:rsid w:val="005A2B46"/>
    <w:rsid w:val="005A2C4D"/>
    <w:rsid w:val="005A2C8D"/>
    <w:rsid w:val="005A2DDD"/>
    <w:rsid w:val="005A2E8B"/>
    <w:rsid w:val="005A2FD0"/>
    <w:rsid w:val="005A3109"/>
    <w:rsid w:val="005A33E3"/>
    <w:rsid w:val="005A363E"/>
    <w:rsid w:val="005A36AD"/>
    <w:rsid w:val="005A36EA"/>
    <w:rsid w:val="005A371D"/>
    <w:rsid w:val="005A384D"/>
    <w:rsid w:val="005A3947"/>
    <w:rsid w:val="005A3A7B"/>
    <w:rsid w:val="005A3A9F"/>
    <w:rsid w:val="005A3C3E"/>
    <w:rsid w:val="005A3EB2"/>
    <w:rsid w:val="005A4026"/>
    <w:rsid w:val="005A432A"/>
    <w:rsid w:val="005A43FB"/>
    <w:rsid w:val="005A46F7"/>
    <w:rsid w:val="005A47E9"/>
    <w:rsid w:val="005A47F6"/>
    <w:rsid w:val="005A4834"/>
    <w:rsid w:val="005A48D1"/>
    <w:rsid w:val="005A4A81"/>
    <w:rsid w:val="005A4D93"/>
    <w:rsid w:val="005A4E9F"/>
    <w:rsid w:val="005A4F35"/>
    <w:rsid w:val="005A4FA4"/>
    <w:rsid w:val="005A4FDD"/>
    <w:rsid w:val="005A5061"/>
    <w:rsid w:val="005A5783"/>
    <w:rsid w:val="005A5C22"/>
    <w:rsid w:val="005A5CFC"/>
    <w:rsid w:val="005A5E15"/>
    <w:rsid w:val="005A5F7B"/>
    <w:rsid w:val="005A6092"/>
    <w:rsid w:val="005A62E9"/>
    <w:rsid w:val="005A6374"/>
    <w:rsid w:val="005A6408"/>
    <w:rsid w:val="005A647B"/>
    <w:rsid w:val="005A6539"/>
    <w:rsid w:val="005A6593"/>
    <w:rsid w:val="005A6846"/>
    <w:rsid w:val="005A688E"/>
    <w:rsid w:val="005A68F1"/>
    <w:rsid w:val="005A691F"/>
    <w:rsid w:val="005A6987"/>
    <w:rsid w:val="005A6AEB"/>
    <w:rsid w:val="005A6D21"/>
    <w:rsid w:val="005A6DD2"/>
    <w:rsid w:val="005A6ECF"/>
    <w:rsid w:val="005A6EEF"/>
    <w:rsid w:val="005A6FC3"/>
    <w:rsid w:val="005A7036"/>
    <w:rsid w:val="005A71DA"/>
    <w:rsid w:val="005A7231"/>
    <w:rsid w:val="005A7291"/>
    <w:rsid w:val="005A72E3"/>
    <w:rsid w:val="005A77EB"/>
    <w:rsid w:val="005A7F7C"/>
    <w:rsid w:val="005B005B"/>
    <w:rsid w:val="005B0252"/>
    <w:rsid w:val="005B02B5"/>
    <w:rsid w:val="005B0305"/>
    <w:rsid w:val="005B068E"/>
    <w:rsid w:val="005B0824"/>
    <w:rsid w:val="005B0A7F"/>
    <w:rsid w:val="005B1141"/>
    <w:rsid w:val="005B1259"/>
    <w:rsid w:val="005B137C"/>
    <w:rsid w:val="005B13B7"/>
    <w:rsid w:val="005B15FF"/>
    <w:rsid w:val="005B185B"/>
    <w:rsid w:val="005B1AD2"/>
    <w:rsid w:val="005B1B75"/>
    <w:rsid w:val="005B1C5A"/>
    <w:rsid w:val="005B1DD6"/>
    <w:rsid w:val="005B1F09"/>
    <w:rsid w:val="005B2012"/>
    <w:rsid w:val="005B2283"/>
    <w:rsid w:val="005B2582"/>
    <w:rsid w:val="005B25E2"/>
    <w:rsid w:val="005B2643"/>
    <w:rsid w:val="005B2690"/>
    <w:rsid w:val="005B2AAF"/>
    <w:rsid w:val="005B2B97"/>
    <w:rsid w:val="005B2D64"/>
    <w:rsid w:val="005B2E80"/>
    <w:rsid w:val="005B2EB8"/>
    <w:rsid w:val="005B2F95"/>
    <w:rsid w:val="005B2FB0"/>
    <w:rsid w:val="005B3365"/>
    <w:rsid w:val="005B33DA"/>
    <w:rsid w:val="005B3429"/>
    <w:rsid w:val="005B3439"/>
    <w:rsid w:val="005B3554"/>
    <w:rsid w:val="005B355F"/>
    <w:rsid w:val="005B368C"/>
    <w:rsid w:val="005B3742"/>
    <w:rsid w:val="005B388B"/>
    <w:rsid w:val="005B39F4"/>
    <w:rsid w:val="005B3A26"/>
    <w:rsid w:val="005B3C83"/>
    <w:rsid w:val="005B3DFB"/>
    <w:rsid w:val="005B4441"/>
    <w:rsid w:val="005B4604"/>
    <w:rsid w:val="005B46B4"/>
    <w:rsid w:val="005B46CB"/>
    <w:rsid w:val="005B4830"/>
    <w:rsid w:val="005B4857"/>
    <w:rsid w:val="005B495B"/>
    <w:rsid w:val="005B498B"/>
    <w:rsid w:val="005B49D2"/>
    <w:rsid w:val="005B4A30"/>
    <w:rsid w:val="005B4B7B"/>
    <w:rsid w:val="005B4DFC"/>
    <w:rsid w:val="005B4E4D"/>
    <w:rsid w:val="005B501B"/>
    <w:rsid w:val="005B52A6"/>
    <w:rsid w:val="005B534B"/>
    <w:rsid w:val="005B5411"/>
    <w:rsid w:val="005B5413"/>
    <w:rsid w:val="005B560A"/>
    <w:rsid w:val="005B569C"/>
    <w:rsid w:val="005B57A2"/>
    <w:rsid w:val="005B5CDF"/>
    <w:rsid w:val="005B5D75"/>
    <w:rsid w:val="005B5F8C"/>
    <w:rsid w:val="005B608F"/>
    <w:rsid w:val="005B6218"/>
    <w:rsid w:val="005B6779"/>
    <w:rsid w:val="005B684E"/>
    <w:rsid w:val="005B6952"/>
    <w:rsid w:val="005B6961"/>
    <w:rsid w:val="005B6A02"/>
    <w:rsid w:val="005B6BA9"/>
    <w:rsid w:val="005B6BAC"/>
    <w:rsid w:val="005B6C49"/>
    <w:rsid w:val="005B6FBE"/>
    <w:rsid w:val="005B6FE7"/>
    <w:rsid w:val="005B6FEB"/>
    <w:rsid w:val="005B70F9"/>
    <w:rsid w:val="005B7202"/>
    <w:rsid w:val="005B72D4"/>
    <w:rsid w:val="005B749D"/>
    <w:rsid w:val="005B7B83"/>
    <w:rsid w:val="005B7CA6"/>
    <w:rsid w:val="005B7CF4"/>
    <w:rsid w:val="005B7D4E"/>
    <w:rsid w:val="005B7FEC"/>
    <w:rsid w:val="005C0020"/>
    <w:rsid w:val="005C00ED"/>
    <w:rsid w:val="005C0151"/>
    <w:rsid w:val="005C022E"/>
    <w:rsid w:val="005C0262"/>
    <w:rsid w:val="005C05D3"/>
    <w:rsid w:val="005C067C"/>
    <w:rsid w:val="005C06DB"/>
    <w:rsid w:val="005C083C"/>
    <w:rsid w:val="005C0955"/>
    <w:rsid w:val="005C09DE"/>
    <w:rsid w:val="005C0A3C"/>
    <w:rsid w:val="005C0AF9"/>
    <w:rsid w:val="005C0B0D"/>
    <w:rsid w:val="005C0F96"/>
    <w:rsid w:val="005C0FA1"/>
    <w:rsid w:val="005C102F"/>
    <w:rsid w:val="005C1180"/>
    <w:rsid w:val="005C12EF"/>
    <w:rsid w:val="005C13C3"/>
    <w:rsid w:val="005C153D"/>
    <w:rsid w:val="005C1543"/>
    <w:rsid w:val="005C168B"/>
    <w:rsid w:val="005C16B0"/>
    <w:rsid w:val="005C1731"/>
    <w:rsid w:val="005C175C"/>
    <w:rsid w:val="005C1842"/>
    <w:rsid w:val="005C1BFE"/>
    <w:rsid w:val="005C1E00"/>
    <w:rsid w:val="005C1E2F"/>
    <w:rsid w:val="005C1E60"/>
    <w:rsid w:val="005C1E7F"/>
    <w:rsid w:val="005C1F36"/>
    <w:rsid w:val="005C1F6F"/>
    <w:rsid w:val="005C2027"/>
    <w:rsid w:val="005C205B"/>
    <w:rsid w:val="005C2097"/>
    <w:rsid w:val="005C2150"/>
    <w:rsid w:val="005C22B1"/>
    <w:rsid w:val="005C22DF"/>
    <w:rsid w:val="005C25F7"/>
    <w:rsid w:val="005C262B"/>
    <w:rsid w:val="005C28F1"/>
    <w:rsid w:val="005C292E"/>
    <w:rsid w:val="005C2BB0"/>
    <w:rsid w:val="005C2C77"/>
    <w:rsid w:val="005C2F0D"/>
    <w:rsid w:val="005C2F80"/>
    <w:rsid w:val="005C3177"/>
    <w:rsid w:val="005C330A"/>
    <w:rsid w:val="005C35E3"/>
    <w:rsid w:val="005C3867"/>
    <w:rsid w:val="005C38BB"/>
    <w:rsid w:val="005C3927"/>
    <w:rsid w:val="005C39DE"/>
    <w:rsid w:val="005C3B72"/>
    <w:rsid w:val="005C3C08"/>
    <w:rsid w:val="005C3CB3"/>
    <w:rsid w:val="005C3E3B"/>
    <w:rsid w:val="005C3F1B"/>
    <w:rsid w:val="005C4359"/>
    <w:rsid w:val="005C4368"/>
    <w:rsid w:val="005C444D"/>
    <w:rsid w:val="005C44AB"/>
    <w:rsid w:val="005C4672"/>
    <w:rsid w:val="005C47AD"/>
    <w:rsid w:val="005C4837"/>
    <w:rsid w:val="005C4BD9"/>
    <w:rsid w:val="005C4E4F"/>
    <w:rsid w:val="005C52F2"/>
    <w:rsid w:val="005C538F"/>
    <w:rsid w:val="005C5437"/>
    <w:rsid w:val="005C550D"/>
    <w:rsid w:val="005C577E"/>
    <w:rsid w:val="005C5933"/>
    <w:rsid w:val="005C5AC5"/>
    <w:rsid w:val="005C5D10"/>
    <w:rsid w:val="005C5D74"/>
    <w:rsid w:val="005C5DDB"/>
    <w:rsid w:val="005C5DDF"/>
    <w:rsid w:val="005C5EA3"/>
    <w:rsid w:val="005C5F58"/>
    <w:rsid w:val="005C5FDA"/>
    <w:rsid w:val="005C6067"/>
    <w:rsid w:val="005C62C1"/>
    <w:rsid w:val="005C63A1"/>
    <w:rsid w:val="005C646E"/>
    <w:rsid w:val="005C673A"/>
    <w:rsid w:val="005C68FC"/>
    <w:rsid w:val="005C6AE9"/>
    <w:rsid w:val="005C6BC7"/>
    <w:rsid w:val="005C6C2B"/>
    <w:rsid w:val="005C6EAF"/>
    <w:rsid w:val="005C7157"/>
    <w:rsid w:val="005C71BA"/>
    <w:rsid w:val="005C723B"/>
    <w:rsid w:val="005C741E"/>
    <w:rsid w:val="005C7478"/>
    <w:rsid w:val="005C7485"/>
    <w:rsid w:val="005C74B9"/>
    <w:rsid w:val="005C7577"/>
    <w:rsid w:val="005C75DC"/>
    <w:rsid w:val="005C766A"/>
    <w:rsid w:val="005C76AF"/>
    <w:rsid w:val="005C773C"/>
    <w:rsid w:val="005C777D"/>
    <w:rsid w:val="005C79BD"/>
    <w:rsid w:val="005C79FA"/>
    <w:rsid w:val="005C7A5E"/>
    <w:rsid w:val="005C7ABC"/>
    <w:rsid w:val="005C7BE4"/>
    <w:rsid w:val="005C7C6D"/>
    <w:rsid w:val="005C7D68"/>
    <w:rsid w:val="005C7EB1"/>
    <w:rsid w:val="005C7EC9"/>
    <w:rsid w:val="005C7EE6"/>
    <w:rsid w:val="005D0201"/>
    <w:rsid w:val="005D025D"/>
    <w:rsid w:val="005D03A3"/>
    <w:rsid w:val="005D03FC"/>
    <w:rsid w:val="005D04C3"/>
    <w:rsid w:val="005D05EF"/>
    <w:rsid w:val="005D0694"/>
    <w:rsid w:val="005D08CE"/>
    <w:rsid w:val="005D0B1B"/>
    <w:rsid w:val="005D0B55"/>
    <w:rsid w:val="005D101F"/>
    <w:rsid w:val="005D1201"/>
    <w:rsid w:val="005D12B0"/>
    <w:rsid w:val="005D13AA"/>
    <w:rsid w:val="005D1422"/>
    <w:rsid w:val="005D14ED"/>
    <w:rsid w:val="005D18F1"/>
    <w:rsid w:val="005D1AA3"/>
    <w:rsid w:val="005D1E67"/>
    <w:rsid w:val="005D1EC9"/>
    <w:rsid w:val="005D1F49"/>
    <w:rsid w:val="005D200A"/>
    <w:rsid w:val="005D20FB"/>
    <w:rsid w:val="005D2110"/>
    <w:rsid w:val="005D2376"/>
    <w:rsid w:val="005D255C"/>
    <w:rsid w:val="005D2567"/>
    <w:rsid w:val="005D25BC"/>
    <w:rsid w:val="005D26F6"/>
    <w:rsid w:val="005D2826"/>
    <w:rsid w:val="005D282E"/>
    <w:rsid w:val="005D2918"/>
    <w:rsid w:val="005D29A2"/>
    <w:rsid w:val="005D29D9"/>
    <w:rsid w:val="005D2A6E"/>
    <w:rsid w:val="005D2D94"/>
    <w:rsid w:val="005D3006"/>
    <w:rsid w:val="005D33AD"/>
    <w:rsid w:val="005D33C8"/>
    <w:rsid w:val="005D36E2"/>
    <w:rsid w:val="005D3948"/>
    <w:rsid w:val="005D398C"/>
    <w:rsid w:val="005D3C46"/>
    <w:rsid w:val="005D3EBB"/>
    <w:rsid w:val="005D4004"/>
    <w:rsid w:val="005D411F"/>
    <w:rsid w:val="005D4260"/>
    <w:rsid w:val="005D4366"/>
    <w:rsid w:val="005D458D"/>
    <w:rsid w:val="005D4611"/>
    <w:rsid w:val="005D469C"/>
    <w:rsid w:val="005D46CA"/>
    <w:rsid w:val="005D4970"/>
    <w:rsid w:val="005D4A6F"/>
    <w:rsid w:val="005D4AB1"/>
    <w:rsid w:val="005D4C05"/>
    <w:rsid w:val="005D4E96"/>
    <w:rsid w:val="005D4EC0"/>
    <w:rsid w:val="005D4F15"/>
    <w:rsid w:val="005D4FF0"/>
    <w:rsid w:val="005D5345"/>
    <w:rsid w:val="005D545B"/>
    <w:rsid w:val="005D5615"/>
    <w:rsid w:val="005D561F"/>
    <w:rsid w:val="005D563E"/>
    <w:rsid w:val="005D5665"/>
    <w:rsid w:val="005D5781"/>
    <w:rsid w:val="005D579A"/>
    <w:rsid w:val="005D5A6B"/>
    <w:rsid w:val="005D5AA7"/>
    <w:rsid w:val="005D5AD5"/>
    <w:rsid w:val="005D5B18"/>
    <w:rsid w:val="005D5E40"/>
    <w:rsid w:val="005D5E58"/>
    <w:rsid w:val="005D5E7C"/>
    <w:rsid w:val="005D5F0B"/>
    <w:rsid w:val="005D5F1B"/>
    <w:rsid w:val="005D60E8"/>
    <w:rsid w:val="005D64C7"/>
    <w:rsid w:val="005D66DB"/>
    <w:rsid w:val="005D6809"/>
    <w:rsid w:val="005D6A88"/>
    <w:rsid w:val="005D6B6C"/>
    <w:rsid w:val="005D6C29"/>
    <w:rsid w:val="005D6D03"/>
    <w:rsid w:val="005D6E30"/>
    <w:rsid w:val="005D6E47"/>
    <w:rsid w:val="005D72D3"/>
    <w:rsid w:val="005D72D6"/>
    <w:rsid w:val="005D74FB"/>
    <w:rsid w:val="005D77FD"/>
    <w:rsid w:val="005D7898"/>
    <w:rsid w:val="005D7985"/>
    <w:rsid w:val="005D7A24"/>
    <w:rsid w:val="005D7B56"/>
    <w:rsid w:val="005D7B62"/>
    <w:rsid w:val="005D7C01"/>
    <w:rsid w:val="005D7C04"/>
    <w:rsid w:val="005D7FDC"/>
    <w:rsid w:val="005E02D0"/>
    <w:rsid w:val="005E030D"/>
    <w:rsid w:val="005E031E"/>
    <w:rsid w:val="005E0330"/>
    <w:rsid w:val="005E04CF"/>
    <w:rsid w:val="005E0581"/>
    <w:rsid w:val="005E067E"/>
    <w:rsid w:val="005E09F0"/>
    <w:rsid w:val="005E09FB"/>
    <w:rsid w:val="005E0CE2"/>
    <w:rsid w:val="005E0D74"/>
    <w:rsid w:val="005E0D9D"/>
    <w:rsid w:val="005E0FD4"/>
    <w:rsid w:val="005E0FD8"/>
    <w:rsid w:val="005E100C"/>
    <w:rsid w:val="005E127B"/>
    <w:rsid w:val="005E1355"/>
    <w:rsid w:val="005E1602"/>
    <w:rsid w:val="005E17D8"/>
    <w:rsid w:val="005E1948"/>
    <w:rsid w:val="005E1A45"/>
    <w:rsid w:val="005E1D41"/>
    <w:rsid w:val="005E2236"/>
    <w:rsid w:val="005E2354"/>
    <w:rsid w:val="005E2638"/>
    <w:rsid w:val="005E26A7"/>
    <w:rsid w:val="005E281D"/>
    <w:rsid w:val="005E2878"/>
    <w:rsid w:val="005E2B03"/>
    <w:rsid w:val="005E2C04"/>
    <w:rsid w:val="005E2C66"/>
    <w:rsid w:val="005E2CB7"/>
    <w:rsid w:val="005E2D20"/>
    <w:rsid w:val="005E2D39"/>
    <w:rsid w:val="005E2D8B"/>
    <w:rsid w:val="005E2F22"/>
    <w:rsid w:val="005E2F9D"/>
    <w:rsid w:val="005E3273"/>
    <w:rsid w:val="005E32D4"/>
    <w:rsid w:val="005E33CE"/>
    <w:rsid w:val="005E345A"/>
    <w:rsid w:val="005E3502"/>
    <w:rsid w:val="005E35D2"/>
    <w:rsid w:val="005E35EA"/>
    <w:rsid w:val="005E3776"/>
    <w:rsid w:val="005E3879"/>
    <w:rsid w:val="005E38C0"/>
    <w:rsid w:val="005E38CC"/>
    <w:rsid w:val="005E3B49"/>
    <w:rsid w:val="005E3D6E"/>
    <w:rsid w:val="005E3F96"/>
    <w:rsid w:val="005E4173"/>
    <w:rsid w:val="005E42F7"/>
    <w:rsid w:val="005E4337"/>
    <w:rsid w:val="005E4541"/>
    <w:rsid w:val="005E4580"/>
    <w:rsid w:val="005E45CA"/>
    <w:rsid w:val="005E46C0"/>
    <w:rsid w:val="005E47C3"/>
    <w:rsid w:val="005E4839"/>
    <w:rsid w:val="005E4898"/>
    <w:rsid w:val="005E48CD"/>
    <w:rsid w:val="005E49A4"/>
    <w:rsid w:val="005E49E0"/>
    <w:rsid w:val="005E4CF6"/>
    <w:rsid w:val="005E4FEA"/>
    <w:rsid w:val="005E5050"/>
    <w:rsid w:val="005E509A"/>
    <w:rsid w:val="005E516D"/>
    <w:rsid w:val="005E5295"/>
    <w:rsid w:val="005E52A9"/>
    <w:rsid w:val="005E5302"/>
    <w:rsid w:val="005E56A8"/>
    <w:rsid w:val="005E5747"/>
    <w:rsid w:val="005E5A81"/>
    <w:rsid w:val="005E5AD2"/>
    <w:rsid w:val="005E5B21"/>
    <w:rsid w:val="005E5BA6"/>
    <w:rsid w:val="005E5D7A"/>
    <w:rsid w:val="005E5E82"/>
    <w:rsid w:val="005E63A5"/>
    <w:rsid w:val="005E6415"/>
    <w:rsid w:val="005E6486"/>
    <w:rsid w:val="005E64AD"/>
    <w:rsid w:val="005E6519"/>
    <w:rsid w:val="005E6578"/>
    <w:rsid w:val="005E6655"/>
    <w:rsid w:val="005E699A"/>
    <w:rsid w:val="005E6ACD"/>
    <w:rsid w:val="005E6B76"/>
    <w:rsid w:val="005E6D52"/>
    <w:rsid w:val="005E6E1E"/>
    <w:rsid w:val="005E6EF6"/>
    <w:rsid w:val="005E715A"/>
    <w:rsid w:val="005E7396"/>
    <w:rsid w:val="005E763B"/>
    <w:rsid w:val="005E76C4"/>
    <w:rsid w:val="005E778E"/>
    <w:rsid w:val="005E7808"/>
    <w:rsid w:val="005E7810"/>
    <w:rsid w:val="005E78D8"/>
    <w:rsid w:val="005E7AE0"/>
    <w:rsid w:val="005E7B06"/>
    <w:rsid w:val="005E7C77"/>
    <w:rsid w:val="005E7F99"/>
    <w:rsid w:val="005E7FC0"/>
    <w:rsid w:val="005F008A"/>
    <w:rsid w:val="005F00CE"/>
    <w:rsid w:val="005F0201"/>
    <w:rsid w:val="005F025E"/>
    <w:rsid w:val="005F032D"/>
    <w:rsid w:val="005F04E7"/>
    <w:rsid w:val="005F05E5"/>
    <w:rsid w:val="005F0792"/>
    <w:rsid w:val="005F0987"/>
    <w:rsid w:val="005F0A24"/>
    <w:rsid w:val="005F0A2A"/>
    <w:rsid w:val="005F0A80"/>
    <w:rsid w:val="005F0C51"/>
    <w:rsid w:val="005F0E7C"/>
    <w:rsid w:val="005F0E88"/>
    <w:rsid w:val="005F0EB4"/>
    <w:rsid w:val="005F0F3B"/>
    <w:rsid w:val="005F10C6"/>
    <w:rsid w:val="005F10D8"/>
    <w:rsid w:val="005F1159"/>
    <w:rsid w:val="005F11BD"/>
    <w:rsid w:val="005F1500"/>
    <w:rsid w:val="005F159D"/>
    <w:rsid w:val="005F15BB"/>
    <w:rsid w:val="005F1663"/>
    <w:rsid w:val="005F1667"/>
    <w:rsid w:val="005F16F0"/>
    <w:rsid w:val="005F183A"/>
    <w:rsid w:val="005F188C"/>
    <w:rsid w:val="005F18EC"/>
    <w:rsid w:val="005F1904"/>
    <w:rsid w:val="005F192E"/>
    <w:rsid w:val="005F197C"/>
    <w:rsid w:val="005F19AE"/>
    <w:rsid w:val="005F19E6"/>
    <w:rsid w:val="005F1ADA"/>
    <w:rsid w:val="005F1C02"/>
    <w:rsid w:val="005F1EDB"/>
    <w:rsid w:val="005F1F96"/>
    <w:rsid w:val="005F241F"/>
    <w:rsid w:val="005F2570"/>
    <w:rsid w:val="005F2808"/>
    <w:rsid w:val="005F2880"/>
    <w:rsid w:val="005F2A4D"/>
    <w:rsid w:val="005F2E34"/>
    <w:rsid w:val="005F30B8"/>
    <w:rsid w:val="005F313F"/>
    <w:rsid w:val="005F3228"/>
    <w:rsid w:val="005F39A4"/>
    <w:rsid w:val="005F3A51"/>
    <w:rsid w:val="005F3A5B"/>
    <w:rsid w:val="005F3B65"/>
    <w:rsid w:val="005F41B9"/>
    <w:rsid w:val="005F42E4"/>
    <w:rsid w:val="005F4301"/>
    <w:rsid w:val="005F4344"/>
    <w:rsid w:val="005F457E"/>
    <w:rsid w:val="005F4664"/>
    <w:rsid w:val="005F48AB"/>
    <w:rsid w:val="005F490C"/>
    <w:rsid w:val="005F4A2F"/>
    <w:rsid w:val="005F4CD4"/>
    <w:rsid w:val="005F4D4A"/>
    <w:rsid w:val="005F4D54"/>
    <w:rsid w:val="005F4DE1"/>
    <w:rsid w:val="005F4F33"/>
    <w:rsid w:val="005F4FB6"/>
    <w:rsid w:val="005F51AA"/>
    <w:rsid w:val="005F5258"/>
    <w:rsid w:val="005F53D4"/>
    <w:rsid w:val="005F54CB"/>
    <w:rsid w:val="005F54FD"/>
    <w:rsid w:val="005F559B"/>
    <w:rsid w:val="005F574A"/>
    <w:rsid w:val="005F5841"/>
    <w:rsid w:val="005F58D0"/>
    <w:rsid w:val="005F596E"/>
    <w:rsid w:val="005F5CCC"/>
    <w:rsid w:val="005F5FF8"/>
    <w:rsid w:val="005F612D"/>
    <w:rsid w:val="005F6142"/>
    <w:rsid w:val="005F6183"/>
    <w:rsid w:val="005F6243"/>
    <w:rsid w:val="005F624A"/>
    <w:rsid w:val="005F6312"/>
    <w:rsid w:val="005F63C1"/>
    <w:rsid w:val="005F64F0"/>
    <w:rsid w:val="005F6523"/>
    <w:rsid w:val="005F6748"/>
    <w:rsid w:val="005F67D7"/>
    <w:rsid w:val="005F6860"/>
    <w:rsid w:val="005F6ABC"/>
    <w:rsid w:val="005F6F7A"/>
    <w:rsid w:val="005F6FB8"/>
    <w:rsid w:val="005F7025"/>
    <w:rsid w:val="005F7152"/>
    <w:rsid w:val="005F71B0"/>
    <w:rsid w:val="005F73A7"/>
    <w:rsid w:val="005F73F1"/>
    <w:rsid w:val="005F7447"/>
    <w:rsid w:val="005F7535"/>
    <w:rsid w:val="005F75AD"/>
    <w:rsid w:val="005F76C6"/>
    <w:rsid w:val="005F7A91"/>
    <w:rsid w:val="005F7B24"/>
    <w:rsid w:val="005F7B60"/>
    <w:rsid w:val="005F7CF0"/>
    <w:rsid w:val="005F7DD6"/>
    <w:rsid w:val="005F7EA5"/>
    <w:rsid w:val="005F7FB9"/>
    <w:rsid w:val="0060005B"/>
    <w:rsid w:val="0060010F"/>
    <w:rsid w:val="0060022F"/>
    <w:rsid w:val="00600431"/>
    <w:rsid w:val="00600581"/>
    <w:rsid w:val="006005A7"/>
    <w:rsid w:val="0060063B"/>
    <w:rsid w:val="00600829"/>
    <w:rsid w:val="00600C91"/>
    <w:rsid w:val="00600E4B"/>
    <w:rsid w:val="00600F0C"/>
    <w:rsid w:val="00600FB6"/>
    <w:rsid w:val="00601297"/>
    <w:rsid w:val="0060129F"/>
    <w:rsid w:val="006014E3"/>
    <w:rsid w:val="00601765"/>
    <w:rsid w:val="006017D3"/>
    <w:rsid w:val="00601CE8"/>
    <w:rsid w:val="00601D1B"/>
    <w:rsid w:val="00601E50"/>
    <w:rsid w:val="00601F0E"/>
    <w:rsid w:val="00601F4A"/>
    <w:rsid w:val="0060211C"/>
    <w:rsid w:val="0060214B"/>
    <w:rsid w:val="00602188"/>
    <w:rsid w:val="006021E1"/>
    <w:rsid w:val="0060230A"/>
    <w:rsid w:val="0060239A"/>
    <w:rsid w:val="006024FF"/>
    <w:rsid w:val="0060279E"/>
    <w:rsid w:val="0060291A"/>
    <w:rsid w:val="00602B05"/>
    <w:rsid w:val="00602B78"/>
    <w:rsid w:val="00602CC3"/>
    <w:rsid w:val="00602CF7"/>
    <w:rsid w:val="00602D13"/>
    <w:rsid w:val="00602FF2"/>
    <w:rsid w:val="00603190"/>
    <w:rsid w:val="00603198"/>
    <w:rsid w:val="0060329B"/>
    <w:rsid w:val="006037E0"/>
    <w:rsid w:val="00603926"/>
    <w:rsid w:val="00603A90"/>
    <w:rsid w:val="00603E1C"/>
    <w:rsid w:val="00603E5F"/>
    <w:rsid w:val="00603EBF"/>
    <w:rsid w:val="00604361"/>
    <w:rsid w:val="006043B0"/>
    <w:rsid w:val="006044F0"/>
    <w:rsid w:val="006046CB"/>
    <w:rsid w:val="006046E5"/>
    <w:rsid w:val="00604861"/>
    <w:rsid w:val="006048E2"/>
    <w:rsid w:val="00604A56"/>
    <w:rsid w:val="00604D33"/>
    <w:rsid w:val="00604D4F"/>
    <w:rsid w:val="00604F1B"/>
    <w:rsid w:val="00605240"/>
    <w:rsid w:val="0060529B"/>
    <w:rsid w:val="006054DC"/>
    <w:rsid w:val="00605691"/>
    <w:rsid w:val="00605696"/>
    <w:rsid w:val="006056C1"/>
    <w:rsid w:val="00605723"/>
    <w:rsid w:val="00605862"/>
    <w:rsid w:val="00605A56"/>
    <w:rsid w:val="00605A74"/>
    <w:rsid w:val="00605A9D"/>
    <w:rsid w:val="00605ABF"/>
    <w:rsid w:val="00605B21"/>
    <w:rsid w:val="00605B83"/>
    <w:rsid w:val="00605D0C"/>
    <w:rsid w:val="006060F1"/>
    <w:rsid w:val="00606135"/>
    <w:rsid w:val="0060624C"/>
    <w:rsid w:val="006062C9"/>
    <w:rsid w:val="0060632A"/>
    <w:rsid w:val="0060633D"/>
    <w:rsid w:val="0060639D"/>
    <w:rsid w:val="0060673E"/>
    <w:rsid w:val="006067D0"/>
    <w:rsid w:val="006067FF"/>
    <w:rsid w:val="00606A40"/>
    <w:rsid w:val="00606C3F"/>
    <w:rsid w:val="00606E8A"/>
    <w:rsid w:val="00607014"/>
    <w:rsid w:val="006071CD"/>
    <w:rsid w:val="0060734D"/>
    <w:rsid w:val="00607447"/>
    <w:rsid w:val="006078C9"/>
    <w:rsid w:val="006079F2"/>
    <w:rsid w:val="00607CD8"/>
    <w:rsid w:val="00607DEE"/>
    <w:rsid w:val="00607E34"/>
    <w:rsid w:val="00607F57"/>
    <w:rsid w:val="00610011"/>
    <w:rsid w:val="006100CE"/>
    <w:rsid w:val="00610456"/>
    <w:rsid w:val="00610494"/>
    <w:rsid w:val="006104E1"/>
    <w:rsid w:val="006105F1"/>
    <w:rsid w:val="00610633"/>
    <w:rsid w:val="00610685"/>
    <w:rsid w:val="00610802"/>
    <w:rsid w:val="00610805"/>
    <w:rsid w:val="006108A0"/>
    <w:rsid w:val="00610A3D"/>
    <w:rsid w:val="00610A42"/>
    <w:rsid w:val="00610ADD"/>
    <w:rsid w:val="00610B0F"/>
    <w:rsid w:val="00610B39"/>
    <w:rsid w:val="00610ED3"/>
    <w:rsid w:val="00610F88"/>
    <w:rsid w:val="006112C6"/>
    <w:rsid w:val="006113F8"/>
    <w:rsid w:val="0061149A"/>
    <w:rsid w:val="0061155A"/>
    <w:rsid w:val="006115D6"/>
    <w:rsid w:val="0061160D"/>
    <w:rsid w:val="00611717"/>
    <w:rsid w:val="006117C6"/>
    <w:rsid w:val="00611A0E"/>
    <w:rsid w:val="00611AF8"/>
    <w:rsid w:val="00611BD0"/>
    <w:rsid w:val="00611FCC"/>
    <w:rsid w:val="00612018"/>
    <w:rsid w:val="0061204C"/>
    <w:rsid w:val="00612176"/>
    <w:rsid w:val="0061221F"/>
    <w:rsid w:val="00612220"/>
    <w:rsid w:val="00612228"/>
    <w:rsid w:val="00612336"/>
    <w:rsid w:val="00612735"/>
    <w:rsid w:val="0061283B"/>
    <w:rsid w:val="00612885"/>
    <w:rsid w:val="006129A7"/>
    <w:rsid w:val="00612A17"/>
    <w:rsid w:val="00612BF9"/>
    <w:rsid w:val="00613016"/>
    <w:rsid w:val="006131A0"/>
    <w:rsid w:val="00613224"/>
    <w:rsid w:val="00613290"/>
    <w:rsid w:val="006132AE"/>
    <w:rsid w:val="0061339E"/>
    <w:rsid w:val="006133AA"/>
    <w:rsid w:val="00613611"/>
    <w:rsid w:val="0061364E"/>
    <w:rsid w:val="006136DB"/>
    <w:rsid w:val="0061386F"/>
    <w:rsid w:val="00613923"/>
    <w:rsid w:val="00613997"/>
    <w:rsid w:val="00613A82"/>
    <w:rsid w:val="00613F5F"/>
    <w:rsid w:val="00614096"/>
    <w:rsid w:val="006140A9"/>
    <w:rsid w:val="006141EF"/>
    <w:rsid w:val="00614259"/>
    <w:rsid w:val="0061434F"/>
    <w:rsid w:val="00614403"/>
    <w:rsid w:val="00614611"/>
    <w:rsid w:val="00614663"/>
    <w:rsid w:val="0061466B"/>
    <w:rsid w:val="00614838"/>
    <w:rsid w:val="00614A57"/>
    <w:rsid w:val="00614A84"/>
    <w:rsid w:val="00614B0D"/>
    <w:rsid w:val="00614BB8"/>
    <w:rsid w:val="00614DB5"/>
    <w:rsid w:val="00614E49"/>
    <w:rsid w:val="00614E5A"/>
    <w:rsid w:val="00615080"/>
    <w:rsid w:val="006150E4"/>
    <w:rsid w:val="006151DF"/>
    <w:rsid w:val="0061538C"/>
    <w:rsid w:val="0061538E"/>
    <w:rsid w:val="006153FD"/>
    <w:rsid w:val="0061542D"/>
    <w:rsid w:val="00615747"/>
    <w:rsid w:val="0061577B"/>
    <w:rsid w:val="00615789"/>
    <w:rsid w:val="0061578C"/>
    <w:rsid w:val="0061590C"/>
    <w:rsid w:val="00615B7B"/>
    <w:rsid w:val="006160B7"/>
    <w:rsid w:val="006160C9"/>
    <w:rsid w:val="006161CC"/>
    <w:rsid w:val="00616412"/>
    <w:rsid w:val="0061650E"/>
    <w:rsid w:val="006165B2"/>
    <w:rsid w:val="00616626"/>
    <w:rsid w:val="00616688"/>
    <w:rsid w:val="00616B5D"/>
    <w:rsid w:val="00616C16"/>
    <w:rsid w:val="00616CBB"/>
    <w:rsid w:val="00616D7E"/>
    <w:rsid w:val="00617050"/>
    <w:rsid w:val="00617063"/>
    <w:rsid w:val="0061719F"/>
    <w:rsid w:val="006171FF"/>
    <w:rsid w:val="0061739D"/>
    <w:rsid w:val="006173B9"/>
    <w:rsid w:val="0061745F"/>
    <w:rsid w:val="00617547"/>
    <w:rsid w:val="0061786D"/>
    <w:rsid w:val="006178F3"/>
    <w:rsid w:val="006179C8"/>
    <w:rsid w:val="00617AB6"/>
    <w:rsid w:val="00617B99"/>
    <w:rsid w:val="00617CB2"/>
    <w:rsid w:val="0062004A"/>
    <w:rsid w:val="006202DA"/>
    <w:rsid w:val="00620450"/>
    <w:rsid w:val="0062080C"/>
    <w:rsid w:val="0062083D"/>
    <w:rsid w:val="006209A0"/>
    <w:rsid w:val="006209CB"/>
    <w:rsid w:val="00620A53"/>
    <w:rsid w:val="00620DC0"/>
    <w:rsid w:val="00620EEA"/>
    <w:rsid w:val="00620F17"/>
    <w:rsid w:val="00621357"/>
    <w:rsid w:val="00621554"/>
    <w:rsid w:val="006215EF"/>
    <w:rsid w:val="006217CC"/>
    <w:rsid w:val="00621835"/>
    <w:rsid w:val="00621B3C"/>
    <w:rsid w:val="00621B5D"/>
    <w:rsid w:val="00621C00"/>
    <w:rsid w:val="00621CEB"/>
    <w:rsid w:val="00621D45"/>
    <w:rsid w:val="00621D6A"/>
    <w:rsid w:val="00621F0C"/>
    <w:rsid w:val="00621F8D"/>
    <w:rsid w:val="006221F5"/>
    <w:rsid w:val="0062227F"/>
    <w:rsid w:val="006223AE"/>
    <w:rsid w:val="00622594"/>
    <w:rsid w:val="006225A6"/>
    <w:rsid w:val="0062275A"/>
    <w:rsid w:val="0062279C"/>
    <w:rsid w:val="00622817"/>
    <w:rsid w:val="00622846"/>
    <w:rsid w:val="0062290A"/>
    <w:rsid w:val="0062294B"/>
    <w:rsid w:val="00622B26"/>
    <w:rsid w:val="00622E2E"/>
    <w:rsid w:val="00622F11"/>
    <w:rsid w:val="006231AD"/>
    <w:rsid w:val="0062342D"/>
    <w:rsid w:val="00623474"/>
    <w:rsid w:val="006234F4"/>
    <w:rsid w:val="00623694"/>
    <w:rsid w:val="006236E5"/>
    <w:rsid w:val="00623701"/>
    <w:rsid w:val="00623784"/>
    <w:rsid w:val="00623866"/>
    <w:rsid w:val="006238A9"/>
    <w:rsid w:val="006238FC"/>
    <w:rsid w:val="00623AE2"/>
    <w:rsid w:val="00623BF0"/>
    <w:rsid w:val="00623D6C"/>
    <w:rsid w:val="00623FA0"/>
    <w:rsid w:val="00624089"/>
    <w:rsid w:val="006241F1"/>
    <w:rsid w:val="0062434D"/>
    <w:rsid w:val="006243DD"/>
    <w:rsid w:val="006243F2"/>
    <w:rsid w:val="0062440A"/>
    <w:rsid w:val="00624518"/>
    <w:rsid w:val="00624561"/>
    <w:rsid w:val="00624633"/>
    <w:rsid w:val="0062466E"/>
    <w:rsid w:val="006247A1"/>
    <w:rsid w:val="006247AE"/>
    <w:rsid w:val="0062487A"/>
    <w:rsid w:val="0062489E"/>
    <w:rsid w:val="00624A61"/>
    <w:rsid w:val="00624B8D"/>
    <w:rsid w:val="00624BC7"/>
    <w:rsid w:val="00624C6A"/>
    <w:rsid w:val="00624F8B"/>
    <w:rsid w:val="006250F8"/>
    <w:rsid w:val="006254F3"/>
    <w:rsid w:val="0062552D"/>
    <w:rsid w:val="0062554D"/>
    <w:rsid w:val="006255CF"/>
    <w:rsid w:val="006257E1"/>
    <w:rsid w:val="006257F9"/>
    <w:rsid w:val="006259C5"/>
    <w:rsid w:val="00625A3B"/>
    <w:rsid w:val="00625C3B"/>
    <w:rsid w:val="00625C81"/>
    <w:rsid w:val="00625CC6"/>
    <w:rsid w:val="00625DC9"/>
    <w:rsid w:val="00625EF0"/>
    <w:rsid w:val="00626034"/>
    <w:rsid w:val="00626167"/>
    <w:rsid w:val="006263D2"/>
    <w:rsid w:val="0062644E"/>
    <w:rsid w:val="006264F5"/>
    <w:rsid w:val="00626538"/>
    <w:rsid w:val="00626570"/>
    <w:rsid w:val="006265D5"/>
    <w:rsid w:val="006267B5"/>
    <w:rsid w:val="006268AA"/>
    <w:rsid w:val="00626BB3"/>
    <w:rsid w:val="00626BEB"/>
    <w:rsid w:val="00626C4B"/>
    <w:rsid w:val="00626C63"/>
    <w:rsid w:val="0062705A"/>
    <w:rsid w:val="00627107"/>
    <w:rsid w:val="0062710C"/>
    <w:rsid w:val="0062710E"/>
    <w:rsid w:val="0062713D"/>
    <w:rsid w:val="00627176"/>
    <w:rsid w:val="0062721A"/>
    <w:rsid w:val="006272BF"/>
    <w:rsid w:val="006273F6"/>
    <w:rsid w:val="006274E1"/>
    <w:rsid w:val="0062754D"/>
    <w:rsid w:val="0062768B"/>
    <w:rsid w:val="00627693"/>
    <w:rsid w:val="006276DE"/>
    <w:rsid w:val="00627900"/>
    <w:rsid w:val="0062798C"/>
    <w:rsid w:val="00627A1B"/>
    <w:rsid w:val="00627A1D"/>
    <w:rsid w:val="00627B6F"/>
    <w:rsid w:val="00627BDF"/>
    <w:rsid w:val="00627D0F"/>
    <w:rsid w:val="00627E33"/>
    <w:rsid w:val="00627F67"/>
    <w:rsid w:val="00627F86"/>
    <w:rsid w:val="00627FAA"/>
    <w:rsid w:val="006300A5"/>
    <w:rsid w:val="0063031F"/>
    <w:rsid w:val="00630322"/>
    <w:rsid w:val="006304AE"/>
    <w:rsid w:val="006304B4"/>
    <w:rsid w:val="00630574"/>
    <w:rsid w:val="00630707"/>
    <w:rsid w:val="0063073F"/>
    <w:rsid w:val="0063083F"/>
    <w:rsid w:val="00630886"/>
    <w:rsid w:val="00630955"/>
    <w:rsid w:val="00630A5B"/>
    <w:rsid w:val="00630B67"/>
    <w:rsid w:val="00630C17"/>
    <w:rsid w:val="00630C63"/>
    <w:rsid w:val="00630C72"/>
    <w:rsid w:val="00630CA9"/>
    <w:rsid w:val="00630EC9"/>
    <w:rsid w:val="00631177"/>
    <w:rsid w:val="006311BD"/>
    <w:rsid w:val="00631265"/>
    <w:rsid w:val="006314D0"/>
    <w:rsid w:val="006315B8"/>
    <w:rsid w:val="00631724"/>
    <w:rsid w:val="00631817"/>
    <w:rsid w:val="0063185B"/>
    <w:rsid w:val="00631945"/>
    <w:rsid w:val="00631C44"/>
    <w:rsid w:val="00631E3B"/>
    <w:rsid w:val="00631EFA"/>
    <w:rsid w:val="00631F1C"/>
    <w:rsid w:val="00631FD8"/>
    <w:rsid w:val="0063207C"/>
    <w:rsid w:val="006320CF"/>
    <w:rsid w:val="006320E5"/>
    <w:rsid w:val="0063214A"/>
    <w:rsid w:val="006321C1"/>
    <w:rsid w:val="0063239B"/>
    <w:rsid w:val="0063239F"/>
    <w:rsid w:val="00632464"/>
    <w:rsid w:val="0063252B"/>
    <w:rsid w:val="00632536"/>
    <w:rsid w:val="00632748"/>
    <w:rsid w:val="006327E8"/>
    <w:rsid w:val="006328E7"/>
    <w:rsid w:val="006329B6"/>
    <w:rsid w:val="00632C0E"/>
    <w:rsid w:val="00632CAD"/>
    <w:rsid w:val="00632CEE"/>
    <w:rsid w:val="00632D45"/>
    <w:rsid w:val="00632DFE"/>
    <w:rsid w:val="00632E3D"/>
    <w:rsid w:val="00632E4B"/>
    <w:rsid w:val="00632EAE"/>
    <w:rsid w:val="00632FBF"/>
    <w:rsid w:val="006330D7"/>
    <w:rsid w:val="00633424"/>
    <w:rsid w:val="00633487"/>
    <w:rsid w:val="00633531"/>
    <w:rsid w:val="006335F0"/>
    <w:rsid w:val="0063360E"/>
    <w:rsid w:val="0063373D"/>
    <w:rsid w:val="0063376A"/>
    <w:rsid w:val="006338B8"/>
    <w:rsid w:val="006338DA"/>
    <w:rsid w:val="006339BF"/>
    <w:rsid w:val="00633A34"/>
    <w:rsid w:val="00633B42"/>
    <w:rsid w:val="00633C20"/>
    <w:rsid w:val="00633F4C"/>
    <w:rsid w:val="0063416A"/>
    <w:rsid w:val="00634175"/>
    <w:rsid w:val="006342A2"/>
    <w:rsid w:val="006346B3"/>
    <w:rsid w:val="006346FB"/>
    <w:rsid w:val="00634723"/>
    <w:rsid w:val="00634865"/>
    <w:rsid w:val="0063498B"/>
    <w:rsid w:val="00634A91"/>
    <w:rsid w:val="00634AF4"/>
    <w:rsid w:val="00634DC7"/>
    <w:rsid w:val="00634E5E"/>
    <w:rsid w:val="00634EEA"/>
    <w:rsid w:val="00635125"/>
    <w:rsid w:val="0063512F"/>
    <w:rsid w:val="00635210"/>
    <w:rsid w:val="00635661"/>
    <w:rsid w:val="00635999"/>
    <w:rsid w:val="006359AC"/>
    <w:rsid w:val="00635BFE"/>
    <w:rsid w:val="00635D27"/>
    <w:rsid w:val="00635D76"/>
    <w:rsid w:val="00635EA7"/>
    <w:rsid w:val="00635FCC"/>
    <w:rsid w:val="0063610B"/>
    <w:rsid w:val="006362E4"/>
    <w:rsid w:val="00636356"/>
    <w:rsid w:val="006363A9"/>
    <w:rsid w:val="00636B98"/>
    <w:rsid w:val="00636C0E"/>
    <w:rsid w:val="00636C73"/>
    <w:rsid w:val="00636F2E"/>
    <w:rsid w:val="00636FE5"/>
    <w:rsid w:val="0063707D"/>
    <w:rsid w:val="006370ED"/>
    <w:rsid w:val="006371A6"/>
    <w:rsid w:val="00637209"/>
    <w:rsid w:val="00637789"/>
    <w:rsid w:val="0063797B"/>
    <w:rsid w:val="0063797E"/>
    <w:rsid w:val="00637A42"/>
    <w:rsid w:val="00637C8C"/>
    <w:rsid w:val="00637D00"/>
    <w:rsid w:val="00637D90"/>
    <w:rsid w:val="00637D9F"/>
    <w:rsid w:val="00637F6E"/>
    <w:rsid w:val="00637FA2"/>
    <w:rsid w:val="00640251"/>
    <w:rsid w:val="006405BD"/>
    <w:rsid w:val="0064064A"/>
    <w:rsid w:val="0064069E"/>
    <w:rsid w:val="00640800"/>
    <w:rsid w:val="006409BB"/>
    <w:rsid w:val="00640C2C"/>
    <w:rsid w:val="00640C4B"/>
    <w:rsid w:val="00640CE9"/>
    <w:rsid w:val="00640D5E"/>
    <w:rsid w:val="00640E14"/>
    <w:rsid w:val="00640E34"/>
    <w:rsid w:val="00640E42"/>
    <w:rsid w:val="00640EAF"/>
    <w:rsid w:val="00640EF4"/>
    <w:rsid w:val="00640F05"/>
    <w:rsid w:val="00640FF7"/>
    <w:rsid w:val="0064116F"/>
    <w:rsid w:val="006413CC"/>
    <w:rsid w:val="00641589"/>
    <w:rsid w:val="0064159B"/>
    <w:rsid w:val="006415A1"/>
    <w:rsid w:val="0064163A"/>
    <w:rsid w:val="00641C5C"/>
    <w:rsid w:val="00641C61"/>
    <w:rsid w:val="00641C79"/>
    <w:rsid w:val="00641D78"/>
    <w:rsid w:val="00641E34"/>
    <w:rsid w:val="00641E88"/>
    <w:rsid w:val="00641F20"/>
    <w:rsid w:val="00641F66"/>
    <w:rsid w:val="006422AB"/>
    <w:rsid w:val="006423D9"/>
    <w:rsid w:val="00642666"/>
    <w:rsid w:val="0064269F"/>
    <w:rsid w:val="00642809"/>
    <w:rsid w:val="0064288F"/>
    <w:rsid w:val="00642A81"/>
    <w:rsid w:val="00642B62"/>
    <w:rsid w:val="00642D36"/>
    <w:rsid w:val="00642E23"/>
    <w:rsid w:val="00642EA4"/>
    <w:rsid w:val="00642EBE"/>
    <w:rsid w:val="00642F35"/>
    <w:rsid w:val="0064302D"/>
    <w:rsid w:val="00643057"/>
    <w:rsid w:val="006430B7"/>
    <w:rsid w:val="00643110"/>
    <w:rsid w:val="0064316E"/>
    <w:rsid w:val="00643208"/>
    <w:rsid w:val="006432B8"/>
    <w:rsid w:val="0064332C"/>
    <w:rsid w:val="00643752"/>
    <w:rsid w:val="006439AC"/>
    <w:rsid w:val="006439AD"/>
    <w:rsid w:val="00643B7E"/>
    <w:rsid w:val="00643CAE"/>
    <w:rsid w:val="00643CC0"/>
    <w:rsid w:val="00643CF0"/>
    <w:rsid w:val="00643D88"/>
    <w:rsid w:val="00643DD6"/>
    <w:rsid w:val="00643E08"/>
    <w:rsid w:val="00643E84"/>
    <w:rsid w:val="00643E9F"/>
    <w:rsid w:val="00643FBC"/>
    <w:rsid w:val="00644073"/>
    <w:rsid w:val="006440DC"/>
    <w:rsid w:val="006442BB"/>
    <w:rsid w:val="006443CD"/>
    <w:rsid w:val="0064445D"/>
    <w:rsid w:val="0064454D"/>
    <w:rsid w:val="0064460E"/>
    <w:rsid w:val="006449C4"/>
    <w:rsid w:val="00644ACB"/>
    <w:rsid w:val="00644B08"/>
    <w:rsid w:val="00644CE3"/>
    <w:rsid w:val="006454D5"/>
    <w:rsid w:val="006454F3"/>
    <w:rsid w:val="00645747"/>
    <w:rsid w:val="006457BB"/>
    <w:rsid w:val="0064593E"/>
    <w:rsid w:val="0064599E"/>
    <w:rsid w:val="00645AAE"/>
    <w:rsid w:val="00645AC7"/>
    <w:rsid w:val="00645B36"/>
    <w:rsid w:val="00645F74"/>
    <w:rsid w:val="0064602E"/>
    <w:rsid w:val="006460B8"/>
    <w:rsid w:val="00646260"/>
    <w:rsid w:val="006462B9"/>
    <w:rsid w:val="00646531"/>
    <w:rsid w:val="0064658F"/>
    <w:rsid w:val="00646737"/>
    <w:rsid w:val="006468A4"/>
    <w:rsid w:val="006468DF"/>
    <w:rsid w:val="00646C6D"/>
    <w:rsid w:val="00646ED5"/>
    <w:rsid w:val="00646FDE"/>
    <w:rsid w:val="006471F3"/>
    <w:rsid w:val="00647258"/>
    <w:rsid w:val="00647353"/>
    <w:rsid w:val="0064754D"/>
    <w:rsid w:val="006475C9"/>
    <w:rsid w:val="006475D7"/>
    <w:rsid w:val="00647793"/>
    <w:rsid w:val="0064779D"/>
    <w:rsid w:val="0064796C"/>
    <w:rsid w:val="00647A57"/>
    <w:rsid w:val="00647ADD"/>
    <w:rsid w:val="00647C05"/>
    <w:rsid w:val="00647C45"/>
    <w:rsid w:val="00647CE7"/>
    <w:rsid w:val="00647E67"/>
    <w:rsid w:val="00650207"/>
    <w:rsid w:val="006502A3"/>
    <w:rsid w:val="006502C3"/>
    <w:rsid w:val="0065039E"/>
    <w:rsid w:val="00650463"/>
    <w:rsid w:val="00650793"/>
    <w:rsid w:val="00650894"/>
    <w:rsid w:val="00650A6D"/>
    <w:rsid w:val="00650AED"/>
    <w:rsid w:val="00650C44"/>
    <w:rsid w:val="00650D2C"/>
    <w:rsid w:val="00650E59"/>
    <w:rsid w:val="00650EC8"/>
    <w:rsid w:val="00650EEE"/>
    <w:rsid w:val="0065101A"/>
    <w:rsid w:val="0065101E"/>
    <w:rsid w:val="00651304"/>
    <w:rsid w:val="00651498"/>
    <w:rsid w:val="0065161D"/>
    <w:rsid w:val="0065163A"/>
    <w:rsid w:val="00651743"/>
    <w:rsid w:val="0065178F"/>
    <w:rsid w:val="00651839"/>
    <w:rsid w:val="0065190A"/>
    <w:rsid w:val="00651C18"/>
    <w:rsid w:val="00651DE0"/>
    <w:rsid w:val="00651F0A"/>
    <w:rsid w:val="00651F88"/>
    <w:rsid w:val="0065231F"/>
    <w:rsid w:val="00652378"/>
    <w:rsid w:val="0065261D"/>
    <w:rsid w:val="006527D4"/>
    <w:rsid w:val="00652836"/>
    <w:rsid w:val="00652A8F"/>
    <w:rsid w:val="00652C1A"/>
    <w:rsid w:val="00652CB3"/>
    <w:rsid w:val="00652CC2"/>
    <w:rsid w:val="00652E3D"/>
    <w:rsid w:val="00652E77"/>
    <w:rsid w:val="00652F95"/>
    <w:rsid w:val="00653026"/>
    <w:rsid w:val="0065328A"/>
    <w:rsid w:val="0065333D"/>
    <w:rsid w:val="006533B2"/>
    <w:rsid w:val="006533E9"/>
    <w:rsid w:val="006533ED"/>
    <w:rsid w:val="006534C6"/>
    <w:rsid w:val="006536C1"/>
    <w:rsid w:val="00653722"/>
    <w:rsid w:val="00653749"/>
    <w:rsid w:val="00653764"/>
    <w:rsid w:val="006537DF"/>
    <w:rsid w:val="006538B8"/>
    <w:rsid w:val="00653916"/>
    <w:rsid w:val="0065394A"/>
    <w:rsid w:val="006539F6"/>
    <w:rsid w:val="00653A0C"/>
    <w:rsid w:val="00653AFD"/>
    <w:rsid w:val="00653B61"/>
    <w:rsid w:val="00653BC2"/>
    <w:rsid w:val="00653BFB"/>
    <w:rsid w:val="00653C4C"/>
    <w:rsid w:val="00653D78"/>
    <w:rsid w:val="00653D80"/>
    <w:rsid w:val="00654041"/>
    <w:rsid w:val="0065406F"/>
    <w:rsid w:val="006541AA"/>
    <w:rsid w:val="00654445"/>
    <w:rsid w:val="00654595"/>
    <w:rsid w:val="006547D8"/>
    <w:rsid w:val="00654808"/>
    <w:rsid w:val="00654824"/>
    <w:rsid w:val="00654A5E"/>
    <w:rsid w:val="00654C69"/>
    <w:rsid w:val="00654CBE"/>
    <w:rsid w:val="00654D37"/>
    <w:rsid w:val="006550AF"/>
    <w:rsid w:val="00655239"/>
    <w:rsid w:val="006552A4"/>
    <w:rsid w:val="006553C4"/>
    <w:rsid w:val="00655427"/>
    <w:rsid w:val="00655463"/>
    <w:rsid w:val="00655735"/>
    <w:rsid w:val="0065574A"/>
    <w:rsid w:val="0065576F"/>
    <w:rsid w:val="006558BE"/>
    <w:rsid w:val="00655D65"/>
    <w:rsid w:val="00655EAA"/>
    <w:rsid w:val="0065601F"/>
    <w:rsid w:val="00656400"/>
    <w:rsid w:val="00656442"/>
    <w:rsid w:val="006564B4"/>
    <w:rsid w:val="006564C5"/>
    <w:rsid w:val="0065656D"/>
    <w:rsid w:val="006566D3"/>
    <w:rsid w:val="00656A64"/>
    <w:rsid w:val="00656BD1"/>
    <w:rsid w:val="00656CBD"/>
    <w:rsid w:val="00656CF1"/>
    <w:rsid w:val="00656E6D"/>
    <w:rsid w:val="00656EB0"/>
    <w:rsid w:val="006570D8"/>
    <w:rsid w:val="006571C2"/>
    <w:rsid w:val="00657262"/>
    <w:rsid w:val="006572F3"/>
    <w:rsid w:val="00657340"/>
    <w:rsid w:val="00657466"/>
    <w:rsid w:val="00657596"/>
    <w:rsid w:val="0065760B"/>
    <w:rsid w:val="00657876"/>
    <w:rsid w:val="006579EC"/>
    <w:rsid w:val="00657ADA"/>
    <w:rsid w:val="00657CC2"/>
    <w:rsid w:val="00657CCB"/>
    <w:rsid w:val="00657F62"/>
    <w:rsid w:val="00657F84"/>
    <w:rsid w:val="0066002A"/>
    <w:rsid w:val="0066020C"/>
    <w:rsid w:val="00660296"/>
    <w:rsid w:val="0066035B"/>
    <w:rsid w:val="006603EF"/>
    <w:rsid w:val="006604B3"/>
    <w:rsid w:val="006606CE"/>
    <w:rsid w:val="006607DA"/>
    <w:rsid w:val="0066087D"/>
    <w:rsid w:val="006608C2"/>
    <w:rsid w:val="00660A26"/>
    <w:rsid w:val="00660A7F"/>
    <w:rsid w:val="00660A93"/>
    <w:rsid w:val="00660AB3"/>
    <w:rsid w:val="00660ABA"/>
    <w:rsid w:val="00660B31"/>
    <w:rsid w:val="00660B66"/>
    <w:rsid w:val="00660C6C"/>
    <w:rsid w:val="00660F5A"/>
    <w:rsid w:val="00660F77"/>
    <w:rsid w:val="00660F81"/>
    <w:rsid w:val="006610BD"/>
    <w:rsid w:val="0066155F"/>
    <w:rsid w:val="006618CC"/>
    <w:rsid w:val="00661A81"/>
    <w:rsid w:val="00661B64"/>
    <w:rsid w:val="00661B89"/>
    <w:rsid w:val="00661BFB"/>
    <w:rsid w:val="00661D80"/>
    <w:rsid w:val="00661D8A"/>
    <w:rsid w:val="00661DAE"/>
    <w:rsid w:val="00661E4D"/>
    <w:rsid w:val="006622BB"/>
    <w:rsid w:val="00662380"/>
    <w:rsid w:val="006624B6"/>
    <w:rsid w:val="00662753"/>
    <w:rsid w:val="006627B1"/>
    <w:rsid w:val="006627EC"/>
    <w:rsid w:val="00662826"/>
    <w:rsid w:val="0066290A"/>
    <w:rsid w:val="00662C14"/>
    <w:rsid w:val="00662C1A"/>
    <w:rsid w:val="00662CFB"/>
    <w:rsid w:val="00662ECA"/>
    <w:rsid w:val="00662EEF"/>
    <w:rsid w:val="00662F6E"/>
    <w:rsid w:val="00662FD5"/>
    <w:rsid w:val="006630F8"/>
    <w:rsid w:val="00663340"/>
    <w:rsid w:val="006633BE"/>
    <w:rsid w:val="0066372B"/>
    <w:rsid w:val="00663756"/>
    <w:rsid w:val="00663771"/>
    <w:rsid w:val="006637DA"/>
    <w:rsid w:val="00663AAA"/>
    <w:rsid w:val="00663AEF"/>
    <w:rsid w:val="00663B00"/>
    <w:rsid w:val="00663BF8"/>
    <w:rsid w:val="00663DE6"/>
    <w:rsid w:val="00663E01"/>
    <w:rsid w:val="00663E10"/>
    <w:rsid w:val="00663F9D"/>
    <w:rsid w:val="006640EF"/>
    <w:rsid w:val="00664237"/>
    <w:rsid w:val="00664276"/>
    <w:rsid w:val="006643F5"/>
    <w:rsid w:val="006647AD"/>
    <w:rsid w:val="006649E6"/>
    <w:rsid w:val="00664B88"/>
    <w:rsid w:val="00664DDB"/>
    <w:rsid w:val="00664F44"/>
    <w:rsid w:val="006650B2"/>
    <w:rsid w:val="006650EB"/>
    <w:rsid w:val="00665215"/>
    <w:rsid w:val="006652AA"/>
    <w:rsid w:val="00665416"/>
    <w:rsid w:val="00665670"/>
    <w:rsid w:val="00665A05"/>
    <w:rsid w:val="00665C21"/>
    <w:rsid w:val="00665C4A"/>
    <w:rsid w:val="00665D3D"/>
    <w:rsid w:val="00665FD7"/>
    <w:rsid w:val="006662DA"/>
    <w:rsid w:val="0066655B"/>
    <w:rsid w:val="00666594"/>
    <w:rsid w:val="006665FD"/>
    <w:rsid w:val="00666619"/>
    <w:rsid w:val="0066671F"/>
    <w:rsid w:val="00666814"/>
    <w:rsid w:val="00666930"/>
    <w:rsid w:val="00666C21"/>
    <w:rsid w:val="00666CCD"/>
    <w:rsid w:val="00667019"/>
    <w:rsid w:val="006670B5"/>
    <w:rsid w:val="006671ED"/>
    <w:rsid w:val="0066724B"/>
    <w:rsid w:val="0066748D"/>
    <w:rsid w:val="0066762F"/>
    <w:rsid w:val="00667726"/>
    <w:rsid w:val="00667796"/>
    <w:rsid w:val="006677BD"/>
    <w:rsid w:val="006677D7"/>
    <w:rsid w:val="0066782E"/>
    <w:rsid w:val="006678A6"/>
    <w:rsid w:val="00667904"/>
    <w:rsid w:val="006679BC"/>
    <w:rsid w:val="00667B98"/>
    <w:rsid w:val="00667D94"/>
    <w:rsid w:val="00667D9B"/>
    <w:rsid w:val="00667E5B"/>
    <w:rsid w:val="0067013F"/>
    <w:rsid w:val="006701E1"/>
    <w:rsid w:val="00670312"/>
    <w:rsid w:val="006704B1"/>
    <w:rsid w:val="0067072B"/>
    <w:rsid w:val="0067080C"/>
    <w:rsid w:val="00670A55"/>
    <w:rsid w:val="00670CA6"/>
    <w:rsid w:val="00670D87"/>
    <w:rsid w:val="00670E96"/>
    <w:rsid w:val="00671025"/>
    <w:rsid w:val="006710CF"/>
    <w:rsid w:val="006711A3"/>
    <w:rsid w:val="006712ED"/>
    <w:rsid w:val="0067130B"/>
    <w:rsid w:val="00671398"/>
    <w:rsid w:val="006713C1"/>
    <w:rsid w:val="0067144A"/>
    <w:rsid w:val="00671532"/>
    <w:rsid w:val="00671535"/>
    <w:rsid w:val="0067156B"/>
    <w:rsid w:val="0067167E"/>
    <w:rsid w:val="00671689"/>
    <w:rsid w:val="006716C3"/>
    <w:rsid w:val="00671759"/>
    <w:rsid w:val="0067182D"/>
    <w:rsid w:val="006718E5"/>
    <w:rsid w:val="00671921"/>
    <w:rsid w:val="0067193B"/>
    <w:rsid w:val="006719B7"/>
    <w:rsid w:val="00671BF3"/>
    <w:rsid w:val="00671BFA"/>
    <w:rsid w:val="00671C59"/>
    <w:rsid w:val="00671D8C"/>
    <w:rsid w:val="00671F66"/>
    <w:rsid w:val="006720D4"/>
    <w:rsid w:val="006721BD"/>
    <w:rsid w:val="006721D8"/>
    <w:rsid w:val="0067231D"/>
    <w:rsid w:val="0067244C"/>
    <w:rsid w:val="006724DA"/>
    <w:rsid w:val="00672595"/>
    <w:rsid w:val="0067271B"/>
    <w:rsid w:val="0067279D"/>
    <w:rsid w:val="006727E1"/>
    <w:rsid w:val="006727FD"/>
    <w:rsid w:val="006729D6"/>
    <w:rsid w:val="00672A92"/>
    <w:rsid w:val="00672C90"/>
    <w:rsid w:val="00672CAC"/>
    <w:rsid w:val="00672D4A"/>
    <w:rsid w:val="00673153"/>
    <w:rsid w:val="00673270"/>
    <w:rsid w:val="00673495"/>
    <w:rsid w:val="006735CE"/>
    <w:rsid w:val="006735D4"/>
    <w:rsid w:val="006737A4"/>
    <w:rsid w:val="006738C0"/>
    <w:rsid w:val="006739CF"/>
    <w:rsid w:val="00673A78"/>
    <w:rsid w:val="00673C6C"/>
    <w:rsid w:val="00673C9C"/>
    <w:rsid w:val="00673CDB"/>
    <w:rsid w:val="00673D58"/>
    <w:rsid w:val="00673DB5"/>
    <w:rsid w:val="00673EF4"/>
    <w:rsid w:val="00673F46"/>
    <w:rsid w:val="006740E3"/>
    <w:rsid w:val="00674152"/>
    <w:rsid w:val="00674572"/>
    <w:rsid w:val="006745CA"/>
    <w:rsid w:val="006746B3"/>
    <w:rsid w:val="006747EE"/>
    <w:rsid w:val="006747F5"/>
    <w:rsid w:val="00674988"/>
    <w:rsid w:val="006749B0"/>
    <w:rsid w:val="00674A09"/>
    <w:rsid w:val="00674CA1"/>
    <w:rsid w:val="00674D19"/>
    <w:rsid w:val="00674D9C"/>
    <w:rsid w:val="00674DC4"/>
    <w:rsid w:val="00674E3A"/>
    <w:rsid w:val="00674E3C"/>
    <w:rsid w:val="00674EE2"/>
    <w:rsid w:val="00674FD3"/>
    <w:rsid w:val="00674FD9"/>
    <w:rsid w:val="006750B3"/>
    <w:rsid w:val="00675299"/>
    <w:rsid w:val="006752B9"/>
    <w:rsid w:val="00675321"/>
    <w:rsid w:val="00675379"/>
    <w:rsid w:val="006755A0"/>
    <w:rsid w:val="00675610"/>
    <w:rsid w:val="0067567B"/>
    <w:rsid w:val="006757D0"/>
    <w:rsid w:val="0067593B"/>
    <w:rsid w:val="006759A0"/>
    <w:rsid w:val="006759AD"/>
    <w:rsid w:val="00675A38"/>
    <w:rsid w:val="00675B3E"/>
    <w:rsid w:val="00675B81"/>
    <w:rsid w:val="00675D51"/>
    <w:rsid w:val="00675E06"/>
    <w:rsid w:val="00675E47"/>
    <w:rsid w:val="00676046"/>
    <w:rsid w:val="00676070"/>
    <w:rsid w:val="006760F3"/>
    <w:rsid w:val="0067648A"/>
    <w:rsid w:val="0067670E"/>
    <w:rsid w:val="00676798"/>
    <w:rsid w:val="00676996"/>
    <w:rsid w:val="00676AC9"/>
    <w:rsid w:val="00676BAD"/>
    <w:rsid w:val="00676CA2"/>
    <w:rsid w:val="00676D33"/>
    <w:rsid w:val="00676DC8"/>
    <w:rsid w:val="00676F4C"/>
    <w:rsid w:val="006770B8"/>
    <w:rsid w:val="00677103"/>
    <w:rsid w:val="00677106"/>
    <w:rsid w:val="0067725C"/>
    <w:rsid w:val="00677319"/>
    <w:rsid w:val="006773D4"/>
    <w:rsid w:val="00677467"/>
    <w:rsid w:val="006777AB"/>
    <w:rsid w:val="00677811"/>
    <w:rsid w:val="0067793A"/>
    <w:rsid w:val="00677949"/>
    <w:rsid w:val="00677CA3"/>
    <w:rsid w:val="00677DC9"/>
    <w:rsid w:val="00677EFE"/>
    <w:rsid w:val="00677F25"/>
    <w:rsid w:val="00677F6A"/>
    <w:rsid w:val="00680076"/>
    <w:rsid w:val="0068010F"/>
    <w:rsid w:val="006801F6"/>
    <w:rsid w:val="00680287"/>
    <w:rsid w:val="006802B4"/>
    <w:rsid w:val="006802B8"/>
    <w:rsid w:val="006805C9"/>
    <w:rsid w:val="00680658"/>
    <w:rsid w:val="0068066F"/>
    <w:rsid w:val="00680845"/>
    <w:rsid w:val="0068096F"/>
    <w:rsid w:val="00680A85"/>
    <w:rsid w:val="00680B3B"/>
    <w:rsid w:val="00680B64"/>
    <w:rsid w:val="00680B69"/>
    <w:rsid w:val="00680BF7"/>
    <w:rsid w:val="00680C80"/>
    <w:rsid w:val="00680C97"/>
    <w:rsid w:val="00680DBA"/>
    <w:rsid w:val="00680E2C"/>
    <w:rsid w:val="00680E8B"/>
    <w:rsid w:val="006810BE"/>
    <w:rsid w:val="006810F7"/>
    <w:rsid w:val="00681150"/>
    <w:rsid w:val="0068115C"/>
    <w:rsid w:val="00681211"/>
    <w:rsid w:val="0068126E"/>
    <w:rsid w:val="006814F0"/>
    <w:rsid w:val="00681519"/>
    <w:rsid w:val="00681593"/>
    <w:rsid w:val="0068164B"/>
    <w:rsid w:val="0068164C"/>
    <w:rsid w:val="006816CF"/>
    <w:rsid w:val="006816D3"/>
    <w:rsid w:val="00681708"/>
    <w:rsid w:val="006818E6"/>
    <w:rsid w:val="00681930"/>
    <w:rsid w:val="00681935"/>
    <w:rsid w:val="00681AAF"/>
    <w:rsid w:val="00681CF7"/>
    <w:rsid w:val="00681DF9"/>
    <w:rsid w:val="00681E31"/>
    <w:rsid w:val="00682072"/>
    <w:rsid w:val="00682228"/>
    <w:rsid w:val="00682324"/>
    <w:rsid w:val="00682626"/>
    <w:rsid w:val="006827C3"/>
    <w:rsid w:val="00682887"/>
    <w:rsid w:val="006828D0"/>
    <w:rsid w:val="00682913"/>
    <w:rsid w:val="00682AEC"/>
    <w:rsid w:val="00682AFF"/>
    <w:rsid w:val="00682B11"/>
    <w:rsid w:val="00682B5E"/>
    <w:rsid w:val="00682CD7"/>
    <w:rsid w:val="006835F4"/>
    <w:rsid w:val="006838BE"/>
    <w:rsid w:val="006839D2"/>
    <w:rsid w:val="00683C9B"/>
    <w:rsid w:val="00683CA1"/>
    <w:rsid w:val="00683FCA"/>
    <w:rsid w:val="00684098"/>
    <w:rsid w:val="00684142"/>
    <w:rsid w:val="006843B2"/>
    <w:rsid w:val="006844CA"/>
    <w:rsid w:val="006845E9"/>
    <w:rsid w:val="006846F9"/>
    <w:rsid w:val="006847F9"/>
    <w:rsid w:val="006848DA"/>
    <w:rsid w:val="00684935"/>
    <w:rsid w:val="0068493B"/>
    <w:rsid w:val="00684A2A"/>
    <w:rsid w:val="00684AE0"/>
    <w:rsid w:val="00684B24"/>
    <w:rsid w:val="00684BB9"/>
    <w:rsid w:val="00684D2C"/>
    <w:rsid w:val="00684D75"/>
    <w:rsid w:val="00684DC7"/>
    <w:rsid w:val="00684DE6"/>
    <w:rsid w:val="00684E7F"/>
    <w:rsid w:val="00685072"/>
    <w:rsid w:val="00685074"/>
    <w:rsid w:val="00685188"/>
    <w:rsid w:val="006851C3"/>
    <w:rsid w:val="0068537C"/>
    <w:rsid w:val="006853F0"/>
    <w:rsid w:val="00685512"/>
    <w:rsid w:val="0068551F"/>
    <w:rsid w:val="00685812"/>
    <w:rsid w:val="00685A35"/>
    <w:rsid w:val="00685AE9"/>
    <w:rsid w:val="00685B1E"/>
    <w:rsid w:val="00685B44"/>
    <w:rsid w:val="00685BC0"/>
    <w:rsid w:val="00686216"/>
    <w:rsid w:val="00686240"/>
    <w:rsid w:val="006862A7"/>
    <w:rsid w:val="0068637E"/>
    <w:rsid w:val="00686634"/>
    <w:rsid w:val="00686857"/>
    <w:rsid w:val="0068695E"/>
    <w:rsid w:val="006869F8"/>
    <w:rsid w:val="00686A29"/>
    <w:rsid w:val="00686E81"/>
    <w:rsid w:val="00686F40"/>
    <w:rsid w:val="006870E0"/>
    <w:rsid w:val="006873EE"/>
    <w:rsid w:val="0068749F"/>
    <w:rsid w:val="00687906"/>
    <w:rsid w:val="00687A16"/>
    <w:rsid w:val="00687A95"/>
    <w:rsid w:val="00687BF0"/>
    <w:rsid w:val="00687C1C"/>
    <w:rsid w:val="006900F8"/>
    <w:rsid w:val="0069027E"/>
    <w:rsid w:val="006903A3"/>
    <w:rsid w:val="006904DE"/>
    <w:rsid w:val="006907D1"/>
    <w:rsid w:val="0069085E"/>
    <w:rsid w:val="00690B95"/>
    <w:rsid w:val="00690BB1"/>
    <w:rsid w:val="00690BD5"/>
    <w:rsid w:val="00690F65"/>
    <w:rsid w:val="00690FE8"/>
    <w:rsid w:val="0069107A"/>
    <w:rsid w:val="00691087"/>
    <w:rsid w:val="006911DD"/>
    <w:rsid w:val="006911DF"/>
    <w:rsid w:val="006911FC"/>
    <w:rsid w:val="00691497"/>
    <w:rsid w:val="0069150F"/>
    <w:rsid w:val="006915A7"/>
    <w:rsid w:val="0069168B"/>
    <w:rsid w:val="00691690"/>
    <w:rsid w:val="006916CD"/>
    <w:rsid w:val="0069193B"/>
    <w:rsid w:val="00691A05"/>
    <w:rsid w:val="00691A08"/>
    <w:rsid w:val="00691A82"/>
    <w:rsid w:val="006920B1"/>
    <w:rsid w:val="006920C1"/>
    <w:rsid w:val="00692169"/>
    <w:rsid w:val="006921BB"/>
    <w:rsid w:val="006922F8"/>
    <w:rsid w:val="00692312"/>
    <w:rsid w:val="006923B1"/>
    <w:rsid w:val="0069258A"/>
    <w:rsid w:val="006925AD"/>
    <w:rsid w:val="006925F4"/>
    <w:rsid w:val="00692670"/>
    <w:rsid w:val="006926AA"/>
    <w:rsid w:val="0069272B"/>
    <w:rsid w:val="00692ABB"/>
    <w:rsid w:val="00692C1C"/>
    <w:rsid w:val="00692CBC"/>
    <w:rsid w:val="00692EAC"/>
    <w:rsid w:val="00692F98"/>
    <w:rsid w:val="00692FF3"/>
    <w:rsid w:val="00693009"/>
    <w:rsid w:val="00693128"/>
    <w:rsid w:val="00693161"/>
    <w:rsid w:val="006932DF"/>
    <w:rsid w:val="006933CF"/>
    <w:rsid w:val="006933FC"/>
    <w:rsid w:val="0069355F"/>
    <w:rsid w:val="00693583"/>
    <w:rsid w:val="006936A4"/>
    <w:rsid w:val="00693734"/>
    <w:rsid w:val="006937F2"/>
    <w:rsid w:val="00693AD8"/>
    <w:rsid w:val="00693B49"/>
    <w:rsid w:val="00693E3C"/>
    <w:rsid w:val="00693EE8"/>
    <w:rsid w:val="00693FE9"/>
    <w:rsid w:val="006940AA"/>
    <w:rsid w:val="0069422E"/>
    <w:rsid w:val="0069424B"/>
    <w:rsid w:val="006944C0"/>
    <w:rsid w:val="0069459A"/>
    <w:rsid w:val="006946C7"/>
    <w:rsid w:val="006947EC"/>
    <w:rsid w:val="006948D2"/>
    <w:rsid w:val="006948DC"/>
    <w:rsid w:val="006948E3"/>
    <w:rsid w:val="00694A4C"/>
    <w:rsid w:val="00694C37"/>
    <w:rsid w:val="00694C97"/>
    <w:rsid w:val="00694DD9"/>
    <w:rsid w:val="00694EF8"/>
    <w:rsid w:val="00694F50"/>
    <w:rsid w:val="00695055"/>
    <w:rsid w:val="006951BD"/>
    <w:rsid w:val="00695275"/>
    <w:rsid w:val="006954AB"/>
    <w:rsid w:val="006955BA"/>
    <w:rsid w:val="00695607"/>
    <w:rsid w:val="006956D4"/>
    <w:rsid w:val="006956FB"/>
    <w:rsid w:val="006957CE"/>
    <w:rsid w:val="00695812"/>
    <w:rsid w:val="0069587B"/>
    <w:rsid w:val="00695923"/>
    <w:rsid w:val="006959BB"/>
    <w:rsid w:val="00695A5B"/>
    <w:rsid w:val="00695C05"/>
    <w:rsid w:val="00695D40"/>
    <w:rsid w:val="00695FB9"/>
    <w:rsid w:val="0069606B"/>
    <w:rsid w:val="0069613D"/>
    <w:rsid w:val="0069616A"/>
    <w:rsid w:val="006962B7"/>
    <w:rsid w:val="006963BC"/>
    <w:rsid w:val="0069640B"/>
    <w:rsid w:val="0069679E"/>
    <w:rsid w:val="0069689C"/>
    <w:rsid w:val="006968FE"/>
    <w:rsid w:val="0069695A"/>
    <w:rsid w:val="00696984"/>
    <w:rsid w:val="00696B4E"/>
    <w:rsid w:val="00696CF2"/>
    <w:rsid w:val="00696E5D"/>
    <w:rsid w:val="00696EA8"/>
    <w:rsid w:val="00696EBE"/>
    <w:rsid w:val="006971ED"/>
    <w:rsid w:val="0069722E"/>
    <w:rsid w:val="00697250"/>
    <w:rsid w:val="00697888"/>
    <w:rsid w:val="006978AF"/>
    <w:rsid w:val="00697942"/>
    <w:rsid w:val="00697A76"/>
    <w:rsid w:val="00697A7A"/>
    <w:rsid w:val="00697AB0"/>
    <w:rsid w:val="00697DEF"/>
    <w:rsid w:val="00697DFC"/>
    <w:rsid w:val="00697E8B"/>
    <w:rsid w:val="00697EE5"/>
    <w:rsid w:val="00697F2D"/>
    <w:rsid w:val="00697F7E"/>
    <w:rsid w:val="00697F88"/>
    <w:rsid w:val="006A01CA"/>
    <w:rsid w:val="006A024A"/>
    <w:rsid w:val="006A030F"/>
    <w:rsid w:val="006A0331"/>
    <w:rsid w:val="006A034D"/>
    <w:rsid w:val="006A0612"/>
    <w:rsid w:val="006A067C"/>
    <w:rsid w:val="006A076E"/>
    <w:rsid w:val="006A07A6"/>
    <w:rsid w:val="006A08AC"/>
    <w:rsid w:val="006A092F"/>
    <w:rsid w:val="006A0B39"/>
    <w:rsid w:val="006A0B97"/>
    <w:rsid w:val="006A0BE5"/>
    <w:rsid w:val="006A0D93"/>
    <w:rsid w:val="006A0EBB"/>
    <w:rsid w:val="006A0F7A"/>
    <w:rsid w:val="006A10DB"/>
    <w:rsid w:val="006A1127"/>
    <w:rsid w:val="006A13F3"/>
    <w:rsid w:val="006A158D"/>
    <w:rsid w:val="006A15B0"/>
    <w:rsid w:val="006A17AF"/>
    <w:rsid w:val="006A17BF"/>
    <w:rsid w:val="006A1BAC"/>
    <w:rsid w:val="006A1CAF"/>
    <w:rsid w:val="006A1D3A"/>
    <w:rsid w:val="006A1FCE"/>
    <w:rsid w:val="006A2237"/>
    <w:rsid w:val="006A233D"/>
    <w:rsid w:val="006A2352"/>
    <w:rsid w:val="006A23DF"/>
    <w:rsid w:val="006A256C"/>
    <w:rsid w:val="006A259F"/>
    <w:rsid w:val="006A26C8"/>
    <w:rsid w:val="006A2796"/>
    <w:rsid w:val="006A27A5"/>
    <w:rsid w:val="006A28A9"/>
    <w:rsid w:val="006A2D50"/>
    <w:rsid w:val="006A2FA7"/>
    <w:rsid w:val="006A2FEB"/>
    <w:rsid w:val="006A304F"/>
    <w:rsid w:val="006A3104"/>
    <w:rsid w:val="006A310B"/>
    <w:rsid w:val="006A3203"/>
    <w:rsid w:val="006A32D3"/>
    <w:rsid w:val="006A3395"/>
    <w:rsid w:val="006A35C5"/>
    <w:rsid w:val="006A35E7"/>
    <w:rsid w:val="006A36BA"/>
    <w:rsid w:val="006A3755"/>
    <w:rsid w:val="006A37A6"/>
    <w:rsid w:val="006A3A26"/>
    <w:rsid w:val="006A3A36"/>
    <w:rsid w:val="006A3ACC"/>
    <w:rsid w:val="006A3E0E"/>
    <w:rsid w:val="006A4083"/>
    <w:rsid w:val="006A40ED"/>
    <w:rsid w:val="006A4169"/>
    <w:rsid w:val="006A4287"/>
    <w:rsid w:val="006A437F"/>
    <w:rsid w:val="006A459A"/>
    <w:rsid w:val="006A466E"/>
    <w:rsid w:val="006A4C29"/>
    <w:rsid w:val="006A4CF2"/>
    <w:rsid w:val="006A4D07"/>
    <w:rsid w:val="006A4DD5"/>
    <w:rsid w:val="006A4E32"/>
    <w:rsid w:val="006A4FDA"/>
    <w:rsid w:val="006A51F1"/>
    <w:rsid w:val="006A538A"/>
    <w:rsid w:val="006A5405"/>
    <w:rsid w:val="006A54A0"/>
    <w:rsid w:val="006A55CB"/>
    <w:rsid w:val="006A5748"/>
    <w:rsid w:val="006A5762"/>
    <w:rsid w:val="006A58C7"/>
    <w:rsid w:val="006A5941"/>
    <w:rsid w:val="006A5A74"/>
    <w:rsid w:val="006A5ABB"/>
    <w:rsid w:val="006A5D9D"/>
    <w:rsid w:val="006A5F10"/>
    <w:rsid w:val="006A635C"/>
    <w:rsid w:val="006A695C"/>
    <w:rsid w:val="006A6967"/>
    <w:rsid w:val="006A69E1"/>
    <w:rsid w:val="006A6A22"/>
    <w:rsid w:val="006A6D11"/>
    <w:rsid w:val="006A6D5B"/>
    <w:rsid w:val="006A6D75"/>
    <w:rsid w:val="006A6EE8"/>
    <w:rsid w:val="006A7149"/>
    <w:rsid w:val="006A7159"/>
    <w:rsid w:val="006A7171"/>
    <w:rsid w:val="006A733A"/>
    <w:rsid w:val="006A7455"/>
    <w:rsid w:val="006A7464"/>
    <w:rsid w:val="006A7479"/>
    <w:rsid w:val="006A769D"/>
    <w:rsid w:val="006A7735"/>
    <w:rsid w:val="006A7809"/>
    <w:rsid w:val="006A7B32"/>
    <w:rsid w:val="006A7BFB"/>
    <w:rsid w:val="006A7C3C"/>
    <w:rsid w:val="006A7F5D"/>
    <w:rsid w:val="006B0064"/>
    <w:rsid w:val="006B0067"/>
    <w:rsid w:val="006B00EA"/>
    <w:rsid w:val="006B038C"/>
    <w:rsid w:val="006B0391"/>
    <w:rsid w:val="006B06B6"/>
    <w:rsid w:val="006B06C2"/>
    <w:rsid w:val="006B070B"/>
    <w:rsid w:val="006B0790"/>
    <w:rsid w:val="006B07AA"/>
    <w:rsid w:val="006B083E"/>
    <w:rsid w:val="006B08C5"/>
    <w:rsid w:val="006B0982"/>
    <w:rsid w:val="006B0AE1"/>
    <w:rsid w:val="006B0B13"/>
    <w:rsid w:val="006B0B8B"/>
    <w:rsid w:val="006B0CF7"/>
    <w:rsid w:val="006B0DB3"/>
    <w:rsid w:val="006B0E87"/>
    <w:rsid w:val="006B0FEE"/>
    <w:rsid w:val="006B1089"/>
    <w:rsid w:val="006B10AA"/>
    <w:rsid w:val="006B111D"/>
    <w:rsid w:val="006B1160"/>
    <w:rsid w:val="006B12AF"/>
    <w:rsid w:val="006B1393"/>
    <w:rsid w:val="006B1554"/>
    <w:rsid w:val="006B16EE"/>
    <w:rsid w:val="006B171E"/>
    <w:rsid w:val="006B181D"/>
    <w:rsid w:val="006B1906"/>
    <w:rsid w:val="006B190B"/>
    <w:rsid w:val="006B1956"/>
    <w:rsid w:val="006B1975"/>
    <w:rsid w:val="006B1AB2"/>
    <w:rsid w:val="006B1B67"/>
    <w:rsid w:val="006B1B7F"/>
    <w:rsid w:val="006B1BFB"/>
    <w:rsid w:val="006B1C7A"/>
    <w:rsid w:val="006B1DD0"/>
    <w:rsid w:val="006B1E08"/>
    <w:rsid w:val="006B1E38"/>
    <w:rsid w:val="006B1F90"/>
    <w:rsid w:val="006B1FD8"/>
    <w:rsid w:val="006B218C"/>
    <w:rsid w:val="006B239B"/>
    <w:rsid w:val="006B2544"/>
    <w:rsid w:val="006B2612"/>
    <w:rsid w:val="006B2825"/>
    <w:rsid w:val="006B289B"/>
    <w:rsid w:val="006B29EF"/>
    <w:rsid w:val="006B2A17"/>
    <w:rsid w:val="006B2CFF"/>
    <w:rsid w:val="006B2D66"/>
    <w:rsid w:val="006B2FDE"/>
    <w:rsid w:val="006B3093"/>
    <w:rsid w:val="006B3777"/>
    <w:rsid w:val="006B3892"/>
    <w:rsid w:val="006B3AEB"/>
    <w:rsid w:val="006B3B03"/>
    <w:rsid w:val="006B3BD5"/>
    <w:rsid w:val="006B3C7C"/>
    <w:rsid w:val="006B3D1D"/>
    <w:rsid w:val="006B3D40"/>
    <w:rsid w:val="006B3EB9"/>
    <w:rsid w:val="006B3F27"/>
    <w:rsid w:val="006B42CE"/>
    <w:rsid w:val="006B42ED"/>
    <w:rsid w:val="006B46FC"/>
    <w:rsid w:val="006B475B"/>
    <w:rsid w:val="006B47BF"/>
    <w:rsid w:val="006B4857"/>
    <w:rsid w:val="006B489E"/>
    <w:rsid w:val="006B4994"/>
    <w:rsid w:val="006B4AC7"/>
    <w:rsid w:val="006B4B32"/>
    <w:rsid w:val="006B4B63"/>
    <w:rsid w:val="006B4BA9"/>
    <w:rsid w:val="006B4C06"/>
    <w:rsid w:val="006B4EDC"/>
    <w:rsid w:val="006B4F71"/>
    <w:rsid w:val="006B5036"/>
    <w:rsid w:val="006B512A"/>
    <w:rsid w:val="006B515C"/>
    <w:rsid w:val="006B534F"/>
    <w:rsid w:val="006B5877"/>
    <w:rsid w:val="006B5A58"/>
    <w:rsid w:val="006B5A5D"/>
    <w:rsid w:val="006B5DBE"/>
    <w:rsid w:val="006B6079"/>
    <w:rsid w:val="006B618A"/>
    <w:rsid w:val="006B62CD"/>
    <w:rsid w:val="006B6300"/>
    <w:rsid w:val="006B6330"/>
    <w:rsid w:val="006B64D6"/>
    <w:rsid w:val="006B6520"/>
    <w:rsid w:val="006B6602"/>
    <w:rsid w:val="006B661C"/>
    <w:rsid w:val="006B68A5"/>
    <w:rsid w:val="006B6900"/>
    <w:rsid w:val="006B6C16"/>
    <w:rsid w:val="006B6D2F"/>
    <w:rsid w:val="006B6F3B"/>
    <w:rsid w:val="006B6FAB"/>
    <w:rsid w:val="006B6FBC"/>
    <w:rsid w:val="006B6FC5"/>
    <w:rsid w:val="006B6FE6"/>
    <w:rsid w:val="006B71E1"/>
    <w:rsid w:val="006B72BF"/>
    <w:rsid w:val="006B7459"/>
    <w:rsid w:val="006B75EE"/>
    <w:rsid w:val="006B771B"/>
    <w:rsid w:val="006B7738"/>
    <w:rsid w:val="006B778F"/>
    <w:rsid w:val="006B78B8"/>
    <w:rsid w:val="006B78F1"/>
    <w:rsid w:val="006B7964"/>
    <w:rsid w:val="006B7B94"/>
    <w:rsid w:val="006B7BC4"/>
    <w:rsid w:val="006B7CD9"/>
    <w:rsid w:val="006B7D36"/>
    <w:rsid w:val="006B7F28"/>
    <w:rsid w:val="006B7F3B"/>
    <w:rsid w:val="006B7F4C"/>
    <w:rsid w:val="006B7FBB"/>
    <w:rsid w:val="006C01BD"/>
    <w:rsid w:val="006C0300"/>
    <w:rsid w:val="006C0344"/>
    <w:rsid w:val="006C0436"/>
    <w:rsid w:val="006C0449"/>
    <w:rsid w:val="006C0641"/>
    <w:rsid w:val="006C072E"/>
    <w:rsid w:val="006C072F"/>
    <w:rsid w:val="006C0975"/>
    <w:rsid w:val="006C09E9"/>
    <w:rsid w:val="006C0B65"/>
    <w:rsid w:val="006C0C10"/>
    <w:rsid w:val="006C0D8D"/>
    <w:rsid w:val="006C0EA4"/>
    <w:rsid w:val="006C109A"/>
    <w:rsid w:val="006C1161"/>
    <w:rsid w:val="006C11B7"/>
    <w:rsid w:val="006C12A7"/>
    <w:rsid w:val="006C12AA"/>
    <w:rsid w:val="006C1854"/>
    <w:rsid w:val="006C1946"/>
    <w:rsid w:val="006C1C82"/>
    <w:rsid w:val="006C1DD0"/>
    <w:rsid w:val="006C218F"/>
    <w:rsid w:val="006C21A7"/>
    <w:rsid w:val="006C234C"/>
    <w:rsid w:val="006C2472"/>
    <w:rsid w:val="006C254E"/>
    <w:rsid w:val="006C2560"/>
    <w:rsid w:val="006C269C"/>
    <w:rsid w:val="006C2B4F"/>
    <w:rsid w:val="006C2CA2"/>
    <w:rsid w:val="006C2D7A"/>
    <w:rsid w:val="006C2E58"/>
    <w:rsid w:val="006C2FE7"/>
    <w:rsid w:val="006C31CF"/>
    <w:rsid w:val="006C32DF"/>
    <w:rsid w:val="006C3359"/>
    <w:rsid w:val="006C338A"/>
    <w:rsid w:val="006C369A"/>
    <w:rsid w:val="006C371B"/>
    <w:rsid w:val="006C38B5"/>
    <w:rsid w:val="006C397A"/>
    <w:rsid w:val="006C39AA"/>
    <w:rsid w:val="006C3ACD"/>
    <w:rsid w:val="006C3C02"/>
    <w:rsid w:val="006C3C3E"/>
    <w:rsid w:val="006C3C4E"/>
    <w:rsid w:val="006C3D1C"/>
    <w:rsid w:val="006C3DA9"/>
    <w:rsid w:val="006C3E31"/>
    <w:rsid w:val="006C3F38"/>
    <w:rsid w:val="006C3F73"/>
    <w:rsid w:val="006C444A"/>
    <w:rsid w:val="006C455D"/>
    <w:rsid w:val="006C45D7"/>
    <w:rsid w:val="006C45F4"/>
    <w:rsid w:val="006C46B2"/>
    <w:rsid w:val="006C4C43"/>
    <w:rsid w:val="006C4C61"/>
    <w:rsid w:val="006C4D07"/>
    <w:rsid w:val="006C4E5B"/>
    <w:rsid w:val="006C51C7"/>
    <w:rsid w:val="006C538D"/>
    <w:rsid w:val="006C5410"/>
    <w:rsid w:val="006C543D"/>
    <w:rsid w:val="006C54D2"/>
    <w:rsid w:val="006C553F"/>
    <w:rsid w:val="006C5691"/>
    <w:rsid w:val="006C56C4"/>
    <w:rsid w:val="006C57D9"/>
    <w:rsid w:val="006C5A6D"/>
    <w:rsid w:val="006C5B14"/>
    <w:rsid w:val="006C5BF1"/>
    <w:rsid w:val="006C5D61"/>
    <w:rsid w:val="006C5FD6"/>
    <w:rsid w:val="006C6125"/>
    <w:rsid w:val="006C6375"/>
    <w:rsid w:val="006C639A"/>
    <w:rsid w:val="006C647D"/>
    <w:rsid w:val="006C671A"/>
    <w:rsid w:val="006C6932"/>
    <w:rsid w:val="006C698E"/>
    <w:rsid w:val="006C6B23"/>
    <w:rsid w:val="006C6DE4"/>
    <w:rsid w:val="006C6EF0"/>
    <w:rsid w:val="006C7203"/>
    <w:rsid w:val="006C73A5"/>
    <w:rsid w:val="006C756B"/>
    <w:rsid w:val="006C785F"/>
    <w:rsid w:val="006C78B6"/>
    <w:rsid w:val="006C7934"/>
    <w:rsid w:val="006C79E1"/>
    <w:rsid w:val="006C7ABE"/>
    <w:rsid w:val="006C7AC9"/>
    <w:rsid w:val="006C7B32"/>
    <w:rsid w:val="006C7BCA"/>
    <w:rsid w:val="006C7C99"/>
    <w:rsid w:val="006C7D5A"/>
    <w:rsid w:val="006C7E5C"/>
    <w:rsid w:val="006C7FDB"/>
    <w:rsid w:val="006D0000"/>
    <w:rsid w:val="006D0013"/>
    <w:rsid w:val="006D00C1"/>
    <w:rsid w:val="006D024D"/>
    <w:rsid w:val="006D0522"/>
    <w:rsid w:val="006D0551"/>
    <w:rsid w:val="006D05B9"/>
    <w:rsid w:val="006D09A3"/>
    <w:rsid w:val="006D0A28"/>
    <w:rsid w:val="006D0A86"/>
    <w:rsid w:val="006D0B1C"/>
    <w:rsid w:val="006D0C5A"/>
    <w:rsid w:val="006D0CB9"/>
    <w:rsid w:val="006D0DDD"/>
    <w:rsid w:val="006D0E97"/>
    <w:rsid w:val="006D0FA7"/>
    <w:rsid w:val="006D1176"/>
    <w:rsid w:val="006D11F4"/>
    <w:rsid w:val="006D1324"/>
    <w:rsid w:val="006D1379"/>
    <w:rsid w:val="006D152F"/>
    <w:rsid w:val="006D1592"/>
    <w:rsid w:val="006D1883"/>
    <w:rsid w:val="006D18B3"/>
    <w:rsid w:val="006D18D8"/>
    <w:rsid w:val="006D1BFD"/>
    <w:rsid w:val="006D1CAB"/>
    <w:rsid w:val="006D1DB3"/>
    <w:rsid w:val="006D1DF3"/>
    <w:rsid w:val="006D1F7F"/>
    <w:rsid w:val="006D1FA6"/>
    <w:rsid w:val="006D24AB"/>
    <w:rsid w:val="006D2500"/>
    <w:rsid w:val="006D264A"/>
    <w:rsid w:val="006D2754"/>
    <w:rsid w:val="006D2C33"/>
    <w:rsid w:val="006D2D49"/>
    <w:rsid w:val="006D2DF8"/>
    <w:rsid w:val="006D2E71"/>
    <w:rsid w:val="006D2F42"/>
    <w:rsid w:val="006D305A"/>
    <w:rsid w:val="006D3381"/>
    <w:rsid w:val="006D3580"/>
    <w:rsid w:val="006D3853"/>
    <w:rsid w:val="006D386D"/>
    <w:rsid w:val="006D3C1C"/>
    <w:rsid w:val="006D3DA6"/>
    <w:rsid w:val="006D3E61"/>
    <w:rsid w:val="006D3EDF"/>
    <w:rsid w:val="006D3F34"/>
    <w:rsid w:val="006D3FCB"/>
    <w:rsid w:val="006D43BA"/>
    <w:rsid w:val="006D4412"/>
    <w:rsid w:val="006D46E4"/>
    <w:rsid w:val="006D4BD2"/>
    <w:rsid w:val="006D4BD3"/>
    <w:rsid w:val="006D4C43"/>
    <w:rsid w:val="006D4D2F"/>
    <w:rsid w:val="006D4DB1"/>
    <w:rsid w:val="006D4DCA"/>
    <w:rsid w:val="006D4DED"/>
    <w:rsid w:val="006D4F4C"/>
    <w:rsid w:val="006D5027"/>
    <w:rsid w:val="006D503C"/>
    <w:rsid w:val="006D50CC"/>
    <w:rsid w:val="006D52AB"/>
    <w:rsid w:val="006D553D"/>
    <w:rsid w:val="006D5567"/>
    <w:rsid w:val="006D55A9"/>
    <w:rsid w:val="006D56CA"/>
    <w:rsid w:val="006D585B"/>
    <w:rsid w:val="006D5B7A"/>
    <w:rsid w:val="006D5EBF"/>
    <w:rsid w:val="006D5EE3"/>
    <w:rsid w:val="006D5F07"/>
    <w:rsid w:val="006D5FCD"/>
    <w:rsid w:val="006D632C"/>
    <w:rsid w:val="006D680A"/>
    <w:rsid w:val="006D68B2"/>
    <w:rsid w:val="006D6A32"/>
    <w:rsid w:val="006D6AEC"/>
    <w:rsid w:val="006D6BAC"/>
    <w:rsid w:val="006D6BB9"/>
    <w:rsid w:val="006D6CF3"/>
    <w:rsid w:val="006D6DAF"/>
    <w:rsid w:val="006D6E4F"/>
    <w:rsid w:val="006D7152"/>
    <w:rsid w:val="006D74BA"/>
    <w:rsid w:val="006D75E4"/>
    <w:rsid w:val="006D7660"/>
    <w:rsid w:val="006D7779"/>
    <w:rsid w:val="006D7AE9"/>
    <w:rsid w:val="006D7AF5"/>
    <w:rsid w:val="006D7C75"/>
    <w:rsid w:val="006D7CAF"/>
    <w:rsid w:val="006D7CED"/>
    <w:rsid w:val="006D7DF3"/>
    <w:rsid w:val="006D7E39"/>
    <w:rsid w:val="006E0041"/>
    <w:rsid w:val="006E0125"/>
    <w:rsid w:val="006E0551"/>
    <w:rsid w:val="006E0557"/>
    <w:rsid w:val="006E0603"/>
    <w:rsid w:val="006E0620"/>
    <w:rsid w:val="006E0774"/>
    <w:rsid w:val="006E079B"/>
    <w:rsid w:val="006E0849"/>
    <w:rsid w:val="006E08AB"/>
    <w:rsid w:val="006E0977"/>
    <w:rsid w:val="006E0B4E"/>
    <w:rsid w:val="006E0BEE"/>
    <w:rsid w:val="006E0E13"/>
    <w:rsid w:val="006E0E33"/>
    <w:rsid w:val="006E0EB6"/>
    <w:rsid w:val="006E102A"/>
    <w:rsid w:val="006E1044"/>
    <w:rsid w:val="006E135B"/>
    <w:rsid w:val="006E15AA"/>
    <w:rsid w:val="006E15E0"/>
    <w:rsid w:val="006E1788"/>
    <w:rsid w:val="006E1A12"/>
    <w:rsid w:val="006E1A87"/>
    <w:rsid w:val="006E1ADE"/>
    <w:rsid w:val="006E1AEB"/>
    <w:rsid w:val="006E1BBB"/>
    <w:rsid w:val="006E1EEE"/>
    <w:rsid w:val="006E202C"/>
    <w:rsid w:val="006E210A"/>
    <w:rsid w:val="006E22A7"/>
    <w:rsid w:val="006E2381"/>
    <w:rsid w:val="006E24A9"/>
    <w:rsid w:val="006E24E6"/>
    <w:rsid w:val="006E26B8"/>
    <w:rsid w:val="006E270E"/>
    <w:rsid w:val="006E2914"/>
    <w:rsid w:val="006E29AF"/>
    <w:rsid w:val="006E29B7"/>
    <w:rsid w:val="006E2AC3"/>
    <w:rsid w:val="006E2C32"/>
    <w:rsid w:val="006E2ED2"/>
    <w:rsid w:val="006E3053"/>
    <w:rsid w:val="006E3155"/>
    <w:rsid w:val="006E3370"/>
    <w:rsid w:val="006E33AD"/>
    <w:rsid w:val="006E37B5"/>
    <w:rsid w:val="006E37F1"/>
    <w:rsid w:val="006E39B4"/>
    <w:rsid w:val="006E3A72"/>
    <w:rsid w:val="006E3C5F"/>
    <w:rsid w:val="006E3C63"/>
    <w:rsid w:val="006E3CB7"/>
    <w:rsid w:val="006E3E4E"/>
    <w:rsid w:val="006E3E51"/>
    <w:rsid w:val="006E3E77"/>
    <w:rsid w:val="006E404B"/>
    <w:rsid w:val="006E40B4"/>
    <w:rsid w:val="006E40D6"/>
    <w:rsid w:val="006E41CC"/>
    <w:rsid w:val="006E43B3"/>
    <w:rsid w:val="006E4448"/>
    <w:rsid w:val="006E44BB"/>
    <w:rsid w:val="006E4616"/>
    <w:rsid w:val="006E47A7"/>
    <w:rsid w:val="006E47F5"/>
    <w:rsid w:val="006E4823"/>
    <w:rsid w:val="006E4843"/>
    <w:rsid w:val="006E487C"/>
    <w:rsid w:val="006E490A"/>
    <w:rsid w:val="006E4BA3"/>
    <w:rsid w:val="006E4BF7"/>
    <w:rsid w:val="006E4C24"/>
    <w:rsid w:val="006E4CCF"/>
    <w:rsid w:val="006E4ED3"/>
    <w:rsid w:val="006E4EF6"/>
    <w:rsid w:val="006E4F7D"/>
    <w:rsid w:val="006E5107"/>
    <w:rsid w:val="006E511B"/>
    <w:rsid w:val="006E51B4"/>
    <w:rsid w:val="006E52A7"/>
    <w:rsid w:val="006E5435"/>
    <w:rsid w:val="006E5457"/>
    <w:rsid w:val="006E558D"/>
    <w:rsid w:val="006E55E3"/>
    <w:rsid w:val="006E568A"/>
    <w:rsid w:val="006E570C"/>
    <w:rsid w:val="006E5761"/>
    <w:rsid w:val="006E5805"/>
    <w:rsid w:val="006E588C"/>
    <w:rsid w:val="006E589F"/>
    <w:rsid w:val="006E59AD"/>
    <w:rsid w:val="006E5A11"/>
    <w:rsid w:val="006E5A5A"/>
    <w:rsid w:val="006E5B26"/>
    <w:rsid w:val="006E5F98"/>
    <w:rsid w:val="006E60A1"/>
    <w:rsid w:val="006E615B"/>
    <w:rsid w:val="006E627A"/>
    <w:rsid w:val="006E660B"/>
    <w:rsid w:val="006E663C"/>
    <w:rsid w:val="006E6A88"/>
    <w:rsid w:val="006E6B26"/>
    <w:rsid w:val="006E6B75"/>
    <w:rsid w:val="006E6EAA"/>
    <w:rsid w:val="006E7081"/>
    <w:rsid w:val="006E70E4"/>
    <w:rsid w:val="006E7141"/>
    <w:rsid w:val="006E7157"/>
    <w:rsid w:val="006E71C5"/>
    <w:rsid w:val="006E71E0"/>
    <w:rsid w:val="006E7288"/>
    <w:rsid w:val="006E740B"/>
    <w:rsid w:val="006E74AD"/>
    <w:rsid w:val="006E756C"/>
    <w:rsid w:val="006E75E4"/>
    <w:rsid w:val="006E77BA"/>
    <w:rsid w:val="006E79AF"/>
    <w:rsid w:val="006E7A40"/>
    <w:rsid w:val="006E7B2A"/>
    <w:rsid w:val="006E7BC5"/>
    <w:rsid w:val="006E7BF6"/>
    <w:rsid w:val="006E7C13"/>
    <w:rsid w:val="006E7C78"/>
    <w:rsid w:val="006E7D68"/>
    <w:rsid w:val="006E7F6F"/>
    <w:rsid w:val="006E7F74"/>
    <w:rsid w:val="006F012C"/>
    <w:rsid w:val="006F03CB"/>
    <w:rsid w:val="006F0465"/>
    <w:rsid w:val="006F070C"/>
    <w:rsid w:val="006F0744"/>
    <w:rsid w:val="006F0775"/>
    <w:rsid w:val="006F0957"/>
    <w:rsid w:val="006F0A29"/>
    <w:rsid w:val="006F0B67"/>
    <w:rsid w:val="006F0BB1"/>
    <w:rsid w:val="006F0BD1"/>
    <w:rsid w:val="006F0EA5"/>
    <w:rsid w:val="006F10C5"/>
    <w:rsid w:val="006F1187"/>
    <w:rsid w:val="006F11AE"/>
    <w:rsid w:val="006F1228"/>
    <w:rsid w:val="006F12F6"/>
    <w:rsid w:val="006F136B"/>
    <w:rsid w:val="006F1551"/>
    <w:rsid w:val="006F15DF"/>
    <w:rsid w:val="006F1704"/>
    <w:rsid w:val="006F1749"/>
    <w:rsid w:val="006F1AC3"/>
    <w:rsid w:val="006F1B65"/>
    <w:rsid w:val="006F1CAA"/>
    <w:rsid w:val="006F1D12"/>
    <w:rsid w:val="006F1DAE"/>
    <w:rsid w:val="006F1E6B"/>
    <w:rsid w:val="006F1E86"/>
    <w:rsid w:val="006F1F1B"/>
    <w:rsid w:val="006F1F52"/>
    <w:rsid w:val="006F1FA9"/>
    <w:rsid w:val="006F1FBF"/>
    <w:rsid w:val="006F2153"/>
    <w:rsid w:val="006F2259"/>
    <w:rsid w:val="006F232A"/>
    <w:rsid w:val="006F2355"/>
    <w:rsid w:val="006F2370"/>
    <w:rsid w:val="006F24B8"/>
    <w:rsid w:val="006F2533"/>
    <w:rsid w:val="006F25C8"/>
    <w:rsid w:val="006F277D"/>
    <w:rsid w:val="006F2848"/>
    <w:rsid w:val="006F295B"/>
    <w:rsid w:val="006F29A2"/>
    <w:rsid w:val="006F2A86"/>
    <w:rsid w:val="006F2AA1"/>
    <w:rsid w:val="006F2B51"/>
    <w:rsid w:val="006F2CC3"/>
    <w:rsid w:val="006F2E7B"/>
    <w:rsid w:val="006F306D"/>
    <w:rsid w:val="006F3132"/>
    <w:rsid w:val="006F3178"/>
    <w:rsid w:val="006F31D8"/>
    <w:rsid w:val="006F331F"/>
    <w:rsid w:val="006F3350"/>
    <w:rsid w:val="006F348F"/>
    <w:rsid w:val="006F34B9"/>
    <w:rsid w:val="006F34BE"/>
    <w:rsid w:val="006F3502"/>
    <w:rsid w:val="006F3647"/>
    <w:rsid w:val="006F36F6"/>
    <w:rsid w:val="006F370A"/>
    <w:rsid w:val="006F39DA"/>
    <w:rsid w:val="006F3A0F"/>
    <w:rsid w:val="006F3C88"/>
    <w:rsid w:val="006F3D35"/>
    <w:rsid w:val="006F3EF9"/>
    <w:rsid w:val="006F4012"/>
    <w:rsid w:val="006F4037"/>
    <w:rsid w:val="006F406C"/>
    <w:rsid w:val="006F4303"/>
    <w:rsid w:val="006F4325"/>
    <w:rsid w:val="006F4343"/>
    <w:rsid w:val="006F44BA"/>
    <w:rsid w:val="006F4520"/>
    <w:rsid w:val="006F45AE"/>
    <w:rsid w:val="006F46E7"/>
    <w:rsid w:val="006F4827"/>
    <w:rsid w:val="006F48ED"/>
    <w:rsid w:val="006F491C"/>
    <w:rsid w:val="006F4A80"/>
    <w:rsid w:val="006F4F6F"/>
    <w:rsid w:val="006F52B4"/>
    <w:rsid w:val="006F534E"/>
    <w:rsid w:val="006F53B2"/>
    <w:rsid w:val="006F5474"/>
    <w:rsid w:val="006F5500"/>
    <w:rsid w:val="006F55E2"/>
    <w:rsid w:val="006F56FC"/>
    <w:rsid w:val="006F59B8"/>
    <w:rsid w:val="006F5B48"/>
    <w:rsid w:val="006F5C1E"/>
    <w:rsid w:val="006F5C98"/>
    <w:rsid w:val="006F5CB7"/>
    <w:rsid w:val="006F5CBF"/>
    <w:rsid w:val="006F5CD5"/>
    <w:rsid w:val="006F5CE2"/>
    <w:rsid w:val="006F5F55"/>
    <w:rsid w:val="006F6148"/>
    <w:rsid w:val="006F6344"/>
    <w:rsid w:val="006F637D"/>
    <w:rsid w:val="006F68A0"/>
    <w:rsid w:val="006F69B6"/>
    <w:rsid w:val="006F69D5"/>
    <w:rsid w:val="006F69E2"/>
    <w:rsid w:val="006F6A76"/>
    <w:rsid w:val="006F6A7D"/>
    <w:rsid w:val="006F6AB0"/>
    <w:rsid w:val="006F6BC3"/>
    <w:rsid w:val="006F6C65"/>
    <w:rsid w:val="006F6F70"/>
    <w:rsid w:val="006F729B"/>
    <w:rsid w:val="006F75CD"/>
    <w:rsid w:val="006F7677"/>
    <w:rsid w:val="006F76CB"/>
    <w:rsid w:val="006F7A21"/>
    <w:rsid w:val="006F7B62"/>
    <w:rsid w:val="006F7C5B"/>
    <w:rsid w:val="006F7DAC"/>
    <w:rsid w:val="006F7F1A"/>
    <w:rsid w:val="006F7F76"/>
    <w:rsid w:val="006F7FC2"/>
    <w:rsid w:val="006F7FE2"/>
    <w:rsid w:val="0070000B"/>
    <w:rsid w:val="007000C1"/>
    <w:rsid w:val="00700342"/>
    <w:rsid w:val="0070041C"/>
    <w:rsid w:val="00700886"/>
    <w:rsid w:val="00700965"/>
    <w:rsid w:val="007009DB"/>
    <w:rsid w:val="00700A01"/>
    <w:rsid w:val="00700CFE"/>
    <w:rsid w:val="00700D43"/>
    <w:rsid w:val="00701001"/>
    <w:rsid w:val="00701005"/>
    <w:rsid w:val="00701038"/>
    <w:rsid w:val="007010F6"/>
    <w:rsid w:val="007011A0"/>
    <w:rsid w:val="0070127A"/>
    <w:rsid w:val="007012E9"/>
    <w:rsid w:val="00701362"/>
    <w:rsid w:val="0070137D"/>
    <w:rsid w:val="00701486"/>
    <w:rsid w:val="007015CB"/>
    <w:rsid w:val="007015F4"/>
    <w:rsid w:val="00701650"/>
    <w:rsid w:val="00701796"/>
    <w:rsid w:val="00701900"/>
    <w:rsid w:val="00701919"/>
    <w:rsid w:val="00701E23"/>
    <w:rsid w:val="00702106"/>
    <w:rsid w:val="0070216F"/>
    <w:rsid w:val="0070224F"/>
    <w:rsid w:val="00702611"/>
    <w:rsid w:val="0070261A"/>
    <w:rsid w:val="007027F1"/>
    <w:rsid w:val="00702847"/>
    <w:rsid w:val="007028AD"/>
    <w:rsid w:val="00702997"/>
    <w:rsid w:val="007029A9"/>
    <w:rsid w:val="00702A1F"/>
    <w:rsid w:val="00702AC8"/>
    <w:rsid w:val="00702C6E"/>
    <w:rsid w:val="00702D16"/>
    <w:rsid w:val="007030C6"/>
    <w:rsid w:val="00703627"/>
    <w:rsid w:val="0070389F"/>
    <w:rsid w:val="00703A99"/>
    <w:rsid w:val="00703B4F"/>
    <w:rsid w:val="00703C0A"/>
    <w:rsid w:val="00703C38"/>
    <w:rsid w:val="00703D76"/>
    <w:rsid w:val="00703DBC"/>
    <w:rsid w:val="00703E46"/>
    <w:rsid w:val="00703F54"/>
    <w:rsid w:val="00704179"/>
    <w:rsid w:val="00704188"/>
    <w:rsid w:val="0070444F"/>
    <w:rsid w:val="00704522"/>
    <w:rsid w:val="007045FF"/>
    <w:rsid w:val="00704987"/>
    <w:rsid w:val="00704A93"/>
    <w:rsid w:val="00704B28"/>
    <w:rsid w:val="00704B59"/>
    <w:rsid w:val="00704C09"/>
    <w:rsid w:val="00704E38"/>
    <w:rsid w:val="00704E69"/>
    <w:rsid w:val="00704F35"/>
    <w:rsid w:val="007050FA"/>
    <w:rsid w:val="00705285"/>
    <w:rsid w:val="007054FE"/>
    <w:rsid w:val="0070587B"/>
    <w:rsid w:val="00705ACF"/>
    <w:rsid w:val="00705BCE"/>
    <w:rsid w:val="00705C58"/>
    <w:rsid w:val="00705EE2"/>
    <w:rsid w:val="0070612D"/>
    <w:rsid w:val="00706174"/>
    <w:rsid w:val="0070618D"/>
    <w:rsid w:val="00706196"/>
    <w:rsid w:val="0070646D"/>
    <w:rsid w:val="00706486"/>
    <w:rsid w:val="007064F8"/>
    <w:rsid w:val="0070661A"/>
    <w:rsid w:val="007066B1"/>
    <w:rsid w:val="0070675B"/>
    <w:rsid w:val="0070694A"/>
    <w:rsid w:val="0070698A"/>
    <w:rsid w:val="00706C47"/>
    <w:rsid w:val="00706CC9"/>
    <w:rsid w:val="00706CFB"/>
    <w:rsid w:val="00706FF8"/>
    <w:rsid w:val="007070E7"/>
    <w:rsid w:val="0070710E"/>
    <w:rsid w:val="0070711E"/>
    <w:rsid w:val="007071F9"/>
    <w:rsid w:val="007073CF"/>
    <w:rsid w:val="007075B5"/>
    <w:rsid w:val="00707698"/>
    <w:rsid w:val="0070777E"/>
    <w:rsid w:val="007079BD"/>
    <w:rsid w:val="00707A48"/>
    <w:rsid w:val="00707AEB"/>
    <w:rsid w:val="00707BAB"/>
    <w:rsid w:val="00707CCE"/>
    <w:rsid w:val="00707E0C"/>
    <w:rsid w:val="00707E2E"/>
    <w:rsid w:val="00707E8F"/>
    <w:rsid w:val="00707E9E"/>
    <w:rsid w:val="00710107"/>
    <w:rsid w:val="0071047F"/>
    <w:rsid w:val="00710567"/>
    <w:rsid w:val="00710574"/>
    <w:rsid w:val="00710831"/>
    <w:rsid w:val="007108EA"/>
    <w:rsid w:val="00710A95"/>
    <w:rsid w:val="00710AED"/>
    <w:rsid w:val="00710B9A"/>
    <w:rsid w:val="00710C05"/>
    <w:rsid w:val="00710CA7"/>
    <w:rsid w:val="00710D6E"/>
    <w:rsid w:val="00710DC6"/>
    <w:rsid w:val="00710E21"/>
    <w:rsid w:val="00710F8A"/>
    <w:rsid w:val="00710F9F"/>
    <w:rsid w:val="0071129C"/>
    <w:rsid w:val="0071146B"/>
    <w:rsid w:val="007115A2"/>
    <w:rsid w:val="007116D8"/>
    <w:rsid w:val="00711AD3"/>
    <w:rsid w:val="00711D45"/>
    <w:rsid w:val="00711D69"/>
    <w:rsid w:val="00712095"/>
    <w:rsid w:val="00712145"/>
    <w:rsid w:val="0071233C"/>
    <w:rsid w:val="0071233F"/>
    <w:rsid w:val="007124F8"/>
    <w:rsid w:val="0071255E"/>
    <w:rsid w:val="007125C3"/>
    <w:rsid w:val="007126B1"/>
    <w:rsid w:val="00712A04"/>
    <w:rsid w:val="00712A49"/>
    <w:rsid w:val="00712C08"/>
    <w:rsid w:val="00712C8D"/>
    <w:rsid w:val="00712C99"/>
    <w:rsid w:val="00712F7E"/>
    <w:rsid w:val="0071300A"/>
    <w:rsid w:val="00713037"/>
    <w:rsid w:val="007130FF"/>
    <w:rsid w:val="0071310A"/>
    <w:rsid w:val="007132FD"/>
    <w:rsid w:val="007133EA"/>
    <w:rsid w:val="00713429"/>
    <w:rsid w:val="00713637"/>
    <w:rsid w:val="007136AA"/>
    <w:rsid w:val="0071377F"/>
    <w:rsid w:val="007138AC"/>
    <w:rsid w:val="00713915"/>
    <w:rsid w:val="0071393C"/>
    <w:rsid w:val="00713A4D"/>
    <w:rsid w:val="00713ADE"/>
    <w:rsid w:val="00713B8A"/>
    <w:rsid w:val="00713C02"/>
    <w:rsid w:val="00713C19"/>
    <w:rsid w:val="00713C28"/>
    <w:rsid w:val="00713DC4"/>
    <w:rsid w:val="00713E66"/>
    <w:rsid w:val="00713F56"/>
    <w:rsid w:val="0071400B"/>
    <w:rsid w:val="0071416E"/>
    <w:rsid w:val="00714187"/>
    <w:rsid w:val="00714198"/>
    <w:rsid w:val="00714332"/>
    <w:rsid w:val="00714363"/>
    <w:rsid w:val="007143C1"/>
    <w:rsid w:val="007144F5"/>
    <w:rsid w:val="0071479D"/>
    <w:rsid w:val="007147B5"/>
    <w:rsid w:val="00714B7B"/>
    <w:rsid w:val="00714C54"/>
    <w:rsid w:val="00714C88"/>
    <w:rsid w:val="00714D24"/>
    <w:rsid w:val="00714DAA"/>
    <w:rsid w:val="00714EC2"/>
    <w:rsid w:val="007150A4"/>
    <w:rsid w:val="00715290"/>
    <w:rsid w:val="00715534"/>
    <w:rsid w:val="0071563C"/>
    <w:rsid w:val="00715843"/>
    <w:rsid w:val="007159A1"/>
    <w:rsid w:val="00715A4F"/>
    <w:rsid w:val="00715BDE"/>
    <w:rsid w:val="00715D1A"/>
    <w:rsid w:val="00715E3E"/>
    <w:rsid w:val="00715E7C"/>
    <w:rsid w:val="00715FC6"/>
    <w:rsid w:val="00715FED"/>
    <w:rsid w:val="0071606B"/>
    <w:rsid w:val="00716203"/>
    <w:rsid w:val="0071629D"/>
    <w:rsid w:val="007162A4"/>
    <w:rsid w:val="00716329"/>
    <w:rsid w:val="00716398"/>
    <w:rsid w:val="007163C2"/>
    <w:rsid w:val="007164A9"/>
    <w:rsid w:val="007164DA"/>
    <w:rsid w:val="0071651B"/>
    <w:rsid w:val="0071667C"/>
    <w:rsid w:val="0071677D"/>
    <w:rsid w:val="007168BE"/>
    <w:rsid w:val="00716984"/>
    <w:rsid w:val="00716A0E"/>
    <w:rsid w:val="00716AA6"/>
    <w:rsid w:val="00716BC0"/>
    <w:rsid w:val="00716D4A"/>
    <w:rsid w:val="00716F02"/>
    <w:rsid w:val="0071703C"/>
    <w:rsid w:val="007172D9"/>
    <w:rsid w:val="00717619"/>
    <w:rsid w:val="007176A7"/>
    <w:rsid w:val="007178B4"/>
    <w:rsid w:val="0071790E"/>
    <w:rsid w:val="00717970"/>
    <w:rsid w:val="00717A57"/>
    <w:rsid w:val="00717B3C"/>
    <w:rsid w:val="00717C06"/>
    <w:rsid w:val="00717CE0"/>
    <w:rsid w:val="00717EFD"/>
    <w:rsid w:val="007203FE"/>
    <w:rsid w:val="007204B6"/>
    <w:rsid w:val="007204D5"/>
    <w:rsid w:val="00720556"/>
    <w:rsid w:val="007207A5"/>
    <w:rsid w:val="00720806"/>
    <w:rsid w:val="0072081E"/>
    <w:rsid w:val="007209D5"/>
    <w:rsid w:val="00720C12"/>
    <w:rsid w:val="00720ECC"/>
    <w:rsid w:val="00720FD7"/>
    <w:rsid w:val="007211EA"/>
    <w:rsid w:val="0072121C"/>
    <w:rsid w:val="00721232"/>
    <w:rsid w:val="00721304"/>
    <w:rsid w:val="00721326"/>
    <w:rsid w:val="00721376"/>
    <w:rsid w:val="00721496"/>
    <w:rsid w:val="00721513"/>
    <w:rsid w:val="00721634"/>
    <w:rsid w:val="00721776"/>
    <w:rsid w:val="007217CC"/>
    <w:rsid w:val="00721A26"/>
    <w:rsid w:val="00721AA9"/>
    <w:rsid w:val="00721D69"/>
    <w:rsid w:val="00721DA0"/>
    <w:rsid w:val="00721DCB"/>
    <w:rsid w:val="00721EDD"/>
    <w:rsid w:val="00721F37"/>
    <w:rsid w:val="00722136"/>
    <w:rsid w:val="0072229A"/>
    <w:rsid w:val="00722443"/>
    <w:rsid w:val="007224CD"/>
    <w:rsid w:val="007224FC"/>
    <w:rsid w:val="00722567"/>
    <w:rsid w:val="0072261A"/>
    <w:rsid w:val="0072278B"/>
    <w:rsid w:val="00722856"/>
    <w:rsid w:val="00722C87"/>
    <w:rsid w:val="00723241"/>
    <w:rsid w:val="00723244"/>
    <w:rsid w:val="00723788"/>
    <w:rsid w:val="00723791"/>
    <w:rsid w:val="007237C7"/>
    <w:rsid w:val="007237D5"/>
    <w:rsid w:val="0072387E"/>
    <w:rsid w:val="00723936"/>
    <w:rsid w:val="00723A00"/>
    <w:rsid w:val="00723B8E"/>
    <w:rsid w:val="00723C6B"/>
    <w:rsid w:val="00723DBC"/>
    <w:rsid w:val="00723F04"/>
    <w:rsid w:val="00723F29"/>
    <w:rsid w:val="00723FFB"/>
    <w:rsid w:val="00724076"/>
    <w:rsid w:val="007241AF"/>
    <w:rsid w:val="007241DC"/>
    <w:rsid w:val="007242BF"/>
    <w:rsid w:val="00724422"/>
    <w:rsid w:val="00724433"/>
    <w:rsid w:val="007245AF"/>
    <w:rsid w:val="007245D0"/>
    <w:rsid w:val="007247FF"/>
    <w:rsid w:val="007249D1"/>
    <w:rsid w:val="00724AB1"/>
    <w:rsid w:val="00724B36"/>
    <w:rsid w:val="00724C84"/>
    <w:rsid w:val="00724CAC"/>
    <w:rsid w:val="00724F3A"/>
    <w:rsid w:val="0072503D"/>
    <w:rsid w:val="00725119"/>
    <w:rsid w:val="0072531E"/>
    <w:rsid w:val="00725401"/>
    <w:rsid w:val="0072541D"/>
    <w:rsid w:val="007254FF"/>
    <w:rsid w:val="00725595"/>
    <w:rsid w:val="00725649"/>
    <w:rsid w:val="007257D1"/>
    <w:rsid w:val="00725855"/>
    <w:rsid w:val="00725A1E"/>
    <w:rsid w:val="00725BD6"/>
    <w:rsid w:val="00725BF6"/>
    <w:rsid w:val="00725C1C"/>
    <w:rsid w:val="00725C7A"/>
    <w:rsid w:val="00725D15"/>
    <w:rsid w:val="00725F63"/>
    <w:rsid w:val="00725FF9"/>
    <w:rsid w:val="007261E9"/>
    <w:rsid w:val="007262D7"/>
    <w:rsid w:val="0072635B"/>
    <w:rsid w:val="007264FE"/>
    <w:rsid w:val="007265EF"/>
    <w:rsid w:val="0072670F"/>
    <w:rsid w:val="00726B75"/>
    <w:rsid w:val="00726BDF"/>
    <w:rsid w:val="00726CA8"/>
    <w:rsid w:val="00726CFA"/>
    <w:rsid w:val="00726D3D"/>
    <w:rsid w:val="00726FC2"/>
    <w:rsid w:val="00726FD4"/>
    <w:rsid w:val="00727068"/>
    <w:rsid w:val="00727259"/>
    <w:rsid w:val="0072726C"/>
    <w:rsid w:val="00727381"/>
    <w:rsid w:val="00727A5B"/>
    <w:rsid w:val="00727ADA"/>
    <w:rsid w:val="00727D04"/>
    <w:rsid w:val="00727FA4"/>
    <w:rsid w:val="0073005D"/>
    <w:rsid w:val="007300EF"/>
    <w:rsid w:val="0073025D"/>
    <w:rsid w:val="007302A7"/>
    <w:rsid w:val="0073030E"/>
    <w:rsid w:val="00730323"/>
    <w:rsid w:val="00730451"/>
    <w:rsid w:val="0073065C"/>
    <w:rsid w:val="00730C8B"/>
    <w:rsid w:val="0073112A"/>
    <w:rsid w:val="00731247"/>
    <w:rsid w:val="00731392"/>
    <w:rsid w:val="007313B3"/>
    <w:rsid w:val="00731410"/>
    <w:rsid w:val="007314B8"/>
    <w:rsid w:val="007317BF"/>
    <w:rsid w:val="00731BE8"/>
    <w:rsid w:val="00731BEE"/>
    <w:rsid w:val="00731C52"/>
    <w:rsid w:val="00731F62"/>
    <w:rsid w:val="0073214F"/>
    <w:rsid w:val="00732218"/>
    <w:rsid w:val="0073229C"/>
    <w:rsid w:val="0073243C"/>
    <w:rsid w:val="007324EC"/>
    <w:rsid w:val="00732509"/>
    <w:rsid w:val="0073258A"/>
    <w:rsid w:val="00732632"/>
    <w:rsid w:val="00732A0F"/>
    <w:rsid w:val="00732E44"/>
    <w:rsid w:val="00733060"/>
    <w:rsid w:val="0073333D"/>
    <w:rsid w:val="007333B4"/>
    <w:rsid w:val="007335D4"/>
    <w:rsid w:val="00733D28"/>
    <w:rsid w:val="00733D4F"/>
    <w:rsid w:val="00733DD3"/>
    <w:rsid w:val="00733F71"/>
    <w:rsid w:val="00733FBF"/>
    <w:rsid w:val="00733FE3"/>
    <w:rsid w:val="00734012"/>
    <w:rsid w:val="007340E3"/>
    <w:rsid w:val="00734106"/>
    <w:rsid w:val="00734216"/>
    <w:rsid w:val="00734236"/>
    <w:rsid w:val="007342EB"/>
    <w:rsid w:val="00734441"/>
    <w:rsid w:val="00734475"/>
    <w:rsid w:val="00734717"/>
    <w:rsid w:val="00734810"/>
    <w:rsid w:val="00734829"/>
    <w:rsid w:val="0073492C"/>
    <w:rsid w:val="007349C6"/>
    <w:rsid w:val="00734AFE"/>
    <w:rsid w:val="00734B83"/>
    <w:rsid w:val="00734C43"/>
    <w:rsid w:val="00734C6D"/>
    <w:rsid w:val="00734C90"/>
    <w:rsid w:val="00734CEE"/>
    <w:rsid w:val="00734E36"/>
    <w:rsid w:val="0073512F"/>
    <w:rsid w:val="007351B4"/>
    <w:rsid w:val="00735450"/>
    <w:rsid w:val="007356AA"/>
    <w:rsid w:val="007356CF"/>
    <w:rsid w:val="00735A49"/>
    <w:rsid w:val="00735A4F"/>
    <w:rsid w:val="00735A57"/>
    <w:rsid w:val="00735B91"/>
    <w:rsid w:val="00735D45"/>
    <w:rsid w:val="00735D72"/>
    <w:rsid w:val="00735D79"/>
    <w:rsid w:val="00735EBC"/>
    <w:rsid w:val="00735F2F"/>
    <w:rsid w:val="00736092"/>
    <w:rsid w:val="007361BC"/>
    <w:rsid w:val="0073628E"/>
    <w:rsid w:val="0073634C"/>
    <w:rsid w:val="0073647A"/>
    <w:rsid w:val="007364B0"/>
    <w:rsid w:val="0073653A"/>
    <w:rsid w:val="0073653F"/>
    <w:rsid w:val="0073660E"/>
    <w:rsid w:val="007366A0"/>
    <w:rsid w:val="007366A9"/>
    <w:rsid w:val="0073672D"/>
    <w:rsid w:val="00736769"/>
    <w:rsid w:val="00736875"/>
    <w:rsid w:val="00737089"/>
    <w:rsid w:val="0073708B"/>
    <w:rsid w:val="007370F6"/>
    <w:rsid w:val="007371F2"/>
    <w:rsid w:val="00737345"/>
    <w:rsid w:val="007373D1"/>
    <w:rsid w:val="007373EE"/>
    <w:rsid w:val="0073745C"/>
    <w:rsid w:val="007375B0"/>
    <w:rsid w:val="007376F6"/>
    <w:rsid w:val="0073787D"/>
    <w:rsid w:val="007378BE"/>
    <w:rsid w:val="007379AD"/>
    <w:rsid w:val="00737A01"/>
    <w:rsid w:val="00737A08"/>
    <w:rsid w:val="00737A2E"/>
    <w:rsid w:val="00737A62"/>
    <w:rsid w:val="00737B0C"/>
    <w:rsid w:val="00737C4B"/>
    <w:rsid w:val="007401D3"/>
    <w:rsid w:val="007401E2"/>
    <w:rsid w:val="00740446"/>
    <w:rsid w:val="007406C9"/>
    <w:rsid w:val="007406F3"/>
    <w:rsid w:val="0074076F"/>
    <w:rsid w:val="00740AC1"/>
    <w:rsid w:val="00740B62"/>
    <w:rsid w:val="00740C16"/>
    <w:rsid w:val="00740D2E"/>
    <w:rsid w:val="00740E3E"/>
    <w:rsid w:val="00740E48"/>
    <w:rsid w:val="00740E99"/>
    <w:rsid w:val="00740EBA"/>
    <w:rsid w:val="00740FB5"/>
    <w:rsid w:val="00740FC0"/>
    <w:rsid w:val="00740FD8"/>
    <w:rsid w:val="00741296"/>
    <w:rsid w:val="0074136E"/>
    <w:rsid w:val="0074141D"/>
    <w:rsid w:val="007414C7"/>
    <w:rsid w:val="007416A6"/>
    <w:rsid w:val="007416DA"/>
    <w:rsid w:val="0074188C"/>
    <w:rsid w:val="00741A6E"/>
    <w:rsid w:val="00741AEF"/>
    <w:rsid w:val="00741CB9"/>
    <w:rsid w:val="00741CE7"/>
    <w:rsid w:val="00741DEE"/>
    <w:rsid w:val="00741EAB"/>
    <w:rsid w:val="00741FE3"/>
    <w:rsid w:val="00742020"/>
    <w:rsid w:val="0074207A"/>
    <w:rsid w:val="0074229B"/>
    <w:rsid w:val="00742454"/>
    <w:rsid w:val="007428DF"/>
    <w:rsid w:val="00742D73"/>
    <w:rsid w:val="00742DDB"/>
    <w:rsid w:val="00742E89"/>
    <w:rsid w:val="00742F8C"/>
    <w:rsid w:val="007430C4"/>
    <w:rsid w:val="007430E0"/>
    <w:rsid w:val="007430E4"/>
    <w:rsid w:val="00743109"/>
    <w:rsid w:val="00743129"/>
    <w:rsid w:val="007433A2"/>
    <w:rsid w:val="00743490"/>
    <w:rsid w:val="00743502"/>
    <w:rsid w:val="0074371F"/>
    <w:rsid w:val="0074397D"/>
    <w:rsid w:val="00743980"/>
    <w:rsid w:val="007439B1"/>
    <w:rsid w:val="00743B2B"/>
    <w:rsid w:val="00743B7D"/>
    <w:rsid w:val="00743BDB"/>
    <w:rsid w:val="00743C91"/>
    <w:rsid w:val="00743E04"/>
    <w:rsid w:val="00744276"/>
    <w:rsid w:val="00744285"/>
    <w:rsid w:val="00744326"/>
    <w:rsid w:val="0074435F"/>
    <w:rsid w:val="0074442A"/>
    <w:rsid w:val="00744699"/>
    <w:rsid w:val="00744796"/>
    <w:rsid w:val="0074481C"/>
    <w:rsid w:val="00744909"/>
    <w:rsid w:val="00744BAA"/>
    <w:rsid w:val="00744BB9"/>
    <w:rsid w:val="00744BC1"/>
    <w:rsid w:val="00744D21"/>
    <w:rsid w:val="00744DE9"/>
    <w:rsid w:val="00744DED"/>
    <w:rsid w:val="00744E12"/>
    <w:rsid w:val="007450F2"/>
    <w:rsid w:val="0074524C"/>
    <w:rsid w:val="0074532C"/>
    <w:rsid w:val="007454D1"/>
    <w:rsid w:val="0074552F"/>
    <w:rsid w:val="0074563A"/>
    <w:rsid w:val="00745720"/>
    <w:rsid w:val="00745950"/>
    <w:rsid w:val="00745AE6"/>
    <w:rsid w:val="00745B2F"/>
    <w:rsid w:val="00745EE3"/>
    <w:rsid w:val="00745F3B"/>
    <w:rsid w:val="00746061"/>
    <w:rsid w:val="00746227"/>
    <w:rsid w:val="0074622B"/>
    <w:rsid w:val="00746643"/>
    <w:rsid w:val="00746998"/>
    <w:rsid w:val="0074699F"/>
    <w:rsid w:val="00746B3E"/>
    <w:rsid w:val="00746BC4"/>
    <w:rsid w:val="00746E7F"/>
    <w:rsid w:val="00746FD7"/>
    <w:rsid w:val="0074717F"/>
    <w:rsid w:val="00747191"/>
    <w:rsid w:val="00747575"/>
    <w:rsid w:val="00747639"/>
    <w:rsid w:val="00747673"/>
    <w:rsid w:val="0074777F"/>
    <w:rsid w:val="0074792A"/>
    <w:rsid w:val="00747A8A"/>
    <w:rsid w:val="00747BBE"/>
    <w:rsid w:val="00747CE2"/>
    <w:rsid w:val="00747D9F"/>
    <w:rsid w:val="00747DAA"/>
    <w:rsid w:val="00747DEA"/>
    <w:rsid w:val="00747F03"/>
    <w:rsid w:val="007501DA"/>
    <w:rsid w:val="00750282"/>
    <w:rsid w:val="007502DE"/>
    <w:rsid w:val="007503D5"/>
    <w:rsid w:val="00750491"/>
    <w:rsid w:val="0075059F"/>
    <w:rsid w:val="007505D8"/>
    <w:rsid w:val="007505E1"/>
    <w:rsid w:val="00750763"/>
    <w:rsid w:val="0075081F"/>
    <w:rsid w:val="007509CC"/>
    <w:rsid w:val="00750A63"/>
    <w:rsid w:val="00750BED"/>
    <w:rsid w:val="00750C07"/>
    <w:rsid w:val="00750D4D"/>
    <w:rsid w:val="00750ECB"/>
    <w:rsid w:val="00750F22"/>
    <w:rsid w:val="00750F42"/>
    <w:rsid w:val="00750FFD"/>
    <w:rsid w:val="00751259"/>
    <w:rsid w:val="00751330"/>
    <w:rsid w:val="00751388"/>
    <w:rsid w:val="007513D2"/>
    <w:rsid w:val="00751425"/>
    <w:rsid w:val="00751485"/>
    <w:rsid w:val="00751733"/>
    <w:rsid w:val="007519A2"/>
    <w:rsid w:val="00751C0D"/>
    <w:rsid w:val="00751C6D"/>
    <w:rsid w:val="00751CE4"/>
    <w:rsid w:val="00751F77"/>
    <w:rsid w:val="00752051"/>
    <w:rsid w:val="00752317"/>
    <w:rsid w:val="00752401"/>
    <w:rsid w:val="0075255E"/>
    <w:rsid w:val="0075257C"/>
    <w:rsid w:val="007525FF"/>
    <w:rsid w:val="0075283F"/>
    <w:rsid w:val="00752A46"/>
    <w:rsid w:val="00752AEB"/>
    <w:rsid w:val="00752B4A"/>
    <w:rsid w:val="00752C3C"/>
    <w:rsid w:val="00752F91"/>
    <w:rsid w:val="00753055"/>
    <w:rsid w:val="00753146"/>
    <w:rsid w:val="00753287"/>
    <w:rsid w:val="00753426"/>
    <w:rsid w:val="00753626"/>
    <w:rsid w:val="00753667"/>
    <w:rsid w:val="00753675"/>
    <w:rsid w:val="007536ED"/>
    <w:rsid w:val="007537E5"/>
    <w:rsid w:val="00753928"/>
    <w:rsid w:val="00753A24"/>
    <w:rsid w:val="00753AF5"/>
    <w:rsid w:val="00753B2E"/>
    <w:rsid w:val="00753BC2"/>
    <w:rsid w:val="00753EFD"/>
    <w:rsid w:val="00754159"/>
    <w:rsid w:val="00754581"/>
    <w:rsid w:val="0075477D"/>
    <w:rsid w:val="007547B9"/>
    <w:rsid w:val="007547E0"/>
    <w:rsid w:val="00754D52"/>
    <w:rsid w:val="00754D77"/>
    <w:rsid w:val="00754E97"/>
    <w:rsid w:val="007552EB"/>
    <w:rsid w:val="007553BA"/>
    <w:rsid w:val="00755429"/>
    <w:rsid w:val="0075557B"/>
    <w:rsid w:val="00755624"/>
    <w:rsid w:val="0075570B"/>
    <w:rsid w:val="007557B1"/>
    <w:rsid w:val="0075592F"/>
    <w:rsid w:val="00755AC2"/>
    <w:rsid w:val="00755CE2"/>
    <w:rsid w:val="00755D2A"/>
    <w:rsid w:val="00756087"/>
    <w:rsid w:val="00756252"/>
    <w:rsid w:val="0075647B"/>
    <w:rsid w:val="00756692"/>
    <w:rsid w:val="00756772"/>
    <w:rsid w:val="00756889"/>
    <w:rsid w:val="0075694A"/>
    <w:rsid w:val="00756A1D"/>
    <w:rsid w:val="00756A4F"/>
    <w:rsid w:val="00756A75"/>
    <w:rsid w:val="00756B11"/>
    <w:rsid w:val="00756B4A"/>
    <w:rsid w:val="00756CE2"/>
    <w:rsid w:val="00756F1B"/>
    <w:rsid w:val="007570B5"/>
    <w:rsid w:val="007570BA"/>
    <w:rsid w:val="00757108"/>
    <w:rsid w:val="0075736C"/>
    <w:rsid w:val="00757405"/>
    <w:rsid w:val="0075765F"/>
    <w:rsid w:val="00757806"/>
    <w:rsid w:val="00757BA4"/>
    <w:rsid w:val="00757CB3"/>
    <w:rsid w:val="00757D3B"/>
    <w:rsid w:val="00757E8C"/>
    <w:rsid w:val="00757F3A"/>
    <w:rsid w:val="0076004A"/>
    <w:rsid w:val="00760411"/>
    <w:rsid w:val="007605E3"/>
    <w:rsid w:val="0076080D"/>
    <w:rsid w:val="00760837"/>
    <w:rsid w:val="00760939"/>
    <w:rsid w:val="00760A7E"/>
    <w:rsid w:val="00760B8A"/>
    <w:rsid w:val="00760DDA"/>
    <w:rsid w:val="00760DF7"/>
    <w:rsid w:val="00760EF5"/>
    <w:rsid w:val="00760F34"/>
    <w:rsid w:val="00761012"/>
    <w:rsid w:val="00761016"/>
    <w:rsid w:val="00761020"/>
    <w:rsid w:val="007610A0"/>
    <w:rsid w:val="007611A5"/>
    <w:rsid w:val="00761251"/>
    <w:rsid w:val="007612D5"/>
    <w:rsid w:val="007613FC"/>
    <w:rsid w:val="00761472"/>
    <w:rsid w:val="0076158C"/>
    <w:rsid w:val="00761B3C"/>
    <w:rsid w:val="00761B92"/>
    <w:rsid w:val="00761BAB"/>
    <w:rsid w:val="00761E33"/>
    <w:rsid w:val="00761ED8"/>
    <w:rsid w:val="00761FB1"/>
    <w:rsid w:val="007620E6"/>
    <w:rsid w:val="00762183"/>
    <w:rsid w:val="00762371"/>
    <w:rsid w:val="0076241F"/>
    <w:rsid w:val="007624CF"/>
    <w:rsid w:val="007624EE"/>
    <w:rsid w:val="00762677"/>
    <w:rsid w:val="00762738"/>
    <w:rsid w:val="0076273B"/>
    <w:rsid w:val="007627DF"/>
    <w:rsid w:val="007627ED"/>
    <w:rsid w:val="007628D5"/>
    <w:rsid w:val="00762AF9"/>
    <w:rsid w:val="00762B54"/>
    <w:rsid w:val="00762BCB"/>
    <w:rsid w:val="00762CE8"/>
    <w:rsid w:val="00762D81"/>
    <w:rsid w:val="00762F8E"/>
    <w:rsid w:val="0076306B"/>
    <w:rsid w:val="00763381"/>
    <w:rsid w:val="007634C5"/>
    <w:rsid w:val="00763575"/>
    <w:rsid w:val="007635E3"/>
    <w:rsid w:val="00763736"/>
    <w:rsid w:val="0076386B"/>
    <w:rsid w:val="00763B1B"/>
    <w:rsid w:val="00763B71"/>
    <w:rsid w:val="00763C15"/>
    <w:rsid w:val="00763CC9"/>
    <w:rsid w:val="0076418A"/>
    <w:rsid w:val="007642A5"/>
    <w:rsid w:val="00764371"/>
    <w:rsid w:val="00764597"/>
    <w:rsid w:val="0076464F"/>
    <w:rsid w:val="007648F3"/>
    <w:rsid w:val="007649D5"/>
    <w:rsid w:val="00764B0E"/>
    <w:rsid w:val="00764B54"/>
    <w:rsid w:val="00764BB1"/>
    <w:rsid w:val="00764BF5"/>
    <w:rsid w:val="00764C11"/>
    <w:rsid w:val="00764CF0"/>
    <w:rsid w:val="00764DAB"/>
    <w:rsid w:val="00764F01"/>
    <w:rsid w:val="00764F9A"/>
    <w:rsid w:val="00765040"/>
    <w:rsid w:val="0076508F"/>
    <w:rsid w:val="0076513D"/>
    <w:rsid w:val="00765167"/>
    <w:rsid w:val="007652ED"/>
    <w:rsid w:val="0076551B"/>
    <w:rsid w:val="00765745"/>
    <w:rsid w:val="00765896"/>
    <w:rsid w:val="007658E3"/>
    <w:rsid w:val="007659E5"/>
    <w:rsid w:val="00765B51"/>
    <w:rsid w:val="00765C41"/>
    <w:rsid w:val="00765C53"/>
    <w:rsid w:val="00765CB1"/>
    <w:rsid w:val="007660D8"/>
    <w:rsid w:val="00766252"/>
    <w:rsid w:val="00766373"/>
    <w:rsid w:val="0076647F"/>
    <w:rsid w:val="007664E7"/>
    <w:rsid w:val="00766575"/>
    <w:rsid w:val="007666A6"/>
    <w:rsid w:val="007667BF"/>
    <w:rsid w:val="007668D0"/>
    <w:rsid w:val="00766C75"/>
    <w:rsid w:val="00766CB9"/>
    <w:rsid w:val="00766DD2"/>
    <w:rsid w:val="00766E33"/>
    <w:rsid w:val="0076706C"/>
    <w:rsid w:val="0076726B"/>
    <w:rsid w:val="0076738F"/>
    <w:rsid w:val="00767426"/>
    <w:rsid w:val="00767565"/>
    <w:rsid w:val="00767593"/>
    <w:rsid w:val="0076794F"/>
    <w:rsid w:val="00767ACC"/>
    <w:rsid w:val="00767B8D"/>
    <w:rsid w:val="00767DE7"/>
    <w:rsid w:val="00767E13"/>
    <w:rsid w:val="00767E44"/>
    <w:rsid w:val="00767FD4"/>
    <w:rsid w:val="007700F2"/>
    <w:rsid w:val="0077015C"/>
    <w:rsid w:val="00770178"/>
    <w:rsid w:val="007702B7"/>
    <w:rsid w:val="007703BF"/>
    <w:rsid w:val="007703FD"/>
    <w:rsid w:val="0077056F"/>
    <w:rsid w:val="007705BC"/>
    <w:rsid w:val="00770734"/>
    <w:rsid w:val="00770795"/>
    <w:rsid w:val="007708AB"/>
    <w:rsid w:val="007709F1"/>
    <w:rsid w:val="00770B55"/>
    <w:rsid w:val="00770BAB"/>
    <w:rsid w:val="00770C72"/>
    <w:rsid w:val="00770D0B"/>
    <w:rsid w:val="00770D84"/>
    <w:rsid w:val="00770F8C"/>
    <w:rsid w:val="00770F90"/>
    <w:rsid w:val="00771328"/>
    <w:rsid w:val="00771658"/>
    <w:rsid w:val="00771732"/>
    <w:rsid w:val="00771783"/>
    <w:rsid w:val="007718FF"/>
    <w:rsid w:val="00771C05"/>
    <w:rsid w:val="00771D79"/>
    <w:rsid w:val="00771E09"/>
    <w:rsid w:val="00771E78"/>
    <w:rsid w:val="00771F3F"/>
    <w:rsid w:val="007720DA"/>
    <w:rsid w:val="0077227B"/>
    <w:rsid w:val="007722EB"/>
    <w:rsid w:val="00772316"/>
    <w:rsid w:val="0077255C"/>
    <w:rsid w:val="007725B9"/>
    <w:rsid w:val="0077269A"/>
    <w:rsid w:val="007729E9"/>
    <w:rsid w:val="00772ACD"/>
    <w:rsid w:val="00772AEF"/>
    <w:rsid w:val="00772D36"/>
    <w:rsid w:val="00772FCA"/>
    <w:rsid w:val="00772FD9"/>
    <w:rsid w:val="00773197"/>
    <w:rsid w:val="00773391"/>
    <w:rsid w:val="00773490"/>
    <w:rsid w:val="007734C5"/>
    <w:rsid w:val="0077366A"/>
    <w:rsid w:val="00773762"/>
    <w:rsid w:val="0077377E"/>
    <w:rsid w:val="00773808"/>
    <w:rsid w:val="00773829"/>
    <w:rsid w:val="00773920"/>
    <w:rsid w:val="00773AC0"/>
    <w:rsid w:val="00773B6B"/>
    <w:rsid w:val="00773C07"/>
    <w:rsid w:val="00773C15"/>
    <w:rsid w:val="00773DDB"/>
    <w:rsid w:val="00773E79"/>
    <w:rsid w:val="00773F0E"/>
    <w:rsid w:val="00773FB0"/>
    <w:rsid w:val="00774164"/>
    <w:rsid w:val="0077427E"/>
    <w:rsid w:val="0077436A"/>
    <w:rsid w:val="0077449C"/>
    <w:rsid w:val="00774523"/>
    <w:rsid w:val="00774573"/>
    <w:rsid w:val="0077466F"/>
    <w:rsid w:val="007748C8"/>
    <w:rsid w:val="00774DB2"/>
    <w:rsid w:val="00774F2C"/>
    <w:rsid w:val="00774F40"/>
    <w:rsid w:val="007750C7"/>
    <w:rsid w:val="0077512E"/>
    <w:rsid w:val="00775146"/>
    <w:rsid w:val="00775195"/>
    <w:rsid w:val="00775238"/>
    <w:rsid w:val="00775434"/>
    <w:rsid w:val="00775481"/>
    <w:rsid w:val="00775589"/>
    <w:rsid w:val="007755DF"/>
    <w:rsid w:val="007756BD"/>
    <w:rsid w:val="007756CF"/>
    <w:rsid w:val="0077576A"/>
    <w:rsid w:val="007757A0"/>
    <w:rsid w:val="007757B5"/>
    <w:rsid w:val="00775982"/>
    <w:rsid w:val="007759A1"/>
    <w:rsid w:val="00775C8D"/>
    <w:rsid w:val="00775C93"/>
    <w:rsid w:val="00775D4E"/>
    <w:rsid w:val="00775E16"/>
    <w:rsid w:val="00775F5D"/>
    <w:rsid w:val="00775F9A"/>
    <w:rsid w:val="00775FC1"/>
    <w:rsid w:val="00776005"/>
    <w:rsid w:val="00776057"/>
    <w:rsid w:val="0077611D"/>
    <w:rsid w:val="007761F9"/>
    <w:rsid w:val="00776349"/>
    <w:rsid w:val="007765C1"/>
    <w:rsid w:val="0077678B"/>
    <w:rsid w:val="00776963"/>
    <w:rsid w:val="00776AAF"/>
    <w:rsid w:val="00776D96"/>
    <w:rsid w:val="00776EBA"/>
    <w:rsid w:val="00777320"/>
    <w:rsid w:val="00777322"/>
    <w:rsid w:val="0077745F"/>
    <w:rsid w:val="00777659"/>
    <w:rsid w:val="00777674"/>
    <w:rsid w:val="00777727"/>
    <w:rsid w:val="0077777D"/>
    <w:rsid w:val="007778A4"/>
    <w:rsid w:val="00777979"/>
    <w:rsid w:val="00777B7B"/>
    <w:rsid w:val="00777BA1"/>
    <w:rsid w:val="00777BEC"/>
    <w:rsid w:val="00777E2E"/>
    <w:rsid w:val="00780052"/>
    <w:rsid w:val="0078019A"/>
    <w:rsid w:val="007801BC"/>
    <w:rsid w:val="007803DF"/>
    <w:rsid w:val="007804B6"/>
    <w:rsid w:val="00780795"/>
    <w:rsid w:val="007807C8"/>
    <w:rsid w:val="007807DF"/>
    <w:rsid w:val="00780870"/>
    <w:rsid w:val="007809B3"/>
    <w:rsid w:val="00780BAA"/>
    <w:rsid w:val="00780BC7"/>
    <w:rsid w:val="00780C8E"/>
    <w:rsid w:val="00780D1C"/>
    <w:rsid w:val="00780D50"/>
    <w:rsid w:val="00780EFD"/>
    <w:rsid w:val="00780FFD"/>
    <w:rsid w:val="00781136"/>
    <w:rsid w:val="00781249"/>
    <w:rsid w:val="00781291"/>
    <w:rsid w:val="0078149E"/>
    <w:rsid w:val="0078151E"/>
    <w:rsid w:val="007815B9"/>
    <w:rsid w:val="0078167B"/>
    <w:rsid w:val="00781747"/>
    <w:rsid w:val="007818FB"/>
    <w:rsid w:val="007819DA"/>
    <w:rsid w:val="00781AA2"/>
    <w:rsid w:val="00781AC2"/>
    <w:rsid w:val="00781AF8"/>
    <w:rsid w:val="00781C82"/>
    <w:rsid w:val="00781CB2"/>
    <w:rsid w:val="00781D0B"/>
    <w:rsid w:val="00781D2D"/>
    <w:rsid w:val="00781E61"/>
    <w:rsid w:val="00781E9D"/>
    <w:rsid w:val="00781F4A"/>
    <w:rsid w:val="00782039"/>
    <w:rsid w:val="00782214"/>
    <w:rsid w:val="007822D9"/>
    <w:rsid w:val="0078231F"/>
    <w:rsid w:val="00782320"/>
    <w:rsid w:val="00782444"/>
    <w:rsid w:val="00782591"/>
    <w:rsid w:val="007825AD"/>
    <w:rsid w:val="007825CA"/>
    <w:rsid w:val="007825FF"/>
    <w:rsid w:val="007829BB"/>
    <w:rsid w:val="00782A4D"/>
    <w:rsid w:val="00782B28"/>
    <w:rsid w:val="00782DA6"/>
    <w:rsid w:val="00782DE8"/>
    <w:rsid w:val="00782E47"/>
    <w:rsid w:val="00782EC4"/>
    <w:rsid w:val="00782EE3"/>
    <w:rsid w:val="00782EFC"/>
    <w:rsid w:val="00783216"/>
    <w:rsid w:val="007833AD"/>
    <w:rsid w:val="007833BC"/>
    <w:rsid w:val="007833D4"/>
    <w:rsid w:val="007834A1"/>
    <w:rsid w:val="00783602"/>
    <w:rsid w:val="00783622"/>
    <w:rsid w:val="00783671"/>
    <w:rsid w:val="007836A6"/>
    <w:rsid w:val="00783F4F"/>
    <w:rsid w:val="0078403D"/>
    <w:rsid w:val="00784135"/>
    <w:rsid w:val="0078419D"/>
    <w:rsid w:val="00784207"/>
    <w:rsid w:val="00784293"/>
    <w:rsid w:val="007842C4"/>
    <w:rsid w:val="007842DB"/>
    <w:rsid w:val="00784418"/>
    <w:rsid w:val="007844DE"/>
    <w:rsid w:val="00784574"/>
    <w:rsid w:val="0078460E"/>
    <w:rsid w:val="007847A6"/>
    <w:rsid w:val="007847B5"/>
    <w:rsid w:val="007848C0"/>
    <w:rsid w:val="007848E9"/>
    <w:rsid w:val="00784952"/>
    <w:rsid w:val="00784B84"/>
    <w:rsid w:val="00784BF9"/>
    <w:rsid w:val="00784ED7"/>
    <w:rsid w:val="00784F6A"/>
    <w:rsid w:val="007851E0"/>
    <w:rsid w:val="007852F0"/>
    <w:rsid w:val="00785739"/>
    <w:rsid w:val="00785747"/>
    <w:rsid w:val="00785826"/>
    <w:rsid w:val="007859D2"/>
    <w:rsid w:val="00785B06"/>
    <w:rsid w:val="00785E47"/>
    <w:rsid w:val="00785E5C"/>
    <w:rsid w:val="00785E79"/>
    <w:rsid w:val="00785FC5"/>
    <w:rsid w:val="0078600D"/>
    <w:rsid w:val="007861AD"/>
    <w:rsid w:val="00786399"/>
    <w:rsid w:val="0078652B"/>
    <w:rsid w:val="0078656D"/>
    <w:rsid w:val="007866B7"/>
    <w:rsid w:val="00786876"/>
    <w:rsid w:val="00786989"/>
    <w:rsid w:val="00786A42"/>
    <w:rsid w:val="00786A54"/>
    <w:rsid w:val="00786B90"/>
    <w:rsid w:val="00786C07"/>
    <w:rsid w:val="00786D33"/>
    <w:rsid w:val="00786E33"/>
    <w:rsid w:val="00786E70"/>
    <w:rsid w:val="00786E9B"/>
    <w:rsid w:val="00786EC8"/>
    <w:rsid w:val="00786ED9"/>
    <w:rsid w:val="007870BC"/>
    <w:rsid w:val="007870C9"/>
    <w:rsid w:val="00787336"/>
    <w:rsid w:val="0078745A"/>
    <w:rsid w:val="00787772"/>
    <w:rsid w:val="00787774"/>
    <w:rsid w:val="0078777A"/>
    <w:rsid w:val="0078781E"/>
    <w:rsid w:val="00787842"/>
    <w:rsid w:val="00787896"/>
    <w:rsid w:val="007878A8"/>
    <w:rsid w:val="007878D8"/>
    <w:rsid w:val="00787938"/>
    <w:rsid w:val="00787A5C"/>
    <w:rsid w:val="00787A84"/>
    <w:rsid w:val="00787BAE"/>
    <w:rsid w:val="00787C99"/>
    <w:rsid w:val="00787EBC"/>
    <w:rsid w:val="00787FA2"/>
    <w:rsid w:val="0079001B"/>
    <w:rsid w:val="00790196"/>
    <w:rsid w:val="007902D2"/>
    <w:rsid w:val="007902DA"/>
    <w:rsid w:val="007903AE"/>
    <w:rsid w:val="007904CB"/>
    <w:rsid w:val="0079054D"/>
    <w:rsid w:val="00790642"/>
    <w:rsid w:val="00790715"/>
    <w:rsid w:val="0079072B"/>
    <w:rsid w:val="00790770"/>
    <w:rsid w:val="007907D2"/>
    <w:rsid w:val="007907DF"/>
    <w:rsid w:val="0079086E"/>
    <w:rsid w:val="007908E6"/>
    <w:rsid w:val="007909A7"/>
    <w:rsid w:val="00790ABC"/>
    <w:rsid w:val="00790D41"/>
    <w:rsid w:val="00790D62"/>
    <w:rsid w:val="00790D7C"/>
    <w:rsid w:val="00790D91"/>
    <w:rsid w:val="00790DA5"/>
    <w:rsid w:val="00790EB3"/>
    <w:rsid w:val="00790EF3"/>
    <w:rsid w:val="00790F5B"/>
    <w:rsid w:val="0079113D"/>
    <w:rsid w:val="0079128C"/>
    <w:rsid w:val="007913CF"/>
    <w:rsid w:val="0079162D"/>
    <w:rsid w:val="007917BE"/>
    <w:rsid w:val="00791949"/>
    <w:rsid w:val="00791C96"/>
    <w:rsid w:val="00791CFF"/>
    <w:rsid w:val="00791D3C"/>
    <w:rsid w:val="00791F09"/>
    <w:rsid w:val="007921CE"/>
    <w:rsid w:val="00792420"/>
    <w:rsid w:val="00792454"/>
    <w:rsid w:val="0079247A"/>
    <w:rsid w:val="007925E9"/>
    <w:rsid w:val="00792640"/>
    <w:rsid w:val="0079268E"/>
    <w:rsid w:val="007926DD"/>
    <w:rsid w:val="0079274C"/>
    <w:rsid w:val="0079275F"/>
    <w:rsid w:val="0079284C"/>
    <w:rsid w:val="007928E5"/>
    <w:rsid w:val="00792CD4"/>
    <w:rsid w:val="00792D3B"/>
    <w:rsid w:val="00792D6B"/>
    <w:rsid w:val="00792F11"/>
    <w:rsid w:val="00792FBE"/>
    <w:rsid w:val="0079326B"/>
    <w:rsid w:val="0079382B"/>
    <w:rsid w:val="007939D2"/>
    <w:rsid w:val="00793B87"/>
    <w:rsid w:val="00793F0B"/>
    <w:rsid w:val="00794046"/>
    <w:rsid w:val="00794336"/>
    <w:rsid w:val="007945CF"/>
    <w:rsid w:val="0079464A"/>
    <w:rsid w:val="00794761"/>
    <w:rsid w:val="007947D8"/>
    <w:rsid w:val="007947E9"/>
    <w:rsid w:val="0079480A"/>
    <w:rsid w:val="007948AA"/>
    <w:rsid w:val="00794964"/>
    <w:rsid w:val="00794987"/>
    <w:rsid w:val="00794C24"/>
    <w:rsid w:val="00794C2E"/>
    <w:rsid w:val="00794EAA"/>
    <w:rsid w:val="00794FEC"/>
    <w:rsid w:val="007951D6"/>
    <w:rsid w:val="007951EA"/>
    <w:rsid w:val="0079520A"/>
    <w:rsid w:val="0079522C"/>
    <w:rsid w:val="007952EF"/>
    <w:rsid w:val="00795373"/>
    <w:rsid w:val="007953F3"/>
    <w:rsid w:val="00795440"/>
    <w:rsid w:val="00795552"/>
    <w:rsid w:val="007955B8"/>
    <w:rsid w:val="00795675"/>
    <w:rsid w:val="007957A2"/>
    <w:rsid w:val="007958E3"/>
    <w:rsid w:val="007958F0"/>
    <w:rsid w:val="00795C97"/>
    <w:rsid w:val="00795D1E"/>
    <w:rsid w:val="00795D32"/>
    <w:rsid w:val="00795D40"/>
    <w:rsid w:val="00795DA2"/>
    <w:rsid w:val="00795DF4"/>
    <w:rsid w:val="00795FA1"/>
    <w:rsid w:val="0079611A"/>
    <w:rsid w:val="0079626C"/>
    <w:rsid w:val="007963EA"/>
    <w:rsid w:val="0079642E"/>
    <w:rsid w:val="0079646D"/>
    <w:rsid w:val="0079647A"/>
    <w:rsid w:val="0079655F"/>
    <w:rsid w:val="007965A9"/>
    <w:rsid w:val="007967A9"/>
    <w:rsid w:val="0079693D"/>
    <w:rsid w:val="00796956"/>
    <w:rsid w:val="007969F2"/>
    <w:rsid w:val="007969F4"/>
    <w:rsid w:val="00796ADB"/>
    <w:rsid w:val="00796B8C"/>
    <w:rsid w:val="00796BEA"/>
    <w:rsid w:val="00796E5F"/>
    <w:rsid w:val="00796F15"/>
    <w:rsid w:val="00796F1F"/>
    <w:rsid w:val="00796FE5"/>
    <w:rsid w:val="0079701C"/>
    <w:rsid w:val="007970CE"/>
    <w:rsid w:val="007970F1"/>
    <w:rsid w:val="00797205"/>
    <w:rsid w:val="00797353"/>
    <w:rsid w:val="00797400"/>
    <w:rsid w:val="0079768F"/>
    <w:rsid w:val="007976C2"/>
    <w:rsid w:val="0079777A"/>
    <w:rsid w:val="00797848"/>
    <w:rsid w:val="00797A18"/>
    <w:rsid w:val="00797E95"/>
    <w:rsid w:val="00797EE3"/>
    <w:rsid w:val="007A0095"/>
    <w:rsid w:val="007A015B"/>
    <w:rsid w:val="007A018B"/>
    <w:rsid w:val="007A0357"/>
    <w:rsid w:val="007A0467"/>
    <w:rsid w:val="007A0646"/>
    <w:rsid w:val="007A0688"/>
    <w:rsid w:val="007A0876"/>
    <w:rsid w:val="007A0A95"/>
    <w:rsid w:val="007A0CD3"/>
    <w:rsid w:val="007A0D1B"/>
    <w:rsid w:val="007A170B"/>
    <w:rsid w:val="007A1D0C"/>
    <w:rsid w:val="007A20EB"/>
    <w:rsid w:val="007A2152"/>
    <w:rsid w:val="007A230D"/>
    <w:rsid w:val="007A247D"/>
    <w:rsid w:val="007A24E0"/>
    <w:rsid w:val="007A2580"/>
    <w:rsid w:val="007A26E6"/>
    <w:rsid w:val="007A26EF"/>
    <w:rsid w:val="007A27A7"/>
    <w:rsid w:val="007A28F8"/>
    <w:rsid w:val="007A2B18"/>
    <w:rsid w:val="007A2CD0"/>
    <w:rsid w:val="007A2E68"/>
    <w:rsid w:val="007A2EA6"/>
    <w:rsid w:val="007A2EE5"/>
    <w:rsid w:val="007A2F67"/>
    <w:rsid w:val="007A308B"/>
    <w:rsid w:val="007A318B"/>
    <w:rsid w:val="007A31AF"/>
    <w:rsid w:val="007A3A2F"/>
    <w:rsid w:val="007A3AC8"/>
    <w:rsid w:val="007A3B1E"/>
    <w:rsid w:val="007A3CD4"/>
    <w:rsid w:val="007A3CE9"/>
    <w:rsid w:val="007A3D0C"/>
    <w:rsid w:val="007A3D12"/>
    <w:rsid w:val="007A3D66"/>
    <w:rsid w:val="007A3F0F"/>
    <w:rsid w:val="007A3F61"/>
    <w:rsid w:val="007A420F"/>
    <w:rsid w:val="007A424C"/>
    <w:rsid w:val="007A432A"/>
    <w:rsid w:val="007A4340"/>
    <w:rsid w:val="007A451E"/>
    <w:rsid w:val="007A4574"/>
    <w:rsid w:val="007A4852"/>
    <w:rsid w:val="007A494C"/>
    <w:rsid w:val="007A4952"/>
    <w:rsid w:val="007A4AFC"/>
    <w:rsid w:val="007A4B9B"/>
    <w:rsid w:val="007A4C2D"/>
    <w:rsid w:val="007A4CF0"/>
    <w:rsid w:val="007A4E36"/>
    <w:rsid w:val="007A4E9F"/>
    <w:rsid w:val="007A4F0C"/>
    <w:rsid w:val="007A5097"/>
    <w:rsid w:val="007A51DD"/>
    <w:rsid w:val="007A52C1"/>
    <w:rsid w:val="007A5377"/>
    <w:rsid w:val="007A547C"/>
    <w:rsid w:val="007A574C"/>
    <w:rsid w:val="007A57DB"/>
    <w:rsid w:val="007A587E"/>
    <w:rsid w:val="007A58CC"/>
    <w:rsid w:val="007A598E"/>
    <w:rsid w:val="007A5BBD"/>
    <w:rsid w:val="007A5CA8"/>
    <w:rsid w:val="007A5D47"/>
    <w:rsid w:val="007A6030"/>
    <w:rsid w:val="007A61CE"/>
    <w:rsid w:val="007A62C1"/>
    <w:rsid w:val="007A63AD"/>
    <w:rsid w:val="007A63F2"/>
    <w:rsid w:val="007A655A"/>
    <w:rsid w:val="007A67C2"/>
    <w:rsid w:val="007A6961"/>
    <w:rsid w:val="007A6B4D"/>
    <w:rsid w:val="007A6BD4"/>
    <w:rsid w:val="007A6E57"/>
    <w:rsid w:val="007A6F26"/>
    <w:rsid w:val="007A6F4A"/>
    <w:rsid w:val="007A6FEC"/>
    <w:rsid w:val="007A7008"/>
    <w:rsid w:val="007A70B5"/>
    <w:rsid w:val="007A70E7"/>
    <w:rsid w:val="007A726D"/>
    <w:rsid w:val="007A7308"/>
    <w:rsid w:val="007A7457"/>
    <w:rsid w:val="007A7461"/>
    <w:rsid w:val="007A76BD"/>
    <w:rsid w:val="007A76CA"/>
    <w:rsid w:val="007A7741"/>
    <w:rsid w:val="007A7794"/>
    <w:rsid w:val="007A7857"/>
    <w:rsid w:val="007A7955"/>
    <w:rsid w:val="007A7BFA"/>
    <w:rsid w:val="007A7E07"/>
    <w:rsid w:val="007A7E9E"/>
    <w:rsid w:val="007A7F59"/>
    <w:rsid w:val="007A7F6D"/>
    <w:rsid w:val="007B0004"/>
    <w:rsid w:val="007B00C4"/>
    <w:rsid w:val="007B04D0"/>
    <w:rsid w:val="007B0677"/>
    <w:rsid w:val="007B07BF"/>
    <w:rsid w:val="007B089C"/>
    <w:rsid w:val="007B0951"/>
    <w:rsid w:val="007B0B89"/>
    <w:rsid w:val="007B0BE4"/>
    <w:rsid w:val="007B0C50"/>
    <w:rsid w:val="007B0F33"/>
    <w:rsid w:val="007B12C0"/>
    <w:rsid w:val="007B12F9"/>
    <w:rsid w:val="007B1508"/>
    <w:rsid w:val="007B155D"/>
    <w:rsid w:val="007B1599"/>
    <w:rsid w:val="007B1719"/>
    <w:rsid w:val="007B17A1"/>
    <w:rsid w:val="007B17CB"/>
    <w:rsid w:val="007B1832"/>
    <w:rsid w:val="007B1853"/>
    <w:rsid w:val="007B1865"/>
    <w:rsid w:val="007B1884"/>
    <w:rsid w:val="007B19FC"/>
    <w:rsid w:val="007B1B12"/>
    <w:rsid w:val="007B1B68"/>
    <w:rsid w:val="007B1FC1"/>
    <w:rsid w:val="007B2014"/>
    <w:rsid w:val="007B22C3"/>
    <w:rsid w:val="007B2304"/>
    <w:rsid w:val="007B2377"/>
    <w:rsid w:val="007B26B7"/>
    <w:rsid w:val="007B2746"/>
    <w:rsid w:val="007B27A5"/>
    <w:rsid w:val="007B28D1"/>
    <w:rsid w:val="007B2A23"/>
    <w:rsid w:val="007B2D27"/>
    <w:rsid w:val="007B2DF5"/>
    <w:rsid w:val="007B2E0A"/>
    <w:rsid w:val="007B2E6F"/>
    <w:rsid w:val="007B2F81"/>
    <w:rsid w:val="007B3024"/>
    <w:rsid w:val="007B302A"/>
    <w:rsid w:val="007B30A9"/>
    <w:rsid w:val="007B3177"/>
    <w:rsid w:val="007B319F"/>
    <w:rsid w:val="007B33B5"/>
    <w:rsid w:val="007B33C7"/>
    <w:rsid w:val="007B369B"/>
    <w:rsid w:val="007B381D"/>
    <w:rsid w:val="007B3921"/>
    <w:rsid w:val="007B393F"/>
    <w:rsid w:val="007B3994"/>
    <w:rsid w:val="007B3A35"/>
    <w:rsid w:val="007B3C3C"/>
    <w:rsid w:val="007B3D51"/>
    <w:rsid w:val="007B3EAA"/>
    <w:rsid w:val="007B3FFD"/>
    <w:rsid w:val="007B4068"/>
    <w:rsid w:val="007B40CD"/>
    <w:rsid w:val="007B432B"/>
    <w:rsid w:val="007B4615"/>
    <w:rsid w:val="007B4662"/>
    <w:rsid w:val="007B481B"/>
    <w:rsid w:val="007B494A"/>
    <w:rsid w:val="007B4952"/>
    <w:rsid w:val="007B4ADC"/>
    <w:rsid w:val="007B4BF4"/>
    <w:rsid w:val="007B4C71"/>
    <w:rsid w:val="007B4CAB"/>
    <w:rsid w:val="007B4E20"/>
    <w:rsid w:val="007B4FF1"/>
    <w:rsid w:val="007B500C"/>
    <w:rsid w:val="007B512D"/>
    <w:rsid w:val="007B5167"/>
    <w:rsid w:val="007B51BD"/>
    <w:rsid w:val="007B54EE"/>
    <w:rsid w:val="007B5500"/>
    <w:rsid w:val="007B56D3"/>
    <w:rsid w:val="007B5803"/>
    <w:rsid w:val="007B5808"/>
    <w:rsid w:val="007B58CC"/>
    <w:rsid w:val="007B5A1B"/>
    <w:rsid w:val="007B5A6C"/>
    <w:rsid w:val="007B5D0A"/>
    <w:rsid w:val="007B5D5E"/>
    <w:rsid w:val="007B5E3A"/>
    <w:rsid w:val="007B5E94"/>
    <w:rsid w:val="007B5EE4"/>
    <w:rsid w:val="007B5EE6"/>
    <w:rsid w:val="007B5FE0"/>
    <w:rsid w:val="007B62F4"/>
    <w:rsid w:val="007B6326"/>
    <w:rsid w:val="007B64A1"/>
    <w:rsid w:val="007B65C2"/>
    <w:rsid w:val="007B6679"/>
    <w:rsid w:val="007B66C6"/>
    <w:rsid w:val="007B6C05"/>
    <w:rsid w:val="007B6F0F"/>
    <w:rsid w:val="007B6F97"/>
    <w:rsid w:val="007B6FF1"/>
    <w:rsid w:val="007B716E"/>
    <w:rsid w:val="007B72A7"/>
    <w:rsid w:val="007B7397"/>
    <w:rsid w:val="007B7583"/>
    <w:rsid w:val="007B7797"/>
    <w:rsid w:val="007B77A6"/>
    <w:rsid w:val="007B78DC"/>
    <w:rsid w:val="007B79D3"/>
    <w:rsid w:val="007B7C04"/>
    <w:rsid w:val="007B7C91"/>
    <w:rsid w:val="007B7DBF"/>
    <w:rsid w:val="007B7EC7"/>
    <w:rsid w:val="007C0132"/>
    <w:rsid w:val="007C05D9"/>
    <w:rsid w:val="007C06C6"/>
    <w:rsid w:val="007C0834"/>
    <w:rsid w:val="007C0969"/>
    <w:rsid w:val="007C0983"/>
    <w:rsid w:val="007C0998"/>
    <w:rsid w:val="007C0A36"/>
    <w:rsid w:val="007C0B02"/>
    <w:rsid w:val="007C0B1F"/>
    <w:rsid w:val="007C0B3E"/>
    <w:rsid w:val="007C0BEA"/>
    <w:rsid w:val="007C0E03"/>
    <w:rsid w:val="007C0E48"/>
    <w:rsid w:val="007C0F39"/>
    <w:rsid w:val="007C0F78"/>
    <w:rsid w:val="007C1181"/>
    <w:rsid w:val="007C127A"/>
    <w:rsid w:val="007C12BA"/>
    <w:rsid w:val="007C12C2"/>
    <w:rsid w:val="007C1597"/>
    <w:rsid w:val="007C15B2"/>
    <w:rsid w:val="007C15B4"/>
    <w:rsid w:val="007C17D4"/>
    <w:rsid w:val="007C1834"/>
    <w:rsid w:val="007C1855"/>
    <w:rsid w:val="007C18F8"/>
    <w:rsid w:val="007C1A7E"/>
    <w:rsid w:val="007C1B7C"/>
    <w:rsid w:val="007C1C66"/>
    <w:rsid w:val="007C1EE8"/>
    <w:rsid w:val="007C21AA"/>
    <w:rsid w:val="007C21CC"/>
    <w:rsid w:val="007C2360"/>
    <w:rsid w:val="007C23D3"/>
    <w:rsid w:val="007C2483"/>
    <w:rsid w:val="007C2552"/>
    <w:rsid w:val="007C2645"/>
    <w:rsid w:val="007C2658"/>
    <w:rsid w:val="007C2717"/>
    <w:rsid w:val="007C2771"/>
    <w:rsid w:val="007C27F8"/>
    <w:rsid w:val="007C2A2B"/>
    <w:rsid w:val="007C2B83"/>
    <w:rsid w:val="007C2C49"/>
    <w:rsid w:val="007C2E52"/>
    <w:rsid w:val="007C2E5D"/>
    <w:rsid w:val="007C32F2"/>
    <w:rsid w:val="007C3370"/>
    <w:rsid w:val="007C3389"/>
    <w:rsid w:val="007C33F4"/>
    <w:rsid w:val="007C3521"/>
    <w:rsid w:val="007C36A7"/>
    <w:rsid w:val="007C379A"/>
    <w:rsid w:val="007C37DC"/>
    <w:rsid w:val="007C399C"/>
    <w:rsid w:val="007C3A53"/>
    <w:rsid w:val="007C3C31"/>
    <w:rsid w:val="007C3CE7"/>
    <w:rsid w:val="007C3E2F"/>
    <w:rsid w:val="007C3F09"/>
    <w:rsid w:val="007C3F92"/>
    <w:rsid w:val="007C42BB"/>
    <w:rsid w:val="007C44BA"/>
    <w:rsid w:val="007C44BC"/>
    <w:rsid w:val="007C45C5"/>
    <w:rsid w:val="007C47B3"/>
    <w:rsid w:val="007C47CA"/>
    <w:rsid w:val="007C4AC8"/>
    <w:rsid w:val="007C4B2B"/>
    <w:rsid w:val="007C4B81"/>
    <w:rsid w:val="007C4E4E"/>
    <w:rsid w:val="007C4F62"/>
    <w:rsid w:val="007C4F7E"/>
    <w:rsid w:val="007C4FBA"/>
    <w:rsid w:val="007C5066"/>
    <w:rsid w:val="007C5120"/>
    <w:rsid w:val="007C55D3"/>
    <w:rsid w:val="007C59B6"/>
    <w:rsid w:val="007C5A20"/>
    <w:rsid w:val="007C5A7A"/>
    <w:rsid w:val="007C5B15"/>
    <w:rsid w:val="007C5C5A"/>
    <w:rsid w:val="007C6068"/>
    <w:rsid w:val="007C60E3"/>
    <w:rsid w:val="007C62AD"/>
    <w:rsid w:val="007C6311"/>
    <w:rsid w:val="007C63A9"/>
    <w:rsid w:val="007C63FD"/>
    <w:rsid w:val="007C6499"/>
    <w:rsid w:val="007C6505"/>
    <w:rsid w:val="007C652F"/>
    <w:rsid w:val="007C6628"/>
    <w:rsid w:val="007C6674"/>
    <w:rsid w:val="007C67DB"/>
    <w:rsid w:val="007C6955"/>
    <w:rsid w:val="007C6A53"/>
    <w:rsid w:val="007C6A71"/>
    <w:rsid w:val="007C6A73"/>
    <w:rsid w:val="007C6C04"/>
    <w:rsid w:val="007C6CF3"/>
    <w:rsid w:val="007C6D20"/>
    <w:rsid w:val="007C6F02"/>
    <w:rsid w:val="007C70B5"/>
    <w:rsid w:val="007C70EE"/>
    <w:rsid w:val="007C735E"/>
    <w:rsid w:val="007C73A3"/>
    <w:rsid w:val="007C73AC"/>
    <w:rsid w:val="007C748F"/>
    <w:rsid w:val="007C75C1"/>
    <w:rsid w:val="007C75EE"/>
    <w:rsid w:val="007C7678"/>
    <w:rsid w:val="007C777A"/>
    <w:rsid w:val="007C77D2"/>
    <w:rsid w:val="007C7A4A"/>
    <w:rsid w:val="007C7D1B"/>
    <w:rsid w:val="007C7DFE"/>
    <w:rsid w:val="007C7E2B"/>
    <w:rsid w:val="007C7E2E"/>
    <w:rsid w:val="007D00C1"/>
    <w:rsid w:val="007D00F3"/>
    <w:rsid w:val="007D01FF"/>
    <w:rsid w:val="007D0256"/>
    <w:rsid w:val="007D0267"/>
    <w:rsid w:val="007D04B3"/>
    <w:rsid w:val="007D05AE"/>
    <w:rsid w:val="007D0766"/>
    <w:rsid w:val="007D07D4"/>
    <w:rsid w:val="007D0964"/>
    <w:rsid w:val="007D09A3"/>
    <w:rsid w:val="007D0E0D"/>
    <w:rsid w:val="007D1007"/>
    <w:rsid w:val="007D12B5"/>
    <w:rsid w:val="007D13A9"/>
    <w:rsid w:val="007D13AD"/>
    <w:rsid w:val="007D13D4"/>
    <w:rsid w:val="007D148F"/>
    <w:rsid w:val="007D14F5"/>
    <w:rsid w:val="007D151E"/>
    <w:rsid w:val="007D1533"/>
    <w:rsid w:val="007D1632"/>
    <w:rsid w:val="007D175A"/>
    <w:rsid w:val="007D18B5"/>
    <w:rsid w:val="007D1D0B"/>
    <w:rsid w:val="007D1E31"/>
    <w:rsid w:val="007D1F8C"/>
    <w:rsid w:val="007D1F98"/>
    <w:rsid w:val="007D2075"/>
    <w:rsid w:val="007D245E"/>
    <w:rsid w:val="007D24A1"/>
    <w:rsid w:val="007D2524"/>
    <w:rsid w:val="007D2720"/>
    <w:rsid w:val="007D275D"/>
    <w:rsid w:val="007D2AE5"/>
    <w:rsid w:val="007D2B79"/>
    <w:rsid w:val="007D2BE7"/>
    <w:rsid w:val="007D2BFA"/>
    <w:rsid w:val="007D2CE7"/>
    <w:rsid w:val="007D2CF0"/>
    <w:rsid w:val="007D2DC5"/>
    <w:rsid w:val="007D2E68"/>
    <w:rsid w:val="007D2E7D"/>
    <w:rsid w:val="007D2EC1"/>
    <w:rsid w:val="007D2ECF"/>
    <w:rsid w:val="007D2F71"/>
    <w:rsid w:val="007D31B6"/>
    <w:rsid w:val="007D336D"/>
    <w:rsid w:val="007D396C"/>
    <w:rsid w:val="007D3CFC"/>
    <w:rsid w:val="007D3D8E"/>
    <w:rsid w:val="007D3DEA"/>
    <w:rsid w:val="007D3E1B"/>
    <w:rsid w:val="007D3E7E"/>
    <w:rsid w:val="007D3E8A"/>
    <w:rsid w:val="007D3EAC"/>
    <w:rsid w:val="007D4054"/>
    <w:rsid w:val="007D4245"/>
    <w:rsid w:val="007D425D"/>
    <w:rsid w:val="007D42A5"/>
    <w:rsid w:val="007D4459"/>
    <w:rsid w:val="007D44C5"/>
    <w:rsid w:val="007D451E"/>
    <w:rsid w:val="007D459E"/>
    <w:rsid w:val="007D463F"/>
    <w:rsid w:val="007D470F"/>
    <w:rsid w:val="007D47C6"/>
    <w:rsid w:val="007D49AC"/>
    <w:rsid w:val="007D49FC"/>
    <w:rsid w:val="007D4ACC"/>
    <w:rsid w:val="007D4D06"/>
    <w:rsid w:val="007D4F13"/>
    <w:rsid w:val="007D4FA3"/>
    <w:rsid w:val="007D50D3"/>
    <w:rsid w:val="007D531D"/>
    <w:rsid w:val="007D532B"/>
    <w:rsid w:val="007D53CD"/>
    <w:rsid w:val="007D546A"/>
    <w:rsid w:val="007D5B03"/>
    <w:rsid w:val="007D5B9C"/>
    <w:rsid w:val="007D5BC8"/>
    <w:rsid w:val="007D5C56"/>
    <w:rsid w:val="007D5FB7"/>
    <w:rsid w:val="007D5FC2"/>
    <w:rsid w:val="007D6004"/>
    <w:rsid w:val="007D6067"/>
    <w:rsid w:val="007D60B2"/>
    <w:rsid w:val="007D6168"/>
    <w:rsid w:val="007D6180"/>
    <w:rsid w:val="007D636F"/>
    <w:rsid w:val="007D637A"/>
    <w:rsid w:val="007D6391"/>
    <w:rsid w:val="007D6498"/>
    <w:rsid w:val="007D64FE"/>
    <w:rsid w:val="007D66F8"/>
    <w:rsid w:val="007D6755"/>
    <w:rsid w:val="007D6761"/>
    <w:rsid w:val="007D6A47"/>
    <w:rsid w:val="007D6ABE"/>
    <w:rsid w:val="007D6BB0"/>
    <w:rsid w:val="007D6E3E"/>
    <w:rsid w:val="007D6FC8"/>
    <w:rsid w:val="007D6FF3"/>
    <w:rsid w:val="007D7193"/>
    <w:rsid w:val="007D7298"/>
    <w:rsid w:val="007D73AC"/>
    <w:rsid w:val="007D73D6"/>
    <w:rsid w:val="007D745B"/>
    <w:rsid w:val="007D745F"/>
    <w:rsid w:val="007D765C"/>
    <w:rsid w:val="007D76D0"/>
    <w:rsid w:val="007D77CA"/>
    <w:rsid w:val="007D78A3"/>
    <w:rsid w:val="007D78A8"/>
    <w:rsid w:val="007D7AF0"/>
    <w:rsid w:val="007D7C53"/>
    <w:rsid w:val="007D7D64"/>
    <w:rsid w:val="007D7F78"/>
    <w:rsid w:val="007E001F"/>
    <w:rsid w:val="007E003E"/>
    <w:rsid w:val="007E0057"/>
    <w:rsid w:val="007E005F"/>
    <w:rsid w:val="007E0116"/>
    <w:rsid w:val="007E0132"/>
    <w:rsid w:val="007E036D"/>
    <w:rsid w:val="007E03B4"/>
    <w:rsid w:val="007E0896"/>
    <w:rsid w:val="007E090D"/>
    <w:rsid w:val="007E0937"/>
    <w:rsid w:val="007E09B9"/>
    <w:rsid w:val="007E0ACC"/>
    <w:rsid w:val="007E0BB9"/>
    <w:rsid w:val="007E0BE1"/>
    <w:rsid w:val="007E0FA4"/>
    <w:rsid w:val="007E10E6"/>
    <w:rsid w:val="007E125D"/>
    <w:rsid w:val="007E1369"/>
    <w:rsid w:val="007E13D3"/>
    <w:rsid w:val="007E1566"/>
    <w:rsid w:val="007E1590"/>
    <w:rsid w:val="007E16E7"/>
    <w:rsid w:val="007E1717"/>
    <w:rsid w:val="007E174F"/>
    <w:rsid w:val="007E1C21"/>
    <w:rsid w:val="007E1CDF"/>
    <w:rsid w:val="007E1F31"/>
    <w:rsid w:val="007E1F73"/>
    <w:rsid w:val="007E21DE"/>
    <w:rsid w:val="007E2257"/>
    <w:rsid w:val="007E2356"/>
    <w:rsid w:val="007E2599"/>
    <w:rsid w:val="007E2759"/>
    <w:rsid w:val="007E2872"/>
    <w:rsid w:val="007E287E"/>
    <w:rsid w:val="007E28B6"/>
    <w:rsid w:val="007E2913"/>
    <w:rsid w:val="007E292C"/>
    <w:rsid w:val="007E2B7D"/>
    <w:rsid w:val="007E2C3A"/>
    <w:rsid w:val="007E2E1E"/>
    <w:rsid w:val="007E2EF7"/>
    <w:rsid w:val="007E2F5C"/>
    <w:rsid w:val="007E318A"/>
    <w:rsid w:val="007E3265"/>
    <w:rsid w:val="007E3285"/>
    <w:rsid w:val="007E34D2"/>
    <w:rsid w:val="007E351A"/>
    <w:rsid w:val="007E3565"/>
    <w:rsid w:val="007E3632"/>
    <w:rsid w:val="007E37E7"/>
    <w:rsid w:val="007E388D"/>
    <w:rsid w:val="007E3A25"/>
    <w:rsid w:val="007E3C05"/>
    <w:rsid w:val="007E3D51"/>
    <w:rsid w:val="007E3E81"/>
    <w:rsid w:val="007E3EEA"/>
    <w:rsid w:val="007E3FDD"/>
    <w:rsid w:val="007E421A"/>
    <w:rsid w:val="007E4427"/>
    <w:rsid w:val="007E4678"/>
    <w:rsid w:val="007E4704"/>
    <w:rsid w:val="007E47AD"/>
    <w:rsid w:val="007E4964"/>
    <w:rsid w:val="007E4A15"/>
    <w:rsid w:val="007E4BDC"/>
    <w:rsid w:val="007E4DD5"/>
    <w:rsid w:val="007E4E14"/>
    <w:rsid w:val="007E4E66"/>
    <w:rsid w:val="007E5081"/>
    <w:rsid w:val="007E5098"/>
    <w:rsid w:val="007E50D0"/>
    <w:rsid w:val="007E50EB"/>
    <w:rsid w:val="007E51C4"/>
    <w:rsid w:val="007E524D"/>
    <w:rsid w:val="007E527C"/>
    <w:rsid w:val="007E53FE"/>
    <w:rsid w:val="007E5503"/>
    <w:rsid w:val="007E5666"/>
    <w:rsid w:val="007E5695"/>
    <w:rsid w:val="007E56D4"/>
    <w:rsid w:val="007E5830"/>
    <w:rsid w:val="007E5C69"/>
    <w:rsid w:val="007E5CFA"/>
    <w:rsid w:val="007E5F2B"/>
    <w:rsid w:val="007E5FDA"/>
    <w:rsid w:val="007E6046"/>
    <w:rsid w:val="007E606D"/>
    <w:rsid w:val="007E6154"/>
    <w:rsid w:val="007E6248"/>
    <w:rsid w:val="007E6399"/>
    <w:rsid w:val="007E63BE"/>
    <w:rsid w:val="007E661A"/>
    <w:rsid w:val="007E6798"/>
    <w:rsid w:val="007E679B"/>
    <w:rsid w:val="007E682C"/>
    <w:rsid w:val="007E6865"/>
    <w:rsid w:val="007E6894"/>
    <w:rsid w:val="007E692E"/>
    <w:rsid w:val="007E6963"/>
    <w:rsid w:val="007E6A29"/>
    <w:rsid w:val="007E6AFD"/>
    <w:rsid w:val="007E6B79"/>
    <w:rsid w:val="007E6C8B"/>
    <w:rsid w:val="007E6E09"/>
    <w:rsid w:val="007E6F54"/>
    <w:rsid w:val="007E70D3"/>
    <w:rsid w:val="007E720E"/>
    <w:rsid w:val="007E72AB"/>
    <w:rsid w:val="007E7342"/>
    <w:rsid w:val="007E7378"/>
    <w:rsid w:val="007E7515"/>
    <w:rsid w:val="007E75A3"/>
    <w:rsid w:val="007E76FF"/>
    <w:rsid w:val="007E798C"/>
    <w:rsid w:val="007E7B76"/>
    <w:rsid w:val="007E7B94"/>
    <w:rsid w:val="007E7D55"/>
    <w:rsid w:val="007E7DB2"/>
    <w:rsid w:val="007E7FBE"/>
    <w:rsid w:val="007F0194"/>
    <w:rsid w:val="007F041E"/>
    <w:rsid w:val="007F0455"/>
    <w:rsid w:val="007F082A"/>
    <w:rsid w:val="007F0AE9"/>
    <w:rsid w:val="007F0B39"/>
    <w:rsid w:val="007F0C48"/>
    <w:rsid w:val="007F0E88"/>
    <w:rsid w:val="007F0FC6"/>
    <w:rsid w:val="007F0FF1"/>
    <w:rsid w:val="007F112F"/>
    <w:rsid w:val="007F11E3"/>
    <w:rsid w:val="007F1267"/>
    <w:rsid w:val="007F12D2"/>
    <w:rsid w:val="007F1393"/>
    <w:rsid w:val="007F14CB"/>
    <w:rsid w:val="007F157D"/>
    <w:rsid w:val="007F172B"/>
    <w:rsid w:val="007F172E"/>
    <w:rsid w:val="007F1731"/>
    <w:rsid w:val="007F18B8"/>
    <w:rsid w:val="007F1A27"/>
    <w:rsid w:val="007F1B49"/>
    <w:rsid w:val="007F1C36"/>
    <w:rsid w:val="007F1D24"/>
    <w:rsid w:val="007F1D86"/>
    <w:rsid w:val="007F1E28"/>
    <w:rsid w:val="007F1FCC"/>
    <w:rsid w:val="007F1FF2"/>
    <w:rsid w:val="007F22DC"/>
    <w:rsid w:val="007F23A2"/>
    <w:rsid w:val="007F2652"/>
    <w:rsid w:val="007F2683"/>
    <w:rsid w:val="007F270B"/>
    <w:rsid w:val="007F2765"/>
    <w:rsid w:val="007F2911"/>
    <w:rsid w:val="007F2A41"/>
    <w:rsid w:val="007F3090"/>
    <w:rsid w:val="007F311C"/>
    <w:rsid w:val="007F32BA"/>
    <w:rsid w:val="007F338D"/>
    <w:rsid w:val="007F3398"/>
    <w:rsid w:val="007F3562"/>
    <w:rsid w:val="007F35C5"/>
    <w:rsid w:val="007F36E2"/>
    <w:rsid w:val="007F37C4"/>
    <w:rsid w:val="007F3875"/>
    <w:rsid w:val="007F392E"/>
    <w:rsid w:val="007F39D6"/>
    <w:rsid w:val="007F3BFA"/>
    <w:rsid w:val="007F3E63"/>
    <w:rsid w:val="007F41AE"/>
    <w:rsid w:val="007F427B"/>
    <w:rsid w:val="007F42E2"/>
    <w:rsid w:val="007F43EE"/>
    <w:rsid w:val="007F4497"/>
    <w:rsid w:val="007F4560"/>
    <w:rsid w:val="007F45B4"/>
    <w:rsid w:val="007F461C"/>
    <w:rsid w:val="007F48A5"/>
    <w:rsid w:val="007F4D83"/>
    <w:rsid w:val="007F5166"/>
    <w:rsid w:val="007F520D"/>
    <w:rsid w:val="007F5238"/>
    <w:rsid w:val="007F528F"/>
    <w:rsid w:val="007F52D4"/>
    <w:rsid w:val="007F544B"/>
    <w:rsid w:val="007F568A"/>
    <w:rsid w:val="007F57DA"/>
    <w:rsid w:val="007F581F"/>
    <w:rsid w:val="007F5C7F"/>
    <w:rsid w:val="007F5CE3"/>
    <w:rsid w:val="007F5D65"/>
    <w:rsid w:val="007F5E86"/>
    <w:rsid w:val="007F5F96"/>
    <w:rsid w:val="007F62F4"/>
    <w:rsid w:val="007F6360"/>
    <w:rsid w:val="007F64EE"/>
    <w:rsid w:val="007F65ED"/>
    <w:rsid w:val="007F674D"/>
    <w:rsid w:val="007F6A50"/>
    <w:rsid w:val="007F6AC7"/>
    <w:rsid w:val="007F6B1B"/>
    <w:rsid w:val="007F6BD6"/>
    <w:rsid w:val="007F6D6A"/>
    <w:rsid w:val="007F6EBD"/>
    <w:rsid w:val="007F6EFB"/>
    <w:rsid w:val="007F716C"/>
    <w:rsid w:val="007F718A"/>
    <w:rsid w:val="007F735B"/>
    <w:rsid w:val="007F7741"/>
    <w:rsid w:val="007F7A98"/>
    <w:rsid w:val="007F7AB4"/>
    <w:rsid w:val="007F7C10"/>
    <w:rsid w:val="007F7CD7"/>
    <w:rsid w:val="007F7E66"/>
    <w:rsid w:val="008000A3"/>
    <w:rsid w:val="008001EE"/>
    <w:rsid w:val="00800308"/>
    <w:rsid w:val="008003EA"/>
    <w:rsid w:val="008004EB"/>
    <w:rsid w:val="008006EA"/>
    <w:rsid w:val="0080075F"/>
    <w:rsid w:val="0080094D"/>
    <w:rsid w:val="00800B6D"/>
    <w:rsid w:val="00800C77"/>
    <w:rsid w:val="00800D93"/>
    <w:rsid w:val="00800E8B"/>
    <w:rsid w:val="00800EF1"/>
    <w:rsid w:val="00801024"/>
    <w:rsid w:val="008010E3"/>
    <w:rsid w:val="00801171"/>
    <w:rsid w:val="00801191"/>
    <w:rsid w:val="00801385"/>
    <w:rsid w:val="008013E6"/>
    <w:rsid w:val="008015A3"/>
    <w:rsid w:val="008015D3"/>
    <w:rsid w:val="008018B5"/>
    <w:rsid w:val="00801998"/>
    <w:rsid w:val="00801ADD"/>
    <w:rsid w:val="00801B09"/>
    <w:rsid w:val="00801E8B"/>
    <w:rsid w:val="00801EBC"/>
    <w:rsid w:val="00802245"/>
    <w:rsid w:val="008022D7"/>
    <w:rsid w:val="00802317"/>
    <w:rsid w:val="008023EC"/>
    <w:rsid w:val="0080245A"/>
    <w:rsid w:val="00802591"/>
    <w:rsid w:val="008026BE"/>
    <w:rsid w:val="008026D9"/>
    <w:rsid w:val="00802767"/>
    <w:rsid w:val="00802785"/>
    <w:rsid w:val="008028B9"/>
    <w:rsid w:val="00802917"/>
    <w:rsid w:val="00802989"/>
    <w:rsid w:val="00802BD0"/>
    <w:rsid w:val="00802DFE"/>
    <w:rsid w:val="00802E48"/>
    <w:rsid w:val="008031B5"/>
    <w:rsid w:val="0080332A"/>
    <w:rsid w:val="0080332B"/>
    <w:rsid w:val="00803392"/>
    <w:rsid w:val="00803450"/>
    <w:rsid w:val="00803555"/>
    <w:rsid w:val="008035FF"/>
    <w:rsid w:val="00803610"/>
    <w:rsid w:val="0080363B"/>
    <w:rsid w:val="00803713"/>
    <w:rsid w:val="0080385C"/>
    <w:rsid w:val="00803888"/>
    <w:rsid w:val="00803956"/>
    <w:rsid w:val="00803A13"/>
    <w:rsid w:val="00803DF3"/>
    <w:rsid w:val="00803E77"/>
    <w:rsid w:val="00803F17"/>
    <w:rsid w:val="00803F44"/>
    <w:rsid w:val="00804156"/>
    <w:rsid w:val="0080429C"/>
    <w:rsid w:val="0080438E"/>
    <w:rsid w:val="00804476"/>
    <w:rsid w:val="008044D5"/>
    <w:rsid w:val="008044D8"/>
    <w:rsid w:val="00804542"/>
    <w:rsid w:val="0080464A"/>
    <w:rsid w:val="00804935"/>
    <w:rsid w:val="008049DB"/>
    <w:rsid w:val="00804B03"/>
    <w:rsid w:val="00804C11"/>
    <w:rsid w:val="00804DBB"/>
    <w:rsid w:val="00804E43"/>
    <w:rsid w:val="00804FED"/>
    <w:rsid w:val="00805146"/>
    <w:rsid w:val="008054EE"/>
    <w:rsid w:val="008055C6"/>
    <w:rsid w:val="008055D0"/>
    <w:rsid w:val="00805D3A"/>
    <w:rsid w:val="00805E67"/>
    <w:rsid w:val="00805FCF"/>
    <w:rsid w:val="00806025"/>
    <w:rsid w:val="00806123"/>
    <w:rsid w:val="00806197"/>
    <w:rsid w:val="008062CB"/>
    <w:rsid w:val="008062D5"/>
    <w:rsid w:val="008065AD"/>
    <w:rsid w:val="008067C2"/>
    <w:rsid w:val="00806DEF"/>
    <w:rsid w:val="008070AF"/>
    <w:rsid w:val="008070C6"/>
    <w:rsid w:val="008070D9"/>
    <w:rsid w:val="00807269"/>
    <w:rsid w:val="00807329"/>
    <w:rsid w:val="008073E0"/>
    <w:rsid w:val="008074E8"/>
    <w:rsid w:val="008079FF"/>
    <w:rsid w:val="00807B27"/>
    <w:rsid w:val="00807B66"/>
    <w:rsid w:val="00807D31"/>
    <w:rsid w:val="00807DA7"/>
    <w:rsid w:val="00807EAC"/>
    <w:rsid w:val="00807EB4"/>
    <w:rsid w:val="00807EF4"/>
    <w:rsid w:val="00810108"/>
    <w:rsid w:val="00810135"/>
    <w:rsid w:val="00810269"/>
    <w:rsid w:val="0081028D"/>
    <w:rsid w:val="008102A6"/>
    <w:rsid w:val="008102EF"/>
    <w:rsid w:val="008102F1"/>
    <w:rsid w:val="0081042D"/>
    <w:rsid w:val="008104F5"/>
    <w:rsid w:val="0081057F"/>
    <w:rsid w:val="008105C6"/>
    <w:rsid w:val="008106A3"/>
    <w:rsid w:val="00810929"/>
    <w:rsid w:val="008109A7"/>
    <w:rsid w:val="00810B94"/>
    <w:rsid w:val="00810CDC"/>
    <w:rsid w:val="00810D1E"/>
    <w:rsid w:val="00810D3F"/>
    <w:rsid w:val="00810D7A"/>
    <w:rsid w:val="00810D9B"/>
    <w:rsid w:val="00810E80"/>
    <w:rsid w:val="00810ECA"/>
    <w:rsid w:val="00810EEE"/>
    <w:rsid w:val="00810F4E"/>
    <w:rsid w:val="00810F6E"/>
    <w:rsid w:val="0081108B"/>
    <w:rsid w:val="0081121D"/>
    <w:rsid w:val="0081122B"/>
    <w:rsid w:val="00811449"/>
    <w:rsid w:val="00811467"/>
    <w:rsid w:val="00811491"/>
    <w:rsid w:val="008114AF"/>
    <w:rsid w:val="008114D4"/>
    <w:rsid w:val="008114EF"/>
    <w:rsid w:val="00811699"/>
    <w:rsid w:val="0081179A"/>
    <w:rsid w:val="00811B43"/>
    <w:rsid w:val="00811C2E"/>
    <w:rsid w:val="00811C38"/>
    <w:rsid w:val="00811DE1"/>
    <w:rsid w:val="00811E59"/>
    <w:rsid w:val="0081206A"/>
    <w:rsid w:val="008122E9"/>
    <w:rsid w:val="00812435"/>
    <w:rsid w:val="00812450"/>
    <w:rsid w:val="00812596"/>
    <w:rsid w:val="008125F4"/>
    <w:rsid w:val="00812690"/>
    <w:rsid w:val="00812797"/>
    <w:rsid w:val="008127B3"/>
    <w:rsid w:val="00812939"/>
    <w:rsid w:val="00812AD2"/>
    <w:rsid w:val="00812B8C"/>
    <w:rsid w:val="00812BCA"/>
    <w:rsid w:val="00812CDC"/>
    <w:rsid w:val="00812EA8"/>
    <w:rsid w:val="0081302F"/>
    <w:rsid w:val="0081306E"/>
    <w:rsid w:val="0081307D"/>
    <w:rsid w:val="008130A4"/>
    <w:rsid w:val="008130D8"/>
    <w:rsid w:val="008130E1"/>
    <w:rsid w:val="0081316F"/>
    <w:rsid w:val="008132BE"/>
    <w:rsid w:val="00813506"/>
    <w:rsid w:val="00813587"/>
    <w:rsid w:val="0081373D"/>
    <w:rsid w:val="008137C6"/>
    <w:rsid w:val="00813AB2"/>
    <w:rsid w:val="00813B38"/>
    <w:rsid w:val="008140A5"/>
    <w:rsid w:val="008140CF"/>
    <w:rsid w:val="00814171"/>
    <w:rsid w:val="00814270"/>
    <w:rsid w:val="008142B4"/>
    <w:rsid w:val="0081453E"/>
    <w:rsid w:val="00814609"/>
    <w:rsid w:val="008146BD"/>
    <w:rsid w:val="0081487E"/>
    <w:rsid w:val="00814A5F"/>
    <w:rsid w:val="00814B3C"/>
    <w:rsid w:val="00814B71"/>
    <w:rsid w:val="00814C83"/>
    <w:rsid w:val="00814D0F"/>
    <w:rsid w:val="00814D82"/>
    <w:rsid w:val="00814F55"/>
    <w:rsid w:val="00814F70"/>
    <w:rsid w:val="00814FB2"/>
    <w:rsid w:val="00814FCF"/>
    <w:rsid w:val="00815053"/>
    <w:rsid w:val="0081514D"/>
    <w:rsid w:val="00815181"/>
    <w:rsid w:val="0081518B"/>
    <w:rsid w:val="008152DF"/>
    <w:rsid w:val="00815372"/>
    <w:rsid w:val="00815412"/>
    <w:rsid w:val="008154E1"/>
    <w:rsid w:val="008156AF"/>
    <w:rsid w:val="0081571C"/>
    <w:rsid w:val="00815760"/>
    <w:rsid w:val="0081578C"/>
    <w:rsid w:val="00815806"/>
    <w:rsid w:val="0081588C"/>
    <w:rsid w:val="008159B8"/>
    <w:rsid w:val="008159F8"/>
    <w:rsid w:val="008159F9"/>
    <w:rsid w:val="00815B13"/>
    <w:rsid w:val="00815BBD"/>
    <w:rsid w:val="00815C83"/>
    <w:rsid w:val="00815D98"/>
    <w:rsid w:val="00815DB6"/>
    <w:rsid w:val="00815DD0"/>
    <w:rsid w:val="00815EF9"/>
    <w:rsid w:val="00816070"/>
    <w:rsid w:val="00816101"/>
    <w:rsid w:val="00816118"/>
    <w:rsid w:val="00816125"/>
    <w:rsid w:val="00816146"/>
    <w:rsid w:val="008161B9"/>
    <w:rsid w:val="008162DD"/>
    <w:rsid w:val="00816370"/>
    <w:rsid w:val="008163E9"/>
    <w:rsid w:val="0081641D"/>
    <w:rsid w:val="00816421"/>
    <w:rsid w:val="00816A17"/>
    <w:rsid w:val="00816A91"/>
    <w:rsid w:val="00816F63"/>
    <w:rsid w:val="00816FA8"/>
    <w:rsid w:val="008170E2"/>
    <w:rsid w:val="008171AE"/>
    <w:rsid w:val="008173DE"/>
    <w:rsid w:val="0081765B"/>
    <w:rsid w:val="00817672"/>
    <w:rsid w:val="00817677"/>
    <w:rsid w:val="00817734"/>
    <w:rsid w:val="008178DD"/>
    <w:rsid w:val="00817A3A"/>
    <w:rsid w:val="00817BE1"/>
    <w:rsid w:val="00817D21"/>
    <w:rsid w:val="0082016E"/>
    <w:rsid w:val="0082027C"/>
    <w:rsid w:val="00820306"/>
    <w:rsid w:val="008203E7"/>
    <w:rsid w:val="00820518"/>
    <w:rsid w:val="0082071C"/>
    <w:rsid w:val="00820AB5"/>
    <w:rsid w:val="00820B23"/>
    <w:rsid w:val="00820B3A"/>
    <w:rsid w:val="00820CF4"/>
    <w:rsid w:val="00820D4D"/>
    <w:rsid w:val="0082114B"/>
    <w:rsid w:val="0082119D"/>
    <w:rsid w:val="00821221"/>
    <w:rsid w:val="00821307"/>
    <w:rsid w:val="008213B7"/>
    <w:rsid w:val="008213FE"/>
    <w:rsid w:val="00821518"/>
    <w:rsid w:val="00821595"/>
    <w:rsid w:val="008218F2"/>
    <w:rsid w:val="00821B83"/>
    <w:rsid w:val="00821BE7"/>
    <w:rsid w:val="00821CBA"/>
    <w:rsid w:val="00821E5B"/>
    <w:rsid w:val="0082203D"/>
    <w:rsid w:val="00822042"/>
    <w:rsid w:val="0082208C"/>
    <w:rsid w:val="008220A1"/>
    <w:rsid w:val="0082219D"/>
    <w:rsid w:val="008222FB"/>
    <w:rsid w:val="0082236E"/>
    <w:rsid w:val="008224D1"/>
    <w:rsid w:val="008225C9"/>
    <w:rsid w:val="00822822"/>
    <w:rsid w:val="00822829"/>
    <w:rsid w:val="0082282F"/>
    <w:rsid w:val="008228DE"/>
    <w:rsid w:val="00822966"/>
    <w:rsid w:val="00822C63"/>
    <w:rsid w:val="00822CCF"/>
    <w:rsid w:val="00822E72"/>
    <w:rsid w:val="00822F3A"/>
    <w:rsid w:val="00822FE9"/>
    <w:rsid w:val="00823010"/>
    <w:rsid w:val="0082304E"/>
    <w:rsid w:val="008231FC"/>
    <w:rsid w:val="0082320E"/>
    <w:rsid w:val="00823315"/>
    <w:rsid w:val="00823350"/>
    <w:rsid w:val="008234F0"/>
    <w:rsid w:val="0082354E"/>
    <w:rsid w:val="008237C8"/>
    <w:rsid w:val="008237E5"/>
    <w:rsid w:val="00823951"/>
    <w:rsid w:val="008239C1"/>
    <w:rsid w:val="00823A22"/>
    <w:rsid w:val="00823A89"/>
    <w:rsid w:val="00823B68"/>
    <w:rsid w:val="008241AC"/>
    <w:rsid w:val="00824362"/>
    <w:rsid w:val="008243CB"/>
    <w:rsid w:val="00824416"/>
    <w:rsid w:val="00824439"/>
    <w:rsid w:val="00824440"/>
    <w:rsid w:val="0082463A"/>
    <w:rsid w:val="00824723"/>
    <w:rsid w:val="008247A9"/>
    <w:rsid w:val="008247B5"/>
    <w:rsid w:val="008248A5"/>
    <w:rsid w:val="00824A92"/>
    <w:rsid w:val="00824CF4"/>
    <w:rsid w:val="00824E45"/>
    <w:rsid w:val="00825027"/>
    <w:rsid w:val="00825056"/>
    <w:rsid w:val="008251EC"/>
    <w:rsid w:val="00825246"/>
    <w:rsid w:val="0082546F"/>
    <w:rsid w:val="00825481"/>
    <w:rsid w:val="00825489"/>
    <w:rsid w:val="0082548E"/>
    <w:rsid w:val="00825529"/>
    <w:rsid w:val="00825600"/>
    <w:rsid w:val="00825673"/>
    <w:rsid w:val="008256A0"/>
    <w:rsid w:val="008257AE"/>
    <w:rsid w:val="008257CF"/>
    <w:rsid w:val="008258CA"/>
    <w:rsid w:val="00825AFE"/>
    <w:rsid w:val="00825B9D"/>
    <w:rsid w:val="00825CEE"/>
    <w:rsid w:val="00825D39"/>
    <w:rsid w:val="00825DF0"/>
    <w:rsid w:val="00825E78"/>
    <w:rsid w:val="008260B5"/>
    <w:rsid w:val="00826100"/>
    <w:rsid w:val="0082610E"/>
    <w:rsid w:val="008261BF"/>
    <w:rsid w:val="008261F6"/>
    <w:rsid w:val="008263B2"/>
    <w:rsid w:val="008263F4"/>
    <w:rsid w:val="00826413"/>
    <w:rsid w:val="008264DA"/>
    <w:rsid w:val="00826605"/>
    <w:rsid w:val="0082672B"/>
    <w:rsid w:val="0082698A"/>
    <w:rsid w:val="00826A21"/>
    <w:rsid w:val="00826B7E"/>
    <w:rsid w:val="00826C38"/>
    <w:rsid w:val="00826C5C"/>
    <w:rsid w:val="00826F6D"/>
    <w:rsid w:val="00826F97"/>
    <w:rsid w:val="008272F2"/>
    <w:rsid w:val="00827479"/>
    <w:rsid w:val="008274B4"/>
    <w:rsid w:val="008274C5"/>
    <w:rsid w:val="008275A3"/>
    <w:rsid w:val="008277FE"/>
    <w:rsid w:val="008278AA"/>
    <w:rsid w:val="00827FC8"/>
    <w:rsid w:val="00830028"/>
    <w:rsid w:val="00830035"/>
    <w:rsid w:val="008300A1"/>
    <w:rsid w:val="0083024A"/>
    <w:rsid w:val="0083024B"/>
    <w:rsid w:val="00830292"/>
    <w:rsid w:val="00830449"/>
    <w:rsid w:val="0083046B"/>
    <w:rsid w:val="00830694"/>
    <w:rsid w:val="0083076F"/>
    <w:rsid w:val="0083082C"/>
    <w:rsid w:val="00830932"/>
    <w:rsid w:val="00830A8F"/>
    <w:rsid w:val="00830B31"/>
    <w:rsid w:val="00830E2B"/>
    <w:rsid w:val="00830EBD"/>
    <w:rsid w:val="00831075"/>
    <w:rsid w:val="0083133F"/>
    <w:rsid w:val="00831357"/>
    <w:rsid w:val="008314E4"/>
    <w:rsid w:val="00831553"/>
    <w:rsid w:val="0083166C"/>
    <w:rsid w:val="008317AD"/>
    <w:rsid w:val="008318D1"/>
    <w:rsid w:val="00831905"/>
    <w:rsid w:val="00831957"/>
    <w:rsid w:val="00831CFE"/>
    <w:rsid w:val="00831D0C"/>
    <w:rsid w:val="00831E12"/>
    <w:rsid w:val="00831EA3"/>
    <w:rsid w:val="00831EAA"/>
    <w:rsid w:val="008325B1"/>
    <w:rsid w:val="0083269C"/>
    <w:rsid w:val="008326D8"/>
    <w:rsid w:val="00832AAC"/>
    <w:rsid w:val="00832FF4"/>
    <w:rsid w:val="0083321F"/>
    <w:rsid w:val="00833319"/>
    <w:rsid w:val="008333F5"/>
    <w:rsid w:val="00833487"/>
    <w:rsid w:val="0083348A"/>
    <w:rsid w:val="008334A2"/>
    <w:rsid w:val="00833ACE"/>
    <w:rsid w:val="00833BE0"/>
    <w:rsid w:val="00833C17"/>
    <w:rsid w:val="00833E34"/>
    <w:rsid w:val="00833E3B"/>
    <w:rsid w:val="00833FD8"/>
    <w:rsid w:val="008340C1"/>
    <w:rsid w:val="00834164"/>
    <w:rsid w:val="008341F8"/>
    <w:rsid w:val="008342A6"/>
    <w:rsid w:val="0083442B"/>
    <w:rsid w:val="00834523"/>
    <w:rsid w:val="0083455C"/>
    <w:rsid w:val="008346B5"/>
    <w:rsid w:val="008346EA"/>
    <w:rsid w:val="00834909"/>
    <w:rsid w:val="00834AFA"/>
    <w:rsid w:val="00834BAA"/>
    <w:rsid w:val="00834D82"/>
    <w:rsid w:val="00834D89"/>
    <w:rsid w:val="00834DBA"/>
    <w:rsid w:val="00835276"/>
    <w:rsid w:val="0083535A"/>
    <w:rsid w:val="00835398"/>
    <w:rsid w:val="008353DB"/>
    <w:rsid w:val="0083544B"/>
    <w:rsid w:val="008357D2"/>
    <w:rsid w:val="00835AEB"/>
    <w:rsid w:val="00835AF2"/>
    <w:rsid w:val="00835BCB"/>
    <w:rsid w:val="00835CD2"/>
    <w:rsid w:val="00835DC2"/>
    <w:rsid w:val="00835E5F"/>
    <w:rsid w:val="00835F10"/>
    <w:rsid w:val="008368C3"/>
    <w:rsid w:val="008369CA"/>
    <w:rsid w:val="00836AA0"/>
    <w:rsid w:val="00836BEA"/>
    <w:rsid w:val="00836D2B"/>
    <w:rsid w:val="00836D2D"/>
    <w:rsid w:val="00836EDD"/>
    <w:rsid w:val="008370FC"/>
    <w:rsid w:val="0083714E"/>
    <w:rsid w:val="008373EF"/>
    <w:rsid w:val="00837424"/>
    <w:rsid w:val="008375A5"/>
    <w:rsid w:val="0083781E"/>
    <w:rsid w:val="00837A18"/>
    <w:rsid w:val="00837B1B"/>
    <w:rsid w:val="00837C6C"/>
    <w:rsid w:val="00837CDF"/>
    <w:rsid w:val="00837DD8"/>
    <w:rsid w:val="00837F5A"/>
    <w:rsid w:val="008400D2"/>
    <w:rsid w:val="008401BE"/>
    <w:rsid w:val="00840274"/>
    <w:rsid w:val="008402C7"/>
    <w:rsid w:val="008402F7"/>
    <w:rsid w:val="00840444"/>
    <w:rsid w:val="0084051A"/>
    <w:rsid w:val="00840556"/>
    <w:rsid w:val="0084058F"/>
    <w:rsid w:val="008405A4"/>
    <w:rsid w:val="0084094F"/>
    <w:rsid w:val="008409A8"/>
    <w:rsid w:val="00840B70"/>
    <w:rsid w:val="00840B80"/>
    <w:rsid w:val="00840B8F"/>
    <w:rsid w:val="00840DCD"/>
    <w:rsid w:val="00840E9A"/>
    <w:rsid w:val="00841271"/>
    <w:rsid w:val="008413D5"/>
    <w:rsid w:val="00841661"/>
    <w:rsid w:val="0084172B"/>
    <w:rsid w:val="008418B0"/>
    <w:rsid w:val="00841A9D"/>
    <w:rsid w:val="00841BF3"/>
    <w:rsid w:val="00841C0A"/>
    <w:rsid w:val="00841C44"/>
    <w:rsid w:val="00841D13"/>
    <w:rsid w:val="00841D7F"/>
    <w:rsid w:val="00841F7E"/>
    <w:rsid w:val="00841FA8"/>
    <w:rsid w:val="00841FD3"/>
    <w:rsid w:val="00841FD4"/>
    <w:rsid w:val="008420F0"/>
    <w:rsid w:val="00842180"/>
    <w:rsid w:val="008421A8"/>
    <w:rsid w:val="00842231"/>
    <w:rsid w:val="0084229A"/>
    <w:rsid w:val="0084234C"/>
    <w:rsid w:val="0084244A"/>
    <w:rsid w:val="008426C9"/>
    <w:rsid w:val="0084284E"/>
    <w:rsid w:val="00842861"/>
    <w:rsid w:val="00842AAA"/>
    <w:rsid w:val="00842B84"/>
    <w:rsid w:val="00842C26"/>
    <w:rsid w:val="00842CC0"/>
    <w:rsid w:val="00842D7F"/>
    <w:rsid w:val="00842D97"/>
    <w:rsid w:val="00842DD5"/>
    <w:rsid w:val="00842ECD"/>
    <w:rsid w:val="00842F5F"/>
    <w:rsid w:val="0084300B"/>
    <w:rsid w:val="00843402"/>
    <w:rsid w:val="0084360D"/>
    <w:rsid w:val="008436DC"/>
    <w:rsid w:val="00843748"/>
    <w:rsid w:val="008438AF"/>
    <w:rsid w:val="00843921"/>
    <w:rsid w:val="008439B1"/>
    <w:rsid w:val="008439BF"/>
    <w:rsid w:val="00843A94"/>
    <w:rsid w:val="00843B90"/>
    <w:rsid w:val="00843C2D"/>
    <w:rsid w:val="00843EB5"/>
    <w:rsid w:val="00843ED2"/>
    <w:rsid w:val="008440B6"/>
    <w:rsid w:val="008441EC"/>
    <w:rsid w:val="0084430B"/>
    <w:rsid w:val="0084431B"/>
    <w:rsid w:val="008444B7"/>
    <w:rsid w:val="0084464D"/>
    <w:rsid w:val="00844A05"/>
    <w:rsid w:val="00844B41"/>
    <w:rsid w:val="00844DE5"/>
    <w:rsid w:val="00844DF0"/>
    <w:rsid w:val="00844F88"/>
    <w:rsid w:val="008450D4"/>
    <w:rsid w:val="00845102"/>
    <w:rsid w:val="0084577A"/>
    <w:rsid w:val="00845814"/>
    <w:rsid w:val="0084587A"/>
    <w:rsid w:val="008458B0"/>
    <w:rsid w:val="008458E1"/>
    <w:rsid w:val="008458FC"/>
    <w:rsid w:val="008459B3"/>
    <w:rsid w:val="00845A19"/>
    <w:rsid w:val="00845AB1"/>
    <w:rsid w:val="00845BC8"/>
    <w:rsid w:val="0084608D"/>
    <w:rsid w:val="008460CE"/>
    <w:rsid w:val="008461DE"/>
    <w:rsid w:val="008463A4"/>
    <w:rsid w:val="00846498"/>
    <w:rsid w:val="008467B1"/>
    <w:rsid w:val="008467D3"/>
    <w:rsid w:val="00846830"/>
    <w:rsid w:val="0084685B"/>
    <w:rsid w:val="008469A2"/>
    <w:rsid w:val="00846BAC"/>
    <w:rsid w:val="00846C53"/>
    <w:rsid w:val="00846D76"/>
    <w:rsid w:val="00846DA7"/>
    <w:rsid w:val="00846E6E"/>
    <w:rsid w:val="008470B8"/>
    <w:rsid w:val="008471B7"/>
    <w:rsid w:val="008471E2"/>
    <w:rsid w:val="008472E7"/>
    <w:rsid w:val="00847360"/>
    <w:rsid w:val="00847521"/>
    <w:rsid w:val="008475BB"/>
    <w:rsid w:val="008477AE"/>
    <w:rsid w:val="00847BE8"/>
    <w:rsid w:val="00847C31"/>
    <w:rsid w:val="00847DE5"/>
    <w:rsid w:val="00847F05"/>
    <w:rsid w:val="0085029E"/>
    <w:rsid w:val="008502BD"/>
    <w:rsid w:val="0085030E"/>
    <w:rsid w:val="008504C3"/>
    <w:rsid w:val="00850906"/>
    <w:rsid w:val="00850A7A"/>
    <w:rsid w:val="00850B54"/>
    <w:rsid w:val="00850BE7"/>
    <w:rsid w:val="00850C9D"/>
    <w:rsid w:val="00850DF7"/>
    <w:rsid w:val="00850F6D"/>
    <w:rsid w:val="00850FAE"/>
    <w:rsid w:val="00851040"/>
    <w:rsid w:val="00851114"/>
    <w:rsid w:val="008515E0"/>
    <w:rsid w:val="008515E9"/>
    <w:rsid w:val="008515F1"/>
    <w:rsid w:val="0085167A"/>
    <w:rsid w:val="0085185D"/>
    <w:rsid w:val="008518C4"/>
    <w:rsid w:val="00851910"/>
    <w:rsid w:val="00851A28"/>
    <w:rsid w:val="00851CBC"/>
    <w:rsid w:val="00851D44"/>
    <w:rsid w:val="00851D53"/>
    <w:rsid w:val="00851D64"/>
    <w:rsid w:val="00851F6F"/>
    <w:rsid w:val="00852017"/>
    <w:rsid w:val="008520EA"/>
    <w:rsid w:val="0085237D"/>
    <w:rsid w:val="00852417"/>
    <w:rsid w:val="00852520"/>
    <w:rsid w:val="00852534"/>
    <w:rsid w:val="00852712"/>
    <w:rsid w:val="0085278A"/>
    <w:rsid w:val="008528AB"/>
    <w:rsid w:val="0085291C"/>
    <w:rsid w:val="0085293D"/>
    <w:rsid w:val="00852A5E"/>
    <w:rsid w:val="00852B31"/>
    <w:rsid w:val="00852BB8"/>
    <w:rsid w:val="00852BDE"/>
    <w:rsid w:val="00852D1B"/>
    <w:rsid w:val="0085323B"/>
    <w:rsid w:val="00853398"/>
    <w:rsid w:val="008535E6"/>
    <w:rsid w:val="00853680"/>
    <w:rsid w:val="00853A16"/>
    <w:rsid w:val="00853B80"/>
    <w:rsid w:val="00853B86"/>
    <w:rsid w:val="00853D67"/>
    <w:rsid w:val="00853D82"/>
    <w:rsid w:val="00853DBF"/>
    <w:rsid w:val="00853EE4"/>
    <w:rsid w:val="00853F7F"/>
    <w:rsid w:val="00853FCA"/>
    <w:rsid w:val="00854188"/>
    <w:rsid w:val="00854360"/>
    <w:rsid w:val="008543A0"/>
    <w:rsid w:val="008543D7"/>
    <w:rsid w:val="008545FC"/>
    <w:rsid w:val="00854685"/>
    <w:rsid w:val="00854699"/>
    <w:rsid w:val="0085483C"/>
    <w:rsid w:val="00854941"/>
    <w:rsid w:val="008549F5"/>
    <w:rsid w:val="00854AB0"/>
    <w:rsid w:val="00854CD9"/>
    <w:rsid w:val="00854E98"/>
    <w:rsid w:val="00855056"/>
    <w:rsid w:val="00855304"/>
    <w:rsid w:val="00855346"/>
    <w:rsid w:val="008554DF"/>
    <w:rsid w:val="0085563A"/>
    <w:rsid w:val="0085573D"/>
    <w:rsid w:val="00855776"/>
    <w:rsid w:val="0085581E"/>
    <w:rsid w:val="0085588F"/>
    <w:rsid w:val="00855936"/>
    <w:rsid w:val="00855A8A"/>
    <w:rsid w:val="00855BE0"/>
    <w:rsid w:val="00855D92"/>
    <w:rsid w:val="00855E01"/>
    <w:rsid w:val="00855E05"/>
    <w:rsid w:val="00856093"/>
    <w:rsid w:val="008564A1"/>
    <w:rsid w:val="008564DE"/>
    <w:rsid w:val="00856630"/>
    <w:rsid w:val="008566DD"/>
    <w:rsid w:val="008567BD"/>
    <w:rsid w:val="0085683C"/>
    <w:rsid w:val="0085685A"/>
    <w:rsid w:val="00856874"/>
    <w:rsid w:val="008569AB"/>
    <w:rsid w:val="008569F0"/>
    <w:rsid w:val="00856B44"/>
    <w:rsid w:val="00856DC0"/>
    <w:rsid w:val="00856DF4"/>
    <w:rsid w:val="00856F0F"/>
    <w:rsid w:val="00856F65"/>
    <w:rsid w:val="008570C5"/>
    <w:rsid w:val="00857134"/>
    <w:rsid w:val="008571FF"/>
    <w:rsid w:val="008572FE"/>
    <w:rsid w:val="00857358"/>
    <w:rsid w:val="008574EB"/>
    <w:rsid w:val="00857726"/>
    <w:rsid w:val="00857803"/>
    <w:rsid w:val="008578C6"/>
    <w:rsid w:val="008578FF"/>
    <w:rsid w:val="00857A85"/>
    <w:rsid w:val="00857AB6"/>
    <w:rsid w:val="00857B32"/>
    <w:rsid w:val="00857D18"/>
    <w:rsid w:val="00860035"/>
    <w:rsid w:val="00860246"/>
    <w:rsid w:val="008602AF"/>
    <w:rsid w:val="0086034C"/>
    <w:rsid w:val="00860394"/>
    <w:rsid w:val="00860600"/>
    <w:rsid w:val="008606B1"/>
    <w:rsid w:val="00860741"/>
    <w:rsid w:val="008609D3"/>
    <w:rsid w:val="00860D07"/>
    <w:rsid w:val="00860D37"/>
    <w:rsid w:val="00860DF2"/>
    <w:rsid w:val="00860E57"/>
    <w:rsid w:val="00861165"/>
    <w:rsid w:val="008613DE"/>
    <w:rsid w:val="0086143A"/>
    <w:rsid w:val="0086148F"/>
    <w:rsid w:val="0086174F"/>
    <w:rsid w:val="00861800"/>
    <w:rsid w:val="00861883"/>
    <w:rsid w:val="00861A57"/>
    <w:rsid w:val="00861BEB"/>
    <w:rsid w:val="00861BF2"/>
    <w:rsid w:val="00861D90"/>
    <w:rsid w:val="00861DEE"/>
    <w:rsid w:val="00861EDD"/>
    <w:rsid w:val="0086210D"/>
    <w:rsid w:val="00862444"/>
    <w:rsid w:val="00862502"/>
    <w:rsid w:val="00862536"/>
    <w:rsid w:val="0086256F"/>
    <w:rsid w:val="0086262B"/>
    <w:rsid w:val="0086271D"/>
    <w:rsid w:val="008628B9"/>
    <w:rsid w:val="00862AB0"/>
    <w:rsid w:val="00862B2B"/>
    <w:rsid w:val="00862DB3"/>
    <w:rsid w:val="00862DD5"/>
    <w:rsid w:val="00862EF1"/>
    <w:rsid w:val="008630B9"/>
    <w:rsid w:val="008630D8"/>
    <w:rsid w:val="008631F2"/>
    <w:rsid w:val="008636B1"/>
    <w:rsid w:val="008636D3"/>
    <w:rsid w:val="00863946"/>
    <w:rsid w:val="00863BBC"/>
    <w:rsid w:val="00863FD0"/>
    <w:rsid w:val="00864156"/>
    <w:rsid w:val="008641C0"/>
    <w:rsid w:val="0086446A"/>
    <w:rsid w:val="008644E1"/>
    <w:rsid w:val="00864552"/>
    <w:rsid w:val="008645DF"/>
    <w:rsid w:val="008646C0"/>
    <w:rsid w:val="008649DC"/>
    <w:rsid w:val="00864B34"/>
    <w:rsid w:val="00864D0A"/>
    <w:rsid w:val="00864F04"/>
    <w:rsid w:val="0086503F"/>
    <w:rsid w:val="0086508B"/>
    <w:rsid w:val="0086514C"/>
    <w:rsid w:val="008651BA"/>
    <w:rsid w:val="00865246"/>
    <w:rsid w:val="0086546E"/>
    <w:rsid w:val="008655D0"/>
    <w:rsid w:val="008657C8"/>
    <w:rsid w:val="00865949"/>
    <w:rsid w:val="00865A27"/>
    <w:rsid w:val="00865A72"/>
    <w:rsid w:val="00865C07"/>
    <w:rsid w:val="00865E91"/>
    <w:rsid w:val="00866072"/>
    <w:rsid w:val="00866104"/>
    <w:rsid w:val="0086610B"/>
    <w:rsid w:val="008662F5"/>
    <w:rsid w:val="0086632A"/>
    <w:rsid w:val="008667A9"/>
    <w:rsid w:val="0086693D"/>
    <w:rsid w:val="00866A24"/>
    <w:rsid w:val="00866AF7"/>
    <w:rsid w:val="00866C36"/>
    <w:rsid w:val="00866CDD"/>
    <w:rsid w:val="00866F05"/>
    <w:rsid w:val="00866F29"/>
    <w:rsid w:val="00866F92"/>
    <w:rsid w:val="00866FF3"/>
    <w:rsid w:val="0086702D"/>
    <w:rsid w:val="008673C8"/>
    <w:rsid w:val="00867425"/>
    <w:rsid w:val="0086759B"/>
    <w:rsid w:val="00867603"/>
    <w:rsid w:val="0086786E"/>
    <w:rsid w:val="00867AD0"/>
    <w:rsid w:val="00867D55"/>
    <w:rsid w:val="00867D8A"/>
    <w:rsid w:val="00870113"/>
    <w:rsid w:val="00870180"/>
    <w:rsid w:val="00870208"/>
    <w:rsid w:val="0087026F"/>
    <w:rsid w:val="008702A2"/>
    <w:rsid w:val="0087045F"/>
    <w:rsid w:val="0087058A"/>
    <w:rsid w:val="008705D7"/>
    <w:rsid w:val="0087065C"/>
    <w:rsid w:val="0087065D"/>
    <w:rsid w:val="00870715"/>
    <w:rsid w:val="008707B7"/>
    <w:rsid w:val="008708A3"/>
    <w:rsid w:val="00870AF0"/>
    <w:rsid w:val="00870D09"/>
    <w:rsid w:val="00870D1D"/>
    <w:rsid w:val="00870ECB"/>
    <w:rsid w:val="0087128E"/>
    <w:rsid w:val="00871299"/>
    <w:rsid w:val="008712C8"/>
    <w:rsid w:val="00871319"/>
    <w:rsid w:val="0087138E"/>
    <w:rsid w:val="00871571"/>
    <w:rsid w:val="008716B1"/>
    <w:rsid w:val="00871818"/>
    <w:rsid w:val="00871916"/>
    <w:rsid w:val="00871982"/>
    <w:rsid w:val="00871BDB"/>
    <w:rsid w:val="00871C01"/>
    <w:rsid w:val="00871CBA"/>
    <w:rsid w:val="00871E1D"/>
    <w:rsid w:val="008720F3"/>
    <w:rsid w:val="00872242"/>
    <w:rsid w:val="00872251"/>
    <w:rsid w:val="0087225A"/>
    <w:rsid w:val="0087242D"/>
    <w:rsid w:val="0087268E"/>
    <w:rsid w:val="00872877"/>
    <w:rsid w:val="00872A82"/>
    <w:rsid w:val="00872AA8"/>
    <w:rsid w:val="00872B5C"/>
    <w:rsid w:val="00872CF7"/>
    <w:rsid w:val="00872E33"/>
    <w:rsid w:val="00872FEE"/>
    <w:rsid w:val="00873172"/>
    <w:rsid w:val="00873397"/>
    <w:rsid w:val="00873465"/>
    <w:rsid w:val="00873539"/>
    <w:rsid w:val="00873660"/>
    <w:rsid w:val="008736E7"/>
    <w:rsid w:val="008738BD"/>
    <w:rsid w:val="008738BF"/>
    <w:rsid w:val="00873B79"/>
    <w:rsid w:val="00873D34"/>
    <w:rsid w:val="00873D57"/>
    <w:rsid w:val="00873DD6"/>
    <w:rsid w:val="00874054"/>
    <w:rsid w:val="008740A9"/>
    <w:rsid w:val="00874100"/>
    <w:rsid w:val="0087413F"/>
    <w:rsid w:val="008742F8"/>
    <w:rsid w:val="00874493"/>
    <w:rsid w:val="00874501"/>
    <w:rsid w:val="0087472D"/>
    <w:rsid w:val="00874793"/>
    <w:rsid w:val="008747E3"/>
    <w:rsid w:val="0087488C"/>
    <w:rsid w:val="00874D22"/>
    <w:rsid w:val="00874DC3"/>
    <w:rsid w:val="00874DE2"/>
    <w:rsid w:val="00874E7D"/>
    <w:rsid w:val="0087507E"/>
    <w:rsid w:val="008751FC"/>
    <w:rsid w:val="0087528C"/>
    <w:rsid w:val="00875541"/>
    <w:rsid w:val="008755AE"/>
    <w:rsid w:val="0087572D"/>
    <w:rsid w:val="00875744"/>
    <w:rsid w:val="0087584D"/>
    <w:rsid w:val="008759B4"/>
    <w:rsid w:val="00875A97"/>
    <w:rsid w:val="00875AA0"/>
    <w:rsid w:val="00875C14"/>
    <w:rsid w:val="00875C1B"/>
    <w:rsid w:val="00875D46"/>
    <w:rsid w:val="00875DE1"/>
    <w:rsid w:val="008760A4"/>
    <w:rsid w:val="008760B0"/>
    <w:rsid w:val="00876291"/>
    <w:rsid w:val="0087631D"/>
    <w:rsid w:val="008763E4"/>
    <w:rsid w:val="008764E9"/>
    <w:rsid w:val="00876627"/>
    <w:rsid w:val="00876717"/>
    <w:rsid w:val="00876882"/>
    <w:rsid w:val="008768F4"/>
    <w:rsid w:val="008769E4"/>
    <w:rsid w:val="00876B92"/>
    <w:rsid w:val="00876C41"/>
    <w:rsid w:val="00876CBD"/>
    <w:rsid w:val="00876D60"/>
    <w:rsid w:val="00876DB3"/>
    <w:rsid w:val="00876FD6"/>
    <w:rsid w:val="00877004"/>
    <w:rsid w:val="00877071"/>
    <w:rsid w:val="0087731A"/>
    <w:rsid w:val="00877545"/>
    <w:rsid w:val="0087761D"/>
    <w:rsid w:val="008777F2"/>
    <w:rsid w:val="00877AA8"/>
    <w:rsid w:val="00877BDC"/>
    <w:rsid w:val="00877C49"/>
    <w:rsid w:val="00877D2E"/>
    <w:rsid w:val="00877DAB"/>
    <w:rsid w:val="00877FED"/>
    <w:rsid w:val="008801C1"/>
    <w:rsid w:val="00880364"/>
    <w:rsid w:val="0088047D"/>
    <w:rsid w:val="0088064C"/>
    <w:rsid w:val="008806BD"/>
    <w:rsid w:val="008808CF"/>
    <w:rsid w:val="008809AD"/>
    <w:rsid w:val="00880B80"/>
    <w:rsid w:val="00880CF2"/>
    <w:rsid w:val="00880EA0"/>
    <w:rsid w:val="00881018"/>
    <w:rsid w:val="008810BB"/>
    <w:rsid w:val="00881196"/>
    <w:rsid w:val="008811E7"/>
    <w:rsid w:val="00881312"/>
    <w:rsid w:val="0088155A"/>
    <w:rsid w:val="00881775"/>
    <w:rsid w:val="008818B3"/>
    <w:rsid w:val="00881A3E"/>
    <w:rsid w:val="00881A74"/>
    <w:rsid w:val="00881DBE"/>
    <w:rsid w:val="0088204A"/>
    <w:rsid w:val="008820C6"/>
    <w:rsid w:val="00882131"/>
    <w:rsid w:val="008822C0"/>
    <w:rsid w:val="00882444"/>
    <w:rsid w:val="00882461"/>
    <w:rsid w:val="00882661"/>
    <w:rsid w:val="008827D2"/>
    <w:rsid w:val="00882B83"/>
    <w:rsid w:val="00882BBB"/>
    <w:rsid w:val="00882D18"/>
    <w:rsid w:val="00882D23"/>
    <w:rsid w:val="00882EF0"/>
    <w:rsid w:val="00882F05"/>
    <w:rsid w:val="008831AF"/>
    <w:rsid w:val="0088331B"/>
    <w:rsid w:val="0088343B"/>
    <w:rsid w:val="00883A76"/>
    <w:rsid w:val="00883BD2"/>
    <w:rsid w:val="00883BFA"/>
    <w:rsid w:val="00883C1C"/>
    <w:rsid w:val="00883D72"/>
    <w:rsid w:val="008840B5"/>
    <w:rsid w:val="00884293"/>
    <w:rsid w:val="00884316"/>
    <w:rsid w:val="0088431F"/>
    <w:rsid w:val="008844FA"/>
    <w:rsid w:val="008846E7"/>
    <w:rsid w:val="00884844"/>
    <w:rsid w:val="008848D0"/>
    <w:rsid w:val="008849EA"/>
    <w:rsid w:val="00884AA7"/>
    <w:rsid w:val="00884D7D"/>
    <w:rsid w:val="00884E25"/>
    <w:rsid w:val="00884F70"/>
    <w:rsid w:val="00884FB6"/>
    <w:rsid w:val="008850A9"/>
    <w:rsid w:val="008850FE"/>
    <w:rsid w:val="0088527F"/>
    <w:rsid w:val="00885322"/>
    <w:rsid w:val="0088545F"/>
    <w:rsid w:val="0088551F"/>
    <w:rsid w:val="0088555B"/>
    <w:rsid w:val="008855BE"/>
    <w:rsid w:val="008855FE"/>
    <w:rsid w:val="00885604"/>
    <w:rsid w:val="00885662"/>
    <w:rsid w:val="008858E6"/>
    <w:rsid w:val="008859CD"/>
    <w:rsid w:val="00885C4D"/>
    <w:rsid w:val="00885DA9"/>
    <w:rsid w:val="00885F21"/>
    <w:rsid w:val="00886045"/>
    <w:rsid w:val="008860DC"/>
    <w:rsid w:val="00886383"/>
    <w:rsid w:val="008864FB"/>
    <w:rsid w:val="008865B2"/>
    <w:rsid w:val="00886793"/>
    <w:rsid w:val="008867AE"/>
    <w:rsid w:val="008868BB"/>
    <w:rsid w:val="008869A4"/>
    <w:rsid w:val="00886A48"/>
    <w:rsid w:val="00886BB3"/>
    <w:rsid w:val="00886EC9"/>
    <w:rsid w:val="0088708F"/>
    <w:rsid w:val="008873C0"/>
    <w:rsid w:val="008873F5"/>
    <w:rsid w:val="00887400"/>
    <w:rsid w:val="008874EA"/>
    <w:rsid w:val="0088752D"/>
    <w:rsid w:val="0088753A"/>
    <w:rsid w:val="008875FA"/>
    <w:rsid w:val="008876F7"/>
    <w:rsid w:val="00887AB3"/>
    <w:rsid w:val="00887CBB"/>
    <w:rsid w:val="0089016E"/>
    <w:rsid w:val="00890435"/>
    <w:rsid w:val="00890469"/>
    <w:rsid w:val="00890504"/>
    <w:rsid w:val="008905CF"/>
    <w:rsid w:val="00890713"/>
    <w:rsid w:val="008908F6"/>
    <w:rsid w:val="00890A3C"/>
    <w:rsid w:val="00890A86"/>
    <w:rsid w:val="00890B52"/>
    <w:rsid w:val="00890D7F"/>
    <w:rsid w:val="00890E8D"/>
    <w:rsid w:val="00890EAC"/>
    <w:rsid w:val="00891003"/>
    <w:rsid w:val="0089100C"/>
    <w:rsid w:val="00891117"/>
    <w:rsid w:val="008912A6"/>
    <w:rsid w:val="00891394"/>
    <w:rsid w:val="00891482"/>
    <w:rsid w:val="0089149F"/>
    <w:rsid w:val="008914AF"/>
    <w:rsid w:val="00891632"/>
    <w:rsid w:val="008916F4"/>
    <w:rsid w:val="00891760"/>
    <w:rsid w:val="0089177C"/>
    <w:rsid w:val="00891892"/>
    <w:rsid w:val="008918CD"/>
    <w:rsid w:val="00891986"/>
    <w:rsid w:val="00891A66"/>
    <w:rsid w:val="00891AF2"/>
    <w:rsid w:val="00891C01"/>
    <w:rsid w:val="00891C80"/>
    <w:rsid w:val="00891D52"/>
    <w:rsid w:val="00891E41"/>
    <w:rsid w:val="00891F92"/>
    <w:rsid w:val="008921B0"/>
    <w:rsid w:val="00892200"/>
    <w:rsid w:val="00892250"/>
    <w:rsid w:val="0089225F"/>
    <w:rsid w:val="0089253F"/>
    <w:rsid w:val="008925C1"/>
    <w:rsid w:val="00892712"/>
    <w:rsid w:val="008927DA"/>
    <w:rsid w:val="00892885"/>
    <w:rsid w:val="008928D2"/>
    <w:rsid w:val="008928F3"/>
    <w:rsid w:val="00892921"/>
    <w:rsid w:val="00892931"/>
    <w:rsid w:val="00892989"/>
    <w:rsid w:val="00892BA1"/>
    <w:rsid w:val="00892CC9"/>
    <w:rsid w:val="00892D59"/>
    <w:rsid w:val="00892E25"/>
    <w:rsid w:val="00892EEE"/>
    <w:rsid w:val="008930CC"/>
    <w:rsid w:val="0089335C"/>
    <w:rsid w:val="00893424"/>
    <w:rsid w:val="0089347F"/>
    <w:rsid w:val="008934EB"/>
    <w:rsid w:val="00893507"/>
    <w:rsid w:val="008936EF"/>
    <w:rsid w:val="0089374D"/>
    <w:rsid w:val="008938B5"/>
    <w:rsid w:val="008938B7"/>
    <w:rsid w:val="00893992"/>
    <w:rsid w:val="008940AA"/>
    <w:rsid w:val="0089412D"/>
    <w:rsid w:val="00894361"/>
    <w:rsid w:val="00894391"/>
    <w:rsid w:val="00894429"/>
    <w:rsid w:val="00894596"/>
    <w:rsid w:val="008945F7"/>
    <w:rsid w:val="00894650"/>
    <w:rsid w:val="008946AF"/>
    <w:rsid w:val="0089485F"/>
    <w:rsid w:val="00894882"/>
    <w:rsid w:val="008948EF"/>
    <w:rsid w:val="00894A0C"/>
    <w:rsid w:val="00894AE4"/>
    <w:rsid w:val="00894B72"/>
    <w:rsid w:val="00894B75"/>
    <w:rsid w:val="00894B89"/>
    <w:rsid w:val="00894B8F"/>
    <w:rsid w:val="00894C52"/>
    <w:rsid w:val="00894CAA"/>
    <w:rsid w:val="00894CBD"/>
    <w:rsid w:val="00894E33"/>
    <w:rsid w:val="00894FB5"/>
    <w:rsid w:val="00894FD9"/>
    <w:rsid w:val="008950E1"/>
    <w:rsid w:val="008951F9"/>
    <w:rsid w:val="0089524E"/>
    <w:rsid w:val="008953DE"/>
    <w:rsid w:val="008954EF"/>
    <w:rsid w:val="00895568"/>
    <w:rsid w:val="00895652"/>
    <w:rsid w:val="00895690"/>
    <w:rsid w:val="00895723"/>
    <w:rsid w:val="0089573A"/>
    <w:rsid w:val="008957FE"/>
    <w:rsid w:val="0089583A"/>
    <w:rsid w:val="008958E4"/>
    <w:rsid w:val="00895991"/>
    <w:rsid w:val="00895D0E"/>
    <w:rsid w:val="00895D1F"/>
    <w:rsid w:val="00895D30"/>
    <w:rsid w:val="00895D33"/>
    <w:rsid w:val="00895F0C"/>
    <w:rsid w:val="00895F80"/>
    <w:rsid w:val="0089627F"/>
    <w:rsid w:val="0089628E"/>
    <w:rsid w:val="00896349"/>
    <w:rsid w:val="0089688C"/>
    <w:rsid w:val="008968CA"/>
    <w:rsid w:val="008968F0"/>
    <w:rsid w:val="00896910"/>
    <w:rsid w:val="008969A6"/>
    <w:rsid w:val="00896A9F"/>
    <w:rsid w:val="00896ACE"/>
    <w:rsid w:val="00896BB2"/>
    <w:rsid w:val="00896D1F"/>
    <w:rsid w:val="00896D74"/>
    <w:rsid w:val="00896DFC"/>
    <w:rsid w:val="00896E37"/>
    <w:rsid w:val="00896F64"/>
    <w:rsid w:val="00896FB1"/>
    <w:rsid w:val="00897021"/>
    <w:rsid w:val="00897077"/>
    <w:rsid w:val="00897199"/>
    <w:rsid w:val="00897260"/>
    <w:rsid w:val="008974C8"/>
    <w:rsid w:val="008975D1"/>
    <w:rsid w:val="0089762F"/>
    <w:rsid w:val="008976FF"/>
    <w:rsid w:val="0089775C"/>
    <w:rsid w:val="0089780C"/>
    <w:rsid w:val="00897A21"/>
    <w:rsid w:val="00897BA1"/>
    <w:rsid w:val="00897D38"/>
    <w:rsid w:val="00897EAC"/>
    <w:rsid w:val="00897FC5"/>
    <w:rsid w:val="00897FF5"/>
    <w:rsid w:val="008A0005"/>
    <w:rsid w:val="008A019A"/>
    <w:rsid w:val="008A02F5"/>
    <w:rsid w:val="008A0380"/>
    <w:rsid w:val="008A053B"/>
    <w:rsid w:val="008A055D"/>
    <w:rsid w:val="008A0628"/>
    <w:rsid w:val="008A0743"/>
    <w:rsid w:val="008A0CF0"/>
    <w:rsid w:val="008A12C6"/>
    <w:rsid w:val="008A13F3"/>
    <w:rsid w:val="008A1454"/>
    <w:rsid w:val="008A1455"/>
    <w:rsid w:val="008A14A2"/>
    <w:rsid w:val="008A1606"/>
    <w:rsid w:val="008A17D5"/>
    <w:rsid w:val="008A1964"/>
    <w:rsid w:val="008A19F0"/>
    <w:rsid w:val="008A1A6C"/>
    <w:rsid w:val="008A1AD4"/>
    <w:rsid w:val="008A1B61"/>
    <w:rsid w:val="008A1DCC"/>
    <w:rsid w:val="008A1E3E"/>
    <w:rsid w:val="008A1EF3"/>
    <w:rsid w:val="008A2152"/>
    <w:rsid w:val="008A21A2"/>
    <w:rsid w:val="008A2287"/>
    <w:rsid w:val="008A2335"/>
    <w:rsid w:val="008A2444"/>
    <w:rsid w:val="008A252D"/>
    <w:rsid w:val="008A26E0"/>
    <w:rsid w:val="008A2746"/>
    <w:rsid w:val="008A27BB"/>
    <w:rsid w:val="008A2AA0"/>
    <w:rsid w:val="008A2CB9"/>
    <w:rsid w:val="008A2DE3"/>
    <w:rsid w:val="008A2E23"/>
    <w:rsid w:val="008A2E41"/>
    <w:rsid w:val="008A2F70"/>
    <w:rsid w:val="008A2FB9"/>
    <w:rsid w:val="008A313D"/>
    <w:rsid w:val="008A3151"/>
    <w:rsid w:val="008A31B3"/>
    <w:rsid w:val="008A3204"/>
    <w:rsid w:val="008A32C1"/>
    <w:rsid w:val="008A364B"/>
    <w:rsid w:val="008A3813"/>
    <w:rsid w:val="008A38C4"/>
    <w:rsid w:val="008A3A0A"/>
    <w:rsid w:val="008A3A98"/>
    <w:rsid w:val="008A3C07"/>
    <w:rsid w:val="008A3D7A"/>
    <w:rsid w:val="008A3F17"/>
    <w:rsid w:val="008A3F8E"/>
    <w:rsid w:val="008A40FB"/>
    <w:rsid w:val="008A41C2"/>
    <w:rsid w:val="008A4245"/>
    <w:rsid w:val="008A428C"/>
    <w:rsid w:val="008A4363"/>
    <w:rsid w:val="008A43F2"/>
    <w:rsid w:val="008A440D"/>
    <w:rsid w:val="008A4438"/>
    <w:rsid w:val="008A4466"/>
    <w:rsid w:val="008A455A"/>
    <w:rsid w:val="008A45FE"/>
    <w:rsid w:val="008A47B7"/>
    <w:rsid w:val="008A47DF"/>
    <w:rsid w:val="008A47F4"/>
    <w:rsid w:val="008A494E"/>
    <w:rsid w:val="008A4A16"/>
    <w:rsid w:val="008A4A3A"/>
    <w:rsid w:val="008A4BB4"/>
    <w:rsid w:val="008A4CE1"/>
    <w:rsid w:val="008A4E44"/>
    <w:rsid w:val="008A5063"/>
    <w:rsid w:val="008A512F"/>
    <w:rsid w:val="008A517E"/>
    <w:rsid w:val="008A52D9"/>
    <w:rsid w:val="008A5311"/>
    <w:rsid w:val="008A5695"/>
    <w:rsid w:val="008A574D"/>
    <w:rsid w:val="008A57F9"/>
    <w:rsid w:val="008A586F"/>
    <w:rsid w:val="008A5A64"/>
    <w:rsid w:val="008A5A93"/>
    <w:rsid w:val="008A5B42"/>
    <w:rsid w:val="008A5C0E"/>
    <w:rsid w:val="008A5C6A"/>
    <w:rsid w:val="008A5D7A"/>
    <w:rsid w:val="008A5F14"/>
    <w:rsid w:val="008A5F4E"/>
    <w:rsid w:val="008A5F5E"/>
    <w:rsid w:val="008A6095"/>
    <w:rsid w:val="008A60C8"/>
    <w:rsid w:val="008A6174"/>
    <w:rsid w:val="008A628A"/>
    <w:rsid w:val="008A62E1"/>
    <w:rsid w:val="008A6391"/>
    <w:rsid w:val="008A63AF"/>
    <w:rsid w:val="008A6439"/>
    <w:rsid w:val="008A6464"/>
    <w:rsid w:val="008A64E1"/>
    <w:rsid w:val="008A6972"/>
    <w:rsid w:val="008A69B0"/>
    <w:rsid w:val="008A6A46"/>
    <w:rsid w:val="008A6ACB"/>
    <w:rsid w:val="008A6B5A"/>
    <w:rsid w:val="008A6C85"/>
    <w:rsid w:val="008A6E87"/>
    <w:rsid w:val="008A6F85"/>
    <w:rsid w:val="008A6FA9"/>
    <w:rsid w:val="008A7015"/>
    <w:rsid w:val="008A7096"/>
    <w:rsid w:val="008A727A"/>
    <w:rsid w:val="008A739E"/>
    <w:rsid w:val="008A74E3"/>
    <w:rsid w:val="008A76A4"/>
    <w:rsid w:val="008A76B2"/>
    <w:rsid w:val="008A77CA"/>
    <w:rsid w:val="008A7919"/>
    <w:rsid w:val="008A7C20"/>
    <w:rsid w:val="008A7E35"/>
    <w:rsid w:val="008A7E7F"/>
    <w:rsid w:val="008B0051"/>
    <w:rsid w:val="008B05C2"/>
    <w:rsid w:val="008B0690"/>
    <w:rsid w:val="008B06CA"/>
    <w:rsid w:val="008B089A"/>
    <w:rsid w:val="008B0929"/>
    <w:rsid w:val="008B0A37"/>
    <w:rsid w:val="008B0CB0"/>
    <w:rsid w:val="008B0DC5"/>
    <w:rsid w:val="008B0E9E"/>
    <w:rsid w:val="008B1054"/>
    <w:rsid w:val="008B1101"/>
    <w:rsid w:val="008B1241"/>
    <w:rsid w:val="008B124F"/>
    <w:rsid w:val="008B12A6"/>
    <w:rsid w:val="008B13CF"/>
    <w:rsid w:val="008B14A9"/>
    <w:rsid w:val="008B168C"/>
    <w:rsid w:val="008B1693"/>
    <w:rsid w:val="008B17E5"/>
    <w:rsid w:val="008B1865"/>
    <w:rsid w:val="008B18A8"/>
    <w:rsid w:val="008B1A8F"/>
    <w:rsid w:val="008B1B06"/>
    <w:rsid w:val="008B1B07"/>
    <w:rsid w:val="008B1C41"/>
    <w:rsid w:val="008B1C76"/>
    <w:rsid w:val="008B1D21"/>
    <w:rsid w:val="008B1DBE"/>
    <w:rsid w:val="008B1E81"/>
    <w:rsid w:val="008B1F4A"/>
    <w:rsid w:val="008B2029"/>
    <w:rsid w:val="008B210D"/>
    <w:rsid w:val="008B2174"/>
    <w:rsid w:val="008B2273"/>
    <w:rsid w:val="008B2279"/>
    <w:rsid w:val="008B2454"/>
    <w:rsid w:val="008B2475"/>
    <w:rsid w:val="008B2485"/>
    <w:rsid w:val="008B256B"/>
    <w:rsid w:val="008B2593"/>
    <w:rsid w:val="008B276E"/>
    <w:rsid w:val="008B27C9"/>
    <w:rsid w:val="008B2810"/>
    <w:rsid w:val="008B2816"/>
    <w:rsid w:val="008B283E"/>
    <w:rsid w:val="008B29F4"/>
    <w:rsid w:val="008B2A8B"/>
    <w:rsid w:val="008B2DA3"/>
    <w:rsid w:val="008B2DB0"/>
    <w:rsid w:val="008B2DBD"/>
    <w:rsid w:val="008B2EBE"/>
    <w:rsid w:val="008B2EE4"/>
    <w:rsid w:val="008B2F5E"/>
    <w:rsid w:val="008B3246"/>
    <w:rsid w:val="008B337E"/>
    <w:rsid w:val="008B363B"/>
    <w:rsid w:val="008B3885"/>
    <w:rsid w:val="008B38F5"/>
    <w:rsid w:val="008B3958"/>
    <w:rsid w:val="008B3B9A"/>
    <w:rsid w:val="008B3DD8"/>
    <w:rsid w:val="008B3EB9"/>
    <w:rsid w:val="008B3FA4"/>
    <w:rsid w:val="008B3FF3"/>
    <w:rsid w:val="008B40C6"/>
    <w:rsid w:val="008B40F0"/>
    <w:rsid w:val="008B4110"/>
    <w:rsid w:val="008B43B8"/>
    <w:rsid w:val="008B444C"/>
    <w:rsid w:val="008B4478"/>
    <w:rsid w:val="008B4491"/>
    <w:rsid w:val="008B457B"/>
    <w:rsid w:val="008B47DC"/>
    <w:rsid w:val="008B4914"/>
    <w:rsid w:val="008B4C29"/>
    <w:rsid w:val="008B4C81"/>
    <w:rsid w:val="008B4CC5"/>
    <w:rsid w:val="008B4DBE"/>
    <w:rsid w:val="008B4F81"/>
    <w:rsid w:val="008B5016"/>
    <w:rsid w:val="008B50E6"/>
    <w:rsid w:val="008B521E"/>
    <w:rsid w:val="008B52B5"/>
    <w:rsid w:val="008B56BD"/>
    <w:rsid w:val="008B5740"/>
    <w:rsid w:val="008B58E0"/>
    <w:rsid w:val="008B591C"/>
    <w:rsid w:val="008B5966"/>
    <w:rsid w:val="008B59BC"/>
    <w:rsid w:val="008B5AFB"/>
    <w:rsid w:val="008B5E46"/>
    <w:rsid w:val="008B5EC5"/>
    <w:rsid w:val="008B609C"/>
    <w:rsid w:val="008B6205"/>
    <w:rsid w:val="008B6432"/>
    <w:rsid w:val="008B645F"/>
    <w:rsid w:val="008B647F"/>
    <w:rsid w:val="008B649E"/>
    <w:rsid w:val="008B6504"/>
    <w:rsid w:val="008B65C5"/>
    <w:rsid w:val="008B670A"/>
    <w:rsid w:val="008B6753"/>
    <w:rsid w:val="008B68D7"/>
    <w:rsid w:val="008B68F3"/>
    <w:rsid w:val="008B6BF2"/>
    <w:rsid w:val="008B6BFF"/>
    <w:rsid w:val="008B7001"/>
    <w:rsid w:val="008B7086"/>
    <w:rsid w:val="008B70BD"/>
    <w:rsid w:val="008B70C3"/>
    <w:rsid w:val="008B7265"/>
    <w:rsid w:val="008B729B"/>
    <w:rsid w:val="008B72AD"/>
    <w:rsid w:val="008B7375"/>
    <w:rsid w:val="008B7384"/>
    <w:rsid w:val="008B7474"/>
    <w:rsid w:val="008B747C"/>
    <w:rsid w:val="008B756C"/>
    <w:rsid w:val="008B77E4"/>
    <w:rsid w:val="008B79C1"/>
    <w:rsid w:val="008B79E1"/>
    <w:rsid w:val="008B7A7E"/>
    <w:rsid w:val="008B7A91"/>
    <w:rsid w:val="008B7BFD"/>
    <w:rsid w:val="008B7C79"/>
    <w:rsid w:val="008B7D85"/>
    <w:rsid w:val="008B7F8D"/>
    <w:rsid w:val="008C0124"/>
    <w:rsid w:val="008C01B6"/>
    <w:rsid w:val="008C0264"/>
    <w:rsid w:val="008C0431"/>
    <w:rsid w:val="008C0611"/>
    <w:rsid w:val="008C0613"/>
    <w:rsid w:val="008C0647"/>
    <w:rsid w:val="008C070D"/>
    <w:rsid w:val="008C073D"/>
    <w:rsid w:val="008C094E"/>
    <w:rsid w:val="008C0E69"/>
    <w:rsid w:val="008C0F23"/>
    <w:rsid w:val="008C0F59"/>
    <w:rsid w:val="008C10D9"/>
    <w:rsid w:val="008C13F4"/>
    <w:rsid w:val="008C14FD"/>
    <w:rsid w:val="008C1816"/>
    <w:rsid w:val="008C19F4"/>
    <w:rsid w:val="008C1A93"/>
    <w:rsid w:val="008C1AFA"/>
    <w:rsid w:val="008C1D6F"/>
    <w:rsid w:val="008C1E55"/>
    <w:rsid w:val="008C2077"/>
    <w:rsid w:val="008C20D3"/>
    <w:rsid w:val="008C2189"/>
    <w:rsid w:val="008C218B"/>
    <w:rsid w:val="008C22D0"/>
    <w:rsid w:val="008C22FF"/>
    <w:rsid w:val="008C2346"/>
    <w:rsid w:val="008C2386"/>
    <w:rsid w:val="008C2420"/>
    <w:rsid w:val="008C2439"/>
    <w:rsid w:val="008C2596"/>
    <w:rsid w:val="008C272E"/>
    <w:rsid w:val="008C282F"/>
    <w:rsid w:val="008C295C"/>
    <w:rsid w:val="008C29DD"/>
    <w:rsid w:val="008C2AA7"/>
    <w:rsid w:val="008C2B8E"/>
    <w:rsid w:val="008C2CAE"/>
    <w:rsid w:val="008C2EE6"/>
    <w:rsid w:val="008C2F93"/>
    <w:rsid w:val="008C304A"/>
    <w:rsid w:val="008C3231"/>
    <w:rsid w:val="008C3250"/>
    <w:rsid w:val="008C32B3"/>
    <w:rsid w:val="008C340D"/>
    <w:rsid w:val="008C3486"/>
    <w:rsid w:val="008C34CA"/>
    <w:rsid w:val="008C3518"/>
    <w:rsid w:val="008C3521"/>
    <w:rsid w:val="008C37B7"/>
    <w:rsid w:val="008C3DB6"/>
    <w:rsid w:val="008C3E2E"/>
    <w:rsid w:val="008C3EE6"/>
    <w:rsid w:val="008C3F66"/>
    <w:rsid w:val="008C3F8E"/>
    <w:rsid w:val="008C4022"/>
    <w:rsid w:val="008C40BB"/>
    <w:rsid w:val="008C4219"/>
    <w:rsid w:val="008C42CC"/>
    <w:rsid w:val="008C4443"/>
    <w:rsid w:val="008C444F"/>
    <w:rsid w:val="008C4692"/>
    <w:rsid w:val="008C46C2"/>
    <w:rsid w:val="008C4B48"/>
    <w:rsid w:val="008C4D03"/>
    <w:rsid w:val="008C4E18"/>
    <w:rsid w:val="008C50F9"/>
    <w:rsid w:val="008C53B4"/>
    <w:rsid w:val="008C5448"/>
    <w:rsid w:val="008C546C"/>
    <w:rsid w:val="008C5630"/>
    <w:rsid w:val="008C56D7"/>
    <w:rsid w:val="008C56FD"/>
    <w:rsid w:val="008C572F"/>
    <w:rsid w:val="008C5789"/>
    <w:rsid w:val="008C5796"/>
    <w:rsid w:val="008C5851"/>
    <w:rsid w:val="008C5895"/>
    <w:rsid w:val="008C58B3"/>
    <w:rsid w:val="008C59A2"/>
    <w:rsid w:val="008C5B5B"/>
    <w:rsid w:val="008C5C97"/>
    <w:rsid w:val="008C5E5A"/>
    <w:rsid w:val="008C5E89"/>
    <w:rsid w:val="008C5EB7"/>
    <w:rsid w:val="008C6073"/>
    <w:rsid w:val="008C62B3"/>
    <w:rsid w:val="008C6585"/>
    <w:rsid w:val="008C65CF"/>
    <w:rsid w:val="008C6670"/>
    <w:rsid w:val="008C6A7D"/>
    <w:rsid w:val="008C6AA7"/>
    <w:rsid w:val="008C6DB3"/>
    <w:rsid w:val="008C6F03"/>
    <w:rsid w:val="008C6FA7"/>
    <w:rsid w:val="008C70FD"/>
    <w:rsid w:val="008C71AC"/>
    <w:rsid w:val="008C724C"/>
    <w:rsid w:val="008C755D"/>
    <w:rsid w:val="008C75BB"/>
    <w:rsid w:val="008C7698"/>
    <w:rsid w:val="008C7783"/>
    <w:rsid w:val="008C77B3"/>
    <w:rsid w:val="008C77E4"/>
    <w:rsid w:val="008C7993"/>
    <w:rsid w:val="008C7A4A"/>
    <w:rsid w:val="008C7A5F"/>
    <w:rsid w:val="008C7A9B"/>
    <w:rsid w:val="008C7C34"/>
    <w:rsid w:val="008C7D76"/>
    <w:rsid w:val="008C7FD8"/>
    <w:rsid w:val="008D003B"/>
    <w:rsid w:val="008D0382"/>
    <w:rsid w:val="008D047F"/>
    <w:rsid w:val="008D0491"/>
    <w:rsid w:val="008D0499"/>
    <w:rsid w:val="008D05DC"/>
    <w:rsid w:val="008D05E6"/>
    <w:rsid w:val="008D0741"/>
    <w:rsid w:val="008D079C"/>
    <w:rsid w:val="008D07A0"/>
    <w:rsid w:val="008D092E"/>
    <w:rsid w:val="008D0B17"/>
    <w:rsid w:val="008D0B9A"/>
    <w:rsid w:val="008D0C6E"/>
    <w:rsid w:val="008D0F50"/>
    <w:rsid w:val="008D1011"/>
    <w:rsid w:val="008D113D"/>
    <w:rsid w:val="008D123E"/>
    <w:rsid w:val="008D1287"/>
    <w:rsid w:val="008D12AE"/>
    <w:rsid w:val="008D12B8"/>
    <w:rsid w:val="008D1384"/>
    <w:rsid w:val="008D1405"/>
    <w:rsid w:val="008D148B"/>
    <w:rsid w:val="008D15B3"/>
    <w:rsid w:val="008D182D"/>
    <w:rsid w:val="008D18EA"/>
    <w:rsid w:val="008D1A0F"/>
    <w:rsid w:val="008D1A25"/>
    <w:rsid w:val="008D1AC2"/>
    <w:rsid w:val="008D1BF7"/>
    <w:rsid w:val="008D1D03"/>
    <w:rsid w:val="008D1D62"/>
    <w:rsid w:val="008D1F07"/>
    <w:rsid w:val="008D1F67"/>
    <w:rsid w:val="008D2289"/>
    <w:rsid w:val="008D23A5"/>
    <w:rsid w:val="008D26C9"/>
    <w:rsid w:val="008D275A"/>
    <w:rsid w:val="008D27FF"/>
    <w:rsid w:val="008D2811"/>
    <w:rsid w:val="008D2CB4"/>
    <w:rsid w:val="008D2DE8"/>
    <w:rsid w:val="008D2EB0"/>
    <w:rsid w:val="008D308C"/>
    <w:rsid w:val="008D31AE"/>
    <w:rsid w:val="008D3217"/>
    <w:rsid w:val="008D3326"/>
    <w:rsid w:val="008D3358"/>
    <w:rsid w:val="008D3542"/>
    <w:rsid w:val="008D3545"/>
    <w:rsid w:val="008D35CD"/>
    <w:rsid w:val="008D392A"/>
    <w:rsid w:val="008D3A0C"/>
    <w:rsid w:val="008D3E03"/>
    <w:rsid w:val="008D3E9D"/>
    <w:rsid w:val="008D3EC9"/>
    <w:rsid w:val="008D40A5"/>
    <w:rsid w:val="008D40AD"/>
    <w:rsid w:val="008D42DB"/>
    <w:rsid w:val="008D4343"/>
    <w:rsid w:val="008D44F9"/>
    <w:rsid w:val="008D4655"/>
    <w:rsid w:val="008D495C"/>
    <w:rsid w:val="008D4B08"/>
    <w:rsid w:val="008D4E41"/>
    <w:rsid w:val="008D4FC5"/>
    <w:rsid w:val="008D52E6"/>
    <w:rsid w:val="008D530F"/>
    <w:rsid w:val="008D543D"/>
    <w:rsid w:val="008D54FB"/>
    <w:rsid w:val="008D5662"/>
    <w:rsid w:val="008D5712"/>
    <w:rsid w:val="008D58EC"/>
    <w:rsid w:val="008D5936"/>
    <w:rsid w:val="008D59CC"/>
    <w:rsid w:val="008D5A2E"/>
    <w:rsid w:val="008D5BDC"/>
    <w:rsid w:val="008D5CED"/>
    <w:rsid w:val="008D5D78"/>
    <w:rsid w:val="008D5DFC"/>
    <w:rsid w:val="008D5F7C"/>
    <w:rsid w:val="008D6055"/>
    <w:rsid w:val="008D62A2"/>
    <w:rsid w:val="008D638A"/>
    <w:rsid w:val="008D6401"/>
    <w:rsid w:val="008D65EB"/>
    <w:rsid w:val="008D6668"/>
    <w:rsid w:val="008D67BD"/>
    <w:rsid w:val="008D6965"/>
    <w:rsid w:val="008D6A20"/>
    <w:rsid w:val="008D6C05"/>
    <w:rsid w:val="008D6C2C"/>
    <w:rsid w:val="008D6CEC"/>
    <w:rsid w:val="008D6EF0"/>
    <w:rsid w:val="008D7016"/>
    <w:rsid w:val="008D71BF"/>
    <w:rsid w:val="008D7796"/>
    <w:rsid w:val="008D79AE"/>
    <w:rsid w:val="008D79FD"/>
    <w:rsid w:val="008D7AAE"/>
    <w:rsid w:val="008D7CB3"/>
    <w:rsid w:val="008D7E6F"/>
    <w:rsid w:val="008D7EDA"/>
    <w:rsid w:val="008D7F64"/>
    <w:rsid w:val="008E00E0"/>
    <w:rsid w:val="008E0265"/>
    <w:rsid w:val="008E027F"/>
    <w:rsid w:val="008E028B"/>
    <w:rsid w:val="008E02D3"/>
    <w:rsid w:val="008E045C"/>
    <w:rsid w:val="008E052C"/>
    <w:rsid w:val="008E0851"/>
    <w:rsid w:val="008E0896"/>
    <w:rsid w:val="008E0ACE"/>
    <w:rsid w:val="008E0AF3"/>
    <w:rsid w:val="008E0C77"/>
    <w:rsid w:val="008E0E8F"/>
    <w:rsid w:val="008E0FA4"/>
    <w:rsid w:val="008E1066"/>
    <w:rsid w:val="008E108B"/>
    <w:rsid w:val="008E11E8"/>
    <w:rsid w:val="008E120B"/>
    <w:rsid w:val="008E1270"/>
    <w:rsid w:val="008E12C9"/>
    <w:rsid w:val="008E1360"/>
    <w:rsid w:val="008E1541"/>
    <w:rsid w:val="008E15AD"/>
    <w:rsid w:val="008E1696"/>
    <w:rsid w:val="008E19C5"/>
    <w:rsid w:val="008E19F3"/>
    <w:rsid w:val="008E1A07"/>
    <w:rsid w:val="008E1A0B"/>
    <w:rsid w:val="008E1A24"/>
    <w:rsid w:val="008E1A82"/>
    <w:rsid w:val="008E1AD5"/>
    <w:rsid w:val="008E1BB3"/>
    <w:rsid w:val="008E1C71"/>
    <w:rsid w:val="008E1D0B"/>
    <w:rsid w:val="008E1F3A"/>
    <w:rsid w:val="008E1F9E"/>
    <w:rsid w:val="008E2070"/>
    <w:rsid w:val="008E20FE"/>
    <w:rsid w:val="008E23EF"/>
    <w:rsid w:val="008E246E"/>
    <w:rsid w:val="008E252B"/>
    <w:rsid w:val="008E271A"/>
    <w:rsid w:val="008E27EA"/>
    <w:rsid w:val="008E297F"/>
    <w:rsid w:val="008E29F9"/>
    <w:rsid w:val="008E2BD5"/>
    <w:rsid w:val="008E2D87"/>
    <w:rsid w:val="008E2DFB"/>
    <w:rsid w:val="008E3036"/>
    <w:rsid w:val="008E305A"/>
    <w:rsid w:val="008E31D2"/>
    <w:rsid w:val="008E3270"/>
    <w:rsid w:val="008E348A"/>
    <w:rsid w:val="008E3AB5"/>
    <w:rsid w:val="008E3B93"/>
    <w:rsid w:val="008E3BF2"/>
    <w:rsid w:val="008E3BFF"/>
    <w:rsid w:val="008E3CDA"/>
    <w:rsid w:val="008E3CE1"/>
    <w:rsid w:val="008E3D3B"/>
    <w:rsid w:val="008E3D95"/>
    <w:rsid w:val="008E46AC"/>
    <w:rsid w:val="008E4730"/>
    <w:rsid w:val="008E48B1"/>
    <w:rsid w:val="008E4A25"/>
    <w:rsid w:val="008E4A65"/>
    <w:rsid w:val="008E4AC5"/>
    <w:rsid w:val="008E4B89"/>
    <w:rsid w:val="008E4BB3"/>
    <w:rsid w:val="008E4C3B"/>
    <w:rsid w:val="008E4EE7"/>
    <w:rsid w:val="008E53DB"/>
    <w:rsid w:val="008E54B5"/>
    <w:rsid w:val="008E565B"/>
    <w:rsid w:val="008E57AF"/>
    <w:rsid w:val="008E58D1"/>
    <w:rsid w:val="008E5932"/>
    <w:rsid w:val="008E5935"/>
    <w:rsid w:val="008E5CC9"/>
    <w:rsid w:val="008E5CE6"/>
    <w:rsid w:val="008E5D56"/>
    <w:rsid w:val="008E5E71"/>
    <w:rsid w:val="008E5FF7"/>
    <w:rsid w:val="008E61B8"/>
    <w:rsid w:val="008E625F"/>
    <w:rsid w:val="008E6267"/>
    <w:rsid w:val="008E633C"/>
    <w:rsid w:val="008E6401"/>
    <w:rsid w:val="008E6403"/>
    <w:rsid w:val="008E64B8"/>
    <w:rsid w:val="008E65C8"/>
    <w:rsid w:val="008E6717"/>
    <w:rsid w:val="008E6C61"/>
    <w:rsid w:val="008E6DD5"/>
    <w:rsid w:val="008E7116"/>
    <w:rsid w:val="008E71AC"/>
    <w:rsid w:val="008E7452"/>
    <w:rsid w:val="008E746D"/>
    <w:rsid w:val="008E747D"/>
    <w:rsid w:val="008E749C"/>
    <w:rsid w:val="008E7767"/>
    <w:rsid w:val="008E7854"/>
    <w:rsid w:val="008E786D"/>
    <w:rsid w:val="008E7917"/>
    <w:rsid w:val="008E794C"/>
    <w:rsid w:val="008E797B"/>
    <w:rsid w:val="008E7BDA"/>
    <w:rsid w:val="008E7BDF"/>
    <w:rsid w:val="008E7DE2"/>
    <w:rsid w:val="008E7F20"/>
    <w:rsid w:val="008E7F30"/>
    <w:rsid w:val="008E7FB0"/>
    <w:rsid w:val="008F014B"/>
    <w:rsid w:val="008F01BC"/>
    <w:rsid w:val="008F0295"/>
    <w:rsid w:val="008F0476"/>
    <w:rsid w:val="008F05D8"/>
    <w:rsid w:val="008F05E4"/>
    <w:rsid w:val="008F0ABF"/>
    <w:rsid w:val="008F0C21"/>
    <w:rsid w:val="008F0C31"/>
    <w:rsid w:val="008F0C90"/>
    <w:rsid w:val="008F0CAE"/>
    <w:rsid w:val="008F0D12"/>
    <w:rsid w:val="008F0E85"/>
    <w:rsid w:val="008F0ED7"/>
    <w:rsid w:val="008F0ED9"/>
    <w:rsid w:val="008F1106"/>
    <w:rsid w:val="008F1151"/>
    <w:rsid w:val="008F1154"/>
    <w:rsid w:val="008F1191"/>
    <w:rsid w:val="008F128E"/>
    <w:rsid w:val="008F13EA"/>
    <w:rsid w:val="008F15F6"/>
    <w:rsid w:val="008F1641"/>
    <w:rsid w:val="008F1761"/>
    <w:rsid w:val="008F18D4"/>
    <w:rsid w:val="008F1946"/>
    <w:rsid w:val="008F1A1C"/>
    <w:rsid w:val="008F1AEC"/>
    <w:rsid w:val="008F1BE2"/>
    <w:rsid w:val="008F1D55"/>
    <w:rsid w:val="008F1F7C"/>
    <w:rsid w:val="008F2079"/>
    <w:rsid w:val="008F2110"/>
    <w:rsid w:val="008F21FF"/>
    <w:rsid w:val="008F22A4"/>
    <w:rsid w:val="008F23BF"/>
    <w:rsid w:val="008F2484"/>
    <w:rsid w:val="008F24BE"/>
    <w:rsid w:val="008F24E0"/>
    <w:rsid w:val="008F253A"/>
    <w:rsid w:val="008F2615"/>
    <w:rsid w:val="008F268E"/>
    <w:rsid w:val="008F273B"/>
    <w:rsid w:val="008F2B55"/>
    <w:rsid w:val="008F2D73"/>
    <w:rsid w:val="008F2D87"/>
    <w:rsid w:val="008F2F54"/>
    <w:rsid w:val="008F3032"/>
    <w:rsid w:val="008F3063"/>
    <w:rsid w:val="008F306A"/>
    <w:rsid w:val="008F3372"/>
    <w:rsid w:val="008F3412"/>
    <w:rsid w:val="008F3545"/>
    <w:rsid w:val="008F364C"/>
    <w:rsid w:val="008F364E"/>
    <w:rsid w:val="008F378E"/>
    <w:rsid w:val="008F37E3"/>
    <w:rsid w:val="008F38C5"/>
    <w:rsid w:val="008F39A0"/>
    <w:rsid w:val="008F3AA5"/>
    <w:rsid w:val="008F3D81"/>
    <w:rsid w:val="008F3FA5"/>
    <w:rsid w:val="008F417F"/>
    <w:rsid w:val="008F41B7"/>
    <w:rsid w:val="008F4359"/>
    <w:rsid w:val="008F43B6"/>
    <w:rsid w:val="008F462A"/>
    <w:rsid w:val="008F464C"/>
    <w:rsid w:val="008F46A1"/>
    <w:rsid w:val="008F49A3"/>
    <w:rsid w:val="008F4AB3"/>
    <w:rsid w:val="008F4B45"/>
    <w:rsid w:val="008F4B8A"/>
    <w:rsid w:val="008F4C3F"/>
    <w:rsid w:val="008F4CDD"/>
    <w:rsid w:val="008F4D24"/>
    <w:rsid w:val="008F5072"/>
    <w:rsid w:val="008F50DE"/>
    <w:rsid w:val="008F51FB"/>
    <w:rsid w:val="008F523F"/>
    <w:rsid w:val="008F5285"/>
    <w:rsid w:val="008F5348"/>
    <w:rsid w:val="008F5380"/>
    <w:rsid w:val="008F5451"/>
    <w:rsid w:val="008F54C9"/>
    <w:rsid w:val="008F5662"/>
    <w:rsid w:val="008F5ABB"/>
    <w:rsid w:val="008F5B46"/>
    <w:rsid w:val="008F5DC4"/>
    <w:rsid w:val="008F5F75"/>
    <w:rsid w:val="008F6034"/>
    <w:rsid w:val="008F6349"/>
    <w:rsid w:val="008F63EB"/>
    <w:rsid w:val="008F649A"/>
    <w:rsid w:val="008F66E1"/>
    <w:rsid w:val="008F677A"/>
    <w:rsid w:val="008F6863"/>
    <w:rsid w:val="008F6A6E"/>
    <w:rsid w:val="008F6D35"/>
    <w:rsid w:val="008F6E0E"/>
    <w:rsid w:val="008F6E5D"/>
    <w:rsid w:val="008F7012"/>
    <w:rsid w:val="008F7057"/>
    <w:rsid w:val="008F705A"/>
    <w:rsid w:val="008F71C1"/>
    <w:rsid w:val="008F736A"/>
    <w:rsid w:val="008F7527"/>
    <w:rsid w:val="008F7532"/>
    <w:rsid w:val="008F75F8"/>
    <w:rsid w:val="008F78F7"/>
    <w:rsid w:val="008F792D"/>
    <w:rsid w:val="008F7992"/>
    <w:rsid w:val="008F7A89"/>
    <w:rsid w:val="008F7B5E"/>
    <w:rsid w:val="008F7C85"/>
    <w:rsid w:val="008F7D4B"/>
    <w:rsid w:val="008F7F2D"/>
    <w:rsid w:val="008F7F81"/>
    <w:rsid w:val="00900031"/>
    <w:rsid w:val="00900082"/>
    <w:rsid w:val="00900114"/>
    <w:rsid w:val="00900171"/>
    <w:rsid w:val="009006AC"/>
    <w:rsid w:val="00900747"/>
    <w:rsid w:val="00900998"/>
    <w:rsid w:val="00900A11"/>
    <w:rsid w:val="00900A9E"/>
    <w:rsid w:val="00900AD4"/>
    <w:rsid w:val="00900C63"/>
    <w:rsid w:val="00900CBB"/>
    <w:rsid w:val="00900DB8"/>
    <w:rsid w:val="00900EDA"/>
    <w:rsid w:val="00900FAF"/>
    <w:rsid w:val="009011BB"/>
    <w:rsid w:val="009012E9"/>
    <w:rsid w:val="009013E9"/>
    <w:rsid w:val="00901462"/>
    <w:rsid w:val="00901496"/>
    <w:rsid w:val="009014F3"/>
    <w:rsid w:val="00901547"/>
    <w:rsid w:val="00901569"/>
    <w:rsid w:val="00901842"/>
    <w:rsid w:val="00901C0E"/>
    <w:rsid w:val="00901CEC"/>
    <w:rsid w:val="00901DCF"/>
    <w:rsid w:val="00901DD0"/>
    <w:rsid w:val="00901E21"/>
    <w:rsid w:val="00901E36"/>
    <w:rsid w:val="00902456"/>
    <w:rsid w:val="00902576"/>
    <w:rsid w:val="009026FA"/>
    <w:rsid w:val="0090285C"/>
    <w:rsid w:val="0090286F"/>
    <w:rsid w:val="0090294E"/>
    <w:rsid w:val="00902A4A"/>
    <w:rsid w:val="00902CA8"/>
    <w:rsid w:val="00902D0C"/>
    <w:rsid w:val="00902D8C"/>
    <w:rsid w:val="0090308D"/>
    <w:rsid w:val="00903541"/>
    <w:rsid w:val="0090378C"/>
    <w:rsid w:val="009037D7"/>
    <w:rsid w:val="009037F6"/>
    <w:rsid w:val="009038D5"/>
    <w:rsid w:val="009039A9"/>
    <w:rsid w:val="009039CD"/>
    <w:rsid w:val="00903B26"/>
    <w:rsid w:val="00903FAB"/>
    <w:rsid w:val="00904101"/>
    <w:rsid w:val="00904429"/>
    <w:rsid w:val="0090444C"/>
    <w:rsid w:val="00904580"/>
    <w:rsid w:val="009047F2"/>
    <w:rsid w:val="00904855"/>
    <w:rsid w:val="0090495B"/>
    <w:rsid w:val="00904ACD"/>
    <w:rsid w:val="00904B29"/>
    <w:rsid w:val="00904BF7"/>
    <w:rsid w:val="00904E93"/>
    <w:rsid w:val="00904F90"/>
    <w:rsid w:val="00904FF8"/>
    <w:rsid w:val="009051EF"/>
    <w:rsid w:val="0090524E"/>
    <w:rsid w:val="00905311"/>
    <w:rsid w:val="0090558C"/>
    <w:rsid w:val="009055A6"/>
    <w:rsid w:val="00905600"/>
    <w:rsid w:val="0090563C"/>
    <w:rsid w:val="00905751"/>
    <w:rsid w:val="0090594B"/>
    <w:rsid w:val="00905AEF"/>
    <w:rsid w:val="00905E57"/>
    <w:rsid w:val="00905EDA"/>
    <w:rsid w:val="00906281"/>
    <w:rsid w:val="0090642C"/>
    <w:rsid w:val="0090678D"/>
    <w:rsid w:val="009069BC"/>
    <w:rsid w:val="00906A47"/>
    <w:rsid w:val="00906AE7"/>
    <w:rsid w:val="00906B05"/>
    <w:rsid w:val="00906C0F"/>
    <w:rsid w:val="00906CDB"/>
    <w:rsid w:val="00906D6F"/>
    <w:rsid w:val="00906DE9"/>
    <w:rsid w:val="00906E68"/>
    <w:rsid w:val="009070FF"/>
    <w:rsid w:val="0090732F"/>
    <w:rsid w:val="0090735B"/>
    <w:rsid w:val="0090756A"/>
    <w:rsid w:val="00907590"/>
    <w:rsid w:val="00907659"/>
    <w:rsid w:val="009076B4"/>
    <w:rsid w:val="009076E4"/>
    <w:rsid w:val="00907801"/>
    <w:rsid w:val="009078ED"/>
    <w:rsid w:val="0090795B"/>
    <w:rsid w:val="00907999"/>
    <w:rsid w:val="00907A35"/>
    <w:rsid w:val="00907A68"/>
    <w:rsid w:val="00907A87"/>
    <w:rsid w:val="00907BA4"/>
    <w:rsid w:val="00907BCB"/>
    <w:rsid w:val="00907BEE"/>
    <w:rsid w:val="00907C2C"/>
    <w:rsid w:val="00907CDB"/>
    <w:rsid w:val="00907FDB"/>
    <w:rsid w:val="00910100"/>
    <w:rsid w:val="009101B8"/>
    <w:rsid w:val="009101EE"/>
    <w:rsid w:val="00910248"/>
    <w:rsid w:val="00910295"/>
    <w:rsid w:val="009102CC"/>
    <w:rsid w:val="009102E6"/>
    <w:rsid w:val="009104D0"/>
    <w:rsid w:val="00910563"/>
    <w:rsid w:val="009105E4"/>
    <w:rsid w:val="0091069E"/>
    <w:rsid w:val="009106FE"/>
    <w:rsid w:val="00910834"/>
    <w:rsid w:val="009109B8"/>
    <w:rsid w:val="009109C0"/>
    <w:rsid w:val="00910AC8"/>
    <w:rsid w:val="00910D4D"/>
    <w:rsid w:val="00910E17"/>
    <w:rsid w:val="00911013"/>
    <w:rsid w:val="00911149"/>
    <w:rsid w:val="009112E0"/>
    <w:rsid w:val="00911351"/>
    <w:rsid w:val="00911663"/>
    <w:rsid w:val="009117D1"/>
    <w:rsid w:val="0091189A"/>
    <w:rsid w:val="009118C1"/>
    <w:rsid w:val="00911912"/>
    <w:rsid w:val="00911AB8"/>
    <w:rsid w:val="00911B25"/>
    <w:rsid w:val="00911BB5"/>
    <w:rsid w:val="00911D80"/>
    <w:rsid w:val="00912254"/>
    <w:rsid w:val="009126D7"/>
    <w:rsid w:val="00912807"/>
    <w:rsid w:val="0091287E"/>
    <w:rsid w:val="00912A72"/>
    <w:rsid w:val="00912A95"/>
    <w:rsid w:val="00912DD9"/>
    <w:rsid w:val="00912DE3"/>
    <w:rsid w:val="00912F2E"/>
    <w:rsid w:val="00912F77"/>
    <w:rsid w:val="00912F84"/>
    <w:rsid w:val="00913001"/>
    <w:rsid w:val="0091313E"/>
    <w:rsid w:val="00913201"/>
    <w:rsid w:val="00913234"/>
    <w:rsid w:val="00913334"/>
    <w:rsid w:val="00913367"/>
    <w:rsid w:val="009133B3"/>
    <w:rsid w:val="00913490"/>
    <w:rsid w:val="00913535"/>
    <w:rsid w:val="009135B3"/>
    <w:rsid w:val="009135FC"/>
    <w:rsid w:val="00913958"/>
    <w:rsid w:val="00913B52"/>
    <w:rsid w:val="00913BA3"/>
    <w:rsid w:val="00913C07"/>
    <w:rsid w:val="00913C3F"/>
    <w:rsid w:val="00913C4B"/>
    <w:rsid w:val="00913D8C"/>
    <w:rsid w:val="00913ED5"/>
    <w:rsid w:val="00914200"/>
    <w:rsid w:val="00914225"/>
    <w:rsid w:val="0091446E"/>
    <w:rsid w:val="009144E0"/>
    <w:rsid w:val="00914515"/>
    <w:rsid w:val="009148A1"/>
    <w:rsid w:val="00914910"/>
    <w:rsid w:val="009149D6"/>
    <w:rsid w:val="009149EB"/>
    <w:rsid w:val="00914AB5"/>
    <w:rsid w:val="00914AFE"/>
    <w:rsid w:val="00914B3F"/>
    <w:rsid w:val="00914C4A"/>
    <w:rsid w:val="009150AF"/>
    <w:rsid w:val="0091511C"/>
    <w:rsid w:val="0091524E"/>
    <w:rsid w:val="009152F0"/>
    <w:rsid w:val="009153D4"/>
    <w:rsid w:val="009155CE"/>
    <w:rsid w:val="0091581D"/>
    <w:rsid w:val="00915A3F"/>
    <w:rsid w:val="00915ACC"/>
    <w:rsid w:val="00915C70"/>
    <w:rsid w:val="00915C90"/>
    <w:rsid w:val="00915CC9"/>
    <w:rsid w:val="00915E4F"/>
    <w:rsid w:val="00916373"/>
    <w:rsid w:val="00916446"/>
    <w:rsid w:val="009164EF"/>
    <w:rsid w:val="0091657A"/>
    <w:rsid w:val="00916667"/>
    <w:rsid w:val="009167AB"/>
    <w:rsid w:val="009168C4"/>
    <w:rsid w:val="009168E5"/>
    <w:rsid w:val="0091692D"/>
    <w:rsid w:val="0091693E"/>
    <w:rsid w:val="00916B60"/>
    <w:rsid w:val="00916C13"/>
    <w:rsid w:val="00916C52"/>
    <w:rsid w:val="00916C93"/>
    <w:rsid w:val="00917054"/>
    <w:rsid w:val="009171F8"/>
    <w:rsid w:val="009172F6"/>
    <w:rsid w:val="009173E6"/>
    <w:rsid w:val="00917602"/>
    <w:rsid w:val="00917637"/>
    <w:rsid w:val="009177E3"/>
    <w:rsid w:val="009177FF"/>
    <w:rsid w:val="00917868"/>
    <w:rsid w:val="009179D0"/>
    <w:rsid w:val="00917B03"/>
    <w:rsid w:val="00917BA0"/>
    <w:rsid w:val="00917BE0"/>
    <w:rsid w:val="00917C02"/>
    <w:rsid w:val="00917C35"/>
    <w:rsid w:val="00917CD1"/>
    <w:rsid w:val="00917CD4"/>
    <w:rsid w:val="00917F89"/>
    <w:rsid w:val="009200DF"/>
    <w:rsid w:val="0092032B"/>
    <w:rsid w:val="009205D8"/>
    <w:rsid w:val="009206B8"/>
    <w:rsid w:val="0092077F"/>
    <w:rsid w:val="009207CB"/>
    <w:rsid w:val="0092089D"/>
    <w:rsid w:val="0092093A"/>
    <w:rsid w:val="009209C2"/>
    <w:rsid w:val="00920A76"/>
    <w:rsid w:val="00920B2A"/>
    <w:rsid w:val="00920B44"/>
    <w:rsid w:val="00920B86"/>
    <w:rsid w:val="00920EBB"/>
    <w:rsid w:val="00921095"/>
    <w:rsid w:val="0092159B"/>
    <w:rsid w:val="009215E7"/>
    <w:rsid w:val="00921911"/>
    <w:rsid w:val="00921AC5"/>
    <w:rsid w:val="00921C87"/>
    <w:rsid w:val="00921E29"/>
    <w:rsid w:val="00921EE2"/>
    <w:rsid w:val="0092200E"/>
    <w:rsid w:val="00922114"/>
    <w:rsid w:val="0092226A"/>
    <w:rsid w:val="009222E8"/>
    <w:rsid w:val="0092240B"/>
    <w:rsid w:val="00922487"/>
    <w:rsid w:val="00922563"/>
    <w:rsid w:val="009225F3"/>
    <w:rsid w:val="009226BC"/>
    <w:rsid w:val="0092274A"/>
    <w:rsid w:val="00922A7E"/>
    <w:rsid w:val="00922BA9"/>
    <w:rsid w:val="00922CA8"/>
    <w:rsid w:val="00922D78"/>
    <w:rsid w:val="00922ED3"/>
    <w:rsid w:val="0092329B"/>
    <w:rsid w:val="00923351"/>
    <w:rsid w:val="00923587"/>
    <w:rsid w:val="00923705"/>
    <w:rsid w:val="0092372F"/>
    <w:rsid w:val="00923753"/>
    <w:rsid w:val="009237F0"/>
    <w:rsid w:val="00923913"/>
    <w:rsid w:val="0092393A"/>
    <w:rsid w:val="00923A1E"/>
    <w:rsid w:val="00923AD4"/>
    <w:rsid w:val="00923C9C"/>
    <w:rsid w:val="00923E2E"/>
    <w:rsid w:val="00923E40"/>
    <w:rsid w:val="00924060"/>
    <w:rsid w:val="009240A4"/>
    <w:rsid w:val="009243A7"/>
    <w:rsid w:val="009243F0"/>
    <w:rsid w:val="00924434"/>
    <w:rsid w:val="009245CC"/>
    <w:rsid w:val="009246B4"/>
    <w:rsid w:val="009246BE"/>
    <w:rsid w:val="0092473C"/>
    <w:rsid w:val="009248FD"/>
    <w:rsid w:val="00924929"/>
    <w:rsid w:val="00924AD7"/>
    <w:rsid w:val="00924E1D"/>
    <w:rsid w:val="009250F3"/>
    <w:rsid w:val="0092519E"/>
    <w:rsid w:val="009251EB"/>
    <w:rsid w:val="00925267"/>
    <w:rsid w:val="00925575"/>
    <w:rsid w:val="00925688"/>
    <w:rsid w:val="00925827"/>
    <w:rsid w:val="00925A09"/>
    <w:rsid w:val="00925C6A"/>
    <w:rsid w:val="00925D1B"/>
    <w:rsid w:val="00925DCF"/>
    <w:rsid w:val="00925EE0"/>
    <w:rsid w:val="00925FCE"/>
    <w:rsid w:val="0092611D"/>
    <w:rsid w:val="009261AE"/>
    <w:rsid w:val="009261F1"/>
    <w:rsid w:val="0092620F"/>
    <w:rsid w:val="00926309"/>
    <w:rsid w:val="009263B1"/>
    <w:rsid w:val="0092640C"/>
    <w:rsid w:val="0092642C"/>
    <w:rsid w:val="00926483"/>
    <w:rsid w:val="00926707"/>
    <w:rsid w:val="009268CB"/>
    <w:rsid w:val="0092694B"/>
    <w:rsid w:val="00926A64"/>
    <w:rsid w:val="00926C11"/>
    <w:rsid w:val="00926C37"/>
    <w:rsid w:val="00926C99"/>
    <w:rsid w:val="00926D9D"/>
    <w:rsid w:val="00926E05"/>
    <w:rsid w:val="00926E63"/>
    <w:rsid w:val="00926F5D"/>
    <w:rsid w:val="009270B4"/>
    <w:rsid w:val="00927171"/>
    <w:rsid w:val="00927232"/>
    <w:rsid w:val="009272AA"/>
    <w:rsid w:val="009273D3"/>
    <w:rsid w:val="009275A1"/>
    <w:rsid w:val="009276A7"/>
    <w:rsid w:val="00927722"/>
    <w:rsid w:val="0092793A"/>
    <w:rsid w:val="00927A93"/>
    <w:rsid w:val="00927B83"/>
    <w:rsid w:val="00927D7A"/>
    <w:rsid w:val="00927E6D"/>
    <w:rsid w:val="00927ED2"/>
    <w:rsid w:val="00927F06"/>
    <w:rsid w:val="00927FED"/>
    <w:rsid w:val="009300C5"/>
    <w:rsid w:val="00930147"/>
    <w:rsid w:val="0093039F"/>
    <w:rsid w:val="009304A1"/>
    <w:rsid w:val="009305EB"/>
    <w:rsid w:val="0093062D"/>
    <w:rsid w:val="00930860"/>
    <w:rsid w:val="00930A47"/>
    <w:rsid w:val="00930C84"/>
    <w:rsid w:val="00930CA7"/>
    <w:rsid w:val="00930E20"/>
    <w:rsid w:val="00930E3F"/>
    <w:rsid w:val="00930F14"/>
    <w:rsid w:val="00930FE9"/>
    <w:rsid w:val="00931486"/>
    <w:rsid w:val="00931547"/>
    <w:rsid w:val="00931602"/>
    <w:rsid w:val="00931659"/>
    <w:rsid w:val="00931731"/>
    <w:rsid w:val="0093176F"/>
    <w:rsid w:val="0093183B"/>
    <w:rsid w:val="009318AB"/>
    <w:rsid w:val="009318C9"/>
    <w:rsid w:val="009318E6"/>
    <w:rsid w:val="009319A3"/>
    <w:rsid w:val="00931A29"/>
    <w:rsid w:val="00932260"/>
    <w:rsid w:val="009322E5"/>
    <w:rsid w:val="0093236E"/>
    <w:rsid w:val="0093250A"/>
    <w:rsid w:val="00932648"/>
    <w:rsid w:val="00932689"/>
    <w:rsid w:val="009326B0"/>
    <w:rsid w:val="0093287A"/>
    <w:rsid w:val="00932A5E"/>
    <w:rsid w:val="00932B6F"/>
    <w:rsid w:val="00932C06"/>
    <w:rsid w:val="00932C25"/>
    <w:rsid w:val="00932C50"/>
    <w:rsid w:val="00932CCE"/>
    <w:rsid w:val="00932CEC"/>
    <w:rsid w:val="00932D88"/>
    <w:rsid w:val="00933324"/>
    <w:rsid w:val="009334EF"/>
    <w:rsid w:val="009335DD"/>
    <w:rsid w:val="00933759"/>
    <w:rsid w:val="0093379A"/>
    <w:rsid w:val="00933AA5"/>
    <w:rsid w:val="00933AFB"/>
    <w:rsid w:val="00933B68"/>
    <w:rsid w:val="00933E0D"/>
    <w:rsid w:val="00933EAD"/>
    <w:rsid w:val="00933F26"/>
    <w:rsid w:val="0093415A"/>
    <w:rsid w:val="0093418B"/>
    <w:rsid w:val="00934251"/>
    <w:rsid w:val="00934355"/>
    <w:rsid w:val="009344B5"/>
    <w:rsid w:val="009346C1"/>
    <w:rsid w:val="00934A14"/>
    <w:rsid w:val="00934A9B"/>
    <w:rsid w:val="00934AA2"/>
    <w:rsid w:val="00934ABA"/>
    <w:rsid w:val="00934ACF"/>
    <w:rsid w:val="00934B99"/>
    <w:rsid w:val="00934BED"/>
    <w:rsid w:val="00934F65"/>
    <w:rsid w:val="00934FBF"/>
    <w:rsid w:val="00934FE2"/>
    <w:rsid w:val="009352C9"/>
    <w:rsid w:val="00935396"/>
    <w:rsid w:val="00935427"/>
    <w:rsid w:val="00935696"/>
    <w:rsid w:val="009356F4"/>
    <w:rsid w:val="00935877"/>
    <w:rsid w:val="00935899"/>
    <w:rsid w:val="0093594A"/>
    <w:rsid w:val="009359FB"/>
    <w:rsid w:val="00935A10"/>
    <w:rsid w:val="00935A18"/>
    <w:rsid w:val="00935BE9"/>
    <w:rsid w:val="00935C0F"/>
    <w:rsid w:val="00935D56"/>
    <w:rsid w:val="00936014"/>
    <w:rsid w:val="00936061"/>
    <w:rsid w:val="00936100"/>
    <w:rsid w:val="00936117"/>
    <w:rsid w:val="0093648E"/>
    <w:rsid w:val="009367F9"/>
    <w:rsid w:val="00936D25"/>
    <w:rsid w:val="00936D44"/>
    <w:rsid w:val="00936F6E"/>
    <w:rsid w:val="00937006"/>
    <w:rsid w:val="009370AB"/>
    <w:rsid w:val="00937154"/>
    <w:rsid w:val="00937179"/>
    <w:rsid w:val="00937201"/>
    <w:rsid w:val="0093726C"/>
    <w:rsid w:val="00937396"/>
    <w:rsid w:val="0093751C"/>
    <w:rsid w:val="009376A3"/>
    <w:rsid w:val="009377F5"/>
    <w:rsid w:val="009379D2"/>
    <w:rsid w:val="00937C0E"/>
    <w:rsid w:val="00937C64"/>
    <w:rsid w:val="00940095"/>
    <w:rsid w:val="009400AE"/>
    <w:rsid w:val="00940177"/>
    <w:rsid w:val="00940345"/>
    <w:rsid w:val="00940347"/>
    <w:rsid w:val="00940393"/>
    <w:rsid w:val="009403BB"/>
    <w:rsid w:val="009405AB"/>
    <w:rsid w:val="00940642"/>
    <w:rsid w:val="009406AF"/>
    <w:rsid w:val="00940949"/>
    <w:rsid w:val="00940B7D"/>
    <w:rsid w:val="00940DC8"/>
    <w:rsid w:val="00940E85"/>
    <w:rsid w:val="00940E90"/>
    <w:rsid w:val="00941292"/>
    <w:rsid w:val="0094140F"/>
    <w:rsid w:val="00941463"/>
    <w:rsid w:val="009414E0"/>
    <w:rsid w:val="0094169C"/>
    <w:rsid w:val="0094193B"/>
    <w:rsid w:val="0094197D"/>
    <w:rsid w:val="00941981"/>
    <w:rsid w:val="00941C34"/>
    <w:rsid w:val="00941C3D"/>
    <w:rsid w:val="00941C6E"/>
    <w:rsid w:val="00941D44"/>
    <w:rsid w:val="00941F30"/>
    <w:rsid w:val="00941F4D"/>
    <w:rsid w:val="00941FA3"/>
    <w:rsid w:val="009420D3"/>
    <w:rsid w:val="0094234B"/>
    <w:rsid w:val="009424D7"/>
    <w:rsid w:val="00942B12"/>
    <w:rsid w:val="00942C69"/>
    <w:rsid w:val="00942ED0"/>
    <w:rsid w:val="009430FE"/>
    <w:rsid w:val="00943131"/>
    <w:rsid w:val="0094316B"/>
    <w:rsid w:val="00943459"/>
    <w:rsid w:val="009434D3"/>
    <w:rsid w:val="00943664"/>
    <w:rsid w:val="00943796"/>
    <w:rsid w:val="009437CF"/>
    <w:rsid w:val="00943C4F"/>
    <w:rsid w:val="00943CCD"/>
    <w:rsid w:val="0094404A"/>
    <w:rsid w:val="00944058"/>
    <w:rsid w:val="009440C0"/>
    <w:rsid w:val="00944297"/>
    <w:rsid w:val="009442D6"/>
    <w:rsid w:val="00944343"/>
    <w:rsid w:val="0094488E"/>
    <w:rsid w:val="009449FA"/>
    <w:rsid w:val="00944A1D"/>
    <w:rsid w:val="00944AB3"/>
    <w:rsid w:val="00944B4C"/>
    <w:rsid w:val="00944B73"/>
    <w:rsid w:val="00944BF1"/>
    <w:rsid w:val="00944D94"/>
    <w:rsid w:val="00944EB3"/>
    <w:rsid w:val="00944F16"/>
    <w:rsid w:val="009450E1"/>
    <w:rsid w:val="009450FE"/>
    <w:rsid w:val="00945241"/>
    <w:rsid w:val="00945269"/>
    <w:rsid w:val="009452B8"/>
    <w:rsid w:val="009452CA"/>
    <w:rsid w:val="009452ED"/>
    <w:rsid w:val="00945387"/>
    <w:rsid w:val="00945445"/>
    <w:rsid w:val="009455FD"/>
    <w:rsid w:val="0094566E"/>
    <w:rsid w:val="009456BF"/>
    <w:rsid w:val="0094573F"/>
    <w:rsid w:val="009459BA"/>
    <w:rsid w:val="00945C67"/>
    <w:rsid w:val="00945E8B"/>
    <w:rsid w:val="00945EA1"/>
    <w:rsid w:val="00945F3A"/>
    <w:rsid w:val="00946033"/>
    <w:rsid w:val="0094607D"/>
    <w:rsid w:val="009460D1"/>
    <w:rsid w:val="00946561"/>
    <w:rsid w:val="00946584"/>
    <w:rsid w:val="0094661B"/>
    <w:rsid w:val="009466B9"/>
    <w:rsid w:val="00946728"/>
    <w:rsid w:val="009467F6"/>
    <w:rsid w:val="00946872"/>
    <w:rsid w:val="009468A7"/>
    <w:rsid w:val="00946971"/>
    <w:rsid w:val="009469C1"/>
    <w:rsid w:val="009469F2"/>
    <w:rsid w:val="00946A15"/>
    <w:rsid w:val="00946B8A"/>
    <w:rsid w:val="00946C6A"/>
    <w:rsid w:val="00946DFF"/>
    <w:rsid w:val="00946F14"/>
    <w:rsid w:val="00946F20"/>
    <w:rsid w:val="009471A6"/>
    <w:rsid w:val="009471E0"/>
    <w:rsid w:val="009471FB"/>
    <w:rsid w:val="00947314"/>
    <w:rsid w:val="009473B7"/>
    <w:rsid w:val="009473E0"/>
    <w:rsid w:val="00947414"/>
    <w:rsid w:val="009474D9"/>
    <w:rsid w:val="009474E9"/>
    <w:rsid w:val="009474F7"/>
    <w:rsid w:val="009475A5"/>
    <w:rsid w:val="009477D1"/>
    <w:rsid w:val="00947875"/>
    <w:rsid w:val="009478BF"/>
    <w:rsid w:val="009478FE"/>
    <w:rsid w:val="00947AA6"/>
    <w:rsid w:val="00947AD1"/>
    <w:rsid w:val="00947B89"/>
    <w:rsid w:val="00947F21"/>
    <w:rsid w:val="009501E3"/>
    <w:rsid w:val="0095028E"/>
    <w:rsid w:val="0095062F"/>
    <w:rsid w:val="009509AE"/>
    <w:rsid w:val="00950A2E"/>
    <w:rsid w:val="00950F03"/>
    <w:rsid w:val="00950F56"/>
    <w:rsid w:val="0095112A"/>
    <w:rsid w:val="009511D4"/>
    <w:rsid w:val="009512E6"/>
    <w:rsid w:val="009513FF"/>
    <w:rsid w:val="009515A5"/>
    <w:rsid w:val="009519C4"/>
    <w:rsid w:val="00951B08"/>
    <w:rsid w:val="00951C49"/>
    <w:rsid w:val="009520F9"/>
    <w:rsid w:val="009521DC"/>
    <w:rsid w:val="00952334"/>
    <w:rsid w:val="0095234E"/>
    <w:rsid w:val="00952491"/>
    <w:rsid w:val="009524B9"/>
    <w:rsid w:val="00952656"/>
    <w:rsid w:val="00952A50"/>
    <w:rsid w:val="00952A84"/>
    <w:rsid w:val="00952AEE"/>
    <w:rsid w:val="00952BED"/>
    <w:rsid w:val="00952BFD"/>
    <w:rsid w:val="00952D06"/>
    <w:rsid w:val="00952D16"/>
    <w:rsid w:val="00952D41"/>
    <w:rsid w:val="00952D93"/>
    <w:rsid w:val="00952E0D"/>
    <w:rsid w:val="00952EA6"/>
    <w:rsid w:val="009530FB"/>
    <w:rsid w:val="00953194"/>
    <w:rsid w:val="009535CF"/>
    <w:rsid w:val="0095377C"/>
    <w:rsid w:val="009537C7"/>
    <w:rsid w:val="009537EF"/>
    <w:rsid w:val="009538F9"/>
    <w:rsid w:val="0095399D"/>
    <w:rsid w:val="00953D0C"/>
    <w:rsid w:val="00953E18"/>
    <w:rsid w:val="00953EA4"/>
    <w:rsid w:val="00953ECE"/>
    <w:rsid w:val="009540BF"/>
    <w:rsid w:val="009543B9"/>
    <w:rsid w:val="009543C0"/>
    <w:rsid w:val="00954434"/>
    <w:rsid w:val="0095445C"/>
    <w:rsid w:val="009545B2"/>
    <w:rsid w:val="00954752"/>
    <w:rsid w:val="00954824"/>
    <w:rsid w:val="0095482D"/>
    <w:rsid w:val="00954990"/>
    <w:rsid w:val="00954DEB"/>
    <w:rsid w:val="00954FBC"/>
    <w:rsid w:val="009550F6"/>
    <w:rsid w:val="00955120"/>
    <w:rsid w:val="0095540B"/>
    <w:rsid w:val="00955417"/>
    <w:rsid w:val="00955429"/>
    <w:rsid w:val="009554A5"/>
    <w:rsid w:val="009554D0"/>
    <w:rsid w:val="0095579F"/>
    <w:rsid w:val="00955D00"/>
    <w:rsid w:val="00955EC9"/>
    <w:rsid w:val="009560FD"/>
    <w:rsid w:val="009561B7"/>
    <w:rsid w:val="009564D3"/>
    <w:rsid w:val="00956543"/>
    <w:rsid w:val="009566D8"/>
    <w:rsid w:val="009567D8"/>
    <w:rsid w:val="0095688B"/>
    <w:rsid w:val="009568E0"/>
    <w:rsid w:val="00956931"/>
    <w:rsid w:val="00956992"/>
    <w:rsid w:val="00956A59"/>
    <w:rsid w:val="00956CBB"/>
    <w:rsid w:val="00956E4B"/>
    <w:rsid w:val="00956E83"/>
    <w:rsid w:val="00957075"/>
    <w:rsid w:val="0095718E"/>
    <w:rsid w:val="009571E1"/>
    <w:rsid w:val="00957204"/>
    <w:rsid w:val="009572AE"/>
    <w:rsid w:val="00957413"/>
    <w:rsid w:val="0095748F"/>
    <w:rsid w:val="0095757D"/>
    <w:rsid w:val="00957595"/>
    <w:rsid w:val="00957AD7"/>
    <w:rsid w:val="00957B47"/>
    <w:rsid w:val="00957B62"/>
    <w:rsid w:val="00957EA3"/>
    <w:rsid w:val="00957EA6"/>
    <w:rsid w:val="00957FF7"/>
    <w:rsid w:val="00960131"/>
    <w:rsid w:val="00960169"/>
    <w:rsid w:val="00960275"/>
    <w:rsid w:val="009603AD"/>
    <w:rsid w:val="009608FB"/>
    <w:rsid w:val="00960956"/>
    <w:rsid w:val="0096095E"/>
    <w:rsid w:val="00960AD0"/>
    <w:rsid w:val="00960AD9"/>
    <w:rsid w:val="00960DAB"/>
    <w:rsid w:val="00960EC6"/>
    <w:rsid w:val="00960ED3"/>
    <w:rsid w:val="00960EFC"/>
    <w:rsid w:val="00961141"/>
    <w:rsid w:val="00961154"/>
    <w:rsid w:val="00961302"/>
    <w:rsid w:val="009613F4"/>
    <w:rsid w:val="00961523"/>
    <w:rsid w:val="009616A9"/>
    <w:rsid w:val="009617F4"/>
    <w:rsid w:val="0096191A"/>
    <w:rsid w:val="00961E5C"/>
    <w:rsid w:val="00961EA6"/>
    <w:rsid w:val="00961EB3"/>
    <w:rsid w:val="00961EDA"/>
    <w:rsid w:val="00961F66"/>
    <w:rsid w:val="00962124"/>
    <w:rsid w:val="00962301"/>
    <w:rsid w:val="0096230D"/>
    <w:rsid w:val="00962337"/>
    <w:rsid w:val="00962407"/>
    <w:rsid w:val="00962419"/>
    <w:rsid w:val="0096247B"/>
    <w:rsid w:val="009624D8"/>
    <w:rsid w:val="0096274D"/>
    <w:rsid w:val="00962947"/>
    <w:rsid w:val="00962A63"/>
    <w:rsid w:val="00962BB4"/>
    <w:rsid w:val="00962C3C"/>
    <w:rsid w:val="00962D14"/>
    <w:rsid w:val="00962DD8"/>
    <w:rsid w:val="00962DDB"/>
    <w:rsid w:val="00962F45"/>
    <w:rsid w:val="00962F62"/>
    <w:rsid w:val="00963046"/>
    <w:rsid w:val="0096315A"/>
    <w:rsid w:val="00963186"/>
    <w:rsid w:val="00963216"/>
    <w:rsid w:val="009632EC"/>
    <w:rsid w:val="00963361"/>
    <w:rsid w:val="0096345E"/>
    <w:rsid w:val="0096352E"/>
    <w:rsid w:val="00963654"/>
    <w:rsid w:val="009636E9"/>
    <w:rsid w:val="00963792"/>
    <w:rsid w:val="009637C8"/>
    <w:rsid w:val="009637DF"/>
    <w:rsid w:val="00963803"/>
    <w:rsid w:val="009639A2"/>
    <w:rsid w:val="00963A68"/>
    <w:rsid w:val="00963AB6"/>
    <w:rsid w:val="00963D0E"/>
    <w:rsid w:val="00963FBB"/>
    <w:rsid w:val="00964064"/>
    <w:rsid w:val="00964221"/>
    <w:rsid w:val="00964433"/>
    <w:rsid w:val="00964487"/>
    <w:rsid w:val="0096449D"/>
    <w:rsid w:val="00964588"/>
    <w:rsid w:val="0096461B"/>
    <w:rsid w:val="0096473B"/>
    <w:rsid w:val="00964891"/>
    <w:rsid w:val="00964B70"/>
    <w:rsid w:val="00964BA6"/>
    <w:rsid w:val="00964CD0"/>
    <w:rsid w:val="009650BB"/>
    <w:rsid w:val="00965186"/>
    <w:rsid w:val="00965255"/>
    <w:rsid w:val="0096526A"/>
    <w:rsid w:val="0096533F"/>
    <w:rsid w:val="00965555"/>
    <w:rsid w:val="00965561"/>
    <w:rsid w:val="00965612"/>
    <w:rsid w:val="00965649"/>
    <w:rsid w:val="0096567F"/>
    <w:rsid w:val="0096592C"/>
    <w:rsid w:val="00965BB4"/>
    <w:rsid w:val="00965C0A"/>
    <w:rsid w:val="00965CFD"/>
    <w:rsid w:val="00965D41"/>
    <w:rsid w:val="00965E19"/>
    <w:rsid w:val="00965FAE"/>
    <w:rsid w:val="00966092"/>
    <w:rsid w:val="009662AF"/>
    <w:rsid w:val="00966332"/>
    <w:rsid w:val="0096642D"/>
    <w:rsid w:val="009664E8"/>
    <w:rsid w:val="009665A4"/>
    <w:rsid w:val="00966671"/>
    <w:rsid w:val="00966C24"/>
    <w:rsid w:val="00966D71"/>
    <w:rsid w:val="00966FE6"/>
    <w:rsid w:val="009670FE"/>
    <w:rsid w:val="00967171"/>
    <w:rsid w:val="009671B1"/>
    <w:rsid w:val="00967587"/>
    <w:rsid w:val="0096764E"/>
    <w:rsid w:val="009676C3"/>
    <w:rsid w:val="00967728"/>
    <w:rsid w:val="009678FF"/>
    <w:rsid w:val="0096791F"/>
    <w:rsid w:val="009679C0"/>
    <w:rsid w:val="00967A7B"/>
    <w:rsid w:val="00967CE3"/>
    <w:rsid w:val="00967CF6"/>
    <w:rsid w:val="00967D42"/>
    <w:rsid w:val="00967E0F"/>
    <w:rsid w:val="00967EB0"/>
    <w:rsid w:val="00967F04"/>
    <w:rsid w:val="0097014A"/>
    <w:rsid w:val="00970186"/>
    <w:rsid w:val="009702CD"/>
    <w:rsid w:val="009702FA"/>
    <w:rsid w:val="00970368"/>
    <w:rsid w:val="009703D3"/>
    <w:rsid w:val="00970420"/>
    <w:rsid w:val="009705F3"/>
    <w:rsid w:val="0097063F"/>
    <w:rsid w:val="00970939"/>
    <w:rsid w:val="0097093B"/>
    <w:rsid w:val="00970E55"/>
    <w:rsid w:val="00970E69"/>
    <w:rsid w:val="00970EB8"/>
    <w:rsid w:val="00970F17"/>
    <w:rsid w:val="00970FC1"/>
    <w:rsid w:val="00970FE6"/>
    <w:rsid w:val="0097105B"/>
    <w:rsid w:val="009710F9"/>
    <w:rsid w:val="00971163"/>
    <w:rsid w:val="00971319"/>
    <w:rsid w:val="00971394"/>
    <w:rsid w:val="00971442"/>
    <w:rsid w:val="009715D5"/>
    <w:rsid w:val="009715E3"/>
    <w:rsid w:val="009717ED"/>
    <w:rsid w:val="00971979"/>
    <w:rsid w:val="00971BA3"/>
    <w:rsid w:val="00971C58"/>
    <w:rsid w:val="00971E1A"/>
    <w:rsid w:val="00972253"/>
    <w:rsid w:val="00972282"/>
    <w:rsid w:val="0097228A"/>
    <w:rsid w:val="009723A3"/>
    <w:rsid w:val="009723C8"/>
    <w:rsid w:val="0097248B"/>
    <w:rsid w:val="00972567"/>
    <w:rsid w:val="00972756"/>
    <w:rsid w:val="009727D0"/>
    <w:rsid w:val="0097295E"/>
    <w:rsid w:val="00972A80"/>
    <w:rsid w:val="00972ACC"/>
    <w:rsid w:val="00972E75"/>
    <w:rsid w:val="00972EF6"/>
    <w:rsid w:val="00972F02"/>
    <w:rsid w:val="00972FA5"/>
    <w:rsid w:val="00973015"/>
    <w:rsid w:val="0097302B"/>
    <w:rsid w:val="00973174"/>
    <w:rsid w:val="009734A0"/>
    <w:rsid w:val="00973612"/>
    <w:rsid w:val="00973661"/>
    <w:rsid w:val="009737D0"/>
    <w:rsid w:val="009738CC"/>
    <w:rsid w:val="00973983"/>
    <w:rsid w:val="009739BA"/>
    <w:rsid w:val="00973B20"/>
    <w:rsid w:val="00973B3C"/>
    <w:rsid w:val="00973D7D"/>
    <w:rsid w:val="00973E6E"/>
    <w:rsid w:val="00973FEB"/>
    <w:rsid w:val="009743DD"/>
    <w:rsid w:val="00974512"/>
    <w:rsid w:val="009746BA"/>
    <w:rsid w:val="00974702"/>
    <w:rsid w:val="0097479E"/>
    <w:rsid w:val="00974824"/>
    <w:rsid w:val="009749F8"/>
    <w:rsid w:val="00974C99"/>
    <w:rsid w:val="00974EBE"/>
    <w:rsid w:val="00974FA6"/>
    <w:rsid w:val="00975011"/>
    <w:rsid w:val="0097520E"/>
    <w:rsid w:val="00975280"/>
    <w:rsid w:val="00975283"/>
    <w:rsid w:val="0097536B"/>
    <w:rsid w:val="0097551B"/>
    <w:rsid w:val="0097560F"/>
    <w:rsid w:val="009756CD"/>
    <w:rsid w:val="00975C3A"/>
    <w:rsid w:val="00975DEC"/>
    <w:rsid w:val="00975E99"/>
    <w:rsid w:val="00976131"/>
    <w:rsid w:val="00976176"/>
    <w:rsid w:val="00976225"/>
    <w:rsid w:val="00976620"/>
    <w:rsid w:val="00976692"/>
    <w:rsid w:val="009766FC"/>
    <w:rsid w:val="00976764"/>
    <w:rsid w:val="00976788"/>
    <w:rsid w:val="009768DB"/>
    <w:rsid w:val="00976AF3"/>
    <w:rsid w:val="00976D98"/>
    <w:rsid w:val="00976E54"/>
    <w:rsid w:val="00976E76"/>
    <w:rsid w:val="00976EAB"/>
    <w:rsid w:val="00976EE8"/>
    <w:rsid w:val="00976F9C"/>
    <w:rsid w:val="009771C5"/>
    <w:rsid w:val="0097741F"/>
    <w:rsid w:val="009774AD"/>
    <w:rsid w:val="009774B1"/>
    <w:rsid w:val="0097759D"/>
    <w:rsid w:val="00977606"/>
    <w:rsid w:val="00977BD8"/>
    <w:rsid w:val="00977E3B"/>
    <w:rsid w:val="00977E51"/>
    <w:rsid w:val="00977FBD"/>
    <w:rsid w:val="00977FF4"/>
    <w:rsid w:val="00980047"/>
    <w:rsid w:val="0098029C"/>
    <w:rsid w:val="009802B8"/>
    <w:rsid w:val="009802E3"/>
    <w:rsid w:val="00980330"/>
    <w:rsid w:val="0098053C"/>
    <w:rsid w:val="00980546"/>
    <w:rsid w:val="009805B6"/>
    <w:rsid w:val="0098069A"/>
    <w:rsid w:val="009807D7"/>
    <w:rsid w:val="00980C2B"/>
    <w:rsid w:val="00980CB0"/>
    <w:rsid w:val="00980E1F"/>
    <w:rsid w:val="00980F7F"/>
    <w:rsid w:val="00980FBF"/>
    <w:rsid w:val="00980FC2"/>
    <w:rsid w:val="00981098"/>
    <w:rsid w:val="00981190"/>
    <w:rsid w:val="009811A6"/>
    <w:rsid w:val="009811CF"/>
    <w:rsid w:val="009811F1"/>
    <w:rsid w:val="00981392"/>
    <w:rsid w:val="009813BF"/>
    <w:rsid w:val="0098181C"/>
    <w:rsid w:val="009819A1"/>
    <w:rsid w:val="00981A1C"/>
    <w:rsid w:val="00981B36"/>
    <w:rsid w:val="00981BFB"/>
    <w:rsid w:val="00981BFC"/>
    <w:rsid w:val="00981C21"/>
    <w:rsid w:val="00981DA1"/>
    <w:rsid w:val="00981DAE"/>
    <w:rsid w:val="00981DBC"/>
    <w:rsid w:val="00981E29"/>
    <w:rsid w:val="00981E9D"/>
    <w:rsid w:val="00981ECD"/>
    <w:rsid w:val="00981EDB"/>
    <w:rsid w:val="00981F2F"/>
    <w:rsid w:val="009820F8"/>
    <w:rsid w:val="00982103"/>
    <w:rsid w:val="009821F3"/>
    <w:rsid w:val="0098240F"/>
    <w:rsid w:val="0098265D"/>
    <w:rsid w:val="009826A6"/>
    <w:rsid w:val="00982950"/>
    <w:rsid w:val="0098299E"/>
    <w:rsid w:val="009829B4"/>
    <w:rsid w:val="009829D3"/>
    <w:rsid w:val="00982B5A"/>
    <w:rsid w:val="00982D02"/>
    <w:rsid w:val="00982DC3"/>
    <w:rsid w:val="00982DCC"/>
    <w:rsid w:val="00982ED5"/>
    <w:rsid w:val="00982FA2"/>
    <w:rsid w:val="00983044"/>
    <w:rsid w:val="009830BD"/>
    <w:rsid w:val="009830C2"/>
    <w:rsid w:val="00983210"/>
    <w:rsid w:val="00983612"/>
    <w:rsid w:val="0098378F"/>
    <w:rsid w:val="0098385A"/>
    <w:rsid w:val="00983887"/>
    <w:rsid w:val="009838FF"/>
    <w:rsid w:val="0098397D"/>
    <w:rsid w:val="00983B86"/>
    <w:rsid w:val="00983C57"/>
    <w:rsid w:val="00983E82"/>
    <w:rsid w:val="00983F4F"/>
    <w:rsid w:val="0098403A"/>
    <w:rsid w:val="00984265"/>
    <w:rsid w:val="009845C5"/>
    <w:rsid w:val="00984916"/>
    <w:rsid w:val="00984ABA"/>
    <w:rsid w:val="00984BD8"/>
    <w:rsid w:val="00984D57"/>
    <w:rsid w:val="00984DC1"/>
    <w:rsid w:val="00984EDD"/>
    <w:rsid w:val="00984EF0"/>
    <w:rsid w:val="00984EFC"/>
    <w:rsid w:val="00984F44"/>
    <w:rsid w:val="0098509A"/>
    <w:rsid w:val="0098526E"/>
    <w:rsid w:val="00985402"/>
    <w:rsid w:val="0098541D"/>
    <w:rsid w:val="009854B9"/>
    <w:rsid w:val="009854DC"/>
    <w:rsid w:val="00985528"/>
    <w:rsid w:val="0098573C"/>
    <w:rsid w:val="0098587E"/>
    <w:rsid w:val="009858BC"/>
    <w:rsid w:val="009859C2"/>
    <w:rsid w:val="00985A4C"/>
    <w:rsid w:val="00985A63"/>
    <w:rsid w:val="00985C22"/>
    <w:rsid w:val="00985D24"/>
    <w:rsid w:val="00985DC9"/>
    <w:rsid w:val="00985EBD"/>
    <w:rsid w:val="00985FE5"/>
    <w:rsid w:val="00986271"/>
    <w:rsid w:val="009862C8"/>
    <w:rsid w:val="0098643D"/>
    <w:rsid w:val="009864EF"/>
    <w:rsid w:val="009865AC"/>
    <w:rsid w:val="00986705"/>
    <w:rsid w:val="0098692E"/>
    <w:rsid w:val="00986999"/>
    <w:rsid w:val="009869ED"/>
    <w:rsid w:val="00986A19"/>
    <w:rsid w:val="00986A44"/>
    <w:rsid w:val="00986AB0"/>
    <w:rsid w:val="00986C20"/>
    <w:rsid w:val="00986C3B"/>
    <w:rsid w:val="00986D51"/>
    <w:rsid w:val="00986F19"/>
    <w:rsid w:val="00986FD6"/>
    <w:rsid w:val="0098709A"/>
    <w:rsid w:val="009871A3"/>
    <w:rsid w:val="00987294"/>
    <w:rsid w:val="009872B6"/>
    <w:rsid w:val="00987308"/>
    <w:rsid w:val="009873C1"/>
    <w:rsid w:val="0098750A"/>
    <w:rsid w:val="00987569"/>
    <w:rsid w:val="009876E3"/>
    <w:rsid w:val="00987AD3"/>
    <w:rsid w:val="00987C01"/>
    <w:rsid w:val="00987CE0"/>
    <w:rsid w:val="00987CE3"/>
    <w:rsid w:val="00987D64"/>
    <w:rsid w:val="00987DFE"/>
    <w:rsid w:val="00987E2D"/>
    <w:rsid w:val="0099003C"/>
    <w:rsid w:val="0099025B"/>
    <w:rsid w:val="009902F5"/>
    <w:rsid w:val="00990561"/>
    <w:rsid w:val="00990759"/>
    <w:rsid w:val="00990892"/>
    <w:rsid w:val="00990C70"/>
    <w:rsid w:val="00990ED8"/>
    <w:rsid w:val="009912DA"/>
    <w:rsid w:val="009913AD"/>
    <w:rsid w:val="0099163F"/>
    <w:rsid w:val="00991740"/>
    <w:rsid w:val="009917E9"/>
    <w:rsid w:val="009917FD"/>
    <w:rsid w:val="00991818"/>
    <w:rsid w:val="00991858"/>
    <w:rsid w:val="00991A17"/>
    <w:rsid w:val="00991C20"/>
    <w:rsid w:val="00991C6E"/>
    <w:rsid w:val="00991E35"/>
    <w:rsid w:val="00991EA9"/>
    <w:rsid w:val="00991F0D"/>
    <w:rsid w:val="00991F84"/>
    <w:rsid w:val="00991FAB"/>
    <w:rsid w:val="0099205E"/>
    <w:rsid w:val="00992130"/>
    <w:rsid w:val="009921C8"/>
    <w:rsid w:val="009922F1"/>
    <w:rsid w:val="009924DE"/>
    <w:rsid w:val="009925A1"/>
    <w:rsid w:val="009926A6"/>
    <w:rsid w:val="00992825"/>
    <w:rsid w:val="00992954"/>
    <w:rsid w:val="0099296F"/>
    <w:rsid w:val="00992BE1"/>
    <w:rsid w:val="00992E7B"/>
    <w:rsid w:val="00992F61"/>
    <w:rsid w:val="009931FE"/>
    <w:rsid w:val="009932F8"/>
    <w:rsid w:val="009933B7"/>
    <w:rsid w:val="009933E7"/>
    <w:rsid w:val="009935F0"/>
    <w:rsid w:val="00993766"/>
    <w:rsid w:val="0099387D"/>
    <w:rsid w:val="00993A00"/>
    <w:rsid w:val="00993B12"/>
    <w:rsid w:val="00993DA6"/>
    <w:rsid w:val="00994118"/>
    <w:rsid w:val="0099432A"/>
    <w:rsid w:val="0099457E"/>
    <w:rsid w:val="00994806"/>
    <w:rsid w:val="00994915"/>
    <w:rsid w:val="00994ECD"/>
    <w:rsid w:val="00995055"/>
    <w:rsid w:val="00995078"/>
    <w:rsid w:val="009952ED"/>
    <w:rsid w:val="00995342"/>
    <w:rsid w:val="009953F9"/>
    <w:rsid w:val="009955BF"/>
    <w:rsid w:val="0099564C"/>
    <w:rsid w:val="0099565F"/>
    <w:rsid w:val="00995831"/>
    <w:rsid w:val="00995835"/>
    <w:rsid w:val="00995891"/>
    <w:rsid w:val="009958CD"/>
    <w:rsid w:val="00995A03"/>
    <w:rsid w:val="00995C58"/>
    <w:rsid w:val="00995D79"/>
    <w:rsid w:val="00995F64"/>
    <w:rsid w:val="00996179"/>
    <w:rsid w:val="00996445"/>
    <w:rsid w:val="00996500"/>
    <w:rsid w:val="00996610"/>
    <w:rsid w:val="00996668"/>
    <w:rsid w:val="0099672E"/>
    <w:rsid w:val="00996A05"/>
    <w:rsid w:val="00996A79"/>
    <w:rsid w:val="00996A81"/>
    <w:rsid w:val="00996B06"/>
    <w:rsid w:val="00996BCE"/>
    <w:rsid w:val="00996C04"/>
    <w:rsid w:val="00996CAC"/>
    <w:rsid w:val="00996D27"/>
    <w:rsid w:val="00996DD2"/>
    <w:rsid w:val="00996E56"/>
    <w:rsid w:val="00997006"/>
    <w:rsid w:val="00997088"/>
    <w:rsid w:val="00997599"/>
    <w:rsid w:val="009976CE"/>
    <w:rsid w:val="009979A9"/>
    <w:rsid w:val="00997B2B"/>
    <w:rsid w:val="00997FAF"/>
    <w:rsid w:val="00997FFC"/>
    <w:rsid w:val="00997FFD"/>
    <w:rsid w:val="009A00A2"/>
    <w:rsid w:val="009A00AA"/>
    <w:rsid w:val="009A0192"/>
    <w:rsid w:val="009A037B"/>
    <w:rsid w:val="009A0496"/>
    <w:rsid w:val="009A04EA"/>
    <w:rsid w:val="009A05A6"/>
    <w:rsid w:val="009A05B8"/>
    <w:rsid w:val="009A05D6"/>
    <w:rsid w:val="009A0614"/>
    <w:rsid w:val="009A06A8"/>
    <w:rsid w:val="009A0725"/>
    <w:rsid w:val="009A0766"/>
    <w:rsid w:val="009A0821"/>
    <w:rsid w:val="009A0910"/>
    <w:rsid w:val="009A092C"/>
    <w:rsid w:val="009A0B7A"/>
    <w:rsid w:val="009A0E9C"/>
    <w:rsid w:val="009A0FC7"/>
    <w:rsid w:val="009A11A2"/>
    <w:rsid w:val="009A12E7"/>
    <w:rsid w:val="009A1409"/>
    <w:rsid w:val="009A1AA4"/>
    <w:rsid w:val="009A1CB7"/>
    <w:rsid w:val="009A1E31"/>
    <w:rsid w:val="009A1E3D"/>
    <w:rsid w:val="009A1FFD"/>
    <w:rsid w:val="009A2012"/>
    <w:rsid w:val="009A20E7"/>
    <w:rsid w:val="009A212E"/>
    <w:rsid w:val="009A2356"/>
    <w:rsid w:val="009A23A5"/>
    <w:rsid w:val="009A23C3"/>
    <w:rsid w:val="009A23F1"/>
    <w:rsid w:val="009A24E4"/>
    <w:rsid w:val="009A25DE"/>
    <w:rsid w:val="009A2648"/>
    <w:rsid w:val="009A2746"/>
    <w:rsid w:val="009A283C"/>
    <w:rsid w:val="009A2A2C"/>
    <w:rsid w:val="009A2AF3"/>
    <w:rsid w:val="009A2D80"/>
    <w:rsid w:val="009A2E66"/>
    <w:rsid w:val="009A3037"/>
    <w:rsid w:val="009A3044"/>
    <w:rsid w:val="009A30D0"/>
    <w:rsid w:val="009A3103"/>
    <w:rsid w:val="009A3249"/>
    <w:rsid w:val="009A338E"/>
    <w:rsid w:val="009A34D2"/>
    <w:rsid w:val="009A3539"/>
    <w:rsid w:val="009A389D"/>
    <w:rsid w:val="009A397C"/>
    <w:rsid w:val="009A3AF4"/>
    <w:rsid w:val="009A3CC6"/>
    <w:rsid w:val="009A3D04"/>
    <w:rsid w:val="009A3D9F"/>
    <w:rsid w:val="009A3DA0"/>
    <w:rsid w:val="009A3E66"/>
    <w:rsid w:val="009A3FC6"/>
    <w:rsid w:val="009A4005"/>
    <w:rsid w:val="009A4152"/>
    <w:rsid w:val="009A41B7"/>
    <w:rsid w:val="009A4235"/>
    <w:rsid w:val="009A4447"/>
    <w:rsid w:val="009A448A"/>
    <w:rsid w:val="009A473E"/>
    <w:rsid w:val="009A4905"/>
    <w:rsid w:val="009A4928"/>
    <w:rsid w:val="009A4996"/>
    <w:rsid w:val="009A49A3"/>
    <w:rsid w:val="009A4A00"/>
    <w:rsid w:val="009A4AFB"/>
    <w:rsid w:val="009A4AFF"/>
    <w:rsid w:val="009A4B2F"/>
    <w:rsid w:val="009A504C"/>
    <w:rsid w:val="009A5258"/>
    <w:rsid w:val="009A528D"/>
    <w:rsid w:val="009A5345"/>
    <w:rsid w:val="009A53C8"/>
    <w:rsid w:val="009A5492"/>
    <w:rsid w:val="009A54F3"/>
    <w:rsid w:val="009A55A9"/>
    <w:rsid w:val="009A5654"/>
    <w:rsid w:val="009A5733"/>
    <w:rsid w:val="009A575C"/>
    <w:rsid w:val="009A5793"/>
    <w:rsid w:val="009A5ADC"/>
    <w:rsid w:val="009A5B75"/>
    <w:rsid w:val="009A5CAC"/>
    <w:rsid w:val="009A5E36"/>
    <w:rsid w:val="009A5F69"/>
    <w:rsid w:val="009A5F84"/>
    <w:rsid w:val="009A5F8E"/>
    <w:rsid w:val="009A6069"/>
    <w:rsid w:val="009A6461"/>
    <w:rsid w:val="009A666E"/>
    <w:rsid w:val="009A6713"/>
    <w:rsid w:val="009A67B4"/>
    <w:rsid w:val="009A6849"/>
    <w:rsid w:val="009A694B"/>
    <w:rsid w:val="009A6A37"/>
    <w:rsid w:val="009A6C6D"/>
    <w:rsid w:val="009A6C9A"/>
    <w:rsid w:val="009A6D7C"/>
    <w:rsid w:val="009A6D81"/>
    <w:rsid w:val="009A6DDA"/>
    <w:rsid w:val="009A702F"/>
    <w:rsid w:val="009A70FE"/>
    <w:rsid w:val="009A741A"/>
    <w:rsid w:val="009A7422"/>
    <w:rsid w:val="009A7423"/>
    <w:rsid w:val="009A74C9"/>
    <w:rsid w:val="009A76A6"/>
    <w:rsid w:val="009A7784"/>
    <w:rsid w:val="009A7A4B"/>
    <w:rsid w:val="009A7A68"/>
    <w:rsid w:val="009A7ADD"/>
    <w:rsid w:val="009A7B05"/>
    <w:rsid w:val="009A7EB5"/>
    <w:rsid w:val="009B05DF"/>
    <w:rsid w:val="009B0639"/>
    <w:rsid w:val="009B06AE"/>
    <w:rsid w:val="009B08FE"/>
    <w:rsid w:val="009B0929"/>
    <w:rsid w:val="009B09CA"/>
    <w:rsid w:val="009B0A89"/>
    <w:rsid w:val="009B0ABE"/>
    <w:rsid w:val="009B0C2B"/>
    <w:rsid w:val="009B0CA8"/>
    <w:rsid w:val="009B0E58"/>
    <w:rsid w:val="009B0EB1"/>
    <w:rsid w:val="009B101B"/>
    <w:rsid w:val="009B1040"/>
    <w:rsid w:val="009B10C5"/>
    <w:rsid w:val="009B1110"/>
    <w:rsid w:val="009B11A7"/>
    <w:rsid w:val="009B11C9"/>
    <w:rsid w:val="009B11E6"/>
    <w:rsid w:val="009B122E"/>
    <w:rsid w:val="009B1233"/>
    <w:rsid w:val="009B12C5"/>
    <w:rsid w:val="009B160A"/>
    <w:rsid w:val="009B16AC"/>
    <w:rsid w:val="009B1892"/>
    <w:rsid w:val="009B1984"/>
    <w:rsid w:val="009B1986"/>
    <w:rsid w:val="009B1DBF"/>
    <w:rsid w:val="009B1E2F"/>
    <w:rsid w:val="009B1E89"/>
    <w:rsid w:val="009B1F16"/>
    <w:rsid w:val="009B1FB7"/>
    <w:rsid w:val="009B20F2"/>
    <w:rsid w:val="009B2197"/>
    <w:rsid w:val="009B24CD"/>
    <w:rsid w:val="009B25C5"/>
    <w:rsid w:val="009B264B"/>
    <w:rsid w:val="009B265B"/>
    <w:rsid w:val="009B277A"/>
    <w:rsid w:val="009B27A7"/>
    <w:rsid w:val="009B2963"/>
    <w:rsid w:val="009B2974"/>
    <w:rsid w:val="009B29EC"/>
    <w:rsid w:val="009B2A27"/>
    <w:rsid w:val="009B2A71"/>
    <w:rsid w:val="009B2AB7"/>
    <w:rsid w:val="009B2EEC"/>
    <w:rsid w:val="009B2F54"/>
    <w:rsid w:val="009B30ED"/>
    <w:rsid w:val="009B33EE"/>
    <w:rsid w:val="009B360A"/>
    <w:rsid w:val="009B3658"/>
    <w:rsid w:val="009B3683"/>
    <w:rsid w:val="009B3739"/>
    <w:rsid w:val="009B37FB"/>
    <w:rsid w:val="009B3841"/>
    <w:rsid w:val="009B39D3"/>
    <w:rsid w:val="009B39ED"/>
    <w:rsid w:val="009B3BDB"/>
    <w:rsid w:val="009B3C26"/>
    <w:rsid w:val="009B3EE8"/>
    <w:rsid w:val="009B3F52"/>
    <w:rsid w:val="009B4186"/>
    <w:rsid w:val="009B42D7"/>
    <w:rsid w:val="009B42E8"/>
    <w:rsid w:val="009B43EE"/>
    <w:rsid w:val="009B444A"/>
    <w:rsid w:val="009B4543"/>
    <w:rsid w:val="009B45EB"/>
    <w:rsid w:val="009B46A9"/>
    <w:rsid w:val="009B46EC"/>
    <w:rsid w:val="009B477B"/>
    <w:rsid w:val="009B48F4"/>
    <w:rsid w:val="009B4939"/>
    <w:rsid w:val="009B4A54"/>
    <w:rsid w:val="009B4B2F"/>
    <w:rsid w:val="009B4C23"/>
    <w:rsid w:val="009B4DBB"/>
    <w:rsid w:val="009B4F1F"/>
    <w:rsid w:val="009B4F28"/>
    <w:rsid w:val="009B4F83"/>
    <w:rsid w:val="009B4FC9"/>
    <w:rsid w:val="009B50D2"/>
    <w:rsid w:val="009B5408"/>
    <w:rsid w:val="009B57B3"/>
    <w:rsid w:val="009B5832"/>
    <w:rsid w:val="009B58D3"/>
    <w:rsid w:val="009B58D7"/>
    <w:rsid w:val="009B5B4E"/>
    <w:rsid w:val="009B5BE7"/>
    <w:rsid w:val="009B5C9E"/>
    <w:rsid w:val="009B5D1C"/>
    <w:rsid w:val="009B5E4E"/>
    <w:rsid w:val="009B60D3"/>
    <w:rsid w:val="009B616B"/>
    <w:rsid w:val="009B643F"/>
    <w:rsid w:val="009B662C"/>
    <w:rsid w:val="009B66CF"/>
    <w:rsid w:val="009B6728"/>
    <w:rsid w:val="009B6863"/>
    <w:rsid w:val="009B6940"/>
    <w:rsid w:val="009B6A37"/>
    <w:rsid w:val="009B6AA9"/>
    <w:rsid w:val="009B6BC6"/>
    <w:rsid w:val="009B6C2D"/>
    <w:rsid w:val="009B6E26"/>
    <w:rsid w:val="009B6EF6"/>
    <w:rsid w:val="009B6F34"/>
    <w:rsid w:val="009B71C1"/>
    <w:rsid w:val="009B78AF"/>
    <w:rsid w:val="009B78D4"/>
    <w:rsid w:val="009B7A95"/>
    <w:rsid w:val="009B7B62"/>
    <w:rsid w:val="009B7B70"/>
    <w:rsid w:val="009B7C00"/>
    <w:rsid w:val="009B7D6D"/>
    <w:rsid w:val="009B7E8D"/>
    <w:rsid w:val="009C00EE"/>
    <w:rsid w:val="009C011F"/>
    <w:rsid w:val="009C018E"/>
    <w:rsid w:val="009C0276"/>
    <w:rsid w:val="009C03CF"/>
    <w:rsid w:val="009C0498"/>
    <w:rsid w:val="009C04A7"/>
    <w:rsid w:val="009C06AC"/>
    <w:rsid w:val="009C0930"/>
    <w:rsid w:val="009C0B72"/>
    <w:rsid w:val="009C0D55"/>
    <w:rsid w:val="009C0FB1"/>
    <w:rsid w:val="009C109A"/>
    <w:rsid w:val="009C10A2"/>
    <w:rsid w:val="009C10B6"/>
    <w:rsid w:val="009C1227"/>
    <w:rsid w:val="009C13B1"/>
    <w:rsid w:val="009C1601"/>
    <w:rsid w:val="009C1662"/>
    <w:rsid w:val="009C166A"/>
    <w:rsid w:val="009C17E1"/>
    <w:rsid w:val="009C1A78"/>
    <w:rsid w:val="009C1C30"/>
    <w:rsid w:val="009C1CD7"/>
    <w:rsid w:val="009C1D29"/>
    <w:rsid w:val="009C1DC2"/>
    <w:rsid w:val="009C1E1F"/>
    <w:rsid w:val="009C1E67"/>
    <w:rsid w:val="009C1EDA"/>
    <w:rsid w:val="009C1F20"/>
    <w:rsid w:val="009C2135"/>
    <w:rsid w:val="009C21C2"/>
    <w:rsid w:val="009C2352"/>
    <w:rsid w:val="009C2C04"/>
    <w:rsid w:val="009C2CED"/>
    <w:rsid w:val="009C2CF5"/>
    <w:rsid w:val="009C2DF7"/>
    <w:rsid w:val="009C2E93"/>
    <w:rsid w:val="009C30B5"/>
    <w:rsid w:val="009C32E6"/>
    <w:rsid w:val="009C3527"/>
    <w:rsid w:val="009C35BF"/>
    <w:rsid w:val="009C37BA"/>
    <w:rsid w:val="009C39EC"/>
    <w:rsid w:val="009C3B02"/>
    <w:rsid w:val="009C3C4C"/>
    <w:rsid w:val="009C3DF6"/>
    <w:rsid w:val="009C408F"/>
    <w:rsid w:val="009C415C"/>
    <w:rsid w:val="009C4219"/>
    <w:rsid w:val="009C421A"/>
    <w:rsid w:val="009C42B5"/>
    <w:rsid w:val="009C4378"/>
    <w:rsid w:val="009C43F9"/>
    <w:rsid w:val="009C4549"/>
    <w:rsid w:val="009C46CF"/>
    <w:rsid w:val="009C4722"/>
    <w:rsid w:val="009C47C2"/>
    <w:rsid w:val="009C47D9"/>
    <w:rsid w:val="009C48C5"/>
    <w:rsid w:val="009C4C76"/>
    <w:rsid w:val="009C4C8C"/>
    <w:rsid w:val="009C4D23"/>
    <w:rsid w:val="009C5014"/>
    <w:rsid w:val="009C515A"/>
    <w:rsid w:val="009C52BB"/>
    <w:rsid w:val="009C535E"/>
    <w:rsid w:val="009C5369"/>
    <w:rsid w:val="009C5392"/>
    <w:rsid w:val="009C54C4"/>
    <w:rsid w:val="009C5615"/>
    <w:rsid w:val="009C57B6"/>
    <w:rsid w:val="009C57EE"/>
    <w:rsid w:val="009C5B9E"/>
    <w:rsid w:val="009C5D48"/>
    <w:rsid w:val="009C5DDB"/>
    <w:rsid w:val="009C5F0D"/>
    <w:rsid w:val="009C5F9A"/>
    <w:rsid w:val="009C6062"/>
    <w:rsid w:val="009C6164"/>
    <w:rsid w:val="009C631C"/>
    <w:rsid w:val="009C6547"/>
    <w:rsid w:val="009C65C3"/>
    <w:rsid w:val="009C6683"/>
    <w:rsid w:val="009C68C7"/>
    <w:rsid w:val="009C6979"/>
    <w:rsid w:val="009C6B76"/>
    <w:rsid w:val="009C6DCF"/>
    <w:rsid w:val="009C6FD9"/>
    <w:rsid w:val="009C7017"/>
    <w:rsid w:val="009C70FA"/>
    <w:rsid w:val="009C7106"/>
    <w:rsid w:val="009C71C4"/>
    <w:rsid w:val="009C724A"/>
    <w:rsid w:val="009C72B8"/>
    <w:rsid w:val="009C7474"/>
    <w:rsid w:val="009C775F"/>
    <w:rsid w:val="009C7859"/>
    <w:rsid w:val="009C7877"/>
    <w:rsid w:val="009C78FC"/>
    <w:rsid w:val="009C7A76"/>
    <w:rsid w:val="009C7B85"/>
    <w:rsid w:val="009C7C93"/>
    <w:rsid w:val="009C7D12"/>
    <w:rsid w:val="009C7DBE"/>
    <w:rsid w:val="009C7EA2"/>
    <w:rsid w:val="009D0153"/>
    <w:rsid w:val="009D01DC"/>
    <w:rsid w:val="009D023F"/>
    <w:rsid w:val="009D0350"/>
    <w:rsid w:val="009D0371"/>
    <w:rsid w:val="009D0379"/>
    <w:rsid w:val="009D0440"/>
    <w:rsid w:val="009D06E3"/>
    <w:rsid w:val="009D07C5"/>
    <w:rsid w:val="009D07F8"/>
    <w:rsid w:val="009D090A"/>
    <w:rsid w:val="009D0A44"/>
    <w:rsid w:val="009D0CBB"/>
    <w:rsid w:val="009D0CD8"/>
    <w:rsid w:val="009D0D86"/>
    <w:rsid w:val="009D0F1D"/>
    <w:rsid w:val="009D0F4E"/>
    <w:rsid w:val="009D109F"/>
    <w:rsid w:val="009D11AD"/>
    <w:rsid w:val="009D129D"/>
    <w:rsid w:val="009D132A"/>
    <w:rsid w:val="009D14A5"/>
    <w:rsid w:val="009D15F9"/>
    <w:rsid w:val="009D17C0"/>
    <w:rsid w:val="009D1A7E"/>
    <w:rsid w:val="009D1B8E"/>
    <w:rsid w:val="009D1F48"/>
    <w:rsid w:val="009D1F54"/>
    <w:rsid w:val="009D1FF1"/>
    <w:rsid w:val="009D2053"/>
    <w:rsid w:val="009D2130"/>
    <w:rsid w:val="009D2168"/>
    <w:rsid w:val="009D2274"/>
    <w:rsid w:val="009D23F1"/>
    <w:rsid w:val="009D250E"/>
    <w:rsid w:val="009D2670"/>
    <w:rsid w:val="009D27AF"/>
    <w:rsid w:val="009D27FF"/>
    <w:rsid w:val="009D28E2"/>
    <w:rsid w:val="009D2968"/>
    <w:rsid w:val="009D29E8"/>
    <w:rsid w:val="009D2A16"/>
    <w:rsid w:val="009D2A32"/>
    <w:rsid w:val="009D2ED0"/>
    <w:rsid w:val="009D317D"/>
    <w:rsid w:val="009D3295"/>
    <w:rsid w:val="009D32EC"/>
    <w:rsid w:val="009D330D"/>
    <w:rsid w:val="009D3404"/>
    <w:rsid w:val="009D354D"/>
    <w:rsid w:val="009D359D"/>
    <w:rsid w:val="009D375B"/>
    <w:rsid w:val="009D3962"/>
    <w:rsid w:val="009D39F2"/>
    <w:rsid w:val="009D3A79"/>
    <w:rsid w:val="009D3D1F"/>
    <w:rsid w:val="009D3E66"/>
    <w:rsid w:val="009D408B"/>
    <w:rsid w:val="009D41E1"/>
    <w:rsid w:val="009D42AD"/>
    <w:rsid w:val="009D4327"/>
    <w:rsid w:val="009D46AA"/>
    <w:rsid w:val="009D4728"/>
    <w:rsid w:val="009D4896"/>
    <w:rsid w:val="009D4996"/>
    <w:rsid w:val="009D4A38"/>
    <w:rsid w:val="009D4A9E"/>
    <w:rsid w:val="009D4D05"/>
    <w:rsid w:val="009D4DDC"/>
    <w:rsid w:val="009D4EE9"/>
    <w:rsid w:val="009D4FA8"/>
    <w:rsid w:val="009D507E"/>
    <w:rsid w:val="009D50A2"/>
    <w:rsid w:val="009D50AE"/>
    <w:rsid w:val="009D50E0"/>
    <w:rsid w:val="009D51A1"/>
    <w:rsid w:val="009D526C"/>
    <w:rsid w:val="009D53CA"/>
    <w:rsid w:val="009D54FE"/>
    <w:rsid w:val="009D5891"/>
    <w:rsid w:val="009D591B"/>
    <w:rsid w:val="009D5ACD"/>
    <w:rsid w:val="009D5B2D"/>
    <w:rsid w:val="009D5B49"/>
    <w:rsid w:val="009D5C4F"/>
    <w:rsid w:val="009D5E23"/>
    <w:rsid w:val="009D5E82"/>
    <w:rsid w:val="009D6118"/>
    <w:rsid w:val="009D62A0"/>
    <w:rsid w:val="009D6536"/>
    <w:rsid w:val="009D6738"/>
    <w:rsid w:val="009D6854"/>
    <w:rsid w:val="009D6953"/>
    <w:rsid w:val="009D695D"/>
    <w:rsid w:val="009D6A26"/>
    <w:rsid w:val="009D6FD1"/>
    <w:rsid w:val="009D6FDB"/>
    <w:rsid w:val="009D706A"/>
    <w:rsid w:val="009D70CB"/>
    <w:rsid w:val="009D71B1"/>
    <w:rsid w:val="009D724C"/>
    <w:rsid w:val="009D748D"/>
    <w:rsid w:val="009D75B3"/>
    <w:rsid w:val="009D7630"/>
    <w:rsid w:val="009D76FE"/>
    <w:rsid w:val="009D779F"/>
    <w:rsid w:val="009D7872"/>
    <w:rsid w:val="009D7926"/>
    <w:rsid w:val="009D799C"/>
    <w:rsid w:val="009D7AAB"/>
    <w:rsid w:val="009D7CC7"/>
    <w:rsid w:val="009D7CF0"/>
    <w:rsid w:val="009D7F1F"/>
    <w:rsid w:val="009E0067"/>
    <w:rsid w:val="009E010A"/>
    <w:rsid w:val="009E0207"/>
    <w:rsid w:val="009E0233"/>
    <w:rsid w:val="009E0272"/>
    <w:rsid w:val="009E048C"/>
    <w:rsid w:val="009E04A0"/>
    <w:rsid w:val="009E05A3"/>
    <w:rsid w:val="009E0712"/>
    <w:rsid w:val="009E0999"/>
    <w:rsid w:val="009E0A57"/>
    <w:rsid w:val="009E0D89"/>
    <w:rsid w:val="009E0DB7"/>
    <w:rsid w:val="009E0E30"/>
    <w:rsid w:val="009E0E98"/>
    <w:rsid w:val="009E0EF5"/>
    <w:rsid w:val="009E0FA5"/>
    <w:rsid w:val="009E110D"/>
    <w:rsid w:val="009E1132"/>
    <w:rsid w:val="009E11FA"/>
    <w:rsid w:val="009E1397"/>
    <w:rsid w:val="009E1417"/>
    <w:rsid w:val="009E1689"/>
    <w:rsid w:val="009E1733"/>
    <w:rsid w:val="009E174C"/>
    <w:rsid w:val="009E1785"/>
    <w:rsid w:val="009E1890"/>
    <w:rsid w:val="009E1C39"/>
    <w:rsid w:val="009E1D2C"/>
    <w:rsid w:val="009E1DD6"/>
    <w:rsid w:val="009E1E90"/>
    <w:rsid w:val="009E1F27"/>
    <w:rsid w:val="009E2010"/>
    <w:rsid w:val="009E2160"/>
    <w:rsid w:val="009E2262"/>
    <w:rsid w:val="009E22B8"/>
    <w:rsid w:val="009E2324"/>
    <w:rsid w:val="009E23A5"/>
    <w:rsid w:val="009E24D4"/>
    <w:rsid w:val="009E2561"/>
    <w:rsid w:val="009E2686"/>
    <w:rsid w:val="009E28E6"/>
    <w:rsid w:val="009E2DF1"/>
    <w:rsid w:val="009E2E19"/>
    <w:rsid w:val="009E2FFA"/>
    <w:rsid w:val="009E315E"/>
    <w:rsid w:val="009E3181"/>
    <w:rsid w:val="009E3230"/>
    <w:rsid w:val="009E3418"/>
    <w:rsid w:val="009E370C"/>
    <w:rsid w:val="009E3732"/>
    <w:rsid w:val="009E3AE3"/>
    <w:rsid w:val="009E3D3E"/>
    <w:rsid w:val="009E3D86"/>
    <w:rsid w:val="009E3EC3"/>
    <w:rsid w:val="009E3FAC"/>
    <w:rsid w:val="009E4015"/>
    <w:rsid w:val="009E40B2"/>
    <w:rsid w:val="009E40BF"/>
    <w:rsid w:val="009E411C"/>
    <w:rsid w:val="009E4201"/>
    <w:rsid w:val="009E429A"/>
    <w:rsid w:val="009E432A"/>
    <w:rsid w:val="009E435B"/>
    <w:rsid w:val="009E4384"/>
    <w:rsid w:val="009E44E7"/>
    <w:rsid w:val="009E4685"/>
    <w:rsid w:val="009E474B"/>
    <w:rsid w:val="009E48AF"/>
    <w:rsid w:val="009E48CE"/>
    <w:rsid w:val="009E491E"/>
    <w:rsid w:val="009E4A84"/>
    <w:rsid w:val="009E4ACC"/>
    <w:rsid w:val="009E4B1F"/>
    <w:rsid w:val="009E4C26"/>
    <w:rsid w:val="009E4C70"/>
    <w:rsid w:val="009E4CF4"/>
    <w:rsid w:val="009E4DE2"/>
    <w:rsid w:val="009E4F1A"/>
    <w:rsid w:val="009E4F21"/>
    <w:rsid w:val="009E4F72"/>
    <w:rsid w:val="009E5065"/>
    <w:rsid w:val="009E51DA"/>
    <w:rsid w:val="009E52A2"/>
    <w:rsid w:val="009E52B5"/>
    <w:rsid w:val="009E53E0"/>
    <w:rsid w:val="009E54DE"/>
    <w:rsid w:val="009E553C"/>
    <w:rsid w:val="009E55CF"/>
    <w:rsid w:val="009E563F"/>
    <w:rsid w:val="009E5677"/>
    <w:rsid w:val="009E57AE"/>
    <w:rsid w:val="009E582D"/>
    <w:rsid w:val="009E5889"/>
    <w:rsid w:val="009E5ACB"/>
    <w:rsid w:val="009E5BD6"/>
    <w:rsid w:val="009E5CB2"/>
    <w:rsid w:val="009E5EC1"/>
    <w:rsid w:val="009E6101"/>
    <w:rsid w:val="009E6170"/>
    <w:rsid w:val="009E62A4"/>
    <w:rsid w:val="009E62FD"/>
    <w:rsid w:val="009E6365"/>
    <w:rsid w:val="009E63A3"/>
    <w:rsid w:val="009E63B3"/>
    <w:rsid w:val="009E650D"/>
    <w:rsid w:val="009E65CF"/>
    <w:rsid w:val="009E66B6"/>
    <w:rsid w:val="009E6944"/>
    <w:rsid w:val="009E6A78"/>
    <w:rsid w:val="009E6D6E"/>
    <w:rsid w:val="009E705F"/>
    <w:rsid w:val="009E71A2"/>
    <w:rsid w:val="009E7238"/>
    <w:rsid w:val="009E7378"/>
    <w:rsid w:val="009E7B59"/>
    <w:rsid w:val="009E7B6D"/>
    <w:rsid w:val="009E7BF0"/>
    <w:rsid w:val="009F03F8"/>
    <w:rsid w:val="009F04B1"/>
    <w:rsid w:val="009F052C"/>
    <w:rsid w:val="009F05ED"/>
    <w:rsid w:val="009F0667"/>
    <w:rsid w:val="009F0680"/>
    <w:rsid w:val="009F071E"/>
    <w:rsid w:val="009F0838"/>
    <w:rsid w:val="009F08F0"/>
    <w:rsid w:val="009F0985"/>
    <w:rsid w:val="009F0AEB"/>
    <w:rsid w:val="009F0C72"/>
    <w:rsid w:val="009F0E4D"/>
    <w:rsid w:val="009F0EB5"/>
    <w:rsid w:val="009F1080"/>
    <w:rsid w:val="009F1094"/>
    <w:rsid w:val="009F10A9"/>
    <w:rsid w:val="009F115C"/>
    <w:rsid w:val="009F1230"/>
    <w:rsid w:val="009F123B"/>
    <w:rsid w:val="009F129B"/>
    <w:rsid w:val="009F14BC"/>
    <w:rsid w:val="009F14FE"/>
    <w:rsid w:val="009F1525"/>
    <w:rsid w:val="009F1677"/>
    <w:rsid w:val="009F1694"/>
    <w:rsid w:val="009F1B2A"/>
    <w:rsid w:val="009F1D0C"/>
    <w:rsid w:val="009F1DB4"/>
    <w:rsid w:val="009F1DDC"/>
    <w:rsid w:val="009F2006"/>
    <w:rsid w:val="009F202D"/>
    <w:rsid w:val="009F2053"/>
    <w:rsid w:val="009F2183"/>
    <w:rsid w:val="009F23EB"/>
    <w:rsid w:val="009F2554"/>
    <w:rsid w:val="009F2629"/>
    <w:rsid w:val="009F26ED"/>
    <w:rsid w:val="009F2893"/>
    <w:rsid w:val="009F28BE"/>
    <w:rsid w:val="009F2948"/>
    <w:rsid w:val="009F29A4"/>
    <w:rsid w:val="009F2BDA"/>
    <w:rsid w:val="009F2C45"/>
    <w:rsid w:val="009F2DD4"/>
    <w:rsid w:val="009F2E49"/>
    <w:rsid w:val="009F2E7B"/>
    <w:rsid w:val="009F2F72"/>
    <w:rsid w:val="009F3115"/>
    <w:rsid w:val="009F314C"/>
    <w:rsid w:val="009F3153"/>
    <w:rsid w:val="009F32A6"/>
    <w:rsid w:val="009F32E1"/>
    <w:rsid w:val="009F32EC"/>
    <w:rsid w:val="009F3305"/>
    <w:rsid w:val="009F36A6"/>
    <w:rsid w:val="009F3713"/>
    <w:rsid w:val="009F37B4"/>
    <w:rsid w:val="009F3B1C"/>
    <w:rsid w:val="009F3B42"/>
    <w:rsid w:val="009F3C0C"/>
    <w:rsid w:val="009F3E48"/>
    <w:rsid w:val="009F3FC2"/>
    <w:rsid w:val="009F4090"/>
    <w:rsid w:val="009F41B3"/>
    <w:rsid w:val="009F41D2"/>
    <w:rsid w:val="009F42FF"/>
    <w:rsid w:val="009F44D1"/>
    <w:rsid w:val="009F45CD"/>
    <w:rsid w:val="009F4626"/>
    <w:rsid w:val="009F4786"/>
    <w:rsid w:val="009F47BE"/>
    <w:rsid w:val="009F4B50"/>
    <w:rsid w:val="009F4BA3"/>
    <w:rsid w:val="009F4DB0"/>
    <w:rsid w:val="009F4F97"/>
    <w:rsid w:val="009F4FA1"/>
    <w:rsid w:val="009F508E"/>
    <w:rsid w:val="009F514E"/>
    <w:rsid w:val="009F5170"/>
    <w:rsid w:val="009F526C"/>
    <w:rsid w:val="009F5291"/>
    <w:rsid w:val="009F52E7"/>
    <w:rsid w:val="009F539C"/>
    <w:rsid w:val="009F56D3"/>
    <w:rsid w:val="009F5868"/>
    <w:rsid w:val="009F5956"/>
    <w:rsid w:val="009F5C42"/>
    <w:rsid w:val="009F5C5B"/>
    <w:rsid w:val="009F5D3C"/>
    <w:rsid w:val="009F5E4D"/>
    <w:rsid w:val="009F5EFC"/>
    <w:rsid w:val="009F601C"/>
    <w:rsid w:val="009F6164"/>
    <w:rsid w:val="009F61A8"/>
    <w:rsid w:val="009F6360"/>
    <w:rsid w:val="009F6431"/>
    <w:rsid w:val="009F648C"/>
    <w:rsid w:val="009F64D6"/>
    <w:rsid w:val="009F65D3"/>
    <w:rsid w:val="009F6611"/>
    <w:rsid w:val="009F67AA"/>
    <w:rsid w:val="009F67D1"/>
    <w:rsid w:val="009F67E5"/>
    <w:rsid w:val="009F682E"/>
    <w:rsid w:val="009F6875"/>
    <w:rsid w:val="009F689B"/>
    <w:rsid w:val="009F693C"/>
    <w:rsid w:val="009F6976"/>
    <w:rsid w:val="009F69F4"/>
    <w:rsid w:val="009F6A63"/>
    <w:rsid w:val="009F6B24"/>
    <w:rsid w:val="009F6C08"/>
    <w:rsid w:val="009F6E86"/>
    <w:rsid w:val="009F6EE2"/>
    <w:rsid w:val="009F716B"/>
    <w:rsid w:val="009F71C3"/>
    <w:rsid w:val="009F71FB"/>
    <w:rsid w:val="009F7244"/>
    <w:rsid w:val="009F73C2"/>
    <w:rsid w:val="009F7417"/>
    <w:rsid w:val="009F7504"/>
    <w:rsid w:val="009F7537"/>
    <w:rsid w:val="009F75E4"/>
    <w:rsid w:val="009F770B"/>
    <w:rsid w:val="009F7763"/>
    <w:rsid w:val="009F78B7"/>
    <w:rsid w:val="009F7B25"/>
    <w:rsid w:val="009F7C85"/>
    <w:rsid w:val="009F7D1C"/>
    <w:rsid w:val="009F7D63"/>
    <w:rsid w:val="009F7F54"/>
    <w:rsid w:val="00A00273"/>
    <w:rsid w:val="00A00422"/>
    <w:rsid w:val="00A0048A"/>
    <w:rsid w:val="00A004CB"/>
    <w:rsid w:val="00A005C3"/>
    <w:rsid w:val="00A00713"/>
    <w:rsid w:val="00A0073E"/>
    <w:rsid w:val="00A008A8"/>
    <w:rsid w:val="00A00935"/>
    <w:rsid w:val="00A009EA"/>
    <w:rsid w:val="00A00A2D"/>
    <w:rsid w:val="00A00CF9"/>
    <w:rsid w:val="00A00D4C"/>
    <w:rsid w:val="00A011F2"/>
    <w:rsid w:val="00A013D5"/>
    <w:rsid w:val="00A016E7"/>
    <w:rsid w:val="00A0182A"/>
    <w:rsid w:val="00A01957"/>
    <w:rsid w:val="00A01968"/>
    <w:rsid w:val="00A01AB6"/>
    <w:rsid w:val="00A01B54"/>
    <w:rsid w:val="00A01D22"/>
    <w:rsid w:val="00A01D56"/>
    <w:rsid w:val="00A01E32"/>
    <w:rsid w:val="00A01F6B"/>
    <w:rsid w:val="00A01F8E"/>
    <w:rsid w:val="00A020AF"/>
    <w:rsid w:val="00A020F2"/>
    <w:rsid w:val="00A02243"/>
    <w:rsid w:val="00A0225A"/>
    <w:rsid w:val="00A02474"/>
    <w:rsid w:val="00A02499"/>
    <w:rsid w:val="00A02569"/>
    <w:rsid w:val="00A025FF"/>
    <w:rsid w:val="00A027C9"/>
    <w:rsid w:val="00A0286E"/>
    <w:rsid w:val="00A0297A"/>
    <w:rsid w:val="00A02B2A"/>
    <w:rsid w:val="00A02BC8"/>
    <w:rsid w:val="00A02C14"/>
    <w:rsid w:val="00A02C3F"/>
    <w:rsid w:val="00A02C99"/>
    <w:rsid w:val="00A02FA2"/>
    <w:rsid w:val="00A03241"/>
    <w:rsid w:val="00A032D9"/>
    <w:rsid w:val="00A03334"/>
    <w:rsid w:val="00A033E2"/>
    <w:rsid w:val="00A0341C"/>
    <w:rsid w:val="00A034D2"/>
    <w:rsid w:val="00A0362D"/>
    <w:rsid w:val="00A03768"/>
    <w:rsid w:val="00A0399B"/>
    <w:rsid w:val="00A039A8"/>
    <w:rsid w:val="00A03BF6"/>
    <w:rsid w:val="00A03D1D"/>
    <w:rsid w:val="00A03E70"/>
    <w:rsid w:val="00A03E9A"/>
    <w:rsid w:val="00A04011"/>
    <w:rsid w:val="00A04077"/>
    <w:rsid w:val="00A04079"/>
    <w:rsid w:val="00A04082"/>
    <w:rsid w:val="00A04410"/>
    <w:rsid w:val="00A045F6"/>
    <w:rsid w:val="00A046F3"/>
    <w:rsid w:val="00A047B5"/>
    <w:rsid w:val="00A04862"/>
    <w:rsid w:val="00A0486E"/>
    <w:rsid w:val="00A049F3"/>
    <w:rsid w:val="00A04A08"/>
    <w:rsid w:val="00A04A1A"/>
    <w:rsid w:val="00A04AE1"/>
    <w:rsid w:val="00A04D57"/>
    <w:rsid w:val="00A05028"/>
    <w:rsid w:val="00A05079"/>
    <w:rsid w:val="00A05081"/>
    <w:rsid w:val="00A0543F"/>
    <w:rsid w:val="00A0571A"/>
    <w:rsid w:val="00A05863"/>
    <w:rsid w:val="00A05D9E"/>
    <w:rsid w:val="00A05E97"/>
    <w:rsid w:val="00A060A7"/>
    <w:rsid w:val="00A06261"/>
    <w:rsid w:val="00A06299"/>
    <w:rsid w:val="00A06418"/>
    <w:rsid w:val="00A064CB"/>
    <w:rsid w:val="00A064FF"/>
    <w:rsid w:val="00A065B5"/>
    <w:rsid w:val="00A066F7"/>
    <w:rsid w:val="00A06A2C"/>
    <w:rsid w:val="00A06B51"/>
    <w:rsid w:val="00A06C95"/>
    <w:rsid w:val="00A06D7B"/>
    <w:rsid w:val="00A06E15"/>
    <w:rsid w:val="00A073C7"/>
    <w:rsid w:val="00A07607"/>
    <w:rsid w:val="00A07750"/>
    <w:rsid w:val="00A07751"/>
    <w:rsid w:val="00A078A4"/>
    <w:rsid w:val="00A078F1"/>
    <w:rsid w:val="00A07A30"/>
    <w:rsid w:val="00A07AAE"/>
    <w:rsid w:val="00A07AD8"/>
    <w:rsid w:val="00A07BDC"/>
    <w:rsid w:val="00A07C25"/>
    <w:rsid w:val="00A07F26"/>
    <w:rsid w:val="00A1005D"/>
    <w:rsid w:val="00A1011A"/>
    <w:rsid w:val="00A10340"/>
    <w:rsid w:val="00A10369"/>
    <w:rsid w:val="00A1037A"/>
    <w:rsid w:val="00A10390"/>
    <w:rsid w:val="00A10655"/>
    <w:rsid w:val="00A10746"/>
    <w:rsid w:val="00A10B4C"/>
    <w:rsid w:val="00A10D3C"/>
    <w:rsid w:val="00A10D56"/>
    <w:rsid w:val="00A10EDB"/>
    <w:rsid w:val="00A10F3A"/>
    <w:rsid w:val="00A10FB4"/>
    <w:rsid w:val="00A113BD"/>
    <w:rsid w:val="00A11526"/>
    <w:rsid w:val="00A11629"/>
    <w:rsid w:val="00A1162A"/>
    <w:rsid w:val="00A116D2"/>
    <w:rsid w:val="00A118B7"/>
    <w:rsid w:val="00A1199B"/>
    <w:rsid w:val="00A11A71"/>
    <w:rsid w:val="00A11AE9"/>
    <w:rsid w:val="00A11E5E"/>
    <w:rsid w:val="00A11F4B"/>
    <w:rsid w:val="00A120AE"/>
    <w:rsid w:val="00A12217"/>
    <w:rsid w:val="00A1223E"/>
    <w:rsid w:val="00A122E3"/>
    <w:rsid w:val="00A12660"/>
    <w:rsid w:val="00A126D5"/>
    <w:rsid w:val="00A12737"/>
    <w:rsid w:val="00A1273E"/>
    <w:rsid w:val="00A127C9"/>
    <w:rsid w:val="00A128E7"/>
    <w:rsid w:val="00A1290F"/>
    <w:rsid w:val="00A129D6"/>
    <w:rsid w:val="00A129DD"/>
    <w:rsid w:val="00A12C88"/>
    <w:rsid w:val="00A12DF0"/>
    <w:rsid w:val="00A12FBC"/>
    <w:rsid w:val="00A13017"/>
    <w:rsid w:val="00A13052"/>
    <w:rsid w:val="00A13064"/>
    <w:rsid w:val="00A1334E"/>
    <w:rsid w:val="00A1348A"/>
    <w:rsid w:val="00A1349A"/>
    <w:rsid w:val="00A1385A"/>
    <w:rsid w:val="00A138A0"/>
    <w:rsid w:val="00A138B1"/>
    <w:rsid w:val="00A13979"/>
    <w:rsid w:val="00A13B08"/>
    <w:rsid w:val="00A13C5F"/>
    <w:rsid w:val="00A13C7F"/>
    <w:rsid w:val="00A13E1C"/>
    <w:rsid w:val="00A140D9"/>
    <w:rsid w:val="00A1414D"/>
    <w:rsid w:val="00A14183"/>
    <w:rsid w:val="00A14541"/>
    <w:rsid w:val="00A14579"/>
    <w:rsid w:val="00A147CB"/>
    <w:rsid w:val="00A147E4"/>
    <w:rsid w:val="00A148FF"/>
    <w:rsid w:val="00A1490A"/>
    <w:rsid w:val="00A14AC8"/>
    <w:rsid w:val="00A14B80"/>
    <w:rsid w:val="00A14BE6"/>
    <w:rsid w:val="00A14C3B"/>
    <w:rsid w:val="00A14D7F"/>
    <w:rsid w:val="00A14EF5"/>
    <w:rsid w:val="00A14F0D"/>
    <w:rsid w:val="00A14F59"/>
    <w:rsid w:val="00A14F64"/>
    <w:rsid w:val="00A15209"/>
    <w:rsid w:val="00A1524C"/>
    <w:rsid w:val="00A153D6"/>
    <w:rsid w:val="00A1548B"/>
    <w:rsid w:val="00A15583"/>
    <w:rsid w:val="00A15701"/>
    <w:rsid w:val="00A15954"/>
    <w:rsid w:val="00A15A18"/>
    <w:rsid w:val="00A15ACD"/>
    <w:rsid w:val="00A15AD3"/>
    <w:rsid w:val="00A15B37"/>
    <w:rsid w:val="00A15CFF"/>
    <w:rsid w:val="00A15D4E"/>
    <w:rsid w:val="00A15D60"/>
    <w:rsid w:val="00A15F0B"/>
    <w:rsid w:val="00A16190"/>
    <w:rsid w:val="00A161F0"/>
    <w:rsid w:val="00A16233"/>
    <w:rsid w:val="00A16296"/>
    <w:rsid w:val="00A16299"/>
    <w:rsid w:val="00A16447"/>
    <w:rsid w:val="00A16649"/>
    <w:rsid w:val="00A16765"/>
    <w:rsid w:val="00A167C2"/>
    <w:rsid w:val="00A16827"/>
    <w:rsid w:val="00A16C68"/>
    <w:rsid w:val="00A16CC8"/>
    <w:rsid w:val="00A16F57"/>
    <w:rsid w:val="00A170EC"/>
    <w:rsid w:val="00A17119"/>
    <w:rsid w:val="00A1713E"/>
    <w:rsid w:val="00A173D8"/>
    <w:rsid w:val="00A1750F"/>
    <w:rsid w:val="00A17520"/>
    <w:rsid w:val="00A1767B"/>
    <w:rsid w:val="00A17750"/>
    <w:rsid w:val="00A1775F"/>
    <w:rsid w:val="00A17791"/>
    <w:rsid w:val="00A17931"/>
    <w:rsid w:val="00A179DE"/>
    <w:rsid w:val="00A17D96"/>
    <w:rsid w:val="00A17E83"/>
    <w:rsid w:val="00A20114"/>
    <w:rsid w:val="00A20182"/>
    <w:rsid w:val="00A201C6"/>
    <w:rsid w:val="00A2058C"/>
    <w:rsid w:val="00A209FA"/>
    <w:rsid w:val="00A20B08"/>
    <w:rsid w:val="00A20B27"/>
    <w:rsid w:val="00A20B5C"/>
    <w:rsid w:val="00A20B62"/>
    <w:rsid w:val="00A20C84"/>
    <w:rsid w:val="00A20D9E"/>
    <w:rsid w:val="00A20E67"/>
    <w:rsid w:val="00A20E97"/>
    <w:rsid w:val="00A20F84"/>
    <w:rsid w:val="00A210BE"/>
    <w:rsid w:val="00A21226"/>
    <w:rsid w:val="00A21244"/>
    <w:rsid w:val="00A2126B"/>
    <w:rsid w:val="00A21375"/>
    <w:rsid w:val="00A213B0"/>
    <w:rsid w:val="00A214F0"/>
    <w:rsid w:val="00A216B0"/>
    <w:rsid w:val="00A21726"/>
    <w:rsid w:val="00A218CF"/>
    <w:rsid w:val="00A21929"/>
    <w:rsid w:val="00A21AD7"/>
    <w:rsid w:val="00A21B49"/>
    <w:rsid w:val="00A21CB7"/>
    <w:rsid w:val="00A21F03"/>
    <w:rsid w:val="00A21F45"/>
    <w:rsid w:val="00A21F7C"/>
    <w:rsid w:val="00A220B5"/>
    <w:rsid w:val="00A22264"/>
    <w:rsid w:val="00A22426"/>
    <w:rsid w:val="00A224B6"/>
    <w:rsid w:val="00A22557"/>
    <w:rsid w:val="00A225E1"/>
    <w:rsid w:val="00A22B77"/>
    <w:rsid w:val="00A22BF5"/>
    <w:rsid w:val="00A22D6E"/>
    <w:rsid w:val="00A22F86"/>
    <w:rsid w:val="00A230F3"/>
    <w:rsid w:val="00A2327B"/>
    <w:rsid w:val="00A23291"/>
    <w:rsid w:val="00A23391"/>
    <w:rsid w:val="00A2346C"/>
    <w:rsid w:val="00A238E5"/>
    <w:rsid w:val="00A23979"/>
    <w:rsid w:val="00A23E22"/>
    <w:rsid w:val="00A23E23"/>
    <w:rsid w:val="00A23F60"/>
    <w:rsid w:val="00A24040"/>
    <w:rsid w:val="00A24287"/>
    <w:rsid w:val="00A243F7"/>
    <w:rsid w:val="00A244F6"/>
    <w:rsid w:val="00A2465F"/>
    <w:rsid w:val="00A24755"/>
    <w:rsid w:val="00A24888"/>
    <w:rsid w:val="00A24920"/>
    <w:rsid w:val="00A24981"/>
    <w:rsid w:val="00A24B90"/>
    <w:rsid w:val="00A24C23"/>
    <w:rsid w:val="00A24C6D"/>
    <w:rsid w:val="00A24CC9"/>
    <w:rsid w:val="00A24F39"/>
    <w:rsid w:val="00A252CD"/>
    <w:rsid w:val="00A2552F"/>
    <w:rsid w:val="00A25543"/>
    <w:rsid w:val="00A25659"/>
    <w:rsid w:val="00A256C9"/>
    <w:rsid w:val="00A2589E"/>
    <w:rsid w:val="00A25A62"/>
    <w:rsid w:val="00A25C7F"/>
    <w:rsid w:val="00A25C8B"/>
    <w:rsid w:val="00A25E07"/>
    <w:rsid w:val="00A25E5A"/>
    <w:rsid w:val="00A25F06"/>
    <w:rsid w:val="00A26076"/>
    <w:rsid w:val="00A26130"/>
    <w:rsid w:val="00A26141"/>
    <w:rsid w:val="00A263BC"/>
    <w:rsid w:val="00A26498"/>
    <w:rsid w:val="00A264E0"/>
    <w:rsid w:val="00A264F6"/>
    <w:rsid w:val="00A26524"/>
    <w:rsid w:val="00A265EC"/>
    <w:rsid w:val="00A2662C"/>
    <w:rsid w:val="00A2663B"/>
    <w:rsid w:val="00A26707"/>
    <w:rsid w:val="00A26875"/>
    <w:rsid w:val="00A268FE"/>
    <w:rsid w:val="00A2693D"/>
    <w:rsid w:val="00A26B45"/>
    <w:rsid w:val="00A26C36"/>
    <w:rsid w:val="00A26E7E"/>
    <w:rsid w:val="00A26F30"/>
    <w:rsid w:val="00A26F47"/>
    <w:rsid w:val="00A26F6B"/>
    <w:rsid w:val="00A27265"/>
    <w:rsid w:val="00A273B8"/>
    <w:rsid w:val="00A2767D"/>
    <w:rsid w:val="00A27816"/>
    <w:rsid w:val="00A27848"/>
    <w:rsid w:val="00A278B4"/>
    <w:rsid w:val="00A279C8"/>
    <w:rsid w:val="00A27D13"/>
    <w:rsid w:val="00A27DD0"/>
    <w:rsid w:val="00A27ED5"/>
    <w:rsid w:val="00A27F07"/>
    <w:rsid w:val="00A27F57"/>
    <w:rsid w:val="00A3015A"/>
    <w:rsid w:val="00A30168"/>
    <w:rsid w:val="00A301C3"/>
    <w:rsid w:val="00A302E9"/>
    <w:rsid w:val="00A30374"/>
    <w:rsid w:val="00A30593"/>
    <w:rsid w:val="00A3067C"/>
    <w:rsid w:val="00A3087D"/>
    <w:rsid w:val="00A308C8"/>
    <w:rsid w:val="00A308F1"/>
    <w:rsid w:val="00A30981"/>
    <w:rsid w:val="00A30A7D"/>
    <w:rsid w:val="00A30C57"/>
    <w:rsid w:val="00A30F73"/>
    <w:rsid w:val="00A30FDF"/>
    <w:rsid w:val="00A31180"/>
    <w:rsid w:val="00A31307"/>
    <w:rsid w:val="00A31533"/>
    <w:rsid w:val="00A31609"/>
    <w:rsid w:val="00A31671"/>
    <w:rsid w:val="00A31756"/>
    <w:rsid w:val="00A31903"/>
    <w:rsid w:val="00A3195A"/>
    <w:rsid w:val="00A3197E"/>
    <w:rsid w:val="00A31C26"/>
    <w:rsid w:val="00A31D66"/>
    <w:rsid w:val="00A31E44"/>
    <w:rsid w:val="00A31E6D"/>
    <w:rsid w:val="00A31EAD"/>
    <w:rsid w:val="00A31F08"/>
    <w:rsid w:val="00A31F24"/>
    <w:rsid w:val="00A31FC3"/>
    <w:rsid w:val="00A3256B"/>
    <w:rsid w:val="00A325EC"/>
    <w:rsid w:val="00A32642"/>
    <w:rsid w:val="00A32703"/>
    <w:rsid w:val="00A32730"/>
    <w:rsid w:val="00A327CA"/>
    <w:rsid w:val="00A3280B"/>
    <w:rsid w:val="00A32840"/>
    <w:rsid w:val="00A3294D"/>
    <w:rsid w:val="00A32A8C"/>
    <w:rsid w:val="00A32DB4"/>
    <w:rsid w:val="00A32F09"/>
    <w:rsid w:val="00A3348C"/>
    <w:rsid w:val="00A334C1"/>
    <w:rsid w:val="00A334D7"/>
    <w:rsid w:val="00A334DD"/>
    <w:rsid w:val="00A3352F"/>
    <w:rsid w:val="00A3353D"/>
    <w:rsid w:val="00A3365F"/>
    <w:rsid w:val="00A33907"/>
    <w:rsid w:val="00A33982"/>
    <w:rsid w:val="00A33B25"/>
    <w:rsid w:val="00A33B87"/>
    <w:rsid w:val="00A33BC4"/>
    <w:rsid w:val="00A33C53"/>
    <w:rsid w:val="00A33C81"/>
    <w:rsid w:val="00A33D20"/>
    <w:rsid w:val="00A33D79"/>
    <w:rsid w:val="00A343B6"/>
    <w:rsid w:val="00A345AB"/>
    <w:rsid w:val="00A34625"/>
    <w:rsid w:val="00A3468C"/>
    <w:rsid w:val="00A346C6"/>
    <w:rsid w:val="00A347B6"/>
    <w:rsid w:val="00A349E1"/>
    <w:rsid w:val="00A34A9F"/>
    <w:rsid w:val="00A34DF1"/>
    <w:rsid w:val="00A34ECF"/>
    <w:rsid w:val="00A34F7E"/>
    <w:rsid w:val="00A3501A"/>
    <w:rsid w:val="00A350B4"/>
    <w:rsid w:val="00A352A1"/>
    <w:rsid w:val="00A35461"/>
    <w:rsid w:val="00A35627"/>
    <w:rsid w:val="00A3577B"/>
    <w:rsid w:val="00A357D5"/>
    <w:rsid w:val="00A359D5"/>
    <w:rsid w:val="00A35A3C"/>
    <w:rsid w:val="00A35DBA"/>
    <w:rsid w:val="00A35E89"/>
    <w:rsid w:val="00A360A1"/>
    <w:rsid w:val="00A361F9"/>
    <w:rsid w:val="00A36329"/>
    <w:rsid w:val="00A36371"/>
    <w:rsid w:val="00A36409"/>
    <w:rsid w:val="00A36438"/>
    <w:rsid w:val="00A3666E"/>
    <w:rsid w:val="00A366BB"/>
    <w:rsid w:val="00A3675A"/>
    <w:rsid w:val="00A36808"/>
    <w:rsid w:val="00A368CA"/>
    <w:rsid w:val="00A3693D"/>
    <w:rsid w:val="00A369E8"/>
    <w:rsid w:val="00A36AF1"/>
    <w:rsid w:val="00A36B5A"/>
    <w:rsid w:val="00A36BCC"/>
    <w:rsid w:val="00A36C52"/>
    <w:rsid w:val="00A36CEF"/>
    <w:rsid w:val="00A36D2F"/>
    <w:rsid w:val="00A36E4B"/>
    <w:rsid w:val="00A36EBA"/>
    <w:rsid w:val="00A37032"/>
    <w:rsid w:val="00A3703A"/>
    <w:rsid w:val="00A374BD"/>
    <w:rsid w:val="00A37653"/>
    <w:rsid w:val="00A3769B"/>
    <w:rsid w:val="00A376AB"/>
    <w:rsid w:val="00A37780"/>
    <w:rsid w:val="00A3794C"/>
    <w:rsid w:val="00A37C6C"/>
    <w:rsid w:val="00A37E36"/>
    <w:rsid w:val="00A37F05"/>
    <w:rsid w:val="00A37F36"/>
    <w:rsid w:val="00A37F93"/>
    <w:rsid w:val="00A383C4"/>
    <w:rsid w:val="00A401A9"/>
    <w:rsid w:val="00A401F1"/>
    <w:rsid w:val="00A4067C"/>
    <w:rsid w:val="00A406BA"/>
    <w:rsid w:val="00A406BB"/>
    <w:rsid w:val="00A4070A"/>
    <w:rsid w:val="00A40791"/>
    <w:rsid w:val="00A40795"/>
    <w:rsid w:val="00A407C4"/>
    <w:rsid w:val="00A4087A"/>
    <w:rsid w:val="00A40BCD"/>
    <w:rsid w:val="00A4121D"/>
    <w:rsid w:val="00A41377"/>
    <w:rsid w:val="00A41433"/>
    <w:rsid w:val="00A41549"/>
    <w:rsid w:val="00A41618"/>
    <w:rsid w:val="00A416FD"/>
    <w:rsid w:val="00A41779"/>
    <w:rsid w:val="00A41855"/>
    <w:rsid w:val="00A41909"/>
    <w:rsid w:val="00A41969"/>
    <w:rsid w:val="00A419DC"/>
    <w:rsid w:val="00A41A0A"/>
    <w:rsid w:val="00A41B99"/>
    <w:rsid w:val="00A41CC0"/>
    <w:rsid w:val="00A42081"/>
    <w:rsid w:val="00A42171"/>
    <w:rsid w:val="00A42182"/>
    <w:rsid w:val="00A421E5"/>
    <w:rsid w:val="00A42243"/>
    <w:rsid w:val="00A42259"/>
    <w:rsid w:val="00A426F8"/>
    <w:rsid w:val="00A428EE"/>
    <w:rsid w:val="00A429EC"/>
    <w:rsid w:val="00A429F5"/>
    <w:rsid w:val="00A42A28"/>
    <w:rsid w:val="00A42A5D"/>
    <w:rsid w:val="00A42AF7"/>
    <w:rsid w:val="00A42B1B"/>
    <w:rsid w:val="00A42DF9"/>
    <w:rsid w:val="00A42FC6"/>
    <w:rsid w:val="00A4306A"/>
    <w:rsid w:val="00A430BA"/>
    <w:rsid w:val="00A4343D"/>
    <w:rsid w:val="00A4348F"/>
    <w:rsid w:val="00A435A8"/>
    <w:rsid w:val="00A4398A"/>
    <w:rsid w:val="00A4399E"/>
    <w:rsid w:val="00A43A7A"/>
    <w:rsid w:val="00A43A91"/>
    <w:rsid w:val="00A43AB0"/>
    <w:rsid w:val="00A43B1A"/>
    <w:rsid w:val="00A43B3F"/>
    <w:rsid w:val="00A43B78"/>
    <w:rsid w:val="00A43BB9"/>
    <w:rsid w:val="00A43E6B"/>
    <w:rsid w:val="00A440EC"/>
    <w:rsid w:val="00A44159"/>
    <w:rsid w:val="00A44212"/>
    <w:rsid w:val="00A44315"/>
    <w:rsid w:val="00A4454D"/>
    <w:rsid w:val="00A445AD"/>
    <w:rsid w:val="00A44605"/>
    <w:rsid w:val="00A44622"/>
    <w:rsid w:val="00A44627"/>
    <w:rsid w:val="00A44768"/>
    <w:rsid w:val="00A447AE"/>
    <w:rsid w:val="00A44873"/>
    <w:rsid w:val="00A44B33"/>
    <w:rsid w:val="00A44C17"/>
    <w:rsid w:val="00A44DBA"/>
    <w:rsid w:val="00A44E3F"/>
    <w:rsid w:val="00A44FFF"/>
    <w:rsid w:val="00A4512E"/>
    <w:rsid w:val="00A451F0"/>
    <w:rsid w:val="00A45239"/>
    <w:rsid w:val="00A453DE"/>
    <w:rsid w:val="00A45585"/>
    <w:rsid w:val="00A455A8"/>
    <w:rsid w:val="00A456AE"/>
    <w:rsid w:val="00A458D7"/>
    <w:rsid w:val="00A45968"/>
    <w:rsid w:val="00A45D35"/>
    <w:rsid w:val="00A45FA9"/>
    <w:rsid w:val="00A45FAD"/>
    <w:rsid w:val="00A460C5"/>
    <w:rsid w:val="00A4612D"/>
    <w:rsid w:val="00A46311"/>
    <w:rsid w:val="00A463C7"/>
    <w:rsid w:val="00A463D7"/>
    <w:rsid w:val="00A46463"/>
    <w:rsid w:val="00A4654F"/>
    <w:rsid w:val="00A46596"/>
    <w:rsid w:val="00A4663C"/>
    <w:rsid w:val="00A467AA"/>
    <w:rsid w:val="00A4682B"/>
    <w:rsid w:val="00A468C2"/>
    <w:rsid w:val="00A46CE9"/>
    <w:rsid w:val="00A46F2F"/>
    <w:rsid w:val="00A46F46"/>
    <w:rsid w:val="00A46FB9"/>
    <w:rsid w:val="00A47232"/>
    <w:rsid w:val="00A47340"/>
    <w:rsid w:val="00A4742D"/>
    <w:rsid w:val="00A4747B"/>
    <w:rsid w:val="00A47519"/>
    <w:rsid w:val="00A475C9"/>
    <w:rsid w:val="00A4760C"/>
    <w:rsid w:val="00A476A3"/>
    <w:rsid w:val="00A478BE"/>
    <w:rsid w:val="00A47922"/>
    <w:rsid w:val="00A47969"/>
    <w:rsid w:val="00A47DB5"/>
    <w:rsid w:val="00A500CE"/>
    <w:rsid w:val="00A50352"/>
    <w:rsid w:val="00A5052C"/>
    <w:rsid w:val="00A50577"/>
    <w:rsid w:val="00A5093B"/>
    <w:rsid w:val="00A509AF"/>
    <w:rsid w:val="00A509B7"/>
    <w:rsid w:val="00A509C0"/>
    <w:rsid w:val="00A50CD2"/>
    <w:rsid w:val="00A50EC9"/>
    <w:rsid w:val="00A50EDC"/>
    <w:rsid w:val="00A5117B"/>
    <w:rsid w:val="00A51413"/>
    <w:rsid w:val="00A515BB"/>
    <w:rsid w:val="00A517A2"/>
    <w:rsid w:val="00A51C6D"/>
    <w:rsid w:val="00A51D63"/>
    <w:rsid w:val="00A51F1F"/>
    <w:rsid w:val="00A52174"/>
    <w:rsid w:val="00A5243B"/>
    <w:rsid w:val="00A5247E"/>
    <w:rsid w:val="00A52831"/>
    <w:rsid w:val="00A528D6"/>
    <w:rsid w:val="00A528D9"/>
    <w:rsid w:val="00A52921"/>
    <w:rsid w:val="00A52B27"/>
    <w:rsid w:val="00A52B34"/>
    <w:rsid w:val="00A52BB1"/>
    <w:rsid w:val="00A52D0C"/>
    <w:rsid w:val="00A52E2F"/>
    <w:rsid w:val="00A5342D"/>
    <w:rsid w:val="00A53720"/>
    <w:rsid w:val="00A53770"/>
    <w:rsid w:val="00A5377C"/>
    <w:rsid w:val="00A5377F"/>
    <w:rsid w:val="00A538A9"/>
    <w:rsid w:val="00A53945"/>
    <w:rsid w:val="00A53A09"/>
    <w:rsid w:val="00A53A92"/>
    <w:rsid w:val="00A53A94"/>
    <w:rsid w:val="00A53E6E"/>
    <w:rsid w:val="00A53FEC"/>
    <w:rsid w:val="00A54015"/>
    <w:rsid w:val="00A54016"/>
    <w:rsid w:val="00A5431B"/>
    <w:rsid w:val="00A54476"/>
    <w:rsid w:val="00A544DE"/>
    <w:rsid w:val="00A54590"/>
    <w:rsid w:val="00A5471E"/>
    <w:rsid w:val="00A5471F"/>
    <w:rsid w:val="00A54736"/>
    <w:rsid w:val="00A5474F"/>
    <w:rsid w:val="00A5485B"/>
    <w:rsid w:val="00A54957"/>
    <w:rsid w:val="00A549D1"/>
    <w:rsid w:val="00A54C26"/>
    <w:rsid w:val="00A54D85"/>
    <w:rsid w:val="00A54D9E"/>
    <w:rsid w:val="00A54E0B"/>
    <w:rsid w:val="00A55277"/>
    <w:rsid w:val="00A5534B"/>
    <w:rsid w:val="00A554BD"/>
    <w:rsid w:val="00A5553B"/>
    <w:rsid w:val="00A55606"/>
    <w:rsid w:val="00A55644"/>
    <w:rsid w:val="00A556BA"/>
    <w:rsid w:val="00A55898"/>
    <w:rsid w:val="00A558B7"/>
    <w:rsid w:val="00A55B95"/>
    <w:rsid w:val="00A55BBF"/>
    <w:rsid w:val="00A55C9F"/>
    <w:rsid w:val="00A55CC3"/>
    <w:rsid w:val="00A55D29"/>
    <w:rsid w:val="00A55D75"/>
    <w:rsid w:val="00A56005"/>
    <w:rsid w:val="00A5603D"/>
    <w:rsid w:val="00A56081"/>
    <w:rsid w:val="00A563F3"/>
    <w:rsid w:val="00A56523"/>
    <w:rsid w:val="00A56651"/>
    <w:rsid w:val="00A567FF"/>
    <w:rsid w:val="00A568B7"/>
    <w:rsid w:val="00A569F1"/>
    <w:rsid w:val="00A56A76"/>
    <w:rsid w:val="00A56E08"/>
    <w:rsid w:val="00A56E9D"/>
    <w:rsid w:val="00A5715E"/>
    <w:rsid w:val="00A57217"/>
    <w:rsid w:val="00A572C9"/>
    <w:rsid w:val="00A57668"/>
    <w:rsid w:val="00A577CB"/>
    <w:rsid w:val="00A5799D"/>
    <w:rsid w:val="00A57C01"/>
    <w:rsid w:val="00A57D56"/>
    <w:rsid w:val="00A6004F"/>
    <w:rsid w:val="00A60175"/>
    <w:rsid w:val="00A60268"/>
    <w:rsid w:val="00A60341"/>
    <w:rsid w:val="00A60420"/>
    <w:rsid w:val="00A60435"/>
    <w:rsid w:val="00A6045C"/>
    <w:rsid w:val="00A60571"/>
    <w:rsid w:val="00A606F9"/>
    <w:rsid w:val="00A607A2"/>
    <w:rsid w:val="00A6083C"/>
    <w:rsid w:val="00A60848"/>
    <w:rsid w:val="00A60AC8"/>
    <w:rsid w:val="00A60BDA"/>
    <w:rsid w:val="00A60D61"/>
    <w:rsid w:val="00A60E99"/>
    <w:rsid w:val="00A60F4A"/>
    <w:rsid w:val="00A610B7"/>
    <w:rsid w:val="00A61124"/>
    <w:rsid w:val="00A6121F"/>
    <w:rsid w:val="00A61584"/>
    <w:rsid w:val="00A616CA"/>
    <w:rsid w:val="00A61B7F"/>
    <w:rsid w:val="00A61FC3"/>
    <w:rsid w:val="00A62025"/>
    <w:rsid w:val="00A6205E"/>
    <w:rsid w:val="00A620AC"/>
    <w:rsid w:val="00A62146"/>
    <w:rsid w:val="00A622C3"/>
    <w:rsid w:val="00A623FA"/>
    <w:rsid w:val="00A62485"/>
    <w:rsid w:val="00A6275B"/>
    <w:rsid w:val="00A62B53"/>
    <w:rsid w:val="00A62C35"/>
    <w:rsid w:val="00A62E93"/>
    <w:rsid w:val="00A62EBF"/>
    <w:rsid w:val="00A62FD4"/>
    <w:rsid w:val="00A6323D"/>
    <w:rsid w:val="00A633B3"/>
    <w:rsid w:val="00A6378E"/>
    <w:rsid w:val="00A637A8"/>
    <w:rsid w:val="00A63839"/>
    <w:rsid w:val="00A63890"/>
    <w:rsid w:val="00A63ACB"/>
    <w:rsid w:val="00A63E59"/>
    <w:rsid w:val="00A63F33"/>
    <w:rsid w:val="00A64066"/>
    <w:rsid w:val="00A641D1"/>
    <w:rsid w:val="00A642B2"/>
    <w:rsid w:val="00A64404"/>
    <w:rsid w:val="00A645A4"/>
    <w:rsid w:val="00A6461C"/>
    <w:rsid w:val="00A648AA"/>
    <w:rsid w:val="00A6497F"/>
    <w:rsid w:val="00A64B31"/>
    <w:rsid w:val="00A64C66"/>
    <w:rsid w:val="00A64C9C"/>
    <w:rsid w:val="00A64CAC"/>
    <w:rsid w:val="00A64E21"/>
    <w:rsid w:val="00A64E5D"/>
    <w:rsid w:val="00A64E7D"/>
    <w:rsid w:val="00A64FFA"/>
    <w:rsid w:val="00A651C0"/>
    <w:rsid w:val="00A6520B"/>
    <w:rsid w:val="00A65485"/>
    <w:rsid w:val="00A654DE"/>
    <w:rsid w:val="00A655CE"/>
    <w:rsid w:val="00A656ED"/>
    <w:rsid w:val="00A657C3"/>
    <w:rsid w:val="00A657FC"/>
    <w:rsid w:val="00A65974"/>
    <w:rsid w:val="00A65A66"/>
    <w:rsid w:val="00A65A73"/>
    <w:rsid w:val="00A65B20"/>
    <w:rsid w:val="00A65B36"/>
    <w:rsid w:val="00A65B47"/>
    <w:rsid w:val="00A65BC6"/>
    <w:rsid w:val="00A65E40"/>
    <w:rsid w:val="00A65EEC"/>
    <w:rsid w:val="00A65F0C"/>
    <w:rsid w:val="00A65F1F"/>
    <w:rsid w:val="00A660C3"/>
    <w:rsid w:val="00A6649E"/>
    <w:rsid w:val="00A66663"/>
    <w:rsid w:val="00A666BC"/>
    <w:rsid w:val="00A666EF"/>
    <w:rsid w:val="00A66AA5"/>
    <w:rsid w:val="00A66C7C"/>
    <w:rsid w:val="00A66D6B"/>
    <w:rsid w:val="00A67118"/>
    <w:rsid w:val="00A671AE"/>
    <w:rsid w:val="00A671D9"/>
    <w:rsid w:val="00A6720B"/>
    <w:rsid w:val="00A67241"/>
    <w:rsid w:val="00A67439"/>
    <w:rsid w:val="00A674AB"/>
    <w:rsid w:val="00A67569"/>
    <w:rsid w:val="00A67619"/>
    <w:rsid w:val="00A679ED"/>
    <w:rsid w:val="00A67A16"/>
    <w:rsid w:val="00A67ABE"/>
    <w:rsid w:val="00A67E3D"/>
    <w:rsid w:val="00A7006A"/>
    <w:rsid w:val="00A70077"/>
    <w:rsid w:val="00A70084"/>
    <w:rsid w:val="00A700B1"/>
    <w:rsid w:val="00A702B2"/>
    <w:rsid w:val="00A703D1"/>
    <w:rsid w:val="00A70571"/>
    <w:rsid w:val="00A7070E"/>
    <w:rsid w:val="00A7086A"/>
    <w:rsid w:val="00A708C0"/>
    <w:rsid w:val="00A70BF6"/>
    <w:rsid w:val="00A70C6C"/>
    <w:rsid w:val="00A70CE1"/>
    <w:rsid w:val="00A70DF6"/>
    <w:rsid w:val="00A70EAD"/>
    <w:rsid w:val="00A70EDF"/>
    <w:rsid w:val="00A70F6A"/>
    <w:rsid w:val="00A71265"/>
    <w:rsid w:val="00A7132A"/>
    <w:rsid w:val="00A71345"/>
    <w:rsid w:val="00A713B2"/>
    <w:rsid w:val="00A713C8"/>
    <w:rsid w:val="00A71531"/>
    <w:rsid w:val="00A715B9"/>
    <w:rsid w:val="00A7160F"/>
    <w:rsid w:val="00A717E6"/>
    <w:rsid w:val="00A71830"/>
    <w:rsid w:val="00A71934"/>
    <w:rsid w:val="00A71A59"/>
    <w:rsid w:val="00A71DF7"/>
    <w:rsid w:val="00A71EA5"/>
    <w:rsid w:val="00A71EF2"/>
    <w:rsid w:val="00A71FEA"/>
    <w:rsid w:val="00A72052"/>
    <w:rsid w:val="00A72094"/>
    <w:rsid w:val="00A7213E"/>
    <w:rsid w:val="00A722D9"/>
    <w:rsid w:val="00A72349"/>
    <w:rsid w:val="00A72491"/>
    <w:rsid w:val="00A725B7"/>
    <w:rsid w:val="00A72856"/>
    <w:rsid w:val="00A72930"/>
    <w:rsid w:val="00A72A1C"/>
    <w:rsid w:val="00A72A9F"/>
    <w:rsid w:val="00A72AB6"/>
    <w:rsid w:val="00A72C57"/>
    <w:rsid w:val="00A72F79"/>
    <w:rsid w:val="00A7320A"/>
    <w:rsid w:val="00A73305"/>
    <w:rsid w:val="00A733A8"/>
    <w:rsid w:val="00A734E4"/>
    <w:rsid w:val="00A73557"/>
    <w:rsid w:val="00A73565"/>
    <w:rsid w:val="00A7380A"/>
    <w:rsid w:val="00A7384D"/>
    <w:rsid w:val="00A738B4"/>
    <w:rsid w:val="00A73947"/>
    <w:rsid w:val="00A73A2D"/>
    <w:rsid w:val="00A73A84"/>
    <w:rsid w:val="00A73B08"/>
    <w:rsid w:val="00A73BAA"/>
    <w:rsid w:val="00A73C6F"/>
    <w:rsid w:val="00A73C76"/>
    <w:rsid w:val="00A73C81"/>
    <w:rsid w:val="00A73D97"/>
    <w:rsid w:val="00A73E35"/>
    <w:rsid w:val="00A73F29"/>
    <w:rsid w:val="00A7404D"/>
    <w:rsid w:val="00A7426A"/>
    <w:rsid w:val="00A7429D"/>
    <w:rsid w:val="00A742F7"/>
    <w:rsid w:val="00A74449"/>
    <w:rsid w:val="00A74566"/>
    <w:rsid w:val="00A74585"/>
    <w:rsid w:val="00A746F5"/>
    <w:rsid w:val="00A74812"/>
    <w:rsid w:val="00A74B2B"/>
    <w:rsid w:val="00A74B6A"/>
    <w:rsid w:val="00A74DCA"/>
    <w:rsid w:val="00A74E9C"/>
    <w:rsid w:val="00A74EAE"/>
    <w:rsid w:val="00A74F25"/>
    <w:rsid w:val="00A74F96"/>
    <w:rsid w:val="00A750F5"/>
    <w:rsid w:val="00A7520F"/>
    <w:rsid w:val="00A75476"/>
    <w:rsid w:val="00A755C4"/>
    <w:rsid w:val="00A75610"/>
    <w:rsid w:val="00A75961"/>
    <w:rsid w:val="00A759C4"/>
    <w:rsid w:val="00A75AF9"/>
    <w:rsid w:val="00A75B1A"/>
    <w:rsid w:val="00A75B7C"/>
    <w:rsid w:val="00A75CF5"/>
    <w:rsid w:val="00A75E12"/>
    <w:rsid w:val="00A7629F"/>
    <w:rsid w:val="00A76683"/>
    <w:rsid w:val="00A7676A"/>
    <w:rsid w:val="00A767D6"/>
    <w:rsid w:val="00A768D8"/>
    <w:rsid w:val="00A768F2"/>
    <w:rsid w:val="00A7692C"/>
    <w:rsid w:val="00A769E4"/>
    <w:rsid w:val="00A76A1B"/>
    <w:rsid w:val="00A76B1A"/>
    <w:rsid w:val="00A76B85"/>
    <w:rsid w:val="00A76C42"/>
    <w:rsid w:val="00A76CE7"/>
    <w:rsid w:val="00A76EFF"/>
    <w:rsid w:val="00A76F47"/>
    <w:rsid w:val="00A77044"/>
    <w:rsid w:val="00A7707C"/>
    <w:rsid w:val="00A77406"/>
    <w:rsid w:val="00A7746A"/>
    <w:rsid w:val="00A776FC"/>
    <w:rsid w:val="00A778AA"/>
    <w:rsid w:val="00A7798C"/>
    <w:rsid w:val="00A77A7A"/>
    <w:rsid w:val="00A77B9C"/>
    <w:rsid w:val="00A77CA6"/>
    <w:rsid w:val="00A77D7B"/>
    <w:rsid w:val="00A77DDF"/>
    <w:rsid w:val="00A801E0"/>
    <w:rsid w:val="00A805F3"/>
    <w:rsid w:val="00A806FB"/>
    <w:rsid w:val="00A80736"/>
    <w:rsid w:val="00A8077C"/>
    <w:rsid w:val="00A80862"/>
    <w:rsid w:val="00A80A03"/>
    <w:rsid w:val="00A80A1C"/>
    <w:rsid w:val="00A80AB5"/>
    <w:rsid w:val="00A80BB2"/>
    <w:rsid w:val="00A80D8A"/>
    <w:rsid w:val="00A80DA4"/>
    <w:rsid w:val="00A80FA2"/>
    <w:rsid w:val="00A810BA"/>
    <w:rsid w:val="00A81186"/>
    <w:rsid w:val="00A81256"/>
    <w:rsid w:val="00A8135B"/>
    <w:rsid w:val="00A813CB"/>
    <w:rsid w:val="00A815CB"/>
    <w:rsid w:val="00A81663"/>
    <w:rsid w:val="00A81796"/>
    <w:rsid w:val="00A817A4"/>
    <w:rsid w:val="00A818E4"/>
    <w:rsid w:val="00A81A0F"/>
    <w:rsid w:val="00A81C1E"/>
    <w:rsid w:val="00A81C47"/>
    <w:rsid w:val="00A81CB0"/>
    <w:rsid w:val="00A81CBA"/>
    <w:rsid w:val="00A81CF5"/>
    <w:rsid w:val="00A81D0C"/>
    <w:rsid w:val="00A81D5C"/>
    <w:rsid w:val="00A81F50"/>
    <w:rsid w:val="00A8211B"/>
    <w:rsid w:val="00A82150"/>
    <w:rsid w:val="00A82200"/>
    <w:rsid w:val="00A823A9"/>
    <w:rsid w:val="00A823B2"/>
    <w:rsid w:val="00A823EE"/>
    <w:rsid w:val="00A8252B"/>
    <w:rsid w:val="00A825C9"/>
    <w:rsid w:val="00A82609"/>
    <w:rsid w:val="00A8287A"/>
    <w:rsid w:val="00A828C7"/>
    <w:rsid w:val="00A8294C"/>
    <w:rsid w:val="00A82A97"/>
    <w:rsid w:val="00A82AEB"/>
    <w:rsid w:val="00A82B42"/>
    <w:rsid w:val="00A82E3F"/>
    <w:rsid w:val="00A82EE7"/>
    <w:rsid w:val="00A82F89"/>
    <w:rsid w:val="00A83181"/>
    <w:rsid w:val="00A8341D"/>
    <w:rsid w:val="00A83576"/>
    <w:rsid w:val="00A837C0"/>
    <w:rsid w:val="00A83B23"/>
    <w:rsid w:val="00A83B7C"/>
    <w:rsid w:val="00A83C02"/>
    <w:rsid w:val="00A83C4D"/>
    <w:rsid w:val="00A83DF7"/>
    <w:rsid w:val="00A83EA4"/>
    <w:rsid w:val="00A840C4"/>
    <w:rsid w:val="00A8410B"/>
    <w:rsid w:val="00A84654"/>
    <w:rsid w:val="00A84774"/>
    <w:rsid w:val="00A84887"/>
    <w:rsid w:val="00A849A7"/>
    <w:rsid w:val="00A849CE"/>
    <w:rsid w:val="00A84ABA"/>
    <w:rsid w:val="00A84CAD"/>
    <w:rsid w:val="00A84DA2"/>
    <w:rsid w:val="00A84DB2"/>
    <w:rsid w:val="00A84EDF"/>
    <w:rsid w:val="00A852DC"/>
    <w:rsid w:val="00A85312"/>
    <w:rsid w:val="00A85439"/>
    <w:rsid w:val="00A854AA"/>
    <w:rsid w:val="00A85528"/>
    <w:rsid w:val="00A8565C"/>
    <w:rsid w:val="00A856DD"/>
    <w:rsid w:val="00A8583B"/>
    <w:rsid w:val="00A858BF"/>
    <w:rsid w:val="00A858F9"/>
    <w:rsid w:val="00A85989"/>
    <w:rsid w:val="00A85A26"/>
    <w:rsid w:val="00A85A6E"/>
    <w:rsid w:val="00A85DEA"/>
    <w:rsid w:val="00A85F57"/>
    <w:rsid w:val="00A86269"/>
    <w:rsid w:val="00A862A7"/>
    <w:rsid w:val="00A863DB"/>
    <w:rsid w:val="00A8647B"/>
    <w:rsid w:val="00A864BC"/>
    <w:rsid w:val="00A86596"/>
    <w:rsid w:val="00A8661C"/>
    <w:rsid w:val="00A86888"/>
    <w:rsid w:val="00A86B4D"/>
    <w:rsid w:val="00A86B6F"/>
    <w:rsid w:val="00A86C15"/>
    <w:rsid w:val="00A86C87"/>
    <w:rsid w:val="00A86CC3"/>
    <w:rsid w:val="00A86E14"/>
    <w:rsid w:val="00A86E86"/>
    <w:rsid w:val="00A86F54"/>
    <w:rsid w:val="00A86FD8"/>
    <w:rsid w:val="00A87335"/>
    <w:rsid w:val="00A873B7"/>
    <w:rsid w:val="00A875BA"/>
    <w:rsid w:val="00A8765D"/>
    <w:rsid w:val="00A878FA"/>
    <w:rsid w:val="00A87C7B"/>
    <w:rsid w:val="00A87F26"/>
    <w:rsid w:val="00A87F30"/>
    <w:rsid w:val="00A87F8B"/>
    <w:rsid w:val="00A87FA6"/>
    <w:rsid w:val="00A900A6"/>
    <w:rsid w:val="00A900C3"/>
    <w:rsid w:val="00A9021E"/>
    <w:rsid w:val="00A90372"/>
    <w:rsid w:val="00A90442"/>
    <w:rsid w:val="00A90489"/>
    <w:rsid w:val="00A9050C"/>
    <w:rsid w:val="00A9087A"/>
    <w:rsid w:val="00A90917"/>
    <w:rsid w:val="00A90A19"/>
    <w:rsid w:val="00A90BD2"/>
    <w:rsid w:val="00A90D3E"/>
    <w:rsid w:val="00A90E98"/>
    <w:rsid w:val="00A90F56"/>
    <w:rsid w:val="00A90FDC"/>
    <w:rsid w:val="00A90FFF"/>
    <w:rsid w:val="00A910FB"/>
    <w:rsid w:val="00A91254"/>
    <w:rsid w:val="00A91425"/>
    <w:rsid w:val="00A915C9"/>
    <w:rsid w:val="00A915F9"/>
    <w:rsid w:val="00A9163C"/>
    <w:rsid w:val="00A9164C"/>
    <w:rsid w:val="00A91844"/>
    <w:rsid w:val="00A91B3E"/>
    <w:rsid w:val="00A91E2A"/>
    <w:rsid w:val="00A92096"/>
    <w:rsid w:val="00A9221A"/>
    <w:rsid w:val="00A9231E"/>
    <w:rsid w:val="00A9253C"/>
    <w:rsid w:val="00A926C4"/>
    <w:rsid w:val="00A928EF"/>
    <w:rsid w:val="00A92AA9"/>
    <w:rsid w:val="00A92B21"/>
    <w:rsid w:val="00A92BAC"/>
    <w:rsid w:val="00A92CD9"/>
    <w:rsid w:val="00A92EAA"/>
    <w:rsid w:val="00A930A3"/>
    <w:rsid w:val="00A931D4"/>
    <w:rsid w:val="00A93291"/>
    <w:rsid w:val="00A93357"/>
    <w:rsid w:val="00A933FB"/>
    <w:rsid w:val="00A9398E"/>
    <w:rsid w:val="00A93A25"/>
    <w:rsid w:val="00A93C01"/>
    <w:rsid w:val="00A93C91"/>
    <w:rsid w:val="00A93D17"/>
    <w:rsid w:val="00A94047"/>
    <w:rsid w:val="00A94240"/>
    <w:rsid w:val="00A9425B"/>
    <w:rsid w:val="00A94265"/>
    <w:rsid w:val="00A94382"/>
    <w:rsid w:val="00A943E8"/>
    <w:rsid w:val="00A944E3"/>
    <w:rsid w:val="00A945F7"/>
    <w:rsid w:val="00A94689"/>
    <w:rsid w:val="00A94704"/>
    <w:rsid w:val="00A94724"/>
    <w:rsid w:val="00A9474E"/>
    <w:rsid w:val="00A947DA"/>
    <w:rsid w:val="00A94BF4"/>
    <w:rsid w:val="00A94C62"/>
    <w:rsid w:val="00A94EBC"/>
    <w:rsid w:val="00A94FD4"/>
    <w:rsid w:val="00A94FF8"/>
    <w:rsid w:val="00A9521E"/>
    <w:rsid w:val="00A95341"/>
    <w:rsid w:val="00A953C1"/>
    <w:rsid w:val="00A9546B"/>
    <w:rsid w:val="00A95547"/>
    <w:rsid w:val="00A95575"/>
    <w:rsid w:val="00A958E3"/>
    <w:rsid w:val="00A9599B"/>
    <w:rsid w:val="00A959BB"/>
    <w:rsid w:val="00A95AB5"/>
    <w:rsid w:val="00A95AF1"/>
    <w:rsid w:val="00A95BA8"/>
    <w:rsid w:val="00A95BE6"/>
    <w:rsid w:val="00A95D81"/>
    <w:rsid w:val="00A95F07"/>
    <w:rsid w:val="00A96136"/>
    <w:rsid w:val="00A96165"/>
    <w:rsid w:val="00A962B9"/>
    <w:rsid w:val="00A967F9"/>
    <w:rsid w:val="00A96990"/>
    <w:rsid w:val="00A96BCB"/>
    <w:rsid w:val="00A96C83"/>
    <w:rsid w:val="00A96C89"/>
    <w:rsid w:val="00A96C9B"/>
    <w:rsid w:val="00A96EFC"/>
    <w:rsid w:val="00A96F18"/>
    <w:rsid w:val="00A96F60"/>
    <w:rsid w:val="00A96FAD"/>
    <w:rsid w:val="00A974F3"/>
    <w:rsid w:val="00A97693"/>
    <w:rsid w:val="00A979C0"/>
    <w:rsid w:val="00A97BEE"/>
    <w:rsid w:val="00A97CF9"/>
    <w:rsid w:val="00A97D81"/>
    <w:rsid w:val="00A97E89"/>
    <w:rsid w:val="00A97EA5"/>
    <w:rsid w:val="00AA0258"/>
    <w:rsid w:val="00AA06B8"/>
    <w:rsid w:val="00AA0807"/>
    <w:rsid w:val="00AA0B52"/>
    <w:rsid w:val="00AA0C08"/>
    <w:rsid w:val="00AA0E50"/>
    <w:rsid w:val="00AA111E"/>
    <w:rsid w:val="00AA119B"/>
    <w:rsid w:val="00AA11E9"/>
    <w:rsid w:val="00AA1297"/>
    <w:rsid w:val="00AA12B2"/>
    <w:rsid w:val="00AA1556"/>
    <w:rsid w:val="00AA156B"/>
    <w:rsid w:val="00AA15B4"/>
    <w:rsid w:val="00AA15CC"/>
    <w:rsid w:val="00AA16BF"/>
    <w:rsid w:val="00AA1710"/>
    <w:rsid w:val="00AA17E3"/>
    <w:rsid w:val="00AA18D3"/>
    <w:rsid w:val="00AA19A6"/>
    <w:rsid w:val="00AA1A71"/>
    <w:rsid w:val="00AA1CC5"/>
    <w:rsid w:val="00AA1DD6"/>
    <w:rsid w:val="00AA2183"/>
    <w:rsid w:val="00AA2201"/>
    <w:rsid w:val="00AA229B"/>
    <w:rsid w:val="00AA22D8"/>
    <w:rsid w:val="00AA2492"/>
    <w:rsid w:val="00AA2862"/>
    <w:rsid w:val="00AA28CE"/>
    <w:rsid w:val="00AA2A2C"/>
    <w:rsid w:val="00AA2C53"/>
    <w:rsid w:val="00AA2CB4"/>
    <w:rsid w:val="00AA2CF4"/>
    <w:rsid w:val="00AA2D0F"/>
    <w:rsid w:val="00AA320F"/>
    <w:rsid w:val="00AA330D"/>
    <w:rsid w:val="00AA3375"/>
    <w:rsid w:val="00AA356E"/>
    <w:rsid w:val="00AA35F3"/>
    <w:rsid w:val="00AA361D"/>
    <w:rsid w:val="00AA3704"/>
    <w:rsid w:val="00AA3789"/>
    <w:rsid w:val="00AA37CD"/>
    <w:rsid w:val="00AA385D"/>
    <w:rsid w:val="00AA3A39"/>
    <w:rsid w:val="00AA3A5C"/>
    <w:rsid w:val="00AA3F7D"/>
    <w:rsid w:val="00AA4019"/>
    <w:rsid w:val="00AA4099"/>
    <w:rsid w:val="00AA40D5"/>
    <w:rsid w:val="00AA4484"/>
    <w:rsid w:val="00AA44A5"/>
    <w:rsid w:val="00AA4539"/>
    <w:rsid w:val="00AA472A"/>
    <w:rsid w:val="00AA4903"/>
    <w:rsid w:val="00AA497D"/>
    <w:rsid w:val="00AA4992"/>
    <w:rsid w:val="00AA4B69"/>
    <w:rsid w:val="00AA4CBC"/>
    <w:rsid w:val="00AA4D5D"/>
    <w:rsid w:val="00AA4DCF"/>
    <w:rsid w:val="00AA4FF1"/>
    <w:rsid w:val="00AA506D"/>
    <w:rsid w:val="00AA506F"/>
    <w:rsid w:val="00AA50E2"/>
    <w:rsid w:val="00AA559D"/>
    <w:rsid w:val="00AA5825"/>
    <w:rsid w:val="00AA58D8"/>
    <w:rsid w:val="00AA58FC"/>
    <w:rsid w:val="00AA59AF"/>
    <w:rsid w:val="00AA5A48"/>
    <w:rsid w:val="00AA5AA1"/>
    <w:rsid w:val="00AA5D7B"/>
    <w:rsid w:val="00AA5F36"/>
    <w:rsid w:val="00AA5F41"/>
    <w:rsid w:val="00AA60F7"/>
    <w:rsid w:val="00AA61DC"/>
    <w:rsid w:val="00AA6360"/>
    <w:rsid w:val="00AA6387"/>
    <w:rsid w:val="00AA64AF"/>
    <w:rsid w:val="00AA651D"/>
    <w:rsid w:val="00AA685E"/>
    <w:rsid w:val="00AA68E9"/>
    <w:rsid w:val="00AA69C5"/>
    <w:rsid w:val="00AA6E22"/>
    <w:rsid w:val="00AA707D"/>
    <w:rsid w:val="00AA71AB"/>
    <w:rsid w:val="00AA7259"/>
    <w:rsid w:val="00AA748E"/>
    <w:rsid w:val="00AA74D8"/>
    <w:rsid w:val="00AA753D"/>
    <w:rsid w:val="00AA7559"/>
    <w:rsid w:val="00AA77E8"/>
    <w:rsid w:val="00AA79D8"/>
    <w:rsid w:val="00AA7A89"/>
    <w:rsid w:val="00AA7E22"/>
    <w:rsid w:val="00AB0087"/>
    <w:rsid w:val="00AB0102"/>
    <w:rsid w:val="00AB012A"/>
    <w:rsid w:val="00AB0189"/>
    <w:rsid w:val="00AB01E5"/>
    <w:rsid w:val="00AB0409"/>
    <w:rsid w:val="00AB05FA"/>
    <w:rsid w:val="00AB06E5"/>
    <w:rsid w:val="00AB0765"/>
    <w:rsid w:val="00AB07D1"/>
    <w:rsid w:val="00AB095E"/>
    <w:rsid w:val="00AB0A2B"/>
    <w:rsid w:val="00AB0BE6"/>
    <w:rsid w:val="00AB0D49"/>
    <w:rsid w:val="00AB0F46"/>
    <w:rsid w:val="00AB1007"/>
    <w:rsid w:val="00AB124B"/>
    <w:rsid w:val="00AB12A7"/>
    <w:rsid w:val="00AB140D"/>
    <w:rsid w:val="00AB148C"/>
    <w:rsid w:val="00AB1569"/>
    <w:rsid w:val="00AB16AC"/>
    <w:rsid w:val="00AB16DE"/>
    <w:rsid w:val="00AB1762"/>
    <w:rsid w:val="00AB180B"/>
    <w:rsid w:val="00AB1825"/>
    <w:rsid w:val="00AB1AD1"/>
    <w:rsid w:val="00AB1C47"/>
    <w:rsid w:val="00AB1C49"/>
    <w:rsid w:val="00AB1E19"/>
    <w:rsid w:val="00AB1E22"/>
    <w:rsid w:val="00AB1E80"/>
    <w:rsid w:val="00AB1F19"/>
    <w:rsid w:val="00AB1FBF"/>
    <w:rsid w:val="00AB1FDA"/>
    <w:rsid w:val="00AB204C"/>
    <w:rsid w:val="00AB26AE"/>
    <w:rsid w:val="00AB275A"/>
    <w:rsid w:val="00AB27EB"/>
    <w:rsid w:val="00AB2802"/>
    <w:rsid w:val="00AB2930"/>
    <w:rsid w:val="00AB29DE"/>
    <w:rsid w:val="00AB2F04"/>
    <w:rsid w:val="00AB3135"/>
    <w:rsid w:val="00AB31D6"/>
    <w:rsid w:val="00AB3379"/>
    <w:rsid w:val="00AB360D"/>
    <w:rsid w:val="00AB37D2"/>
    <w:rsid w:val="00AB3A76"/>
    <w:rsid w:val="00AB3AE1"/>
    <w:rsid w:val="00AB3BFA"/>
    <w:rsid w:val="00AB3D56"/>
    <w:rsid w:val="00AB3F0A"/>
    <w:rsid w:val="00AB4191"/>
    <w:rsid w:val="00AB4265"/>
    <w:rsid w:val="00AB42DD"/>
    <w:rsid w:val="00AB45ED"/>
    <w:rsid w:val="00AB46E6"/>
    <w:rsid w:val="00AB492A"/>
    <w:rsid w:val="00AB4A6E"/>
    <w:rsid w:val="00AB4ACD"/>
    <w:rsid w:val="00AB4B38"/>
    <w:rsid w:val="00AB4C84"/>
    <w:rsid w:val="00AB4D68"/>
    <w:rsid w:val="00AB4E60"/>
    <w:rsid w:val="00AB4E68"/>
    <w:rsid w:val="00AB5058"/>
    <w:rsid w:val="00AB52FC"/>
    <w:rsid w:val="00AB540E"/>
    <w:rsid w:val="00AB543B"/>
    <w:rsid w:val="00AB54F1"/>
    <w:rsid w:val="00AB550C"/>
    <w:rsid w:val="00AB572F"/>
    <w:rsid w:val="00AB58F3"/>
    <w:rsid w:val="00AB5A13"/>
    <w:rsid w:val="00AB5A15"/>
    <w:rsid w:val="00AB5A32"/>
    <w:rsid w:val="00AB5C1B"/>
    <w:rsid w:val="00AB5C60"/>
    <w:rsid w:val="00AB5E4E"/>
    <w:rsid w:val="00AB60F1"/>
    <w:rsid w:val="00AB610F"/>
    <w:rsid w:val="00AB6190"/>
    <w:rsid w:val="00AB628D"/>
    <w:rsid w:val="00AB6305"/>
    <w:rsid w:val="00AB6338"/>
    <w:rsid w:val="00AB6414"/>
    <w:rsid w:val="00AB645B"/>
    <w:rsid w:val="00AB6762"/>
    <w:rsid w:val="00AB67A2"/>
    <w:rsid w:val="00AB68E3"/>
    <w:rsid w:val="00AB69A9"/>
    <w:rsid w:val="00AB6A17"/>
    <w:rsid w:val="00AB6D69"/>
    <w:rsid w:val="00AB6E88"/>
    <w:rsid w:val="00AB6E9A"/>
    <w:rsid w:val="00AB71DE"/>
    <w:rsid w:val="00AB737C"/>
    <w:rsid w:val="00AB750F"/>
    <w:rsid w:val="00AB752B"/>
    <w:rsid w:val="00AB765B"/>
    <w:rsid w:val="00AB76E6"/>
    <w:rsid w:val="00AB7710"/>
    <w:rsid w:val="00AB7785"/>
    <w:rsid w:val="00AB78F7"/>
    <w:rsid w:val="00AB7914"/>
    <w:rsid w:val="00AB799F"/>
    <w:rsid w:val="00AB7C12"/>
    <w:rsid w:val="00AC0025"/>
    <w:rsid w:val="00AC00C5"/>
    <w:rsid w:val="00AC03AA"/>
    <w:rsid w:val="00AC03C9"/>
    <w:rsid w:val="00AC0543"/>
    <w:rsid w:val="00AC055F"/>
    <w:rsid w:val="00AC0714"/>
    <w:rsid w:val="00AC0759"/>
    <w:rsid w:val="00AC0787"/>
    <w:rsid w:val="00AC0A96"/>
    <w:rsid w:val="00AC0D65"/>
    <w:rsid w:val="00AC0D7D"/>
    <w:rsid w:val="00AC0E16"/>
    <w:rsid w:val="00AC0EF5"/>
    <w:rsid w:val="00AC0F4B"/>
    <w:rsid w:val="00AC1032"/>
    <w:rsid w:val="00AC107C"/>
    <w:rsid w:val="00AC1081"/>
    <w:rsid w:val="00AC10E8"/>
    <w:rsid w:val="00AC1288"/>
    <w:rsid w:val="00AC1435"/>
    <w:rsid w:val="00AC1438"/>
    <w:rsid w:val="00AC1454"/>
    <w:rsid w:val="00AC14CB"/>
    <w:rsid w:val="00AC15D0"/>
    <w:rsid w:val="00AC16D6"/>
    <w:rsid w:val="00AC1A18"/>
    <w:rsid w:val="00AC1C24"/>
    <w:rsid w:val="00AC1F18"/>
    <w:rsid w:val="00AC2089"/>
    <w:rsid w:val="00AC25F4"/>
    <w:rsid w:val="00AC2803"/>
    <w:rsid w:val="00AC2824"/>
    <w:rsid w:val="00AC2970"/>
    <w:rsid w:val="00AC2AB8"/>
    <w:rsid w:val="00AC2CEC"/>
    <w:rsid w:val="00AC2E87"/>
    <w:rsid w:val="00AC2E9C"/>
    <w:rsid w:val="00AC2EF9"/>
    <w:rsid w:val="00AC2FB4"/>
    <w:rsid w:val="00AC2FF4"/>
    <w:rsid w:val="00AC3050"/>
    <w:rsid w:val="00AC3068"/>
    <w:rsid w:val="00AC3167"/>
    <w:rsid w:val="00AC3682"/>
    <w:rsid w:val="00AC3738"/>
    <w:rsid w:val="00AC37BF"/>
    <w:rsid w:val="00AC3A73"/>
    <w:rsid w:val="00AC3ADE"/>
    <w:rsid w:val="00AC3CA2"/>
    <w:rsid w:val="00AC3CCA"/>
    <w:rsid w:val="00AC3DC4"/>
    <w:rsid w:val="00AC3E17"/>
    <w:rsid w:val="00AC3F27"/>
    <w:rsid w:val="00AC3F67"/>
    <w:rsid w:val="00AC3FAD"/>
    <w:rsid w:val="00AC4197"/>
    <w:rsid w:val="00AC4837"/>
    <w:rsid w:val="00AC4B53"/>
    <w:rsid w:val="00AC4BD4"/>
    <w:rsid w:val="00AC4F16"/>
    <w:rsid w:val="00AC5021"/>
    <w:rsid w:val="00AC5217"/>
    <w:rsid w:val="00AC5284"/>
    <w:rsid w:val="00AC5611"/>
    <w:rsid w:val="00AC5661"/>
    <w:rsid w:val="00AC5670"/>
    <w:rsid w:val="00AC56DB"/>
    <w:rsid w:val="00AC58BC"/>
    <w:rsid w:val="00AC5909"/>
    <w:rsid w:val="00AC5AC3"/>
    <w:rsid w:val="00AC5B93"/>
    <w:rsid w:val="00AC5D1B"/>
    <w:rsid w:val="00AC5E04"/>
    <w:rsid w:val="00AC5E1B"/>
    <w:rsid w:val="00AC609F"/>
    <w:rsid w:val="00AC6201"/>
    <w:rsid w:val="00AC6297"/>
    <w:rsid w:val="00AC62FA"/>
    <w:rsid w:val="00AC6334"/>
    <w:rsid w:val="00AC63A1"/>
    <w:rsid w:val="00AC63C0"/>
    <w:rsid w:val="00AC647C"/>
    <w:rsid w:val="00AC6493"/>
    <w:rsid w:val="00AC64B2"/>
    <w:rsid w:val="00AC66F8"/>
    <w:rsid w:val="00AC6B8D"/>
    <w:rsid w:val="00AC6C4E"/>
    <w:rsid w:val="00AC6F8B"/>
    <w:rsid w:val="00AC6FC2"/>
    <w:rsid w:val="00AC70B4"/>
    <w:rsid w:val="00AC71EC"/>
    <w:rsid w:val="00AC73AC"/>
    <w:rsid w:val="00AC7515"/>
    <w:rsid w:val="00AC75B3"/>
    <w:rsid w:val="00AC75DA"/>
    <w:rsid w:val="00AC783E"/>
    <w:rsid w:val="00AC7B58"/>
    <w:rsid w:val="00AC7C6A"/>
    <w:rsid w:val="00AC7D76"/>
    <w:rsid w:val="00AC7E63"/>
    <w:rsid w:val="00AC7FD4"/>
    <w:rsid w:val="00AD0057"/>
    <w:rsid w:val="00AD0062"/>
    <w:rsid w:val="00AD01E1"/>
    <w:rsid w:val="00AD0357"/>
    <w:rsid w:val="00AD0394"/>
    <w:rsid w:val="00AD0540"/>
    <w:rsid w:val="00AD05EF"/>
    <w:rsid w:val="00AD0639"/>
    <w:rsid w:val="00AD083C"/>
    <w:rsid w:val="00AD0955"/>
    <w:rsid w:val="00AD09C5"/>
    <w:rsid w:val="00AD0BF5"/>
    <w:rsid w:val="00AD0DBE"/>
    <w:rsid w:val="00AD0EB7"/>
    <w:rsid w:val="00AD10C7"/>
    <w:rsid w:val="00AD12A1"/>
    <w:rsid w:val="00AD1564"/>
    <w:rsid w:val="00AD15AE"/>
    <w:rsid w:val="00AD16CE"/>
    <w:rsid w:val="00AD17DB"/>
    <w:rsid w:val="00AD18EB"/>
    <w:rsid w:val="00AD19D4"/>
    <w:rsid w:val="00AD1C59"/>
    <w:rsid w:val="00AD1E1F"/>
    <w:rsid w:val="00AD1F65"/>
    <w:rsid w:val="00AD2168"/>
    <w:rsid w:val="00AD21BE"/>
    <w:rsid w:val="00AD22A9"/>
    <w:rsid w:val="00AD2312"/>
    <w:rsid w:val="00AD2565"/>
    <w:rsid w:val="00AD27AC"/>
    <w:rsid w:val="00AD2A81"/>
    <w:rsid w:val="00AD2C4C"/>
    <w:rsid w:val="00AD2FF2"/>
    <w:rsid w:val="00AD31D8"/>
    <w:rsid w:val="00AD32B1"/>
    <w:rsid w:val="00AD33B4"/>
    <w:rsid w:val="00AD33C3"/>
    <w:rsid w:val="00AD344E"/>
    <w:rsid w:val="00AD367D"/>
    <w:rsid w:val="00AD36CB"/>
    <w:rsid w:val="00AD373C"/>
    <w:rsid w:val="00AD3824"/>
    <w:rsid w:val="00AD3944"/>
    <w:rsid w:val="00AD39B7"/>
    <w:rsid w:val="00AD3A5C"/>
    <w:rsid w:val="00AD3AB1"/>
    <w:rsid w:val="00AD3BC1"/>
    <w:rsid w:val="00AD3C06"/>
    <w:rsid w:val="00AD3D97"/>
    <w:rsid w:val="00AD3E87"/>
    <w:rsid w:val="00AD3E9B"/>
    <w:rsid w:val="00AD3EB6"/>
    <w:rsid w:val="00AD40CA"/>
    <w:rsid w:val="00AD44AA"/>
    <w:rsid w:val="00AD459C"/>
    <w:rsid w:val="00AD4600"/>
    <w:rsid w:val="00AD463C"/>
    <w:rsid w:val="00AD466A"/>
    <w:rsid w:val="00AD481D"/>
    <w:rsid w:val="00AD4967"/>
    <w:rsid w:val="00AD49E1"/>
    <w:rsid w:val="00AD4DF1"/>
    <w:rsid w:val="00AD4ECA"/>
    <w:rsid w:val="00AD5008"/>
    <w:rsid w:val="00AD5050"/>
    <w:rsid w:val="00AD505C"/>
    <w:rsid w:val="00AD5184"/>
    <w:rsid w:val="00AD53F4"/>
    <w:rsid w:val="00AD558C"/>
    <w:rsid w:val="00AD5665"/>
    <w:rsid w:val="00AD56A7"/>
    <w:rsid w:val="00AD5882"/>
    <w:rsid w:val="00AD5ADA"/>
    <w:rsid w:val="00AD5B25"/>
    <w:rsid w:val="00AD5B7D"/>
    <w:rsid w:val="00AD5B9A"/>
    <w:rsid w:val="00AD5C20"/>
    <w:rsid w:val="00AD5C53"/>
    <w:rsid w:val="00AD5DE3"/>
    <w:rsid w:val="00AD5EC7"/>
    <w:rsid w:val="00AD6078"/>
    <w:rsid w:val="00AD61D1"/>
    <w:rsid w:val="00AD62FF"/>
    <w:rsid w:val="00AD63FD"/>
    <w:rsid w:val="00AD64BD"/>
    <w:rsid w:val="00AD6588"/>
    <w:rsid w:val="00AD6745"/>
    <w:rsid w:val="00AD67B0"/>
    <w:rsid w:val="00AD694B"/>
    <w:rsid w:val="00AD6B90"/>
    <w:rsid w:val="00AD6C41"/>
    <w:rsid w:val="00AD6F69"/>
    <w:rsid w:val="00AD7172"/>
    <w:rsid w:val="00AD71F2"/>
    <w:rsid w:val="00AD736D"/>
    <w:rsid w:val="00AD7476"/>
    <w:rsid w:val="00AD7545"/>
    <w:rsid w:val="00AD7A6C"/>
    <w:rsid w:val="00AD7AF6"/>
    <w:rsid w:val="00AD7B6D"/>
    <w:rsid w:val="00AD7C50"/>
    <w:rsid w:val="00AD7D5E"/>
    <w:rsid w:val="00AD7DE9"/>
    <w:rsid w:val="00AD7F50"/>
    <w:rsid w:val="00AD7F51"/>
    <w:rsid w:val="00AE00A3"/>
    <w:rsid w:val="00AE0163"/>
    <w:rsid w:val="00AE076E"/>
    <w:rsid w:val="00AE07AE"/>
    <w:rsid w:val="00AE083F"/>
    <w:rsid w:val="00AE0B19"/>
    <w:rsid w:val="00AE0E44"/>
    <w:rsid w:val="00AE10D9"/>
    <w:rsid w:val="00AE1376"/>
    <w:rsid w:val="00AE1391"/>
    <w:rsid w:val="00AE13AD"/>
    <w:rsid w:val="00AE165C"/>
    <w:rsid w:val="00AE189E"/>
    <w:rsid w:val="00AE1A57"/>
    <w:rsid w:val="00AE1A7D"/>
    <w:rsid w:val="00AE1AB2"/>
    <w:rsid w:val="00AE1C12"/>
    <w:rsid w:val="00AE1E08"/>
    <w:rsid w:val="00AE1E2E"/>
    <w:rsid w:val="00AE2114"/>
    <w:rsid w:val="00AE2252"/>
    <w:rsid w:val="00AE23FB"/>
    <w:rsid w:val="00AE255C"/>
    <w:rsid w:val="00AE2934"/>
    <w:rsid w:val="00AE29EE"/>
    <w:rsid w:val="00AE2A53"/>
    <w:rsid w:val="00AE2AA5"/>
    <w:rsid w:val="00AE2C19"/>
    <w:rsid w:val="00AE2CDB"/>
    <w:rsid w:val="00AE315C"/>
    <w:rsid w:val="00AE3336"/>
    <w:rsid w:val="00AE34DA"/>
    <w:rsid w:val="00AE3591"/>
    <w:rsid w:val="00AE366C"/>
    <w:rsid w:val="00AE3765"/>
    <w:rsid w:val="00AE380D"/>
    <w:rsid w:val="00AE39C9"/>
    <w:rsid w:val="00AE3AC5"/>
    <w:rsid w:val="00AE3CBE"/>
    <w:rsid w:val="00AE3DBB"/>
    <w:rsid w:val="00AE3DFB"/>
    <w:rsid w:val="00AE3E27"/>
    <w:rsid w:val="00AE41E9"/>
    <w:rsid w:val="00AE41EF"/>
    <w:rsid w:val="00AE41FC"/>
    <w:rsid w:val="00AE420E"/>
    <w:rsid w:val="00AE4225"/>
    <w:rsid w:val="00AE433C"/>
    <w:rsid w:val="00AE43D2"/>
    <w:rsid w:val="00AE47C7"/>
    <w:rsid w:val="00AE48AB"/>
    <w:rsid w:val="00AE497C"/>
    <w:rsid w:val="00AE4AF2"/>
    <w:rsid w:val="00AE4B2E"/>
    <w:rsid w:val="00AE4B7C"/>
    <w:rsid w:val="00AE4C81"/>
    <w:rsid w:val="00AE4F89"/>
    <w:rsid w:val="00AE513D"/>
    <w:rsid w:val="00AE51EC"/>
    <w:rsid w:val="00AE5226"/>
    <w:rsid w:val="00AE5274"/>
    <w:rsid w:val="00AE53D8"/>
    <w:rsid w:val="00AE53F9"/>
    <w:rsid w:val="00AE540C"/>
    <w:rsid w:val="00AE57C4"/>
    <w:rsid w:val="00AE58FC"/>
    <w:rsid w:val="00AE5CD2"/>
    <w:rsid w:val="00AE5D37"/>
    <w:rsid w:val="00AE5F09"/>
    <w:rsid w:val="00AE5F6F"/>
    <w:rsid w:val="00AE62EF"/>
    <w:rsid w:val="00AE6350"/>
    <w:rsid w:val="00AE64D0"/>
    <w:rsid w:val="00AE65DB"/>
    <w:rsid w:val="00AE65EE"/>
    <w:rsid w:val="00AE664E"/>
    <w:rsid w:val="00AE6AD7"/>
    <w:rsid w:val="00AE6CAE"/>
    <w:rsid w:val="00AE6F28"/>
    <w:rsid w:val="00AE708F"/>
    <w:rsid w:val="00AE7133"/>
    <w:rsid w:val="00AE7361"/>
    <w:rsid w:val="00AE74C1"/>
    <w:rsid w:val="00AE74E1"/>
    <w:rsid w:val="00AE7678"/>
    <w:rsid w:val="00AE7732"/>
    <w:rsid w:val="00AE78E2"/>
    <w:rsid w:val="00AE79E4"/>
    <w:rsid w:val="00AE7A2B"/>
    <w:rsid w:val="00AE7A86"/>
    <w:rsid w:val="00AE7AFF"/>
    <w:rsid w:val="00AE7B4A"/>
    <w:rsid w:val="00AE7B71"/>
    <w:rsid w:val="00AE7C54"/>
    <w:rsid w:val="00AE7E38"/>
    <w:rsid w:val="00AE7F6A"/>
    <w:rsid w:val="00AE7FE2"/>
    <w:rsid w:val="00AF00AD"/>
    <w:rsid w:val="00AF0128"/>
    <w:rsid w:val="00AF04E8"/>
    <w:rsid w:val="00AF0538"/>
    <w:rsid w:val="00AF0679"/>
    <w:rsid w:val="00AF0778"/>
    <w:rsid w:val="00AF07E9"/>
    <w:rsid w:val="00AF084B"/>
    <w:rsid w:val="00AF08AA"/>
    <w:rsid w:val="00AF0917"/>
    <w:rsid w:val="00AF095B"/>
    <w:rsid w:val="00AF095F"/>
    <w:rsid w:val="00AF09C7"/>
    <w:rsid w:val="00AF0A74"/>
    <w:rsid w:val="00AF0A98"/>
    <w:rsid w:val="00AF0B1F"/>
    <w:rsid w:val="00AF0E94"/>
    <w:rsid w:val="00AF0F0D"/>
    <w:rsid w:val="00AF1011"/>
    <w:rsid w:val="00AF1404"/>
    <w:rsid w:val="00AF161B"/>
    <w:rsid w:val="00AF1818"/>
    <w:rsid w:val="00AF1882"/>
    <w:rsid w:val="00AF192F"/>
    <w:rsid w:val="00AF1A8B"/>
    <w:rsid w:val="00AF1CAC"/>
    <w:rsid w:val="00AF1CAE"/>
    <w:rsid w:val="00AF1D4C"/>
    <w:rsid w:val="00AF1DD1"/>
    <w:rsid w:val="00AF1F0A"/>
    <w:rsid w:val="00AF1FE0"/>
    <w:rsid w:val="00AF200A"/>
    <w:rsid w:val="00AF2113"/>
    <w:rsid w:val="00AF2156"/>
    <w:rsid w:val="00AF2398"/>
    <w:rsid w:val="00AF23A0"/>
    <w:rsid w:val="00AF24FA"/>
    <w:rsid w:val="00AF25A9"/>
    <w:rsid w:val="00AF25C8"/>
    <w:rsid w:val="00AF26D0"/>
    <w:rsid w:val="00AF2741"/>
    <w:rsid w:val="00AF28AF"/>
    <w:rsid w:val="00AF2968"/>
    <w:rsid w:val="00AF2A35"/>
    <w:rsid w:val="00AF2A82"/>
    <w:rsid w:val="00AF2AA7"/>
    <w:rsid w:val="00AF2DAE"/>
    <w:rsid w:val="00AF2E75"/>
    <w:rsid w:val="00AF2FD9"/>
    <w:rsid w:val="00AF3076"/>
    <w:rsid w:val="00AF3087"/>
    <w:rsid w:val="00AF30E2"/>
    <w:rsid w:val="00AF310B"/>
    <w:rsid w:val="00AF31EE"/>
    <w:rsid w:val="00AF3530"/>
    <w:rsid w:val="00AF36B8"/>
    <w:rsid w:val="00AF36DF"/>
    <w:rsid w:val="00AF3741"/>
    <w:rsid w:val="00AF3865"/>
    <w:rsid w:val="00AF38B5"/>
    <w:rsid w:val="00AF3E00"/>
    <w:rsid w:val="00AF3E7C"/>
    <w:rsid w:val="00AF3F8F"/>
    <w:rsid w:val="00AF410A"/>
    <w:rsid w:val="00AF448F"/>
    <w:rsid w:val="00AF4494"/>
    <w:rsid w:val="00AF4536"/>
    <w:rsid w:val="00AF474E"/>
    <w:rsid w:val="00AF4768"/>
    <w:rsid w:val="00AF484B"/>
    <w:rsid w:val="00AF4917"/>
    <w:rsid w:val="00AF4AF2"/>
    <w:rsid w:val="00AF4B2C"/>
    <w:rsid w:val="00AF4C43"/>
    <w:rsid w:val="00AF4D36"/>
    <w:rsid w:val="00AF4E2F"/>
    <w:rsid w:val="00AF5171"/>
    <w:rsid w:val="00AF5311"/>
    <w:rsid w:val="00AF535C"/>
    <w:rsid w:val="00AF538F"/>
    <w:rsid w:val="00AF5455"/>
    <w:rsid w:val="00AF5510"/>
    <w:rsid w:val="00AF552B"/>
    <w:rsid w:val="00AF55DF"/>
    <w:rsid w:val="00AF5657"/>
    <w:rsid w:val="00AF5789"/>
    <w:rsid w:val="00AF57B6"/>
    <w:rsid w:val="00AF5804"/>
    <w:rsid w:val="00AF5962"/>
    <w:rsid w:val="00AF5A01"/>
    <w:rsid w:val="00AF5A3F"/>
    <w:rsid w:val="00AF5AB8"/>
    <w:rsid w:val="00AF5BD9"/>
    <w:rsid w:val="00AF5CB9"/>
    <w:rsid w:val="00AF5D83"/>
    <w:rsid w:val="00AF5E4F"/>
    <w:rsid w:val="00AF5F2C"/>
    <w:rsid w:val="00AF5FAA"/>
    <w:rsid w:val="00AF6486"/>
    <w:rsid w:val="00AF6587"/>
    <w:rsid w:val="00AF661C"/>
    <w:rsid w:val="00AF6811"/>
    <w:rsid w:val="00AF6925"/>
    <w:rsid w:val="00AF6B2A"/>
    <w:rsid w:val="00AF6B6E"/>
    <w:rsid w:val="00AF6BE7"/>
    <w:rsid w:val="00AF6CD1"/>
    <w:rsid w:val="00AF6D96"/>
    <w:rsid w:val="00AF6E3F"/>
    <w:rsid w:val="00AF6F72"/>
    <w:rsid w:val="00AF7000"/>
    <w:rsid w:val="00AF703A"/>
    <w:rsid w:val="00AF706D"/>
    <w:rsid w:val="00AF73AD"/>
    <w:rsid w:val="00AF73AE"/>
    <w:rsid w:val="00AF7474"/>
    <w:rsid w:val="00AF7489"/>
    <w:rsid w:val="00AF75CF"/>
    <w:rsid w:val="00AF7648"/>
    <w:rsid w:val="00AF7688"/>
    <w:rsid w:val="00AF7706"/>
    <w:rsid w:val="00AF7753"/>
    <w:rsid w:val="00AF7A2D"/>
    <w:rsid w:val="00AF7A5E"/>
    <w:rsid w:val="00AF7C0D"/>
    <w:rsid w:val="00AF7DDC"/>
    <w:rsid w:val="00AF7FAC"/>
    <w:rsid w:val="00B001FC"/>
    <w:rsid w:val="00B003F8"/>
    <w:rsid w:val="00B00471"/>
    <w:rsid w:val="00B00571"/>
    <w:rsid w:val="00B0063B"/>
    <w:rsid w:val="00B0067A"/>
    <w:rsid w:val="00B006EC"/>
    <w:rsid w:val="00B00893"/>
    <w:rsid w:val="00B00975"/>
    <w:rsid w:val="00B009A8"/>
    <w:rsid w:val="00B00ADD"/>
    <w:rsid w:val="00B00B4C"/>
    <w:rsid w:val="00B00C7D"/>
    <w:rsid w:val="00B00E73"/>
    <w:rsid w:val="00B00F35"/>
    <w:rsid w:val="00B00FE6"/>
    <w:rsid w:val="00B01068"/>
    <w:rsid w:val="00B01463"/>
    <w:rsid w:val="00B0154F"/>
    <w:rsid w:val="00B01666"/>
    <w:rsid w:val="00B01756"/>
    <w:rsid w:val="00B01759"/>
    <w:rsid w:val="00B018EA"/>
    <w:rsid w:val="00B01950"/>
    <w:rsid w:val="00B019EF"/>
    <w:rsid w:val="00B01A63"/>
    <w:rsid w:val="00B01AA3"/>
    <w:rsid w:val="00B01C3C"/>
    <w:rsid w:val="00B01C7E"/>
    <w:rsid w:val="00B01D3A"/>
    <w:rsid w:val="00B01D4F"/>
    <w:rsid w:val="00B01E21"/>
    <w:rsid w:val="00B01F7A"/>
    <w:rsid w:val="00B020E5"/>
    <w:rsid w:val="00B0220A"/>
    <w:rsid w:val="00B022E1"/>
    <w:rsid w:val="00B022EB"/>
    <w:rsid w:val="00B022FE"/>
    <w:rsid w:val="00B02344"/>
    <w:rsid w:val="00B02372"/>
    <w:rsid w:val="00B026E3"/>
    <w:rsid w:val="00B02756"/>
    <w:rsid w:val="00B027C4"/>
    <w:rsid w:val="00B027EF"/>
    <w:rsid w:val="00B02967"/>
    <w:rsid w:val="00B029CE"/>
    <w:rsid w:val="00B02D4D"/>
    <w:rsid w:val="00B02E9C"/>
    <w:rsid w:val="00B03144"/>
    <w:rsid w:val="00B032A8"/>
    <w:rsid w:val="00B03626"/>
    <w:rsid w:val="00B03713"/>
    <w:rsid w:val="00B0385F"/>
    <w:rsid w:val="00B03967"/>
    <w:rsid w:val="00B039C1"/>
    <w:rsid w:val="00B03AB9"/>
    <w:rsid w:val="00B03AC3"/>
    <w:rsid w:val="00B03E96"/>
    <w:rsid w:val="00B03EA7"/>
    <w:rsid w:val="00B04099"/>
    <w:rsid w:val="00B040BF"/>
    <w:rsid w:val="00B04211"/>
    <w:rsid w:val="00B04266"/>
    <w:rsid w:val="00B04551"/>
    <w:rsid w:val="00B0477F"/>
    <w:rsid w:val="00B047F0"/>
    <w:rsid w:val="00B0483D"/>
    <w:rsid w:val="00B0496F"/>
    <w:rsid w:val="00B04B70"/>
    <w:rsid w:val="00B04C27"/>
    <w:rsid w:val="00B04CBE"/>
    <w:rsid w:val="00B04D06"/>
    <w:rsid w:val="00B04DF7"/>
    <w:rsid w:val="00B04E0E"/>
    <w:rsid w:val="00B05020"/>
    <w:rsid w:val="00B050AA"/>
    <w:rsid w:val="00B0526C"/>
    <w:rsid w:val="00B05408"/>
    <w:rsid w:val="00B054A3"/>
    <w:rsid w:val="00B05562"/>
    <w:rsid w:val="00B05714"/>
    <w:rsid w:val="00B0571B"/>
    <w:rsid w:val="00B05728"/>
    <w:rsid w:val="00B058A0"/>
    <w:rsid w:val="00B05942"/>
    <w:rsid w:val="00B059A8"/>
    <w:rsid w:val="00B059C4"/>
    <w:rsid w:val="00B059FA"/>
    <w:rsid w:val="00B05B2F"/>
    <w:rsid w:val="00B05CE5"/>
    <w:rsid w:val="00B05F4A"/>
    <w:rsid w:val="00B05F67"/>
    <w:rsid w:val="00B06045"/>
    <w:rsid w:val="00B0608F"/>
    <w:rsid w:val="00B060A9"/>
    <w:rsid w:val="00B0616B"/>
    <w:rsid w:val="00B06206"/>
    <w:rsid w:val="00B06292"/>
    <w:rsid w:val="00B065FB"/>
    <w:rsid w:val="00B0660F"/>
    <w:rsid w:val="00B0699B"/>
    <w:rsid w:val="00B06A85"/>
    <w:rsid w:val="00B06E3F"/>
    <w:rsid w:val="00B06F2D"/>
    <w:rsid w:val="00B06F88"/>
    <w:rsid w:val="00B06FA2"/>
    <w:rsid w:val="00B070B1"/>
    <w:rsid w:val="00B07366"/>
    <w:rsid w:val="00B07390"/>
    <w:rsid w:val="00B073E6"/>
    <w:rsid w:val="00B07429"/>
    <w:rsid w:val="00B07584"/>
    <w:rsid w:val="00B075AD"/>
    <w:rsid w:val="00B07667"/>
    <w:rsid w:val="00B077AF"/>
    <w:rsid w:val="00B07880"/>
    <w:rsid w:val="00B07891"/>
    <w:rsid w:val="00B07963"/>
    <w:rsid w:val="00B079E8"/>
    <w:rsid w:val="00B07AC6"/>
    <w:rsid w:val="00B07AC9"/>
    <w:rsid w:val="00B07C03"/>
    <w:rsid w:val="00B07DAE"/>
    <w:rsid w:val="00B07FC3"/>
    <w:rsid w:val="00B1008E"/>
    <w:rsid w:val="00B100C5"/>
    <w:rsid w:val="00B10239"/>
    <w:rsid w:val="00B1039A"/>
    <w:rsid w:val="00B103BB"/>
    <w:rsid w:val="00B105A9"/>
    <w:rsid w:val="00B10697"/>
    <w:rsid w:val="00B107F6"/>
    <w:rsid w:val="00B10835"/>
    <w:rsid w:val="00B10A4F"/>
    <w:rsid w:val="00B10E61"/>
    <w:rsid w:val="00B11423"/>
    <w:rsid w:val="00B11449"/>
    <w:rsid w:val="00B1156C"/>
    <w:rsid w:val="00B11578"/>
    <w:rsid w:val="00B11617"/>
    <w:rsid w:val="00B11803"/>
    <w:rsid w:val="00B11911"/>
    <w:rsid w:val="00B1192D"/>
    <w:rsid w:val="00B11A31"/>
    <w:rsid w:val="00B11B39"/>
    <w:rsid w:val="00B11C0D"/>
    <w:rsid w:val="00B11EC9"/>
    <w:rsid w:val="00B121A1"/>
    <w:rsid w:val="00B125A7"/>
    <w:rsid w:val="00B125E0"/>
    <w:rsid w:val="00B127AE"/>
    <w:rsid w:val="00B12888"/>
    <w:rsid w:val="00B12B3D"/>
    <w:rsid w:val="00B12D35"/>
    <w:rsid w:val="00B12D9B"/>
    <w:rsid w:val="00B12DA7"/>
    <w:rsid w:val="00B12E52"/>
    <w:rsid w:val="00B12FC3"/>
    <w:rsid w:val="00B12FEF"/>
    <w:rsid w:val="00B130FD"/>
    <w:rsid w:val="00B13131"/>
    <w:rsid w:val="00B1316F"/>
    <w:rsid w:val="00B13266"/>
    <w:rsid w:val="00B13384"/>
    <w:rsid w:val="00B13481"/>
    <w:rsid w:val="00B1399E"/>
    <w:rsid w:val="00B13B9E"/>
    <w:rsid w:val="00B13BE7"/>
    <w:rsid w:val="00B13D46"/>
    <w:rsid w:val="00B13EC9"/>
    <w:rsid w:val="00B13ED0"/>
    <w:rsid w:val="00B13FC0"/>
    <w:rsid w:val="00B13FCB"/>
    <w:rsid w:val="00B14342"/>
    <w:rsid w:val="00B14395"/>
    <w:rsid w:val="00B14420"/>
    <w:rsid w:val="00B144F1"/>
    <w:rsid w:val="00B14509"/>
    <w:rsid w:val="00B1473A"/>
    <w:rsid w:val="00B14761"/>
    <w:rsid w:val="00B14770"/>
    <w:rsid w:val="00B147DA"/>
    <w:rsid w:val="00B14B42"/>
    <w:rsid w:val="00B14D96"/>
    <w:rsid w:val="00B14DC3"/>
    <w:rsid w:val="00B15060"/>
    <w:rsid w:val="00B15065"/>
    <w:rsid w:val="00B151F4"/>
    <w:rsid w:val="00B1526D"/>
    <w:rsid w:val="00B153F8"/>
    <w:rsid w:val="00B15481"/>
    <w:rsid w:val="00B154C7"/>
    <w:rsid w:val="00B15502"/>
    <w:rsid w:val="00B1550E"/>
    <w:rsid w:val="00B1558A"/>
    <w:rsid w:val="00B155AB"/>
    <w:rsid w:val="00B156B7"/>
    <w:rsid w:val="00B15C43"/>
    <w:rsid w:val="00B15D03"/>
    <w:rsid w:val="00B15D92"/>
    <w:rsid w:val="00B15E6B"/>
    <w:rsid w:val="00B15F4E"/>
    <w:rsid w:val="00B160EF"/>
    <w:rsid w:val="00B16142"/>
    <w:rsid w:val="00B1628B"/>
    <w:rsid w:val="00B16446"/>
    <w:rsid w:val="00B165DB"/>
    <w:rsid w:val="00B16763"/>
    <w:rsid w:val="00B1682E"/>
    <w:rsid w:val="00B168CD"/>
    <w:rsid w:val="00B169F0"/>
    <w:rsid w:val="00B16A92"/>
    <w:rsid w:val="00B16AB8"/>
    <w:rsid w:val="00B16B36"/>
    <w:rsid w:val="00B16C4D"/>
    <w:rsid w:val="00B16DD8"/>
    <w:rsid w:val="00B16E9D"/>
    <w:rsid w:val="00B16F07"/>
    <w:rsid w:val="00B16FEF"/>
    <w:rsid w:val="00B16FFF"/>
    <w:rsid w:val="00B170B8"/>
    <w:rsid w:val="00B17196"/>
    <w:rsid w:val="00B171B6"/>
    <w:rsid w:val="00B173DF"/>
    <w:rsid w:val="00B17424"/>
    <w:rsid w:val="00B1750E"/>
    <w:rsid w:val="00B17561"/>
    <w:rsid w:val="00B176B8"/>
    <w:rsid w:val="00B176BC"/>
    <w:rsid w:val="00B177D9"/>
    <w:rsid w:val="00B17999"/>
    <w:rsid w:val="00B17C12"/>
    <w:rsid w:val="00B17C44"/>
    <w:rsid w:val="00B17D0D"/>
    <w:rsid w:val="00B17E19"/>
    <w:rsid w:val="00B17E92"/>
    <w:rsid w:val="00B17F02"/>
    <w:rsid w:val="00B17FC7"/>
    <w:rsid w:val="00B20061"/>
    <w:rsid w:val="00B2007F"/>
    <w:rsid w:val="00B2009A"/>
    <w:rsid w:val="00B201A4"/>
    <w:rsid w:val="00B201B1"/>
    <w:rsid w:val="00B202F4"/>
    <w:rsid w:val="00B2031C"/>
    <w:rsid w:val="00B203D3"/>
    <w:rsid w:val="00B204FA"/>
    <w:rsid w:val="00B205E3"/>
    <w:rsid w:val="00B206DC"/>
    <w:rsid w:val="00B206F6"/>
    <w:rsid w:val="00B207C9"/>
    <w:rsid w:val="00B20A00"/>
    <w:rsid w:val="00B20D02"/>
    <w:rsid w:val="00B20DA7"/>
    <w:rsid w:val="00B20F2B"/>
    <w:rsid w:val="00B20F8E"/>
    <w:rsid w:val="00B20FC2"/>
    <w:rsid w:val="00B2101C"/>
    <w:rsid w:val="00B21040"/>
    <w:rsid w:val="00B2122A"/>
    <w:rsid w:val="00B21308"/>
    <w:rsid w:val="00B216A0"/>
    <w:rsid w:val="00B216E0"/>
    <w:rsid w:val="00B219AC"/>
    <w:rsid w:val="00B21AED"/>
    <w:rsid w:val="00B21BB1"/>
    <w:rsid w:val="00B21BE8"/>
    <w:rsid w:val="00B21CA2"/>
    <w:rsid w:val="00B21DB9"/>
    <w:rsid w:val="00B21F74"/>
    <w:rsid w:val="00B21FAD"/>
    <w:rsid w:val="00B21FDC"/>
    <w:rsid w:val="00B2207F"/>
    <w:rsid w:val="00B221B9"/>
    <w:rsid w:val="00B2222E"/>
    <w:rsid w:val="00B223B9"/>
    <w:rsid w:val="00B225BF"/>
    <w:rsid w:val="00B22666"/>
    <w:rsid w:val="00B22714"/>
    <w:rsid w:val="00B228B8"/>
    <w:rsid w:val="00B2293E"/>
    <w:rsid w:val="00B22A6D"/>
    <w:rsid w:val="00B22BED"/>
    <w:rsid w:val="00B22E06"/>
    <w:rsid w:val="00B22E6D"/>
    <w:rsid w:val="00B22FB1"/>
    <w:rsid w:val="00B22FD0"/>
    <w:rsid w:val="00B22FEA"/>
    <w:rsid w:val="00B23290"/>
    <w:rsid w:val="00B2333E"/>
    <w:rsid w:val="00B23646"/>
    <w:rsid w:val="00B23716"/>
    <w:rsid w:val="00B237DC"/>
    <w:rsid w:val="00B2380D"/>
    <w:rsid w:val="00B238AF"/>
    <w:rsid w:val="00B239A6"/>
    <w:rsid w:val="00B23ABF"/>
    <w:rsid w:val="00B23CAF"/>
    <w:rsid w:val="00B23DE8"/>
    <w:rsid w:val="00B23E9A"/>
    <w:rsid w:val="00B23F84"/>
    <w:rsid w:val="00B23F9E"/>
    <w:rsid w:val="00B23FD9"/>
    <w:rsid w:val="00B241E1"/>
    <w:rsid w:val="00B24322"/>
    <w:rsid w:val="00B243AB"/>
    <w:rsid w:val="00B24428"/>
    <w:rsid w:val="00B2446F"/>
    <w:rsid w:val="00B2456F"/>
    <w:rsid w:val="00B245E5"/>
    <w:rsid w:val="00B24646"/>
    <w:rsid w:val="00B24997"/>
    <w:rsid w:val="00B24A32"/>
    <w:rsid w:val="00B24AB0"/>
    <w:rsid w:val="00B24BD7"/>
    <w:rsid w:val="00B24D89"/>
    <w:rsid w:val="00B24DC8"/>
    <w:rsid w:val="00B24EBD"/>
    <w:rsid w:val="00B2504C"/>
    <w:rsid w:val="00B250C1"/>
    <w:rsid w:val="00B2525E"/>
    <w:rsid w:val="00B252C4"/>
    <w:rsid w:val="00B252CB"/>
    <w:rsid w:val="00B25376"/>
    <w:rsid w:val="00B25466"/>
    <w:rsid w:val="00B254FB"/>
    <w:rsid w:val="00B256DE"/>
    <w:rsid w:val="00B2572B"/>
    <w:rsid w:val="00B2575F"/>
    <w:rsid w:val="00B257F7"/>
    <w:rsid w:val="00B25842"/>
    <w:rsid w:val="00B25A22"/>
    <w:rsid w:val="00B25A41"/>
    <w:rsid w:val="00B25A9C"/>
    <w:rsid w:val="00B25AF9"/>
    <w:rsid w:val="00B25B18"/>
    <w:rsid w:val="00B25D13"/>
    <w:rsid w:val="00B25D90"/>
    <w:rsid w:val="00B25EF3"/>
    <w:rsid w:val="00B25F0F"/>
    <w:rsid w:val="00B26014"/>
    <w:rsid w:val="00B262CE"/>
    <w:rsid w:val="00B269FD"/>
    <w:rsid w:val="00B26B5C"/>
    <w:rsid w:val="00B26CA5"/>
    <w:rsid w:val="00B26E21"/>
    <w:rsid w:val="00B26E8B"/>
    <w:rsid w:val="00B27271"/>
    <w:rsid w:val="00B2734C"/>
    <w:rsid w:val="00B275B8"/>
    <w:rsid w:val="00B27671"/>
    <w:rsid w:val="00B27803"/>
    <w:rsid w:val="00B278A1"/>
    <w:rsid w:val="00B27C9A"/>
    <w:rsid w:val="00B27D93"/>
    <w:rsid w:val="00B27F30"/>
    <w:rsid w:val="00B30035"/>
    <w:rsid w:val="00B30148"/>
    <w:rsid w:val="00B301CE"/>
    <w:rsid w:val="00B30257"/>
    <w:rsid w:val="00B30333"/>
    <w:rsid w:val="00B303D6"/>
    <w:rsid w:val="00B3041C"/>
    <w:rsid w:val="00B30438"/>
    <w:rsid w:val="00B30468"/>
    <w:rsid w:val="00B304FB"/>
    <w:rsid w:val="00B3061F"/>
    <w:rsid w:val="00B30747"/>
    <w:rsid w:val="00B307D0"/>
    <w:rsid w:val="00B30818"/>
    <w:rsid w:val="00B30B2B"/>
    <w:rsid w:val="00B30C16"/>
    <w:rsid w:val="00B30C9D"/>
    <w:rsid w:val="00B30D11"/>
    <w:rsid w:val="00B30D53"/>
    <w:rsid w:val="00B30E39"/>
    <w:rsid w:val="00B30F66"/>
    <w:rsid w:val="00B311F9"/>
    <w:rsid w:val="00B312A9"/>
    <w:rsid w:val="00B31350"/>
    <w:rsid w:val="00B313C6"/>
    <w:rsid w:val="00B31429"/>
    <w:rsid w:val="00B3145C"/>
    <w:rsid w:val="00B314FB"/>
    <w:rsid w:val="00B31752"/>
    <w:rsid w:val="00B31796"/>
    <w:rsid w:val="00B31B78"/>
    <w:rsid w:val="00B31C1A"/>
    <w:rsid w:val="00B31C51"/>
    <w:rsid w:val="00B31D79"/>
    <w:rsid w:val="00B31D9D"/>
    <w:rsid w:val="00B31F5D"/>
    <w:rsid w:val="00B32397"/>
    <w:rsid w:val="00B32464"/>
    <w:rsid w:val="00B32569"/>
    <w:rsid w:val="00B325B0"/>
    <w:rsid w:val="00B3261F"/>
    <w:rsid w:val="00B326D7"/>
    <w:rsid w:val="00B32757"/>
    <w:rsid w:val="00B32766"/>
    <w:rsid w:val="00B32B7E"/>
    <w:rsid w:val="00B32BA4"/>
    <w:rsid w:val="00B32C3E"/>
    <w:rsid w:val="00B32D47"/>
    <w:rsid w:val="00B32D56"/>
    <w:rsid w:val="00B32E35"/>
    <w:rsid w:val="00B332BB"/>
    <w:rsid w:val="00B332E1"/>
    <w:rsid w:val="00B3330E"/>
    <w:rsid w:val="00B33451"/>
    <w:rsid w:val="00B33622"/>
    <w:rsid w:val="00B3370F"/>
    <w:rsid w:val="00B3373A"/>
    <w:rsid w:val="00B337A3"/>
    <w:rsid w:val="00B337D3"/>
    <w:rsid w:val="00B3381E"/>
    <w:rsid w:val="00B3387B"/>
    <w:rsid w:val="00B338FF"/>
    <w:rsid w:val="00B33964"/>
    <w:rsid w:val="00B33998"/>
    <w:rsid w:val="00B33B72"/>
    <w:rsid w:val="00B33BE5"/>
    <w:rsid w:val="00B3401E"/>
    <w:rsid w:val="00B34082"/>
    <w:rsid w:val="00B34190"/>
    <w:rsid w:val="00B341C5"/>
    <w:rsid w:val="00B342C5"/>
    <w:rsid w:val="00B343B1"/>
    <w:rsid w:val="00B344B1"/>
    <w:rsid w:val="00B34568"/>
    <w:rsid w:val="00B346E5"/>
    <w:rsid w:val="00B34760"/>
    <w:rsid w:val="00B3488A"/>
    <w:rsid w:val="00B34B8F"/>
    <w:rsid w:val="00B34C7B"/>
    <w:rsid w:val="00B34C84"/>
    <w:rsid w:val="00B34CF0"/>
    <w:rsid w:val="00B34D8A"/>
    <w:rsid w:val="00B34E4D"/>
    <w:rsid w:val="00B35049"/>
    <w:rsid w:val="00B3505E"/>
    <w:rsid w:val="00B35081"/>
    <w:rsid w:val="00B35441"/>
    <w:rsid w:val="00B35550"/>
    <w:rsid w:val="00B35663"/>
    <w:rsid w:val="00B356E9"/>
    <w:rsid w:val="00B3582C"/>
    <w:rsid w:val="00B359A6"/>
    <w:rsid w:val="00B35A3C"/>
    <w:rsid w:val="00B35B55"/>
    <w:rsid w:val="00B35CB5"/>
    <w:rsid w:val="00B35D3B"/>
    <w:rsid w:val="00B35D41"/>
    <w:rsid w:val="00B35EAC"/>
    <w:rsid w:val="00B35F5C"/>
    <w:rsid w:val="00B35FB9"/>
    <w:rsid w:val="00B3606E"/>
    <w:rsid w:val="00B361B6"/>
    <w:rsid w:val="00B3621C"/>
    <w:rsid w:val="00B36314"/>
    <w:rsid w:val="00B36649"/>
    <w:rsid w:val="00B36831"/>
    <w:rsid w:val="00B36841"/>
    <w:rsid w:val="00B369B0"/>
    <w:rsid w:val="00B36A92"/>
    <w:rsid w:val="00B36B99"/>
    <w:rsid w:val="00B36C13"/>
    <w:rsid w:val="00B36CD1"/>
    <w:rsid w:val="00B36D6A"/>
    <w:rsid w:val="00B36E9D"/>
    <w:rsid w:val="00B36ED6"/>
    <w:rsid w:val="00B370AF"/>
    <w:rsid w:val="00B37131"/>
    <w:rsid w:val="00B3721F"/>
    <w:rsid w:val="00B37389"/>
    <w:rsid w:val="00B373E3"/>
    <w:rsid w:val="00B374FC"/>
    <w:rsid w:val="00B37505"/>
    <w:rsid w:val="00B375D4"/>
    <w:rsid w:val="00B3762B"/>
    <w:rsid w:val="00B37633"/>
    <w:rsid w:val="00B376DB"/>
    <w:rsid w:val="00B3770D"/>
    <w:rsid w:val="00B377D2"/>
    <w:rsid w:val="00B37A22"/>
    <w:rsid w:val="00B37F09"/>
    <w:rsid w:val="00B37FBB"/>
    <w:rsid w:val="00B400D5"/>
    <w:rsid w:val="00B40123"/>
    <w:rsid w:val="00B4018F"/>
    <w:rsid w:val="00B402E6"/>
    <w:rsid w:val="00B40386"/>
    <w:rsid w:val="00B4052C"/>
    <w:rsid w:val="00B4053F"/>
    <w:rsid w:val="00B40697"/>
    <w:rsid w:val="00B4076A"/>
    <w:rsid w:val="00B407DD"/>
    <w:rsid w:val="00B40986"/>
    <w:rsid w:val="00B409D3"/>
    <w:rsid w:val="00B40B32"/>
    <w:rsid w:val="00B40BE5"/>
    <w:rsid w:val="00B40C4B"/>
    <w:rsid w:val="00B40D12"/>
    <w:rsid w:val="00B41455"/>
    <w:rsid w:val="00B414A7"/>
    <w:rsid w:val="00B41507"/>
    <w:rsid w:val="00B41C14"/>
    <w:rsid w:val="00B41C9F"/>
    <w:rsid w:val="00B41F28"/>
    <w:rsid w:val="00B42014"/>
    <w:rsid w:val="00B4208F"/>
    <w:rsid w:val="00B420DB"/>
    <w:rsid w:val="00B420E0"/>
    <w:rsid w:val="00B420E4"/>
    <w:rsid w:val="00B423D9"/>
    <w:rsid w:val="00B4299B"/>
    <w:rsid w:val="00B42B62"/>
    <w:rsid w:val="00B42E0C"/>
    <w:rsid w:val="00B42E19"/>
    <w:rsid w:val="00B42E1A"/>
    <w:rsid w:val="00B42F0E"/>
    <w:rsid w:val="00B4302E"/>
    <w:rsid w:val="00B43040"/>
    <w:rsid w:val="00B43356"/>
    <w:rsid w:val="00B43585"/>
    <w:rsid w:val="00B435C4"/>
    <w:rsid w:val="00B435FA"/>
    <w:rsid w:val="00B4362F"/>
    <w:rsid w:val="00B436BB"/>
    <w:rsid w:val="00B436ED"/>
    <w:rsid w:val="00B4380B"/>
    <w:rsid w:val="00B4385F"/>
    <w:rsid w:val="00B43AD0"/>
    <w:rsid w:val="00B43B95"/>
    <w:rsid w:val="00B43CAE"/>
    <w:rsid w:val="00B43ED1"/>
    <w:rsid w:val="00B43ED6"/>
    <w:rsid w:val="00B44327"/>
    <w:rsid w:val="00B4436D"/>
    <w:rsid w:val="00B444A2"/>
    <w:rsid w:val="00B445B1"/>
    <w:rsid w:val="00B4490E"/>
    <w:rsid w:val="00B44972"/>
    <w:rsid w:val="00B44A79"/>
    <w:rsid w:val="00B44ADF"/>
    <w:rsid w:val="00B44C09"/>
    <w:rsid w:val="00B44C3B"/>
    <w:rsid w:val="00B44C54"/>
    <w:rsid w:val="00B44C8F"/>
    <w:rsid w:val="00B44D4B"/>
    <w:rsid w:val="00B44D66"/>
    <w:rsid w:val="00B44DC0"/>
    <w:rsid w:val="00B44E26"/>
    <w:rsid w:val="00B44F72"/>
    <w:rsid w:val="00B44F76"/>
    <w:rsid w:val="00B44F81"/>
    <w:rsid w:val="00B44FBD"/>
    <w:rsid w:val="00B44FC3"/>
    <w:rsid w:val="00B45051"/>
    <w:rsid w:val="00B450B8"/>
    <w:rsid w:val="00B4511D"/>
    <w:rsid w:val="00B4528F"/>
    <w:rsid w:val="00B4530D"/>
    <w:rsid w:val="00B4570F"/>
    <w:rsid w:val="00B458BC"/>
    <w:rsid w:val="00B45BE4"/>
    <w:rsid w:val="00B45CF5"/>
    <w:rsid w:val="00B45EF0"/>
    <w:rsid w:val="00B45F07"/>
    <w:rsid w:val="00B45F56"/>
    <w:rsid w:val="00B4616E"/>
    <w:rsid w:val="00B46415"/>
    <w:rsid w:val="00B46504"/>
    <w:rsid w:val="00B466F2"/>
    <w:rsid w:val="00B467BD"/>
    <w:rsid w:val="00B469B2"/>
    <w:rsid w:val="00B46A66"/>
    <w:rsid w:val="00B46AB6"/>
    <w:rsid w:val="00B46AFE"/>
    <w:rsid w:val="00B46B89"/>
    <w:rsid w:val="00B46C22"/>
    <w:rsid w:val="00B46CC8"/>
    <w:rsid w:val="00B46D73"/>
    <w:rsid w:val="00B46FD6"/>
    <w:rsid w:val="00B471E0"/>
    <w:rsid w:val="00B47237"/>
    <w:rsid w:val="00B472B7"/>
    <w:rsid w:val="00B472E3"/>
    <w:rsid w:val="00B4739E"/>
    <w:rsid w:val="00B47535"/>
    <w:rsid w:val="00B4755E"/>
    <w:rsid w:val="00B47570"/>
    <w:rsid w:val="00B4763A"/>
    <w:rsid w:val="00B47742"/>
    <w:rsid w:val="00B47747"/>
    <w:rsid w:val="00B4775E"/>
    <w:rsid w:val="00B47763"/>
    <w:rsid w:val="00B4794E"/>
    <w:rsid w:val="00B47BB6"/>
    <w:rsid w:val="00B47EDB"/>
    <w:rsid w:val="00B47F3A"/>
    <w:rsid w:val="00B47F91"/>
    <w:rsid w:val="00B50037"/>
    <w:rsid w:val="00B500AF"/>
    <w:rsid w:val="00B503D1"/>
    <w:rsid w:val="00B50463"/>
    <w:rsid w:val="00B50467"/>
    <w:rsid w:val="00B50632"/>
    <w:rsid w:val="00B506CB"/>
    <w:rsid w:val="00B50711"/>
    <w:rsid w:val="00B50A76"/>
    <w:rsid w:val="00B50C5D"/>
    <w:rsid w:val="00B51166"/>
    <w:rsid w:val="00B5122B"/>
    <w:rsid w:val="00B512F7"/>
    <w:rsid w:val="00B51326"/>
    <w:rsid w:val="00B51327"/>
    <w:rsid w:val="00B51353"/>
    <w:rsid w:val="00B513DF"/>
    <w:rsid w:val="00B513F7"/>
    <w:rsid w:val="00B5149E"/>
    <w:rsid w:val="00B51623"/>
    <w:rsid w:val="00B51992"/>
    <w:rsid w:val="00B51A9B"/>
    <w:rsid w:val="00B51C8A"/>
    <w:rsid w:val="00B51EE6"/>
    <w:rsid w:val="00B51FCC"/>
    <w:rsid w:val="00B52106"/>
    <w:rsid w:val="00B52205"/>
    <w:rsid w:val="00B523EA"/>
    <w:rsid w:val="00B52647"/>
    <w:rsid w:val="00B5266E"/>
    <w:rsid w:val="00B5277C"/>
    <w:rsid w:val="00B52BD8"/>
    <w:rsid w:val="00B52DD4"/>
    <w:rsid w:val="00B52E89"/>
    <w:rsid w:val="00B52EE6"/>
    <w:rsid w:val="00B53082"/>
    <w:rsid w:val="00B5317A"/>
    <w:rsid w:val="00B53303"/>
    <w:rsid w:val="00B53331"/>
    <w:rsid w:val="00B533D1"/>
    <w:rsid w:val="00B53619"/>
    <w:rsid w:val="00B53773"/>
    <w:rsid w:val="00B537E6"/>
    <w:rsid w:val="00B537ED"/>
    <w:rsid w:val="00B53910"/>
    <w:rsid w:val="00B53D5D"/>
    <w:rsid w:val="00B540E6"/>
    <w:rsid w:val="00B542D1"/>
    <w:rsid w:val="00B54324"/>
    <w:rsid w:val="00B54659"/>
    <w:rsid w:val="00B54920"/>
    <w:rsid w:val="00B54A7C"/>
    <w:rsid w:val="00B54A9C"/>
    <w:rsid w:val="00B55131"/>
    <w:rsid w:val="00B55223"/>
    <w:rsid w:val="00B55615"/>
    <w:rsid w:val="00B5563B"/>
    <w:rsid w:val="00B55651"/>
    <w:rsid w:val="00B557D4"/>
    <w:rsid w:val="00B5597E"/>
    <w:rsid w:val="00B559A1"/>
    <w:rsid w:val="00B55A19"/>
    <w:rsid w:val="00B55A6D"/>
    <w:rsid w:val="00B55B27"/>
    <w:rsid w:val="00B55BB7"/>
    <w:rsid w:val="00B55C00"/>
    <w:rsid w:val="00B55D37"/>
    <w:rsid w:val="00B55DD8"/>
    <w:rsid w:val="00B56105"/>
    <w:rsid w:val="00B56137"/>
    <w:rsid w:val="00B563AB"/>
    <w:rsid w:val="00B563FB"/>
    <w:rsid w:val="00B56613"/>
    <w:rsid w:val="00B56628"/>
    <w:rsid w:val="00B5674F"/>
    <w:rsid w:val="00B568E2"/>
    <w:rsid w:val="00B56D34"/>
    <w:rsid w:val="00B56E5F"/>
    <w:rsid w:val="00B56E77"/>
    <w:rsid w:val="00B56E79"/>
    <w:rsid w:val="00B56FD4"/>
    <w:rsid w:val="00B57001"/>
    <w:rsid w:val="00B570CE"/>
    <w:rsid w:val="00B57243"/>
    <w:rsid w:val="00B57272"/>
    <w:rsid w:val="00B575F3"/>
    <w:rsid w:val="00B57792"/>
    <w:rsid w:val="00B57A1C"/>
    <w:rsid w:val="00B57ADB"/>
    <w:rsid w:val="00B57AF1"/>
    <w:rsid w:val="00B57B29"/>
    <w:rsid w:val="00B57C6B"/>
    <w:rsid w:val="00B57C7C"/>
    <w:rsid w:val="00B6028E"/>
    <w:rsid w:val="00B60323"/>
    <w:rsid w:val="00B60425"/>
    <w:rsid w:val="00B60490"/>
    <w:rsid w:val="00B604FC"/>
    <w:rsid w:val="00B60540"/>
    <w:rsid w:val="00B607B3"/>
    <w:rsid w:val="00B6086F"/>
    <w:rsid w:val="00B6093B"/>
    <w:rsid w:val="00B60A18"/>
    <w:rsid w:val="00B60DA0"/>
    <w:rsid w:val="00B60DE4"/>
    <w:rsid w:val="00B60ED5"/>
    <w:rsid w:val="00B60F4A"/>
    <w:rsid w:val="00B610C6"/>
    <w:rsid w:val="00B61233"/>
    <w:rsid w:val="00B6154C"/>
    <w:rsid w:val="00B61604"/>
    <w:rsid w:val="00B61723"/>
    <w:rsid w:val="00B61799"/>
    <w:rsid w:val="00B619CC"/>
    <w:rsid w:val="00B61DAF"/>
    <w:rsid w:val="00B61F46"/>
    <w:rsid w:val="00B624B7"/>
    <w:rsid w:val="00B6250E"/>
    <w:rsid w:val="00B6269B"/>
    <w:rsid w:val="00B627A8"/>
    <w:rsid w:val="00B6287F"/>
    <w:rsid w:val="00B62946"/>
    <w:rsid w:val="00B62E47"/>
    <w:rsid w:val="00B63034"/>
    <w:rsid w:val="00B6311F"/>
    <w:rsid w:val="00B63171"/>
    <w:rsid w:val="00B63270"/>
    <w:rsid w:val="00B635CF"/>
    <w:rsid w:val="00B6360D"/>
    <w:rsid w:val="00B6366B"/>
    <w:rsid w:val="00B636BA"/>
    <w:rsid w:val="00B63859"/>
    <w:rsid w:val="00B63864"/>
    <w:rsid w:val="00B6386E"/>
    <w:rsid w:val="00B638C8"/>
    <w:rsid w:val="00B63B8F"/>
    <w:rsid w:val="00B63C26"/>
    <w:rsid w:val="00B63FBF"/>
    <w:rsid w:val="00B63FF3"/>
    <w:rsid w:val="00B64091"/>
    <w:rsid w:val="00B6435A"/>
    <w:rsid w:val="00B6444B"/>
    <w:rsid w:val="00B64470"/>
    <w:rsid w:val="00B644A9"/>
    <w:rsid w:val="00B644FF"/>
    <w:rsid w:val="00B6459C"/>
    <w:rsid w:val="00B646B8"/>
    <w:rsid w:val="00B646C0"/>
    <w:rsid w:val="00B647F3"/>
    <w:rsid w:val="00B6489D"/>
    <w:rsid w:val="00B6497F"/>
    <w:rsid w:val="00B649B3"/>
    <w:rsid w:val="00B649DA"/>
    <w:rsid w:val="00B649F0"/>
    <w:rsid w:val="00B64A4E"/>
    <w:rsid w:val="00B64C0F"/>
    <w:rsid w:val="00B64DF8"/>
    <w:rsid w:val="00B64FD8"/>
    <w:rsid w:val="00B6517A"/>
    <w:rsid w:val="00B653DF"/>
    <w:rsid w:val="00B65582"/>
    <w:rsid w:val="00B65AC6"/>
    <w:rsid w:val="00B65F0F"/>
    <w:rsid w:val="00B65FAE"/>
    <w:rsid w:val="00B66269"/>
    <w:rsid w:val="00B6638A"/>
    <w:rsid w:val="00B6648E"/>
    <w:rsid w:val="00B6650A"/>
    <w:rsid w:val="00B666D1"/>
    <w:rsid w:val="00B66994"/>
    <w:rsid w:val="00B66995"/>
    <w:rsid w:val="00B669CA"/>
    <w:rsid w:val="00B66A12"/>
    <w:rsid w:val="00B66A9A"/>
    <w:rsid w:val="00B66B12"/>
    <w:rsid w:val="00B66B26"/>
    <w:rsid w:val="00B66B4A"/>
    <w:rsid w:val="00B66C21"/>
    <w:rsid w:val="00B6712F"/>
    <w:rsid w:val="00B67362"/>
    <w:rsid w:val="00B673C8"/>
    <w:rsid w:val="00B67428"/>
    <w:rsid w:val="00B675BE"/>
    <w:rsid w:val="00B67697"/>
    <w:rsid w:val="00B6769C"/>
    <w:rsid w:val="00B6774D"/>
    <w:rsid w:val="00B677CE"/>
    <w:rsid w:val="00B678DF"/>
    <w:rsid w:val="00B67909"/>
    <w:rsid w:val="00B67A2A"/>
    <w:rsid w:val="00B67A9B"/>
    <w:rsid w:val="00B67B6C"/>
    <w:rsid w:val="00B67D1A"/>
    <w:rsid w:val="00B67DA1"/>
    <w:rsid w:val="00B67F8A"/>
    <w:rsid w:val="00B700EE"/>
    <w:rsid w:val="00B7019B"/>
    <w:rsid w:val="00B70597"/>
    <w:rsid w:val="00B7071B"/>
    <w:rsid w:val="00B70737"/>
    <w:rsid w:val="00B7082A"/>
    <w:rsid w:val="00B70A3B"/>
    <w:rsid w:val="00B70AB1"/>
    <w:rsid w:val="00B70B6A"/>
    <w:rsid w:val="00B70C9A"/>
    <w:rsid w:val="00B70CFF"/>
    <w:rsid w:val="00B70E24"/>
    <w:rsid w:val="00B70E94"/>
    <w:rsid w:val="00B70FD8"/>
    <w:rsid w:val="00B7100A"/>
    <w:rsid w:val="00B71065"/>
    <w:rsid w:val="00B7118D"/>
    <w:rsid w:val="00B7126B"/>
    <w:rsid w:val="00B71342"/>
    <w:rsid w:val="00B71475"/>
    <w:rsid w:val="00B714F7"/>
    <w:rsid w:val="00B71574"/>
    <w:rsid w:val="00B715DE"/>
    <w:rsid w:val="00B715EE"/>
    <w:rsid w:val="00B71688"/>
    <w:rsid w:val="00B71769"/>
    <w:rsid w:val="00B718DD"/>
    <w:rsid w:val="00B718FA"/>
    <w:rsid w:val="00B71ACE"/>
    <w:rsid w:val="00B71ADC"/>
    <w:rsid w:val="00B71B6F"/>
    <w:rsid w:val="00B71C4B"/>
    <w:rsid w:val="00B71EAA"/>
    <w:rsid w:val="00B71EB7"/>
    <w:rsid w:val="00B71EED"/>
    <w:rsid w:val="00B71EF5"/>
    <w:rsid w:val="00B71F41"/>
    <w:rsid w:val="00B72006"/>
    <w:rsid w:val="00B72125"/>
    <w:rsid w:val="00B72129"/>
    <w:rsid w:val="00B72295"/>
    <w:rsid w:val="00B723CA"/>
    <w:rsid w:val="00B723F7"/>
    <w:rsid w:val="00B72456"/>
    <w:rsid w:val="00B725A7"/>
    <w:rsid w:val="00B72693"/>
    <w:rsid w:val="00B72706"/>
    <w:rsid w:val="00B7285B"/>
    <w:rsid w:val="00B728F5"/>
    <w:rsid w:val="00B7292D"/>
    <w:rsid w:val="00B72A1D"/>
    <w:rsid w:val="00B72AE3"/>
    <w:rsid w:val="00B72DFE"/>
    <w:rsid w:val="00B72E16"/>
    <w:rsid w:val="00B72F8A"/>
    <w:rsid w:val="00B72FE2"/>
    <w:rsid w:val="00B72FFC"/>
    <w:rsid w:val="00B73118"/>
    <w:rsid w:val="00B73181"/>
    <w:rsid w:val="00B731E1"/>
    <w:rsid w:val="00B73230"/>
    <w:rsid w:val="00B73438"/>
    <w:rsid w:val="00B73561"/>
    <w:rsid w:val="00B7360B"/>
    <w:rsid w:val="00B73632"/>
    <w:rsid w:val="00B73A64"/>
    <w:rsid w:val="00B73D69"/>
    <w:rsid w:val="00B73EAE"/>
    <w:rsid w:val="00B73EDD"/>
    <w:rsid w:val="00B73FBD"/>
    <w:rsid w:val="00B73FD6"/>
    <w:rsid w:val="00B74026"/>
    <w:rsid w:val="00B74050"/>
    <w:rsid w:val="00B74155"/>
    <w:rsid w:val="00B741F4"/>
    <w:rsid w:val="00B74251"/>
    <w:rsid w:val="00B74274"/>
    <w:rsid w:val="00B7429D"/>
    <w:rsid w:val="00B742EA"/>
    <w:rsid w:val="00B7435D"/>
    <w:rsid w:val="00B743CE"/>
    <w:rsid w:val="00B74401"/>
    <w:rsid w:val="00B7452D"/>
    <w:rsid w:val="00B7457A"/>
    <w:rsid w:val="00B745E6"/>
    <w:rsid w:val="00B7463C"/>
    <w:rsid w:val="00B74649"/>
    <w:rsid w:val="00B7482B"/>
    <w:rsid w:val="00B74AEF"/>
    <w:rsid w:val="00B74B33"/>
    <w:rsid w:val="00B74B7A"/>
    <w:rsid w:val="00B74DEB"/>
    <w:rsid w:val="00B74E59"/>
    <w:rsid w:val="00B74F39"/>
    <w:rsid w:val="00B750B8"/>
    <w:rsid w:val="00B750BD"/>
    <w:rsid w:val="00B75330"/>
    <w:rsid w:val="00B7549E"/>
    <w:rsid w:val="00B755BB"/>
    <w:rsid w:val="00B755C3"/>
    <w:rsid w:val="00B756EF"/>
    <w:rsid w:val="00B75834"/>
    <w:rsid w:val="00B75849"/>
    <w:rsid w:val="00B758A9"/>
    <w:rsid w:val="00B758CE"/>
    <w:rsid w:val="00B759C4"/>
    <w:rsid w:val="00B759D1"/>
    <w:rsid w:val="00B75A3E"/>
    <w:rsid w:val="00B75B99"/>
    <w:rsid w:val="00B75C5A"/>
    <w:rsid w:val="00B75CA2"/>
    <w:rsid w:val="00B75F5C"/>
    <w:rsid w:val="00B76035"/>
    <w:rsid w:val="00B7609D"/>
    <w:rsid w:val="00B76127"/>
    <w:rsid w:val="00B7636A"/>
    <w:rsid w:val="00B76393"/>
    <w:rsid w:val="00B7659C"/>
    <w:rsid w:val="00B765C9"/>
    <w:rsid w:val="00B7674E"/>
    <w:rsid w:val="00B76873"/>
    <w:rsid w:val="00B7688A"/>
    <w:rsid w:val="00B76AAE"/>
    <w:rsid w:val="00B76CE4"/>
    <w:rsid w:val="00B76D53"/>
    <w:rsid w:val="00B76EF6"/>
    <w:rsid w:val="00B76F65"/>
    <w:rsid w:val="00B76FD4"/>
    <w:rsid w:val="00B77179"/>
    <w:rsid w:val="00B77462"/>
    <w:rsid w:val="00B77617"/>
    <w:rsid w:val="00B77841"/>
    <w:rsid w:val="00B77930"/>
    <w:rsid w:val="00B77A4D"/>
    <w:rsid w:val="00B77D3A"/>
    <w:rsid w:val="00B77F66"/>
    <w:rsid w:val="00B80167"/>
    <w:rsid w:val="00B802B5"/>
    <w:rsid w:val="00B8048F"/>
    <w:rsid w:val="00B80580"/>
    <w:rsid w:val="00B80622"/>
    <w:rsid w:val="00B8094E"/>
    <w:rsid w:val="00B80983"/>
    <w:rsid w:val="00B80C9D"/>
    <w:rsid w:val="00B80C9F"/>
    <w:rsid w:val="00B80D9E"/>
    <w:rsid w:val="00B80EEF"/>
    <w:rsid w:val="00B81018"/>
    <w:rsid w:val="00B812B0"/>
    <w:rsid w:val="00B81407"/>
    <w:rsid w:val="00B81551"/>
    <w:rsid w:val="00B816E7"/>
    <w:rsid w:val="00B818D9"/>
    <w:rsid w:val="00B8197F"/>
    <w:rsid w:val="00B81985"/>
    <w:rsid w:val="00B8198D"/>
    <w:rsid w:val="00B81A5B"/>
    <w:rsid w:val="00B81AC6"/>
    <w:rsid w:val="00B81AF5"/>
    <w:rsid w:val="00B81B8E"/>
    <w:rsid w:val="00B81BA7"/>
    <w:rsid w:val="00B81C94"/>
    <w:rsid w:val="00B81DAC"/>
    <w:rsid w:val="00B81F67"/>
    <w:rsid w:val="00B81FCF"/>
    <w:rsid w:val="00B81FED"/>
    <w:rsid w:val="00B8233C"/>
    <w:rsid w:val="00B82509"/>
    <w:rsid w:val="00B82664"/>
    <w:rsid w:val="00B82685"/>
    <w:rsid w:val="00B827AE"/>
    <w:rsid w:val="00B82918"/>
    <w:rsid w:val="00B82973"/>
    <w:rsid w:val="00B82AF5"/>
    <w:rsid w:val="00B82C96"/>
    <w:rsid w:val="00B82DA9"/>
    <w:rsid w:val="00B82E9D"/>
    <w:rsid w:val="00B82F15"/>
    <w:rsid w:val="00B8316E"/>
    <w:rsid w:val="00B83287"/>
    <w:rsid w:val="00B8329F"/>
    <w:rsid w:val="00B83415"/>
    <w:rsid w:val="00B834F8"/>
    <w:rsid w:val="00B834FC"/>
    <w:rsid w:val="00B83A06"/>
    <w:rsid w:val="00B83CC9"/>
    <w:rsid w:val="00B83CD9"/>
    <w:rsid w:val="00B83D13"/>
    <w:rsid w:val="00B83D2D"/>
    <w:rsid w:val="00B83F57"/>
    <w:rsid w:val="00B84036"/>
    <w:rsid w:val="00B8406E"/>
    <w:rsid w:val="00B84305"/>
    <w:rsid w:val="00B84319"/>
    <w:rsid w:val="00B84338"/>
    <w:rsid w:val="00B843AF"/>
    <w:rsid w:val="00B845AF"/>
    <w:rsid w:val="00B8463B"/>
    <w:rsid w:val="00B849CF"/>
    <w:rsid w:val="00B84C32"/>
    <w:rsid w:val="00B84FEE"/>
    <w:rsid w:val="00B85031"/>
    <w:rsid w:val="00B8513E"/>
    <w:rsid w:val="00B851CA"/>
    <w:rsid w:val="00B8525B"/>
    <w:rsid w:val="00B852C2"/>
    <w:rsid w:val="00B8530F"/>
    <w:rsid w:val="00B85418"/>
    <w:rsid w:val="00B8544B"/>
    <w:rsid w:val="00B85450"/>
    <w:rsid w:val="00B85595"/>
    <w:rsid w:val="00B85646"/>
    <w:rsid w:val="00B8569F"/>
    <w:rsid w:val="00B856A2"/>
    <w:rsid w:val="00B856A9"/>
    <w:rsid w:val="00B8579D"/>
    <w:rsid w:val="00B85937"/>
    <w:rsid w:val="00B85BF2"/>
    <w:rsid w:val="00B85C45"/>
    <w:rsid w:val="00B85DF3"/>
    <w:rsid w:val="00B85F7C"/>
    <w:rsid w:val="00B860CD"/>
    <w:rsid w:val="00B861CE"/>
    <w:rsid w:val="00B86208"/>
    <w:rsid w:val="00B86232"/>
    <w:rsid w:val="00B865DC"/>
    <w:rsid w:val="00B865DF"/>
    <w:rsid w:val="00B86706"/>
    <w:rsid w:val="00B86A94"/>
    <w:rsid w:val="00B86B97"/>
    <w:rsid w:val="00B86C02"/>
    <w:rsid w:val="00B86C7C"/>
    <w:rsid w:val="00B86CB7"/>
    <w:rsid w:val="00B86D0C"/>
    <w:rsid w:val="00B86EAE"/>
    <w:rsid w:val="00B86FE2"/>
    <w:rsid w:val="00B87026"/>
    <w:rsid w:val="00B8702E"/>
    <w:rsid w:val="00B87261"/>
    <w:rsid w:val="00B872BF"/>
    <w:rsid w:val="00B873F3"/>
    <w:rsid w:val="00B874EE"/>
    <w:rsid w:val="00B8751E"/>
    <w:rsid w:val="00B875CC"/>
    <w:rsid w:val="00B875F5"/>
    <w:rsid w:val="00B8778E"/>
    <w:rsid w:val="00B87863"/>
    <w:rsid w:val="00B87C60"/>
    <w:rsid w:val="00B87C95"/>
    <w:rsid w:val="00B87CFC"/>
    <w:rsid w:val="00B87D28"/>
    <w:rsid w:val="00B87D48"/>
    <w:rsid w:val="00B87E90"/>
    <w:rsid w:val="00B87EAD"/>
    <w:rsid w:val="00B87F55"/>
    <w:rsid w:val="00B87F5A"/>
    <w:rsid w:val="00B90110"/>
    <w:rsid w:val="00B902CE"/>
    <w:rsid w:val="00B90348"/>
    <w:rsid w:val="00B90402"/>
    <w:rsid w:val="00B90600"/>
    <w:rsid w:val="00B90612"/>
    <w:rsid w:val="00B906A2"/>
    <w:rsid w:val="00B9082B"/>
    <w:rsid w:val="00B9099E"/>
    <w:rsid w:val="00B909DD"/>
    <w:rsid w:val="00B90A41"/>
    <w:rsid w:val="00B90ADA"/>
    <w:rsid w:val="00B90CE3"/>
    <w:rsid w:val="00B90D42"/>
    <w:rsid w:val="00B90D81"/>
    <w:rsid w:val="00B90D9D"/>
    <w:rsid w:val="00B90EE4"/>
    <w:rsid w:val="00B9100B"/>
    <w:rsid w:val="00B910B5"/>
    <w:rsid w:val="00B9110B"/>
    <w:rsid w:val="00B91136"/>
    <w:rsid w:val="00B919C5"/>
    <w:rsid w:val="00B919DA"/>
    <w:rsid w:val="00B91A75"/>
    <w:rsid w:val="00B91B8A"/>
    <w:rsid w:val="00B91C78"/>
    <w:rsid w:val="00B91D2E"/>
    <w:rsid w:val="00B91EF8"/>
    <w:rsid w:val="00B92007"/>
    <w:rsid w:val="00B92208"/>
    <w:rsid w:val="00B924FB"/>
    <w:rsid w:val="00B92557"/>
    <w:rsid w:val="00B9261C"/>
    <w:rsid w:val="00B92643"/>
    <w:rsid w:val="00B92707"/>
    <w:rsid w:val="00B9279F"/>
    <w:rsid w:val="00B92A71"/>
    <w:rsid w:val="00B92AA8"/>
    <w:rsid w:val="00B92C3F"/>
    <w:rsid w:val="00B92CBC"/>
    <w:rsid w:val="00B92D56"/>
    <w:rsid w:val="00B92D91"/>
    <w:rsid w:val="00B92DD0"/>
    <w:rsid w:val="00B92E98"/>
    <w:rsid w:val="00B92EBF"/>
    <w:rsid w:val="00B92F35"/>
    <w:rsid w:val="00B92FAF"/>
    <w:rsid w:val="00B93128"/>
    <w:rsid w:val="00B931A3"/>
    <w:rsid w:val="00B93317"/>
    <w:rsid w:val="00B93330"/>
    <w:rsid w:val="00B933A7"/>
    <w:rsid w:val="00B93484"/>
    <w:rsid w:val="00B9362B"/>
    <w:rsid w:val="00B93667"/>
    <w:rsid w:val="00B937AF"/>
    <w:rsid w:val="00B93824"/>
    <w:rsid w:val="00B93918"/>
    <w:rsid w:val="00B93A5D"/>
    <w:rsid w:val="00B93C0E"/>
    <w:rsid w:val="00B93EAB"/>
    <w:rsid w:val="00B93ECC"/>
    <w:rsid w:val="00B93F81"/>
    <w:rsid w:val="00B94015"/>
    <w:rsid w:val="00B9403E"/>
    <w:rsid w:val="00B94102"/>
    <w:rsid w:val="00B94118"/>
    <w:rsid w:val="00B9445C"/>
    <w:rsid w:val="00B9448B"/>
    <w:rsid w:val="00B94498"/>
    <w:rsid w:val="00B94520"/>
    <w:rsid w:val="00B94528"/>
    <w:rsid w:val="00B94663"/>
    <w:rsid w:val="00B9469F"/>
    <w:rsid w:val="00B94A86"/>
    <w:rsid w:val="00B94C70"/>
    <w:rsid w:val="00B94E73"/>
    <w:rsid w:val="00B94F63"/>
    <w:rsid w:val="00B95016"/>
    <w:rsid w:val="00B95080"/>
    <w:rsid w:val="00B95410"/>
    <w:rsid w:val="00B95578"/>
    <w:rsid w:val="00B955BA"/>
    <w:rsid w:val="00B9569A"/>
    <w:rsid w:val="00B956C1"/>
    <w:rsid w:val="00B9576F"/>
    <w:rsid w:val="00B95B7F"/>
    <w:rsid w:val="00B95E0B"/>
    <w:rsid w:val="00B9612D"/>
    <w:rsid w:val="00B964A5"/>
    <w:rsid w:val="00B96552"/>
    <w:rsid w:val="00B96631"/>
    <w:rsid w:val="00B966EC"/>
    <w:rsid w:val="00B96823"/>
    <w:rsid w:val="00B9688A"/>
    <w:rsid w:val="00B968B3"/>
    <w:rsid w:val="00B96900"/>
    <w:rsid w:val="00B96910"/>
    <w:rsid w:val="00B9692D"/>
    <w:rsid w:val="00B96941"/>
    <w:rsid w:val="00B96AA2"/>
    <w:rsid w:val="00B96AE1"/>
    <w:rsid w:val="00B96D20"/>
    <w:rsid w:val="00B96D50"/>
    <w:rsid w:val="00B96D93"/>
    <w:rsid w:val="00B96DF0"/>
    <w:rsid w:val="00B96FAB"/>
    <w:rsid w:val="00B970A3"/>
    <w:rsid w:val="00B9723A"/>
    <w:rsid w:val="00B97249"/>
    <w:rsid w:val="00B973E3"/>
    <w:rsid w:val="00B9756A"/>
    <w:rsid w:val="00B976AC"/>
    <w:rsid w:val="00B976B9"/>
    <w:rsid w:val="00B977B2"/>
    <w:rsid w:val="00B9789C"/>
    <w:rsid w:val="00B97E3C"/>
    <w:rsid w:val="00B97EA6"/>
    <w:rsid w:val="00B97F09"/>
    <w:rsid w:val="00BA0045"/>
    <w:rsid w:val="00BA0063"/>
    <w:rsid w:val="00BA008C"/>
    <w:rsid w:val="00BA0131"/>
    <w:rsid w:val="00BA0137"/>
    <w:rsid w:val="00BA017F"/>
    <w:rsid w:val="00BA01DB"/>
    <w:rsid w:val="00BA0226"/>
    <w:rsid w:val="00BA0273"/>
    <w:rsid w:val="00BA0360"/>
    <w:rsid w:val="00BA04FB"/>
    <w:rsid w:val="00BA0554"/>
    <w:rsid w:val="00BA067D"/>
    <w:rsid w:val="00BA0866"/>
    <w:rsid w:val="00BA0930"/>
    <w:rsid w:val="00BA0957"/>
    <w:rsid w:val="00BA09B4"/>
    <w:rsid w:val="00BA0AE9"/>
    <w:rsid w:val="00BA0DA5"/>
    <w:rsid w:val="00BA0E14"/>
    <w:rsid w:val="00BA0EBE"/>
    <w:rsid w:val="00BA0F5F"/>
    <w:rsid w:val="00BA12B6"/>
    <w:rsid w:val="00BA1A2A"/>
    <w:rsid w:val="00BA1AED"/>
    <w:rsid w:val="00BA1B70"/>
    <w:rsid w:val="00BA1BD4"/>
    <w:rsid w:val="00BA1C72"/>
    <w:rsid w:val="00BA1C89"/>
    <w:rsid w:val="00BA1DD3"/>
    <w:rsid w:val="00BA1ED6"/>
    <w:rsid w:val="00BA1F94"/>
    <w:rsid w:val="00BA1FA4"/>
    <w:rsid w:val="00BA201B"/>
    <w:rsid w:val="00BA2209"/>
    <w:rsid w:val="00BA22C9"/>
    <w:rsid w:val="00BA22E0"/>
    <w:rsid w:val="00BA232C"/>
    <w:rsid w:val="00BA23FA"/>
    <w:rsid w:val="00BA2455"/>
    <w:rsid w:val="00BA2467"/>
    <w:rsid w:val="00BA24D7"/>
    <w:rsid w:val="00BA2590"/>
    <w:rsid w:val="00BA266A"/>
    <w:rsid w:val="00BA26A3"/>
    <w:rsid w:val="00BA27C6"/>
    <w:rsid w:val="00BA27C9"/>
    <w:rsid w:val="00BA27FB"/>
    <w:rsid w:val="00BA2862"/>
    <w:rsid w:val="00BA2875"/>
    <w:rsid w:val="00BA297F"/>
    <w:rsid w:val="00BA2AD9"/>
    <w:rsid w:val="00BA2AF7"/>
    <w:rsid w:val="00BA2BE6"/>
    <w:rsid w:val="00BA2C3E"/>
    <w:rsid w:val="00BA2CB3"/>
    <w:rsid w:val="00BA2D55"/>
    <w:rsid w:val="00BA2E40"/>
    <w:rsid w:val="00BA2F26"/>
    <w:rsid w:val="00BA2FA4"/>
    <w:rsid w:val="00BA2FDC"/>
    <w:rsid w:val="00BA30F2"/>
    <w:rsid w:val="00BA36A2"/>
    <w:rsid w:val="00BA3723"/>
    <w:rsid w:val="00BA39FD"/>
    <w:rsid w:val="00BA3B02"/>
    <w:rsid w:val="00BA3BEC"/>
    <w:rsid w:val="00BA3C24"/>
    <w:rsid w:val="00BA3DB6"/>
    <w:rsid w:val="00BA3E52"/>
    <w:rsid w:val="00BA40D8"/>
    <w:rsid w:val="00BA41DD"/>
    <w:rsid w:val="00BA427F"/>
    <w:rsid w:val="00BA42A0"/>
    <w:rsid w:val="00BA42B4"/>
    <w:rsid w:val="00BA43BC"/>
    <w:rsid w:val="00BA4659"/>
    <w:rsid w:val="00BA46F0"/>
    <w:rsid w:val="00BA4887"/>
    <w:rsid w:val="00BA4A58"/>
    <w:rsid w:val="00BA4ACE"/>
    <w:rsid w:val="00BA4C73"/>
    <w:rsid w:val="00BA4C84"/>
    <w:rsid w:val="00BA4CF2"/>
    <w:rsid w:val="00BA4D8E"/>
    <w:rsid w:val="00BA50D0"/>
    <w:rsid w:val="00BA52D2"/>
    <w:rsid w:val="00BA5339"/>
    <w:rsid w:val="00BA56A8"/>
    <w:rsid w:val="00BA587B"/>
    <w:rsid w:val="00BA59BD"/>
    <w:rsid w:val="00BA5BA8"/>
    <w:rsid w:val="00BA5C42"/>
    <w:rsid w:val="00BA5CB6"/>
    <w:rsid w:val="00BA5F68"/>
    <w:rsid w:val="00BA6034"/>
    <w:rsid w:val="00BA618A"/>
    <w:rsid w:val="00BA6534"/>
    <w:rsid w:val="00BA6621"/>
    <w:rsid w:val="00BA676B"/>
    <w:rsid w:val="00BA67A4"/>
    <w:rsid w:val="00BA6899"/>
    <w:rsid w:val="00BA693D"/>
    <w:rsid w:val="00BA6960"/>
    <w:rsid w:val="00BA6A64"/>
    <w:rsid w:val="00BA6E42"/>
    <w:rsid w:val="00BA7030"/>
    <w:rsid w:val="00BA740E"/>
    <w:rsid w:val="00BA7861"/>
    <w:rsid w:val="00BA7893"/>
    <w:rsid w:val="00BA7AE4"/>
    <w:rsid w:val="00BA7BEA"/>
    <w:rsid w:val="00BA7C44"/>
    <w:rsid w:val="00BA7D11"/>
    <w:rsid w:val="00BA7DA1"/>
    <w:rsid w:val="00BA7DC9"/>
    <w:rsid w:val="00BA7E30"/>
    <w:rsid w:val="00BA7E8B"/>
    <w:rsid w:val="00BA7EA6"/>
    <w:rsid w:val="00BA7EC5"/>
    <w:rsid w:val="00BA7EE6"/>
    <w:rsid w:val="00BB0027"/>
    <w:rsid w:val="00BB00BE"/>
    <w:rsid w:val="00BB00DF"/>
    <w:rsid w:val="00BB0100"/>
    <w:rsid w:val="00BB0129"/>
    <w:rsid w:val="00BB01B6"/>
    <w:rsid w:val="00BB01EC"/>
    <w:rsid w:val="00BB01F8"/>
    <w:rsid w:val="00BB0387"/>
    <w:rsid w:val="00BB04DB"/>
    <w:rsid w:val="00BB04EB"/>
    <w:rsid w:val="00BB051A"/>
    <w:rsid w:val="00BB0581"/>
    <w:rsid w:val="00BB06D5"/>
    <w:rsid w:val="00BB072E"/>
    <w:rsid w:val="00BB0813"/>
    <w:rsid w:val="00BB0815"/>
    <w:rsid w:val="00BB084E"/>
    <w:rsid w:val="00BB0852"/>
    <w:rsid w:val="00BB0867"/>
    <w:rsid w:val="00BB0AA1"/>
    <w:rsid w:val="00BB0AF2"/>
    <w:rsid w:val="00BB0CE7"/>
    <w:rsid w:val="00BB0DBC"/>
    <w:rsid w:val="00BB0DC6"/>
    <w:rsid w:val="00BB0E38"/>
    <w:rsid w:val="00BB0EC5"/>
    <w:rsid w:val="00BB0FCF"/>
    <w:rsid w:val="00BB1157"/>
    <w:rsid w:val="00BB11DA"/>
    <w:rsid w:val="00BB1219"/>
    <w:rsid w:val="00BB125D"/>
    <w:rsid w:val="00BB12DA"/>
    <w:rsid w:val="00BB1409"/>
    <w:rsid w:val="00BB1425"/>
    <w:rsid w:val="00BB15B1"/>
    <w:rsid w:val="00BB169E"/>
    <w:rsid w:val="00BB17D7"/>
    <w:rsid w:val="00BB188C"/>
    <w:rsid w:val="00BB18C4"/>
    <w:rsid w:val="00BB1991"/>
    <w:rsid w:val="00BB1A54"/>
    <w:rsid w:val="00BB1C52"/>
    <w:rsid w:val="00BB1C7C"/>
    <w:rsid w:val="00BB1F26"/>
    <w:rsid w:val="00BB2117"/>
    <w:rsid w:val="00BB230A"/>
    <w:rsid w:val="00BB25E5"/>
    <w:rsid w:val="00BB263E"/>
    <w:rsid w:val="00BB26BB"/>
    <w:rsid w:val="00BB2757"/>
    <w:rsid w:val="00BB276E"/>
    <w:rsid w:val="00BB293E"/>
    <w:rsid w:val="00BB2C6E"/>
    <w:rsid w:val="00BB2F04"/>
    <w:rsid w:val="00BB2FD4"/>
    <w:rsid w:val="00BB31B2"/>
    <w:rsid w:val="00BB31C8"/>
    <w:rsid w:val="00BB3338"/>
    <w:rsid w:val="00BB36B5"/>
    <w:rsid w:val="00BB37BB"/>
    <w:rsid w:val="00BB393F"/>
    <w:rsid w:val="00BB3C02"/>
    <w:rsid w:val="00BB3D50"/>
    <w:rsid w:val="00BB3E0E"/>
    <w:rsid w:val="00BB3E2A"/>
    <w:rsid w:val="00BB3F83"/>
    <w:rsid w:val="00BB415A"/>
    <w:rsid w:val="00BB41CC"/>
    <w:rsid w:val="00BB43F2"/>
    <w:rsid w:val="00BB4562"/>
    <w:rsid w:val="00BB4606"/>
    <w:rsid w:val="00BB474B"/>
    <w:rsid w:val="00BB4988"/>
    <w:rsid w:val="00BB4B53"/>
    <w:rsid w:val="00BB4B6E"/>
    <w:rsid w:val="00BB4BE2"/>
    <w:rsid w:val="00BB4D66"/>
    <w:rsid w:val="00BB4FFF"/>
    <w:rsid w:val="00BB500B"/>
    <w:rsid w:val="00BB508C"/>
    <w:rsid w:val="00BB5163"/>
    <w:rsid w:val="00BB522D"/>
    <w:rsid w:val="00BB55FE"/>
    <w:rsid w:val="00BB567B"/>
    <w:rsid w:val="00BB56E3"/>
    <w:rsid w:val="00BB5983"/>
    <w:rsid w:val="00BB5B9A"/>
    <w:rsid w:val="00BB5C1B"/>
    <w:rsid w:val="00BB5F8D"/>
    <w:rsid w:val="00BB61D6"/>
    <w:rsid w:val="00BB6226"/>
    <w:rsid w:val="00BB6308"/>
    <w:rsid w:val="00BB63A2"/>
    <w:rsid w:val="00BB6BDC"/>
    <w:rsid w:val="00BB6BE6"/>
    <w:rsid w:val="00BB6C86"/>
    <w:rsid w:val="00BB6CEB"/>
    <w:rsid w:val="00BB6EA6"/>
    <w:rsid w:val="00BB6FD0"/>
    <w:rsid w:val="00BB7092"/>
    <w:rsid w:val="00BB723F"/>
    <w:rsid w:val="00BB7375"/>
    <w:rsid w:val="00BB7561"/>
    <w:rsid w:val="00BB76C8"/>
    <w:rsid w:val="00BB790B"/>
    <w:rsid w:val="00BB7B43"/>
    <w:rsid w:val="00BB7BB7"/>
    <w:rsid w:val="00BB7DD5"/>
    <w:rsid w:val="00BB7F7E"/>
    <w:rsid w:val="00BC0407"/>
    <w:rsid w:val="00BC0522"/>
    <w:rsid w:val="00BC0945"/>
    <w:rsid w:val="00BC0994"/>
    <w:rsid w:val="00BC09D3"/>
    <w:rsid w:val="00BC0A50"/>
    <w:rsid w:val="00BC0F96"/>
    <w:rsid w:val="00BC107D"/>
    <w:rsid w:val="00BC1170"/>
    <w:rsid w:val="00BC11A3"/>
    <w:rsid w:val="00BC1229"/>
    <w:rsid w:val="00BC1328"/>
    <w:rsid w:val="00BC1409"/>
    <w:rsid w:val="00BC14DE"/>
    <w:rsid w:val="00BC15B3"/>
    <w:rsid w:val="00BC1617"/>
    <w:rsid w:val="00BC16C6"/>
    <w:rsid w:val="00BC1A9D"/>
    <w:rsid w:val="00BC1AE5"/>
    <w:rsid w:val="00BC1BE2"/>
    <w:rsid w:val="00BC1C62"/>
    <w:rsid w:val="00BC1D82"/>
    <w:rsid w:val="00BC1F1C"/>
    <w:rsid w:val="00BC1F20"/>
    <w:rsid w:val="00BC1F2E"/>
    <w:rsid w:val="00BC1F7C"/>
    <w:rsid w:val="00BC23D6"/>
    <w:rsid w:val="00BC2494"/>
    <w:rsid w:val="00BC2523"/>
    <w:rsid w:val="00BC2682"/>
    <w:rsid w:val="00BC287E"/>
    <w:rsid w:val="00BC2887"/>
    <w:rsid w:val="00BC28BE"/>
    <w:rsid w:val="00BC2956"/>
    <w:rsid w:val="00BC2991"/>
    <w:rsid w:val="00BC2ACF"/>
    <w:rsid w:val="00BC2B6D"/>
    <w:rsid w:val="00BC2B85"/>
    <w:rsid w:val="00BC2E9F"/>
    <w:rsid w:val="00BC3043"/>
    <w:rsid w:val="00BC308F"/>
    <w:rsid w:val="00BC3118"/>
    <w:rsid w:val="00BC3244"/>
    <w:rsid w:val="00BC33FF"/>
    <w:rsid w:val="00BC3406"/>
    <w:rsid w:val="00BC367E"/>
    <w:rsid w:val="00BC37D6"/>
    <w:rsid w:val="00BC38D0"/>
    <w:rsid w:val="00BC3C64"/>
    <w:rsid w:val="00BC3CC9"/>
    <w:rsid w:val="00BC3D8A"/>
    <w:rsid w:val="00BC3D95"/>
    <w:rsid w:val="00BC401C"/>
    <w:rsid w:val="00BC42E9"/>
    <w:rsid w:val="00BC434D"/>
    <w:rsid w:val="00BC438E"/>
    <w:rsid w:val="00BC439F"/>
    <w:rsid w:val="00BC43D0"/>
    <w:rsid w:val="00BC45CC"/>
    <w:rsid w:val="00BC4781"/>
    <w:rsid w:val="00BC47BA"/>
    <w:rsid w:val="00BC4864"/>
    <w:rsid w:val="00BC48A3"/>
    <w:rsid w:val="00BC492A"/>
    <w:rsid w:val="00BC4969"/>
    <w:rsid w:val="00BC4B9F"/>
    <w:rsid w:val="00BC4C74"/>
    <w:rsid w:val="00BC4C76"/>
    <w:rsid w:val="00BC4D27"/>
    <w:rsid w:val="00BC4E4C"/>
    <w:rsid w:val="00BC5016"/>
    <w:rsid w:val="00BC513A"/>
    <w:rsid w:val="00BC51DC"/>
    <w:rsid w:val="00BC52BB"/>
    <w:rsid w:val="00BC55D9"/>
    <w:rsid w:val="00BC56E8"/>
    <w:rsid w:val="00BC5706"/>
    <w:rsid w:val="00BC573B"/>
    <w:rsid w:val="00BC5D61"/>
    <w:rsid w:val="00BC5E2B"/>
    <w:rsid w:val="00BC5E4E"/>
    <w:rsid w:val="00BC5F0D"/>
    <w:rsid w:val="00BC5FAC"/>
    <w:rsid w:val="00BC604A"/>
    <w:rsid w:val="00BC6129"/>
    <w:rsid w:val="00BC620E"/>
    <w:rsid w:val="00BC62F5"/>
    <w:rsid w:val="00BC6463"/>
    <w:rsid w:val="00BC66F5"/>
    <w:rsid w:val="00BC6742"/>
    <w:rsid w:val="00BC67B5"/>
    <w:rsid w:val="00BC6960"/>
    <w:rsid w:val="00BC6987"/>
    <w:rsid w:val="00BC6A3D"/>
    <w:rsid w:val="00BC6AC3"/>
    <w:rsid w:val="00BC6BC5"/>
    <w:rsid w:val="00BC6C66"/>
    <w:rsid w:val="00BC6D74"/>
    <w:rsid w:val="00BC6DC2"/>
    <w:rsid w:val="00BC6DD4"/>
    <w:rsid w:val="00BC7049"/>
    <w:rsid w:val="00BC71A3"/>
    <w:rsid w:val="00BC728C"/>
    <w:rsid w:val="00BC741B"/>
    <w:rsid w:val="00BC7469"/>
    <w:rsid w:val="00BC74D1"/>
    <w:rsid w:val="00BC764E"/>
    <w:rsid w:val="00BC78FB"/>
    <w:rsid w:val="00BC7A30"/>
    <w:rsid w:val="00BC7B45"/>
    <w:rsid w:val="00BC7B97"/>
    <w:rsid w:val="00BC7D6B"/>
    <w:rsid w:val="00BC7F19"/>
    <w:rsid w:val="00BC7F3E"/>
    <w:rsid w:val="00BC7F5E"/>
    <w:rsid w:val="00BD0032"/>
    <w:rsid w:val="00BD00D1"/>
    <w:rsid w:val="00BD0407"/>
    <w:rsid w:val="00BD045B"/>
    <w:rsid w:val="00BD049E"/>
    <w:rsid w:val="00BD058A"/>
    <w:rsid w:val="00BD05B2"/>
    <w:rsid w:val="00BD05DB"/>
    <w:rsid w:val="00BD0647"/>
    <w:rsid w:val="00BD065F"/>
    <w:rsid w:val="00BD066F"/>
    <w:rsid w:val="00BD06E7"/>
    <w:rsid w:val="00BD0719"/>
    <w:rsid w:val="00BD075F"/>
    <w:rsid w:val="00BD0788"/>
    <w:rsid w:val="00BD08A8"/>
    <w:rsid w:val="00BD08A9"/>
    <w:rsid w:val="00BD0933"/>
    <w:rsid w:val="00BD098F"/>
    <w:rsid w:val="00BD0990"/>
    <w:rsid w:val="00BD0CBA"/>
    <w:rsid w:val="00BD0E71"/>
    <w:rsid w:val="00BD0F20"/>
    <w:rsid w:val="00BD0F33"/>
    <w:rsid w:val="00BD0F86"/>
    <w:rsid w:val="00BD1222"/>
    <w:rsid w:val="00BD1229"/>
    <w:rsid w:val="00BD12C9"/>
    <w:rsid w:val="00BD12DC"/>
    <w:rsid w:val="00BD1481"/>
    <w:rsid w:val="00BD1560"/>
    <w:rsid w:val="00BD156A"/>
    <w:rsid w:val="00BD159F"/>
    <w:rsid w:val="00BD15C1"/>
    <w:rsid w:val="00BD1624"/>
    <w:rsid w:val="00BD16E0"/>
    <w:rsid w:val="00BD1789"/>
    <w:rsid w:val="00BD18F5"/>
    <w:rsid w:val="00BD1A6F"/>
    <w:rsid w:val="00BD1BB2"/>
    <w:rsid w:val="00BD1C20"/>
    <w:rsid w:val="00BD1C37"/>
    <w:rsid w:val="00BD1C6C"/>
    <w:rsid w:val="00BD1C94"/>
    <w:rsid w:val="00BD1CDE"/>
    <w:rsid w:val="00BD1D1A"/>
    <w:rsid w:val="00BD1E38"/>
    <w:rsid w:val="00BD1EF0"/>
    <w:rsid w:val="00BD1FEE"/>
    <w:rsid w:val="00BD2040"/>
    <w:rsid w:val="00BD2104"/>
    <w:rsid w:val="00BD22BC"/>
    <w:rsid w:val="00BD25B0"/>
    <w:rsid w:val="00BD25F8"/>
    <w:rsid w:val="00BD29D9"/>
    <w:rsid w:val="00BD2A54"/>
    <w:rsid w:val="00BD2CE6"/>
    <w:rsid w:val="00BD2CEB"/>
    <w:rsid w:val="00BD2DFE"/>
    <w:rsid w:val="00BD2F23"/>
    <w:rsid w:val="00BD2F3C"/>
    <w:rsid w:val="00BD2FD8"/>
    <w:rsid w:val="00BD33B8"/>
    <w:rsid w:val="00BD33ED"/>
    <w:rsid w:val="00BD352F"/>
    <w:rsid w:val="00BD3660"/>
    <w:rsid w:val="00BD38F7"/>
    <w:rsid w:val="00BD391B"/>
    <w:rsid w:val="00BD3A7C"/>
    <w:rsid w:val="00BD3C22"/>
    <w:rsid w:val="00BD3CB7"/>
    <w:rsid w:val="00BD3E2E"/>
    <w:rsid w:val="00BD3EA0"/>
    <w:rsid w:val="00BD3F17"/>
    <w:rsid w:val="00BD4211"/>
    <w:rsid w:val="00BD426A"/>
    <w:rsid w:val="00BD4415"/>
    <w:rsid w:val="00BD444F"/>
    <w:rsid w:val="00BD449C"/>
    <w:rsid w:val="00BD467C"/>
    <w:rsid w:val="00BD46B5"/>
    <w:rsid w:val="00BD477C"/>
    <w:rsid w:val="00BD4877"/>
    <w:rsid w:val="00BD4902"/>
    <w:rsid w:val="00BD4944"/>
    <w:rsid w:val="00BD4A15"/>
    <w:rsid w:val="00BD4BF1"/>
    <w:rsid w:val="00BD4D28"/>
    <w:rsid w:val="00BD524F"/>
    <w:rsid w:val="00BD5315"/>
    <w:rsid w:val="00BD5341"/>
    <w:rsid w:val="00BD538D"/>
    <w:rsid w:val="00BD53D0"/>
    <w:rsid w:val="00BD53EC"/>
    <w:rsid w:val="00BD559D"/>
    <w:rsid w:val="00BD55D8"/>
    <w:rsid w:val="00BD56E9"/>
    <w:rsid w:val="00BD57F0"/>
    <w:rsid w:val="00BD591A"/>
    <w:rsid w:val="00BD5A45"/>
    <w:rsid w:val="00BD5D1A"/>
    <w:rsid w:val="00BD5E9C"/>
    <w:rsid w:val="00BD5F2B"/>
    <w:rsid w:val="00BD60BF"/>
    <w:rsid w:val="00BD60E4"/>
    <w:rsid w:val="00BD6296"/>
    <w:rsid w:val="00BD6936"/>
    <w:rsid w:val="00BD6A8C"/>
    <w:rsid w:val="00BD6B6F"/>
    <w:rsid w:val="00BD6C50"/>
    <w:rsid w:val="00BD6C5F"/>
    <w:rsid w:val="00BD6D9C"/>
    <w:rsid w:val="00BD6DE7"/>
    <w:rsid w:val="00BD6E77"/>
    <w:rsid w:val="00BD6F50"/>
    <w:rsid w:val="00BD6FAA"/>
    <w:rsid w:val="00BD6FF9"/>
    <w:rsid w:val="00BD70E4"/>
    <w:rsid w:val="00BD70E6"/>
    <w:rsid w:val="00BD711D"/>
    <w:rsid w:val="00BD71FF"/>
    <w:rsid w:val="00BD729C"/>
    <w:rsid w:val="00BD72AC"/>
    <w:rsid w:val="00BD72BB"/>
    <w:rsid w:val="00BD7468"/>
    <w:rsid w:val="00BD7743"/>
    <w:rsid w:val="00BD7B60"/>
    <w:rsid w:val="00BD7C0B"/>
    <w:rsid w:val="00BD7C55"/>
    <w:rsid w:val="00BD7D59"/>
    <w:rsid w:val="00BD7D85"/>
    <w:rsid w:val="00BD7DC2"/>
    <w:rsid w:val="00BD7EDA"/>
    <w:rsid w:val="00BE00E3"/>
    <w:rsid w:val="00BE0146"/>
    <w:rsid w:val="00BE0407"/>
    <w:rsid w:val="00BE05F3"/>
    <w:rsid w:val="00BE0664"/>
    <w:rsid w:val="00BE0988"/>
    <w:rsid w:val="00BE09CA"/>
    <w:rsid w:val="00BE0A21"/>
    <w:rsid w:val="00BE0BC0"/>
    <w:rsid w:val="00BE0BF4"/>
    <w:rsid w:val="00BE0C2A"/>
    <w:rsid w:val="00BE0C92"/>
    <w:rsid w:val="00BE0F87"/>
    <w:rsid w:val="00BE0FD9"/>
    <w:rsid w:val="00BE1197"/>
    <w:rsid w:val="00BE1199"/>
    <w:rsid w:val="00BE122A"/>
    <w:rsid w:val="00BE15F1"/>
    <w:rsid w:val="00BE160A"/>
    <w:rsid w:val="00BE177E"/>
    <w:rsid w:val="00BE17FD"/>
    <w:rsid w:val="00BE18F8"/>
    <w:rsid w:val="00BE1946"/>
    <w:rsid w:val="00BE1969"/>
    <w:rsid w:val="00BE1C02"/>
    <w:rsid w:val="00BE1C2E"/>
    <w:rsid w:val="00BE1C6C"/>
    <w:rsid w:val="00BE1D1E"/>
    <w:rsid w:val="00BE1E88"/>
    <w:rsid w:val="00BE1EB7"/>
    <w:rsid w:val="00BE1F23"/>
    <w:rsid w:val="00BE1FBF"/>
    <w:rsid w:val="00BE206F"/>
    <w:rsid w:val="00BE22AD"/>
    <w:rsid w:val="00BE2420"/>
    <w:rsid w:val="00BE2530"/>
    <w:rsid w:val="00BE258F"/>
    <w:rsid w:val="00BE25ED"/>
    <w:rsid w:val="00BE27B3"/>
    <w:rsid w:val="00BE285A"/>
    <w:rsid w:val="00BE2A11"/>
    <w:rsid w:val="00BE2C74"/>
    <w:rsid w:val="00BE2D1D"/>
    <w:rsid w:val="00BE2D33"/>
    <w:rsid w:val="00BE2EC2"/>
    <w:rsid w:val="00BE2F62"/>
    <w:rsid w:val="00BE2F71"/>
    <w:rsid w:val="00BE2FB6"/>
    <w:rsid w:val="00BE2FC2"/>
    <w:rsid w:val="00BE305A"/>
    <w:rsid w:val="00BE31FD"/>
    <w:rsid w:val="00BE32FF"/>
    <w:rsid w:val="00BE332A"/>
    <w:rsid w:val="00BE3380"/>
    <w:rsid w:val="00BE3570"/>
    <w:rsid w:val="00BE36F3"/>
    <w:rsid w:val="00BE3706"/>
    <w:rsid w:val="00BE3724"/>
    <w:rsid w:val="00BE3A81"/>
    <w:rsid w:val="00BE3B12"/>
    <w:rsid w:val="00BE3B3B"/>
    <w:rsid w:val="00BE3BA5"/>
    <w:rsid w:val="00BE3BDA"/>
    <w:rsid w:val="00BE3E4F"/>
    <w:rsid w:val="00BE3F52"/>
    <w:rsid w:val="00BE4009"/>
    <w:rsid w:val="00BE41AC"/>
    <w:rsid w:val="00BE4236"/>
    <w:rsid w:val="00BE4394"/>
    <w:rsid w:val="00BE451B"/>
    <w:rsid w:val="00BE45ED"/>
    <w:rsid w:val="00BE4679"/>
    <w:rsid w:val="00BE473C"/>
    <w:rsid w:val="00BE483D"/>
    <w:rsid w:val="00BE4A3D"/>
    <w:rsid w:val="00BE4AB8"/>
    <w:rsid w:val="00BE4B47"/>
    <w:rsid w:val="00BE4C3D"/>
    <w:rsid w:val="00BE4CC1"/>
    <w:rsid w:val="00BE4DF9"/>
    <w:rsid w:val="00BE5097"/>
    <w:rsid w:val="00BE53F5"/>
    <w:rsid w:val="00BE5414"/>
    <w:rsid w:val="00BE5471"/>
    <w:rsid w:val="00BE5522"/>
    <w:rsid w:val="00BE55F7"/>
    <w:rsid w:val="00BE562B"/>
    <w:rsid w:val="00BE5683"/>
    <w:rsid w:val="00BE568A"/>
    <w:rsid w:val="00BE5834"/>
    <w:rsid w:val="00BE58B8"/>
    <w:rsid w:val="00BE5A6C"/>
    <w:rsid w:val="00BE5AB9"/>
    <w:rsid w:val="00BE5AE8"/>
    <w:rsid w:val="00BE5C15"/>
    <w:rsid w:val="00BE5EB5"/>
    <w:rsid w:val="00BE5FAE"/>
    <w:rsid w:val="00BE63DB"/>
    <w:rsid w:val="00BE63ED"/>
    <w:rsid w:val="00BE650F"/>
    <w:rsid w:val="00BE676F"/>
    <w:rsid w:val="00BE68E9"/>
    <w:rsid w:val="00BE695B"/>
    <w:rsid w:val="00BE6CFC"/>
    <w:rsid w:val="00BE6F3A"/>
    <w:rsid w:val="00BE7018"/>
    <w:rsid w:val="00BE70EF"/>
    <w:rsid w:val="00BE716E"/>
    <w:rsid w:val="00BE73B7"/>
    <w:rsid w:val="00BE76F4"/>
    <w:rsid w:val="00BE77D7"/>
    <w:rsid w:val="00BE78DE"/>
    <w:rsid w:val="00BE7A43"/>
    <w:rsid w:val="00BE7B9E"/>
    <w:rsid w:val="00BE7D22"/>
    <w:rsid w:val="00BE7DAD"/>
    <w:rsid w:val="00BE7E16"/>
    <w:rsid w:val="00BE7FC8"/>
    <w:rsid w:val="00BF00DB"/>
    <w:rsid w:val="00BF0220"/>
    <w:rsid w:val="00BF0324"/>
    <w:rsid w:val="00BF0556"/>
    <w:rsid w:val="00BF063F"/>
    <w:rsid w:val="00BF06B4"/>
    <w:rsid w:val="00BF06BB"/>
    <w:rsid w:val="00BF07E7"/>
    <w:rsid w:val="00BF08D7"/>
    <w:rsid w:val="00BF0A54"/>
    <w:rsid w:val="00BF0D04"/>
    <w:rsid w:val="00BF0D1B"/>
    <w:rsid w:val="00BF0D35"/>
    <w:rsid w:val="00BF0D92"/>
    <w:rsid w:val="00BF0EE2"/>
    <w:rsid w:val="00BF1082"/>
    <w:rsid w:val="00BF121F"/>
    <w:rsid w:val="00BF12D0"/>
    <w:rsid w:val="00BF1380"/>
    <w:rsid w:val="00BF138E"/>
    <w:rsid w:val="00BF1441"/>
    <w:rsid w:val="00BF14BB"/>
    <w:rsid w:val="00BF14D8"/>
    <w:rsid w:val="00BF151D"/>
    <w:rsid w:val="00BF1719"/>
    <w:rsid w:val="00BF1867"/>
    <w:rsid w:val="00BF18C3"/>
    <w:rsid w:val="00BF19D7"/>
    <w:rsid w:val="00BF1A84"/>
    <w:rsid w:val="00BF1C3D"/>
    <w:rsid w:val="00BF1EA7"/>
    <w:rsid w:val="00BF20C8"/>
    <w:rsid w:val="00BF20D6"/>
    <w:rsid w:val="00BF2260"/>
    <w:rsid w:val="00BF2336"/>
    <w:rsid w:val="00BF23B2"/>
    <w:rsid w:val="00BF23BA"/>
    <w:rsid w:val="00BF24D1"/>
    <w:rsid w:val="00BF2532"/>
    <w:rsid w:val="00BF266E"/>
    <w:rsid w:val="00BF2801"/>
    <w:rsid w:val="00BF300C"/>
    <w:rsid w:val="00BF30E7"/>
    <w:rsid w:val="00BF3281"/>
    <w:rsid w:val="00BF355D"/>
    <w:rsid w:val="00BF359B"/>
    <w:rsid w:val="00BF364E"/>
    <w:rsid w:val="00BF37D7"/>
    <w:rsid w:val="00BF3A77"/>
    <w:rsid w:val="00BF3C28"/>
    <w:rsid w:val="00BF3CD2"/>
    <w:rsid w:val="00BF3D70"/>
    <w:rsid w:val="00BF3E72"/>
    <w:rsid w:val="00BF4014"/>
    <w:rsid w:val="00BF4024"/>
    <w:rsid w:val="00BF41B9"/>
    <w:rsid w:val="00BF420E"/>
    <w:rsid w:val="00BF4251"/>
    <w:rsid w:val="00BF44BE"/>
    <w:rsid w:val="00BF463D"/>
    <w:rsid w:val="00BF4B32"/>
    <w:rsid w:val="00BF4B75"/>
    <w:rsid w:val="00BF4B78"/>
    <w:rsid w:val="00BF4B9B"/>
    <w:rsid w:val="00BF4CF5"/>
    <w:rsid w:val="00BF4D0C"/>
    <w:rsid w:val="00BF4F85"/>
    <w:rsid w:val="00BF5280"/>
    <w:rsid w:val="00BF536A"/>
    <w:rsid w:val="00BF53C1"/>
    <w:rsid w:val="00BF53EA"/>
    <w:rsid w:val="00BF5448"/>
    <w:rsid w:val="00BF54C5"/>
    <w:rsid w:val="00BF5571"/>
    <w:rsid w:val="00BF55E1"/>
    <w:rsid w:val="00BF59BF"/>
    <w:rsid w:val="00BF5B50"/>
    <w:rsid w:val="00BF5D88"/>
    <w:rsid w:val="00BF5DDC"/>
    <w:rsid w:val="00BF5EA4"/>
    <w:rsid w:val="00BF5F76"/>
    <w:rsid w:val="00BF600D"/>
    <w:rsid w:val="00BF6191"/>
    <w:rsid w:val="00BF6295"/>
    <w:rsid w:val="00BF6385"/>
    <w:rsid w:val="00BF64E2"/>
    <w:rsid w:val="00BF673F"/>
    <w:rsid w:val="00BF681F"/>
    <w:rsid w:val="00BF6A04"/>
    <w:rsid w:val="00BF6BB5"/>
    <w:rsid w:val="00BF6C8D"/>
    <w:rsid w:val="00BF6DC4"/>
    <w:rsid w:val="00BF6E14"/>
    <w:rsid w:val="00BF6E6A"/>
    <w:rsid w:val="00BF7235"/>
    <w:rsid w:val="00BF7247"/>
    <w:rsid w:val="00BF724A"/>
    <w:rsid w:val="00BF72C2"/>
    <w:rsid w:val="00BF7305"/>
    <w:rsid w:val="00BF746B"/>
    <w:rsid w:val="00BF765C"/>
    <w:rsid w:val="00BF76DB"/>
    <w:rsid w:val="00BF76F7"/>
    <w:rsid w:val="00BF776A"/>
    <w:rsid w:val="00BF7B5D"/>
    <w:rsid w:val="00BF7B6E"/>
    <w:rsid w:val="00BF7B99"/>
    <w:rsid w:val="00BF7BB2"/>
    <w:rsid w:val="00BF7D14"/>
    <w:rsid w:val="00BF7D71"/>
    <w:rsid w:val="00BF7F33"/>
    <w:rsid w:val="00C00719"/>
    <w:rsid w:val="00C007B3"/>
    <w:rsid w:val="00C00958"/>
    <w:rsid w:val="00C00B24"/>
    <w:rsid w:val="00C00B35"/>
    <w:rsid w:val="00C00BA0"/>
    <w:rsid w:val="00C00C55"/>
    <w:rsid w:val="00C00DA7"/>
    <w:rsid w:val="00C00DF7"/>
    <w:rsid w:val="00C00EFC"/>
    <w:rsid w:val="00C010C3"/>
    <w:rsid w:val="00C010E2"/>
    <w:rsid w:val="00C0115B"/>
    <w:rsid w:val="00C012B2"/>
    <w:rsid w:val="00C013F3"/>
    <w:rsid w:val="00C01560"/>
    <w:rsid w:val="00C01667"/>
    <w:rsid w:val="00C01792"/>
    <w:rsid w:val="00C01810"/>
    <w:rsid w:val="00C01860"/>
    <w:rsid w:val="00C0196A"/>
    <w:rsid w:val="00C019E0"/>
    <w:rsid w:val="00C01A7B"/>
    <w:rsid w:val="00C01B85"/>
    <w:rsid w:val="00C01BA0"/>
    <w:rsid w:val="00C01C67"/>
    <w:rsid w:val="00C01D7C"/>
    <w:rsid w:val="00C01DBB"/>
    <w:rsid w:val="00C01E86"/>
    <w:rsid w:val="00C02021"/>
    <w:rsid w:val="00C02234"/>
    <w:rsid w:val="00C022E8"/>
    <w:rsid w:val="00C0265A"/>
    <w:rsid w:val="00C02814"/>
    <w:rsid w:val="00C02A35"/>
    <w:rsid w:val="00C02B95"/>
    <w:rsid w:val="00C02BD6"/>
    <w:rsid w:val="00C02E00"/>
    <w:rsid w:val="00C02E67"/>
    <w:rsid w:val="00C02F4F"/>
    <w:rsid w:val="00C0348B"/>
    <w:rsid w:val="00C0352D"/>
    <w:rsid w:val="00C035CA"/>
    <w:rsid w:val="00C03792"/>
    <w:rsid w:val="00C03836"/>
    <w:rsid w:val="00C03940"/>
    <w:rsid w:val="00C0399D"/>
    <w:rsid w:val="00C03CAD"/>
    <w:rsid w:val="00C03EAC"/>
    <w:rsid w:val="00C040C2"/>
    <w:rsid w:val="00C0423E"/>
    <w:rsid w:val="00C04472"/>
    <w:rsid w:val="00C04607"/>
    <w:rsid w:val="00C046FD"/>
    <w:rsid w:val="00C0484A"/>
    <w:rsid w:val="00C048CF"/>
    <w:rsid w:val="00C04908"/>
    <w:rsid w:val="00C0499F"/>
    <w:rsid w:val="00C04A9A"/>
    <w:rsid w:val="00C04AE2"/>
    <w:rsid w:val="00C04BCE"/>
    <w:rsid w:val="00C04DBF"/>
    <w:rsid w:val="00C04EB0"/>
    <w:rsid w:val="00C052DB"/>
    <w:rsid w:val="00C05547"/>
    <w:rsid w:val="00C056F8"/>
    <w:rsid w:val="00C05751"/>
    <w:rsid w:val="00C0599B"/>
    <w:rsid w:val="00C05A43"/>
    <w:rsid w:val="00C05A68"/>
    <w:rsid w:val="00C05B54"/>
    <w:rsid w:val="00C05CB5"/>
    <w:rsid w:val="00C05D26"/>
    <w:rsid w:val="00C05D3E"/>
    <w:rsid w:val="00C0601C"/>
    <w:rsid w:val="00C061A7"/>
    <w:rsid w:val="00C063B1"/>
    <w:rsid w:val="00C06640"/>
    <w:rsid w:val="00C06729"/>
    <w:rsid w:val="00C06858"/>
    <w:rsid w:val="00C068F4"/>
    <w:rsid w:val="00C06963"/>
    <w:rsid w:val="00C06966"/>
    <w:rsid w:val="00C0698E"/>
    <w:rsid w:val="00C06993"/>
    <w:rsid w:val="00C06AF8"/>
    <w:rsid w:val="00C06ECC"/>
    <w:rsid w:val="00C070AA"/>
    <w:rsid w:val="00C071A4"/>
    <w:rsid w:val="00C073B0"/>
    <w:rsid w:val="00C07409"/>
    <w:rsid w:val="00C0743B"/>
    <w:rsid w:val="00C07503"/>
    <w:rsid w:val="00C0760E"/>
    <w:rsid w:val="00C0779E"/>
    <w:rsid w:val="00C077BF"/>
    <w:rsid w:val="00C07855"/>
    <w:rsid w:val="00C0798B"/>
    <w:rsid w:val="00C079CD"/>
    <w:rsid w:val="00C07A02"/>
    <w:rsid w:val="00C07BDA"/>
    <w:rsid w:val="00C07D28"/>
    <w:rsid w:val="00C07FD8"/>
    <w:rsid w:val="00C10097"/>
    <w:rsid w:val="00C1015E"/>
    <w:rsid w:val="00C10174"/>
    <w:rsid w:val="00C101F5"/>
    <w:rsid w:val="00C1020D"/>
    <w:rsid w:val="00C10212"/>
    <w:rsid w:val="00C1043D"/>
    <w:rsid w:val="00C104A6"/>
    <w:rsid w:val="00C10685"/>
    <w:rsid w:val="00C10722"/>
    <w:rsid w:val="00C108D0"/>
    <w:rsid w:val="00C108F8"/>
    <w:rsid w:val="00C109C5"/>
    <w:rsid w:val="00C10A9D"/>
    <w:rsid w:val="00C10B5C"/>
    <w:rsid w:val="00C10BC8"/>
    <w:rsid w:val="00C10BCB"/>
    <w:rsid w:val="00C10E6F"/>
    <w:rsid w:val="00C10F4A"/>
    <w:rsid w:val="00C10F9A"/>
    <w:rsid w:val="00C10FBD"/>
    <w:rsid w:val="00C11125"/>
    <w:rsid w:val="00C11580"/>
    <w:rsid w:val="00C115BF"/>
    <w:rsid w:val="00C11710"/>
    <w:rsid w:val="00C1182E"/>
    <w:rsid w:val="00C1193C"/>
    <w:rsid w:val="00C11A05"/>
    <w:rsid w:val="00C121D1"/>
    <w:rsid w:val="00C124B2"/>
    <w:rsid w:val="00C12808"/>
    <w:rsid w:val="00C12B39"/>
    <w:rsid w:val="00C12C13"/>
    <w:rsid w:val="00C12C99"/>
    <w:rsid w:val="00C12DC4"/>
    <w:rsid w:val="00C12EB1"/>
    <w:rsid w:val="00C12EFC"/>
    <w:rsid w:val="00C131E2"/>
    <w:rsid w:val="00C131FC"/>
    <w:rsid w:val="00C1336E"/>
    <w:rsid w:val="00C13514"/>
    <w:rsid w:val="00C1351F"/>
    <w:rsid w:val="00C13606"/>
    <w:rsid w:val="00C1384E"/>
    <w:rsid w:val="00C13922"/>
    <w:rsid w:val="00C13B12"/>
    <w:rsid w:val="00C13D06"/>
    <w:rsid w:val="00C13D53"/>
    <w:rsid w:val="00C14049"/>
    <w:rsid w:val="00C140DF"/>
    <w:rsid w:val="00C14119"/>
    <w:rsid w:val="00C141C1"/>
    <w:rsid w:val="00C141F0"/>
    <w:rsid w:val="00C14314"/>
    <w:rsid w:val="00C145AE"/>
    <w:rsid w:val="00C14628"/>
    <w:rsid w:val="00C1484A"/>
    <w:rsid w:val="00C14BAE"/>
    <w:rsid w:val="00C14C82"/>
    <w:rsid w:val="00C14FD4"/>
    <w:rsid w:val="00C15043"/>
    <w:rsid w:val="00C15479"/>
    <w:rsid w:val="00C155D9"/>
    <w:rsid w:val="00C15643"/>
    <w:rsid w:val="00C156DA"/>
    <w:rsid w:val="00C157FC"/>
    <w:rsid w:val="00C1585B"/>
    <w:rsid w:val="00C159BF"/>
    <w:rsid w:val="00C15A1A"/>
    <w:rsid w:val="00C15B8D"/>
    <w:rsid w:val="00C15D53"/>
    <w:rsid w:val="00C15F02"/>
    <w:rsid w:val="00C15FDE"/>
    <w:rsid w:val="00C1675B"/>
    <w:rsid w:val="00C16796"/>
    <w:rsid w:val="00C16A24"/>
    <w:rsid w:val="00C16AA7"/>
    <w:rsid w:val="00C16AEA"/>
    <w:rsid w:val="00C16CB4"/>
    <w:rsid w:val="00C16D5E"/>
    <w:rsid w:val="00C170AB"/>
    <w:rsid w:val="00C170E1"/>
    <w:rsid w:val="00C17105"/>
    <w:rsid w:val="00C171CE"/>
    <w:rsid w:val="00C173C4"/>
    <w:rsid w:val="00C1743C"/>
    <w:rsid w:val="00C1744B"/>
    <w:rsid w:val="00C17838"/>
    <w:rsid w:val="00C17976"/>
    <w:rsid w:val="00C179A5"/>
    <w:rsid w:val="00C17C67"/>
    <w:rsid w:val="00C17D32"/>
    <w:rsid w:val="00C17F1F"/>
    <w:rsid w:val="00C2005B"/>
    <w:rsid w:val="00C20080"/>
    <w:rsid w:val="00C201A1"/>
    <w:rsid w:val="00C203CB"/>
    <w:rsid w:val="00C203CF"/>
    <w:rsid w:val="00C203DE"/>
    <w:rsid w:val="00C205C2"/>
    <w:rsid w:val="00C20732"/>
    <w:rsid w:val="00C20A21"/>
    <w:rsid w:val="00C20AD0"/>
    <w:rsid w:val="00C20B49"/>
    <w:rsid w:val="00C20BFA"/>
    <w:rsid w:val="00C20D48"/>
    <w:rsid w:val="00C20F0B"/>
    <w:rsid w:val="00C20F94"/>
    <w:rsid w:val="00C2105D"/>
    <w:rsid w:val="00C210DF"/>
    <w:rsid w:val="00C210FC"/>
    <w:rsid w:val="00C2135E"/>
    <w:rsid w:val="00C2170B"/>
    <w:rsid w:val="00C217CC"/>
    <w:rsid w:val="00C21B45"/>
    <w:rsid w:val="00C21CA9"/>
    <w:rsid w:val="00C223B9"/>
    <w:rsid w:val="00C22525"/>
    <w:rsid w:val="00C22950"/>
    <w:rsid w:val="00C22985"/>
    <w:rsid w:val="00C22997"/>
    <w:rsid w:val="00C22A76"/>
    <w:rsid w:val="00C22AE9"/>
    <w:rsid w:val="00C22B8B"/>
    <w:rsid w:val="00C22CE7"/>
    <w:rsid w:val="00C22F2E"/>
    <w:rsid w:val="00C22F50"/>
    <w:rsid w:val="00C22FE1"/>
    <w:rsid w:val="00C23107"/>
    <w:rsid w:val="00C2333D"/>
    <w:rsid w:val="00C23376"/>
    <w:rsid w:val="00C23382"/>
    <w:rsid w:val="00C23548"/>
    <w:rsid w:val="00C2362D"/>
    <w:rsid w:val="00C23865"/>
    <w:rsid w:val="00C238C0"/>
    <w:rsid w:val="00C23A8D"/>
    <w:rsid w:val="00C23ADE"/>
    <w:rsid w:val="00C23B63"/>
    <w:rsid w:val="00C23D2B"/>
    <w:rsid w:val="00C23F9E"/>
    <w:rsid w:val="00C2401B"/>
    <w:rsid w:val="00C24053"/>
    <w:rsid w:val="00C24079"/>
    <w:rsid w:val="00C2435A"/>
    <w:rsid w:val="00C2437C"/>
    <w:rsid w:val="00C243BC"/>
    <w:rsid w:val="00C244CA"/>
    <w:rsid w:val="00C24748"/>
    <w:rsid w:val="00C249ED"/>
    <w:rsid w:val="00C24AD2"/>
    <w:rsid w:val="00C24B65"/>
    <w:rsid w:val="00C24CCF"/>
    <w:rsid w:val="00C24DB2"/>
    <w:rsid w:val="00C24EB7"/>
    <w:rsid w:val="00C251BE"/>
    <w:rsid w:val="00C2522C"/>
    <w:rsid w:val="00C2546E"/>
    <w:rsid w:val="00C254C7"/>
    <w:rsid w:val="00C25615"/>
    <w:rsid w:val="00C25661"/>
    <w:rsid w:val="00C25770"/>
    <w:rsid w:val="00C25912"/>
    <w:rsid w:val="00C25CBF"/>
    <w:rsid w:val="00C25DB6"/>
    <w:rsid w:val="00C25E9B"/>
    <w:rsid w:val="00C25F05"/>
    <w:rsid w:val="00C2600A"/>
    <w:rsid w:val="00C2601E"/>
    <w:rsid w:val="00C2602A"/>
    <w:rsid w:val="00C2607D"/>
    <w:rsid w:val="00C26300"/>
    <w:rsid w:val="00C2647C"/>
    <w:rsid w:val="00C26592"/>
    <w:rsid w:val="00C265A9"/>
    <w:rsid w:val="00C266CA"/>
    <w:rsid w:val="00C26704"/>
    <w:rsid w:val="00C2697A"/>
    <w:rsid w:val="00C26989"/>
    <w:rsid w:val="00C26A35"/>
    <w:rsid w:val="00C26A36"/>
    <w:rsid w:val="00C26B19"/>
    <w:rsid w:val="00C26BC3"/>
    <w:rsid w:val="00C26D55"/>
    <w:rsid w:val="00C26D5E"/>
    <w:rsid w:val="00C26ED1"/>
    <w:rsid w:val="00C26F90"/>
    <w:rsid w:val="00C27098"/>
    <w:rsid w:val="00C2716C"/>
    <w:rsid w:val="00C271D1"/>
    <w:rsid w:val="00C27200"/>
    <w:rsid w:val="00C2734C"/>
    <w:rsid w:val="00C27354"/>
    <w:rsid w:val="00C2749B"/>
    <w:rsid w:val="00C275E1"/>
    <w:rsid w:val="00C27665"/>
    <w:rsid w:val="00C27887"/>
    <w:rsid w:val="00C27985"/>
    <w:rsid w:val="00C27D44"/>
    <w:rsid w:val="00C27E2F"/>
    <w:rsid w:val="00C27FD3"/>
    <w:rsid w:val="00C30033"/>
    <w:rsid w:val="00C30373"/>
    <w:rsid w:val="00C306AB"/>
    <w:rsid w:val="00C3072A"/>
    <w:rsid w:val="00C3080E"/>
    <w:rsid w:val="00C30894"/>
    <w:rsid w:val="00C30928"/>
    <w:rsid w:val="00C309A5"/>
    <w:rsid w:val="00C309F3"/>
    <w:rsid w:val="00C30B31"/>
    <w:rsid w:val="00C30B6E"/>
    <w:rsid w:val="00C30C0E"/>
    <w:rsid w:val="00C30D30"/>
    <w:rsid w:val="00C30FF2"/>
    <w:rsid w:val="00C3106C"/>
    <w:rsid w:val="00C31167"/>
    <w:rsid w:val="00C31262"/>
    <w:rsid w:val="00C31452"/>
    <w:rsid w:val="00C31455"/>
    <w:rsid w:val="00C315F0"/>
    <w:rsid w:val="00C3169F"/>
    <w:rsid w:val="00C3177A"/>
    <w:rsid w:val="00C31824"/>
    <w:rsid w:val="00C318EF"/>
    <w:rsid w:val="00C3197C"/>
    <w:rsid w:val="00C31E2D"/>
    <w:rsid w:val="00C31F2C"/>
    <w:rsid w:val="00C31FAA"/>
    <w:rsid w:val="00C322BE"/>
    <w:rsid w:val="00C3233A"/>
    <w:rsid w:val="00C32510"/>
    <w:rsid w:val="00C3252C"/>
    <w:rsid w:val="00C32669"/>
    <w:rsid w:val="00C329C2"/>
    <w:rsid w:val="00C32B0B"/>
    <w:rsid w:val="00C32E6E"/>
    <w:rsid w:val="00C32F49"/>
    <w:rsid w:val="00C32F70"/>
    <w:rsid w:val="00C33226"/>
    <w:rsid w:val="00C332E0"/>
    <w:rsid w:val="00C3351B"/>
    <w:rsid w:val="00C335BC"/>
    <w:rsid w:val="00C33653"/>
    <w:rsid w:val="00C3373E"/>
    <w:rsid w:val="00C3381F"/>
    <w:rsid w:val="00C3392D"/>
    <w:rsid w:val="00C33ACC"/>
    <w:rsid w:val="00C33B0F"/>
    <w:rsid w:val="00C33FD4"/>
    <w:rsid w:val="00C3419D"/>
    <w:rsid w:val="00C342DD"/>
    <w:rsid w:val="00C34392"/>
    <w:rsid w:val="00C34636"/>
    <w:rsid w:val="00C3484B"/>
    <w:rsid w:val="00C34AFB"/>
    <w:rsid w:val="00C34D6A"/>
    <w:rsid w:val="00C34D93"/>
    <w:rsid w:val="00C34DB3"/>
    <w:rsid w:val="00C34DE5"/>
    <w:rsid w:val="00C34E52"/>
    <w:rsid w:val="00C34EFC"/>
    <w:rsid w:val="00C34FD1"/>
    <w:rsid w:val="00C35330"/>
    <w:rsid w:val="00C356EF"/>
    <w:rsid w:val="00C35A3B"/>
    <w:rsid w:val="00C35A88"/>
    <w:rsid w:val="00C35BDA"/>
    <w:rsid w:val="00C35C70"/>
    <w:rsid w:val="00C35D02"/>
    <w:rsid w:val="00C35D09"/>
    <w:rsid w:val="00C35EBA"/>
    <w:rsid w:val="00C35FE0"/>
    <w:rsid w:val="00C3601D"/>
    <w:rsid w:val="00C3618C"/>
    <w:rsid w:val="00C36232"/>
    <w:rsid w:val="00C36244"/>
    <w:rsid w:val="00C36248"/>
    <w:rsid w:val="00C362D1"/>
    <w:rsid w:val="00C36464"/>
    <w:rsid w:val="00C3646E"/>
    <w:rsid w:val="00C364AA"/>
    <w:rsid w:val="00C366EF"/>
    <w:rsid w:val="00C36752"/>
    <w:rsid w:val="00C36759"/>
    <w:rsid w:val="00C367D0"/>
    <w:rsid w:val="00C368EF"/>
    <w:rsid w:val="00C36956"/>
    <w:rsid w:val="00C36D36"/>
    <w:rsid w:val="00C36D84"/>
    <w:rsid w:val="00C36FA6"/>
    <w:rsid w:val="00C370FD"/>
    <w:rsid w:val="00C372CF"/>
    <w:rsid w:val="00C37312"/>
    <w:rsid w:val="00C37375"/>
    <w:rsid w:val="00C37556"/>
    <w:rsid w:val="00C375F7"/>
    <w:rsid w:val="00C37673"/>
    <w:rsid w:val="00C378B1"/>
    <w:rsid w:val="00C37944"/>
    <w:rsid w:val="00C37A3A"/>
    <w:rsid w:val="00C37BA3"/>
    <w:rsid w:val="00C37BF2"/>
    <w:rsid w:val="00C37C77"/>
    <w:rsid w:val="00C37C9A"/>
    <w:rsid w:val="00C37CF2"/>
    <w:rsid w:val="00C37E4B"/>
    <w:rsid w:val="00C37E54"/>
    <w:rsid w:val="00C37E95"/>
    <w:rsid w:val="00C37F15"/>
    <w:rsid w:val="00C40060"/>
    <w:rsid w:val="00C40071"/>
    <w:rsid w:val="00C402BE"/>
    <w:rsid w:val="00C403B8"/>
    <w:rsid w:val="00C403BA"/>
    <w:rsid w:val="00C406F6"/>
    <w:rsid w:val="00C40DAE"/>
    <w:rsid w:val="00C40E34"/>
    <w:rsid w:val="00C40EAD"/>
    <w:rsid w:val="00C40FCE"/>
    <w:rsid w:val="00C410FD"/>
    <w:rsid w:val="00C4141D"/>
    <w:rsid w:val="00C416AA"/>
    <w:rsid w:val="00C41952"/>
    <w:rsid w:val="00C41BD9"/>
    <w:rsid w:val="00C41D1B"/>
    <w:rsid w:val="00C41E85"/>
    <w:rsid w:val="00C41F1D"/>
    <w:rsid w:val="00C41FE0"/>
    <w:rsid w:val="00C41FF3"/>
    <w:rsid w:val="00C42069"/>
    <w:rsid w:val="00C4206D"/>
    <w:rsid w:val="00C4207C"/>
    <w:rsid w:val="00C42210"/>
    <w:rsid w:val="00C423C4"/>
    <w:rsid w:val="00C42591"/>
    <w:rsid w:val="00C4269D"/>
    <w:rsid w:val="00C4274C"/>
    <w:rsid w:val="00C4274E"/>
    <w:rsid w:val="00C42931"/>
    <w:rsid w:val="00C42A75"/>
    <w:rsid w:val="00C42BBF"/>
    <w:rsid w:val="00C42BF8"/>
    <w:rsid w:val="00C42C17"/>
    <w:rsid w:val="00C42C64"/>
    <w:rsid w:val="00C42D42"/>
    <w:rsid w:val="00C42E19"/>
    <w:rsid w:val="00C42E6F"/>
    <w:rsid w:val="00C42EA9"/>
    <w:rsid w:val="00C42F26"/>
    <w:rsid w:val="00C42F3F"/>
    <w:rsid w:val="00C42FE1"/>
    <w:rsid w:val="00C431AF"/>
    <w:rsid w:val="00C43250"/>
    <w:rsid w:val="00C4328C"/>
    <w:rsid w:val="00C432DC"/>
    <w:rsid w:val="00C43364"/>
    <w:rsid w:val="00C4342A"/>
    <w:rsid w:val="00C43611"/>
    <w:rsid w:val="00C43631"/>
    <w:rsid w:val="00C43648"/>
    <w:rsid w:val="00C436CA"/>
    <w:rsid w:val="00C439E4"/>
    <w:rsid w:val="00C43BEC"/>
    <w:rsid w:val="00C43FE9"/>
    <w:rsid w:val="00C440AF"/>
    <w:rsid w:val="00C44122"/>
    <w:rsid w:val="00C445D0"/>
    <w:rsid w:val="00C4463B"/>
    <w:rsid w:val="00C44645"/>
    <w:rsid w:val="00C446FB"/>
    <w:rsid w:val="00C447BC"/>
    <w:rsid w:val="00C447FE"/>
    <w:rsid w:val="00C44943"/>
    <w:rsid w:val="00C44977"/>
    <w:rsid w:val="00C4497E"/>
    <w:rsid w:val="00C44B8A"/>
    <w:rsid w:val="00C44DD1"/>
    <w:rsid w:val="00C44DDC"/>
    <w:rsid w:val="00C44DF7"/>
    <w:rsid w:val="00C450D5"/>
    <w:rsid w:val="00C452BF"/>
    <w:rsid w:val="00C4554A"/>
    <w:rsid w:val="00C45562"/>
    <w:rsid w:val="00C455F1"/>
    <w:rsid w:val="00C457B9"/>
    <w:rsid w:val="00C457C8"/>
    <w:rsid w:val="00C4584C"/>
    <w:rsid w:val="00C45854"/>
    <w:rsid w:val="00C45AEB"/>
    <w:rsid w:val="00C45BFA"/>
    <w:rsid w:val="00C45DEB"/>
    <w:rsid w:val="00C45E33"/>
    <w:rsid w:val="00C45E54"/>
    <w:rsid w:val="00C45ED7"/>
    <w:rsid w:val="00C45F80"/>
    <w:rsid w:val="00C460E0"/>
    <w:rsid w:val="00C462EC"/>
    <w:rsid w:val="00C46328"/>
    <w:rsid w:val="00C4632F"/>
    <w:rsid w:val="00C4635E"/>
    <w:rsid w:val="00C463DA"/>
    <w:rsid w:val="00C464A0"/>
    <w:rsid w:val="00C464EC"/>
    <w:rsid w:val="00C465E5"/>
    <w:rsid w:val="00C4664D"/>
    <w:rsid w:val="00C466AA"/>
    <w:rsid w:val="00C46849"/>
    <w:rsid w:val="00C468C5"/>
    <w:rsid w:val="00C46952"/>
    <w:rsid w:val="00C46A10"/>
    <w:rsid w:val="00C46AEC"/>
    <w:rsid w:val="00C46B20"/>
    <w:rsid w:val="00C46C0D"/>
    <w:rsid w:val="00C47010"/>
    <w:rsid w:val="00C47472"/>
    <w:rsid w:val="00C474BC"/>
    <w:rsid w:val="00C47771"/>
    <w:rsid w:val="00C47930"/>
    <w:rsid w:val="00C47A12"/>
    <w:rsid w:val="00C47B82"/>
    <w:rsid w:val="00C47C13"/>
    <w:rsid w:val="00C47CDB"/>
    <w:rsid w:val="00C47CDF"/>
    <w:rsid w:val="00C47F38"/>
    <w:rsid w:val="00C50151"/>
    <w:rsid w:val="00C501AA"/>
    <w:rsid w:val="00C50428"/>
    <w:rsid w:val="00C5056F"/>
    <w:rsid w:val="00C50786"/>
    <w:rsid w:val="00C50815"/>
    <w:rsid w:val="00C5092D"/>
    <w:rsid w:val="00C50A66"/>
    <w:rsid w:val="00C50CA9"/>
    <w:rsid w:val="00C50DC1"/>
    <w:rsid w:val="00C50E65"/>
    <w:rsid w:val="00C50F8A"/>
    <w:rsid w:val="00C510C5"/>
    <w:rsid w:val="00C513FB"/>
    <w:rsid w:val="00C514A1"/>
    <w:rsid w:val="00C51533"/>
    <w:rsid w:val="00C51604"/>
    <w:rsid w:val="00C516E7"/>
    <w:rsid w:val="00C51767"/>
    <w:rsid w:val="00C51785"/>
    <w:rsid w:val="00C51823"/>
    <w:rsid w:val="00C518F9"/>
    <w:rsid w:val="00C5199F"/>
    <w:rsid w:val="00C51B2E"/>
    <w:rsid w:val="00C51E35"/>
    <w:rsid w:val="00C51EFF"/>
    <w:rsid w:val="00C51FE6"/>
    <w:rsid w:val="00C5228A"/>
    <w:rsid w:val="00C52321"/>
    <w:rsid w:val="00C523A2"/>
    <w:rsid w:val="00C5274C"/>
    <w:rsid w:val="00C5277D"/>
    <w:rsid w:val="00C5282F"/>
    <w:rsid w:val="00C529A3"/>
    <w:rsid w:val="00C52A5A"/>
    <w:rsid w:val="00C52AF1"/>
    <w:rsid w:val="00C52F1D"/>
    <w:rsid w:val="00C52F60"/>
    <w:rsid w:val="00C52FBA"/>
    <w:rsid w:val="00C530C3"/>
    <w:rsid w:val="00C531F5"/>
    <w:rsid w:val="00C531FC"/>
    <w:rsid w:val="00C534FD"/>
    <w:rsid w:val="00C5360A"/>
    <w:rsid w:val="00C539DE"/>
    <w:rsid w:val="00C539E8"/>
    <w:rsid w:val="00C53C27"/>
    <w:rsid w:val="00C53DDF"/>
    <w:rsid w:val="00C53F18"/>
    <w:rsid w:val="00C54018"/>
    <w:rsid w:val="00C5409A"/>
    <w:rsid w:val="00C5433B"/>
    <w:rsid w:val="00C5435F"/>
    <w:rsid w:val="00C546E5"/>
    <w:rsid w:val="00C547E7"/>
    <w:rsid w:val="00C54956"/>
    <w:rsid w:val="00C549B3"/>
    <w:rsid w:val="00C54A84"/>
    <w:rsid w:val="00C54AD2"/>
    <w:rsid w:val="00C54C91"/>
    <w:rsid w:val="00C54CAB"/>
    <w:rsid w:val="00C54E1E"/>
    <w:rsid w:val="00C54E9B"/>
    <w:rsid w:val="00C54EB8"/>
    <w:rsid w:val="00C54F98"/>
    <w:rsid w:val="00C5512E"/>
    <w:rsid w:val="00C551D8"/>
    <w:rsid w:val="00C55257"/>
    <w:rsid w:val="00C5530B"/>
    <w:rsid w:val="00C55351"/>
    <w:rsid w:val="00C55450"/>
    <w:rsid w:val="00C554C0"/>
    <w:rsid w:val="00C55530"/>
    <w:rsid w:val="00C5584B"/>
    <w:rsid w:val="00C558CE"/>
    <w:rsid w:val="00C55900"/>
    <w:rsid w:val="00C5594F"/>
    <w:rsid w:val="00C55A0C"/>
    <w:rsid w:val="00C55ACA"/>
    <w:rsid w:val="00C55C90"/>
    <w:rsid w:val="00C55DDF"/>
    <w:rsid w:val="00C55E36"/>
    <w:rsid w:val="00C560B2"/>
    <w:rsid w:val="00C561AC"/>
    <w:rsid w:val="00C56452"/>
    <w:rsid w:val="00C5665C"/>
    <w:rsid w:val="00C566AD"/>
    <w:rsid w:val="00C5680C"/>
    <w:rsid w:val="00C5691E"/>
    <w:rsid w:val="00C56972"/>
    <w:rsid w:val="00C569EF"/>
    <w:rsid w:val="00C56B91"/>
    <w:rsid w:val="00C56BAB"/>
    <w:rsid w:val="00C56E0C"/>
    <w:rsid w:val="00C5703C"/>
    <w:rsid w:val="00C5717D"/>
    <w:rsid w:val="00C573C3"/>
    <w:rsid w:val="00C57411"/>
    <w:rsid w:val="00C574F9"/>
    <w:rsid w:val="00C57A48"/>
    <w:rsid w:val="00C57A53"/>
    <w:rsid w:val="00C57B00"/>
    <w:rsid w:val="00C57B3D"/>
    <w:rsid w:val="00C57E13"/>
    <w:rsid w:val="00C57E6E"/>
    <w:rsid w:val="00C57E72"/>
    <w:rsid w:val="00C57EEC"/>
    <w:rsid w:val="00C57F92"/>
    <w:rsid w:val="00C60061"/>
    <w:rsid w:val="00C6008B"/>
    <w:rsid w:val="00C600CB"/>
    <w:rsid w:val="00C60231"/>
    <w:rsid w:val="00C60234"/>
    <w:rsid w:val="00C60445"/>
    <w:rsid w:val="00C605BA"/>
    <w:rsid w:val="00C60723"/>
    <w:rsid w:val="00C60770"/>
    <w:rsid w:val="00C607AA"/>
    <w:rsid w:val="00C6097A"/>
    <w:rsid w:val="00C6097B"/>
    <w:rsid w:val="00C60C24"/>
    <w:rsid w:val="00C60CB2"/>
    <w:rsid w:val="00C60E0E"/>
    <w:rsid w:val="00C60ED3"/>
    <w:rsid w:val="00C612A7"/>
    <w:rsid w:val="00C61378"/>
    <w:rsid w:val="00C614C7"/>
    <w:rsid w:val="00C614F8"/>
    <w:rsid w:val="00C61523"/>
    <w:rsid w:val="00C6155C"/>
    <w:rsid w:val="00C61598"/>
    <w:rsid w:val="00C616B9"/>
    <w:rsid w:val="00C61731"/>
    <w:rsid w:val="00C6177D"/>
    <w:rsid w:val="00C6178C"/>
    <w:rsid w:val="00C618CB"/>
    <w:rsid w:val="00C619AA"/>
    <w:rsid w:val="00C619B0"/>
    <w:rsid w:val="00C61AFB"/>
    <w:rsid w:val="00C61C49"/>
    <w:rsid w:val="00C61C62"/>
    <w:rsid w:val="00C61D97"/>
    <w:rsid w:val="00C62022"/>
    <w:rsid w:val="00C6237D"/>
    <w:rsid w:val="00C62B83"/>
    <w:rsid w:val="00C62BE9"/>
    <w:rsid w:val="00C62C50"/>
    <w:rsid w:val="00C62D11"/>
    <w:rsid w:val="00C62D32"/>
    <w:rsid w:val="00C63067"/>
    <w:rsid w:val="00C63070"/>
    <w:rsid w:val="00C6307A"/>
    <w:rsid w:val="00C630E6"/>
    <w:rsid w:val="00C6312E"/>
    <w:rsid w:val="00C63189"/>
    <w:rsid w:val="00C632A1"/>
    <w:rsid w:val="00C634BB"/>
    <w:rsid w:val="00C63597"/>
    <w:rsid w:val="00C6367D"/>
    <w:rsid w:val="00C638B6"/>
    <w:rsid w:val="00C63AC2"/>
    <w:rsid w:val="00C63AD8"/>
    <w:rsid w:val="00C63FD1"/>
    <w:rsid w:val="00C64094"/>
    <w:rsid w:val="00C6410E"/>
    <w:rsid w:val="00C64356"/>
    <w:rsid w:val="00C64477"/>
    <w:rsid w:val="00C644E4"/>
    <w:rsid w:val="00C64558"/>
    <w:rsid w:val="00C6465F"/>
    <w:rsid w:val="00C64674"/>
    <w:rsid w:val="00C646C0"/>
    <w:rsid w:val="00C646FF"/>
    <w:rsid w:val="00C64A44"/>
    <w:rsid w:val="00C64AFA"/>
    <w:rsid w:val="00C64B52"/>
    <w:rsid w:val="00C64B72"/>
    <w:rsid w:val="00C64D80"/>
    <w:rsid w:val="00C64EA3"/>
    <w:rsid w:val="00C65045"/>
    <w:rsid w:val="00C65053"/>
    <w:rsid w:val="00C65100"/>
    <w:rsid w:val="00C65132"/>
    <w:rsid w:val="00C6518F"/>
    <w:rsid w:val="00C65209"/>
    <w:rsid w:val="00C6548A"/>
    <w:rsid w:val="00C65652"/>
    <w:rsid w:val="00C657D8"/>
    <w:rsid w:val="00C658B8"/>
    <w:rsid w:val="00C65906"/>
    <w:rsid w:val="00C65BED"/>
    <w:rsid w:val="00C65C0F"/>
    <w:rsid w:val="00C65ED3"/>
    <w:rsid w:val="00C65F02"/>
    <w:rsid w:val="00C65F7A"/>
    <w:rsid w:val="00C66116"/>
    <w:rsid w:val="00C6618D"/>
    <w:rsid w:val="00C66298"/>
    <w:rsid w:val="00C663D4"/>
    <w:rsid w:val="00C6665B"/>
    <w:rsid w:val="00C66B0F"/>
    <w:rsid w:val="00C66BE5"/>
    <w:rsid w:val="00C66DF4"/>
    <w:rsid w:val="00C66E3C"/>
    <w:rsid w:val="00C66ECE"/>
    <w:rsid w:val="00C66FDA"/>
    <w:rsid w:val="00C67076"/>
    <w:rsid w:val="00C671A9"/>
    <w:rsid w:val="00C67380"/>
    <w:rsid w:val="00C67413"/>
    <w:rsid w:val="00C678C2"/>
    <w:rsid w:val="00C67978"/>
    <w:rsid w:val="00C679CF"/>
    <w:rsid w:val="00C67B67"/>
    <w:rsid w:val="00C67C07"/>
    <w:rsid w:val="00C67CD4"/>
    <w:rsid w:val="00C67D8F"/>
    <w:rsid w:val="00C67E6D"/>
    <w:rsid w:val="00C67E9C"/>
    <w:rsid w:val="00C700E5"/>
    <w:rsid w:val="00C700EB"/>
    <w:rsid w:val="00C701E4"/>
    <w:rsid w:val="00C70206"/>
    <w:rsid w:val="00C7022B"/>
    <w:rsid w:val="00C702A6"/>
    <w:rsid w:val="00C7045E"/>
    <w:rsid w:val="00C70486"/>
    <w:rsid w:val="00C704BE"/>
    <w:rsid w:val="00C708BD"/>
    <w:rsid w:val="00C7104C"/>
    <w:rsid w:val="00C71388"/>
    <w:rsid w:val="00C713A0"/>
    <w:rsid w:val="00C71435"/>
    <w:rsid w:val="00C71488"/>
    <w:rsid w:val="00C71627"/>
    <w:rsid w:val="00C7171B"/>
    <w:rsid w:val="00C71734"/>
    <w:rsid w:val="00C71830"/>
    <w:rsid w:val="00C719A8"/>
    <w:rsid w:val="00C71DD9"/>
    <w:rsid w:val="00C71EDF"/>
    <w:rsid w:val="00C71EE8"/>
    <w:rsid w:val="00C71F3D"/>
    <w:rsid w:val="00C71F8F"/>
    <w:rsid w:val="00C71FDB"/>
    <w:rsid w:val="00C72004"/>
    <w:rsid w:val="00C72229"/>
    <w:rsid w:val="00C72436"/>
    <w:rsid w:val="00C7245B"/>
    <w:rsid w:val="00C7247E"/>
    <w:rsid w:val="00C728B7"/>
    <w:rsid w:val="00C72A05"/>
    <w:rsid w:val="00C72C29"/>
    <w:rsid w:val="00C72E0C"/>
    <w:rsid w:val="00C72E29"/>
    <w:rsid w:val="00C72EFE"/>
    <w:rsid w:val="00C72F21"/>
    <w:rsid w:val="00C731CC"/>
    <w:rsid w:val="00C731E3"/>
    <w:rsid w:val="00C7353F"/>
    <w:rsid w:val="00C737FF"/>
    <w:rsid w:val="00C7381C"/>
    <w:rsid w:val="00C738F5"/>
    <w:rsid w:val="00C73971"/>
    <w:rsid w:val="00C73BCC"/>
    <w:rsid w:val="00C73C27"/>
    <w:rsid w:val="00C73E42"/>
    <w:rsid w:val="00C73EC4"/>
    <w:rsid w:val="00C740FF"/>
    <w:rsid w:val="00C74472"/>
    <w:rsid w:val="00C7475C"/>
    <w:rsid w:val="00C7493C"/>
    <w:rsid w:val="00C74A48"/>
    <w:rsid w:val="00C74B06"/>
    <w:rsid w:val="00C74B0B"/>
    <w:rsid w:val="00C74C27"/>
    <w:rsid w:val="00C74DC9"/>
    <w:rsid w:val="00C74DF0"/>
    <w:rsid w:val="00C74E49"/>
    <w:rsid w:val="00C74F7F"/>
    <w:rsid w:val="00C74FF5"/>
    <w:rsid w:val="00C7503D"/>
    <w:rsid w:val="00C75297"/>
    <w:rsid w:val="00C753B5"/>
    <w:rsid w:val="00C753C9"/>
    <w:rsid w:val="00C7543D"/>
    <w:rsid w:val="00C75449"/>
    <w:rsid w:val="00C7547B"/>
    <w:rsid w:val="00C75583"/>
    <w:rsid w:val="00C75819"/>
    <w:rsid w:val="00C75BB6"/>
    <w:rsid w:val="00C75C90"/>
    <w:rsid w:val="00C75DE8"/>
    <w:rsid w:val="00C75E08"/>
    <w:rsid w:val="00C75E1A"/>
    <w:rsid w:val="00C75F6C"/>
    <w:rsid w:val="00C7609E"/>
    <w:rsid w:val="00C760CC"/>
    <w:rsid w:val="00C76151"/>
    <w:rsid w:val="00C7637F"/>
    <w:rsid w:val="00C7657B"/>
    <w:rsid w:val="00C7679F"/>
    <w:rsid w:val="00C767AC"/>
    <w:rsid w:val="00C767F1"/>
    <w:rsid w:val="00C7688A"/>
    <w:rsid w:val="00C76C1E"/>
    <w:rsid w:val="00C76CE8"/>
    <w:rsid w:val="00C76E45"/>
    <w:rsid w:val="00C76EB1"/>
    <w:rsid w:val="00C76F4E"/>
    <w:rsid w:val="00C774EE"/>
    <w:rsid w:val="00C77579"/>
    <w:rsid w:val="00C77736"/>
    <w:rsid w:val="00C77781"/>
    <w:rsid w:val="00C777BA"/>
    <w:rsid w:val="00C77864"/>
    <w:rsid w:val="00C778AF"/>
    <w:rsid w:val="00C77AF4"/>
    <w:rsid w:val="00C77BF8"/>
    <w:rsid w:val="00C77C69"/>
    <w:rsid w:val="00C77C8A"/>
    <w:rsid w:val="00C77CB6"/>
    <w:rsid w:val="00C77D38"/>
    <w:rsid w:val="00C77D94"/>
    <w:rsid w:val="00C77E09"/>
    <w:rsid w:val="00C804CA"/>
    <w:rsid w:val="00C8050E"/>
    <w:rsid w:val="00C805BC"/>
    <w:rsid w:val="00C805F6"/>
    <w:rsid w:val="00C80686"/>
    <w:rsid w:val="00C80692"/>
    <w:rsid w:val="00C806F5"/>
    <w:rsid w:val="00C806F7"/>
    <w:rsid w:val="00C80744"/>
    <w:rsid w:val="00C8075B"/>
    <w:rsid w:val="00C80769"/>
    <w:rsid w:val="00C807F6"/>
    <w:rsid w:val="00C808B3"/>
    <w:rsid w:val="00C80AAD"/>
    <w:rsid w:val="00C80B97"/>
    <w:rsid w:val="00C80D07"/>
    <w:rsid w:val="00C80EA9"/>
    <w:rsid w:val="00C80FF5"/>
    <w:rsid w:val="00C810FB"/>
    <w:rsid w:val="00C81116"/>
    <w:rsid w:val="00C81158"/>
    <w:rsid w:val="00C811B2"/>
    <w:rsid w:val="00C81233"/>
    <w:rsid w:val="00C814E2"/>
    <w:rsid w:val="00C815E9"/>
    <w:rsid w:val="00C815FF"/>
    <w:rsid w:val="00C81796"/>
    <w:rsid w:val="00C81930"/>
    <w:rsid w:val="00C819B7"/>
    <w:rsid w:val="00C81AE0"/>
    <w:rsid w:val="00C81BB7"/>
    <w:rsid w:val="00C81C24"/>
    <w:rsid w:val="00C81DDC"/>
    <w:rsid w:val="00C81EED"/>
    <w:rsid w:val="00C82006"/>
    <w:rsid w:val="00C82042"/>
    <w:rsid w:val="00C822B6"/>
    <w:rsid w:val="00C82355"/>
    <w:rsid w:val="00C8241D"/>
    <w:rsid w:val="00C82471"/>
    <w:rsid w:val="00C824C9"/>
    <w:rsid w:val="00C82522"/>
    <w:rsid w:val="00C82536"/>
    <w:rsid w:val="00C82927"/>
    <w:rsid w:val="00C82D86"/>
    <w:rsid w:val="00C82DBB"/>
    <w:rsid w:val="00C82F03"/>
    <w:rsid w:val="00C83123"/>
    <w:rsid w:val="00C832BB"/>
    <w:rsid w:val="00C83391"/>
    <w:rsid w:val="00C833F8"/>
    <w:rsid w:val="00C83500"/>
    <w:rsid w:val="00C8359C"/>
    <w:rsid w:val="00C83631"/>
    <w:rsid w:val="00C836A9"/>
    <w:rsid w:val="00C8379C"/>
    <w:rsid w:val="00C838E9"/>
    <w:rsid w:val="00C83950"/>
    <w:rsid w:val="00C839B0"/>
    <w:rsid w:val="00C83A70"/>
    <w:rsid w:val="00C83B84"/>
    <w:rsid w:val="00C83BE6"/>
    <w:rsid w:val="00C83D8E"/>
    <w:rsid w:val="00C83E6D"/>
    <w:rsid w:val="00C83ED1"/>
    <w:rsid w:val="00C8407A"/>
    <w:rsid w:val="00C840B5"/>
    <w:rsid w:val="00C84307"/>
    <w:rsid w:val="00C8446E"/>
    <w:rsid w:val="00C844C9"/>
    <w:rsid w:val="00C8450F"/>
    <w:rsid w:val="00C847C4"/>
    <w:rsid w:val="00C84C13"/>
    <w:rsid w:val="00C84CE5"/>
    <w:rsid w:val="00C84D6E"/>
    <w:rsid w:val="00C85170"/>
    <w:rsid w:val="00C85265"/>
    <w:rsid w:val="00C85353"/>
    <w:rsid w:val="00C8545E"/>
    <w:rsid w:val="00C855B8"/>
    <w:rsid w:val="00C855C3"/>
    <w:rsid w:val="00C85699"/>
    <w:rsid w:val="00C8582F"/>
    <w:rsid w:val="00C8589C"/>
    <w:rsid w:val="00C85940"/>
    <w:rsid w:val="00C859F5"/>
    <w:rsid w:val="00C85BE7"/>
    <w:rsid w:val="00C85CEE"/>
    <w:rsid w:val="00C85D18"/>
    <w:rsid w:val="00C85D7B"/>
    <w:rsid w:val="00C85E8C"/>
    <w:rsid w:val="00C85EA3"/>
    <w:rsid w:val="00C85F38"/>
    <w:rsid w:val="00C8646D"/>
    <w:rsid w:val="00C8652C"/>
    <w:rsid w:val="00C865A6"/>
    <w:rsid w:val="00C86624"/>
    <w:rsid w:val="00C86673"/>
    <w:rsid w:val="00C8676C"/>
    <w:rsid w:val="00C86812"/>
    <w:rsid w:val="00C868D5"/>
    <w:rsid w:val="00C868DB"/>
    <w:rsid w:val="00C86AB8"/>
    <w:rsid w:val="00C86BFE"/>
    <w:rsid w:val="00C86CF3"/>
    <w:rsid w:val="00C86E4A"/>
    <w:rsid w:val="00C86E6B"/>
    <w:rsid w:val="00C86E86"/>
    <w:rsid w:val="00C86F21"/>
    <w:rsid w:val="00C87265"/>
    <w:rsid w:val="00C8735B"/>
    <w:rsid w:val="00C873B9"/>
    <w:rsid w:val="00C875D5"/>
    <w:rsid w:val="00C876D7"/>
    <w:rsid w:val="00C87A32"/>
    <w:rsid w:val="00C87B12"/>
    <w:rsid w:val="00C87E24"/>
    <w:rsid w:val="00C87F44"/>
    <w:rsid w:val="00C87F6C"/>
    <w:rsid w:val="00C87FF7"/>
    <w:rsid w:val="00C90017"/>
    <w:rsid w:val="00C90325"/>
    <w:rsid w:val="00C90395"/>
    <w:rsid w:val="00C9056B"/>
    <w:rsid w:val="00C90775"/>
    <w:rsid w:val="00C90AA0"/>
    <w:rsid w:val="00C90C13"/>
    <w:rsid w:val="00C90DDF"/>
    <w:rsid w:val="00C91148"/>
    <w:rsid w:val="00C91182"/>
    <w:rsid w:val="00C911A1"/>
    <w:rsid w:val="00C91318"/>
    <w:rsid w:val="00C91413"/>
    <w:rsid w:val="00C91442"/>
    <w:rsid w:val="00C915F4"/>
    <w:rsid w:val="00C916CD"/>
    <w:rsid w:val="00C91767"/>
    <w:rsid w:val="00C917E8"/>
    <w:rsid w:val="00C91913"/>
    <w:rsid w:val="00C91AA2"/>
    <w:rsid w:val="00C91B59"/>
    <w:rsid w:val="00C91E31"/>
    <w:rsid w:val="00C92007"/>
    <w:rsid w:val="00C923E1"/>
    <w:rsid w:val="00C92412"/>
    <w:rsid w:val="00C92662"/>
    <w:rsid w:val="00C927A3"/>
    <w:rsid w:val="00C927CF"/>
    <w:rsid w:val="00C92A17"/>
    <w:rsid w:val="00C92ADA"/>
    <w:rsid w:val="00C92BC1"/>
    <w:rsid w:val="00C92C0F"/>
    <w:rsid w:val="00C92CB3"/>
    <w:rsid w:val="00C92D1B"/>
    <w:rsid w:val="00C92D7C"/>
    <w:rsid w:val="00C92E07"/>
    <w:rsid w:val="00C93108"/>
    <w:rsid w:val="00C93153"/>
    <w:rsid w:val="00C93237"/>
    <w:rsid w:val="00C9336E"/>
    <w:rsid w:val="00C93370"/>
    <w:rsid w:val="00C933B7"/>
    <w:rsid w:val="00C93708"/>
    <w:rsid w:val="00C937FF"/>
    <w:rsid w:val="00C93897"/>
    <w:rsid w:val="00C9392D"/>
    <w:rsid w:val="00C93AB0"/>
    <w:rsid w:val="00C93CBB"/>
    <w:rsid w:val="00C93D90"/>
    <w:rsid w:val="00C93DD2"/>
    <w:rsid w:val="00C940A2"/>
    <w:rsid w:val="00C94376"/>
    <w:rsid w:val="00C943C7"/>
    <w:rsid w:val="00C943DF"/>
    <w:rsid w:val="00C943E8"/>
    <w:rsid w:val="00C94479"/>
    <w:rsid w:val="00C94775"/>
    <w:rsid w:val="00C947FD"/>
    <w:rsid w:val="00C948D8"/>
    <w:rsid w:val="00C94AC1"/>
    <w:rsid w:val="00C94AE4"/>
    <w:rsid w:val="00C94B5E"/>
    <w:rsid w:val="00C94B7D"/>
    <w:rsid w:val="00C95066"/>
    <w:rsid w:val="00C950BD"/>
    <w:rsid w:val="00C95234"/>
    <w:rsid w:val="00C952DE"/>
    <w:rsid w:val="00C9539F"/>
    <w:rsid w:val="00C9551C"/>
    <w:rsid w:val="00C955DA"/>
    <w:rsid w:val="00C95745"/>
    <w:rsid w:val="00C957A4"/>
    <w:rsid w:val="00C958CD"/>
    <w:rsid w:val="00C959AE"/>
    <w:rsid w:val="00C95ADE"/>
    <w:rsid w:val="00C95BC6"/>
    <w:rsid w:val="00C95C32"/>
    <w:rsid w:val="00C95DAD"/>
    <w:rsid w:val="00C95E09"/>
    <w:rsid w:val="00C95E29"/>
    <w:rsid w:val="00C95E6E"/>
    <w:rsid w:val="00C95EAB"/>
    <w:rsid w:val="00C95F5F"/>
    <w:rsid w:val="00C95F6A"/>
    <w:rsid w:val="00C96084"/>
    <w:rsid w:val="00C9630B"/>
    <w:rsid w:val="00C96377"/>
    <w:rsid w:val="00C9647E"/>
    <w:rsid w:val="00C964F9"/>
    <w:rsid w:val="00C9652D"/>
    <w:rsid w:val="00C96685"/>
    <w:rsid w:val="00C96811"/>
    <w:rsid w:val="00C96A55"/>
    <w:rsid w:val="00C96B31"/>
    <w:rsid w:val="00C96D3C"/>
    <w:rsid w:val="00C96FCE"/>
    <w:rsid w:val="00C971C9"/>
    <w:rsid w:val="00C97213"/>
    <w:rsid w:val="00C974EA"/>
    <w:rsid w:val="00C9754D"/>
    <w:rsid w:val="00C975B2"/>
    <w:rsid w:val="00C97834"/>
    <w:rsid w:val="00C9785B"/>
    <w:rsid w:val="00C97887"/>
    <w:rsid w:val="00C978C4"/>
    <w:rsid w:val="00C979C6"/>
    <w:rsid w:val="00C97A69"/>
    <w:rsid w:val="00C97BCD"/>
    <w:rsid w:val="00CA00D2"/>
    <w:rsid w:val="00CA0809"/>
    <w:rsid w:val="00CA083B"/>
    <w:rsid w:val="00CA09D7"/>
    <w:rsid w:val="00CA0B23"/>
    <w:rsid w:val="00CA0C73"/>
    <w:rsid w:val="00CA0E7B"/>
    <w:rsid w:val="00CA0FBB"/>
    <w:rsid w:val="00CA1111"/>
    <w:rsid w:val="00CA1190"/>
    <w:rsid w:val="00CA1337"/>
    <w:rsid w:val="00CA14E2"/>
    <w:rsid w:val="00CA1980"/>
    <w:rsid w:val="00CA19D1"/>
    <w:rsid w:val="00CA1B3A"/>
    <w:rsid w:val="00CA1B79"/>
    <w:rsid w:val="00CA1CC7"/>
    <w:rsid w:val="00CA1CF8"/>
    <w:rsid w:val="00CA1E05"/>
    <w:rsid w:val="00CA1FDA"/>
    <w:rsid w:val="00CA20B9"/>
    <w:rsid w:val="00CA215C"/>
    <w:rsid w:val="00CA221F"/>
    <w:rsid w:val="00CA2397"/>
    <w:rsid w:val="00CA2529"/>
    <w:rsid w:val="00CA2857"/>
    <w:rsid w:val="00CA2888"/>
    <w:rsid w:val="00CA2961"/>
    <w:rsid w:val="00CA2A94"/>
    <w:rsid w:val="00CA2ADA"/>
    <w:rsid w:val="00CA2AED"/>
    <w:rsid w:val="00CA2C13"/>
    <w:rsid w:val="00CA2ED2"/>
    <w:rsid w:val="00CA2FB5"/>
    <w:rsid w:val="00CA2FF2"/>
    <w:rsid w:val="00CA3160"/>
    <w:rsid w:val="00CA31AB"/>
    <w:rsid w:val="00CA3274"/>
    <w:rsid w:val="00CA32CC"/>
    <w:rsid w:val="00CA3656"/>
    <w:rsid w:val="00CA36DE"/>
    <w:rsid w:val="00CA38B6"/>
    <w:rsid w:val="00CA38E7"/>
    <w:rsid w:val="00CA39CE"/>
    <w:rsid w:val="00CA39F9"/>
    <w:rsid w:val="00CA3B70"/>
    <w:rsid w:val="00CA3BD8"/>
    <w:rsid w:val="00CA3E56"/>
    <w:rsid w:val="00CA40EC"/>
    <w:rsid w:val="00CA420D"/>
    <w:rsid w:val="00CA4330"/>
    <w:rsid w:val="00CA4357"/>
    <w:rsid w:val="00CA450E"/>
    <w:rsid w:val="00CA4593"/>
    <w:rsid w:val="00CA460F"/>
    <w:rsid w:val="00CA4613"/>
    <w:rsid w:val="00CA4669"/>
    <w:rsid w:val="00CA4875"/>
    <w:rsid w:val="00CA489C"/>
    <w:rsid w:val="00CA49A5"/>
    <w:rsid w:val="00CA49C9"/>
    <w:rsid w:val="00CA4E1A"/>
    <w:rsid w:val="00CA4E4C"/>
    <w:rsid w:val="00CA4F78"/>
    <w:rsid w:val="00CA4FAA"/>
    <w:rsid w:val="00CA4FB1"/>
    <w:rsid w:val="00CA4FE1"/>
    <w:rsid w:val="00CA51A2"/>
    <w:rsid w:val="00CA51CF"/>
    <w:rsid w:val="00CA5259"/>
    <w:rsid w:val="00CA53CC"/>
    <w:rsid w:val="00CA53EF"/>
    <w:rsid w:val="00CA54B3"/>
    <w:rsid w:val="00CA5596"/>
    <w:rsid w:val="00CA56BB"/>
    <w:rsid w:val="00CA57A3"/>
    <w:rsid w:val="00CA59B4"/>
    <w:rsid w:val="00CA5A43"/>
    <w:rsid w:val="00CA5CE0"/>
    <w:rsid w:val="00CA5D07"/>
    <w:rsid w:val="00CA5E61"/>
    <w:rsid w:val="00CA5EC2"/>
    <w:rsid w:val="00CA5F30"/>
    <w:rsid w:val="00CA6625"/>
    <w:rsid w:val="00CA664B"/>
    <w:rsid w:val="00CA6656"/>
    <w:rsid w:val="00CA66DC"/>
    <w:rsid w:val="00CA6746"/>
    <w:rsid w:val="00CA6748"/>
    <w:rsid w:val="00CA6800"/>
    <w:rsid w:val="00CA686A"/>
    <w:rsid w:val="00CA69A3"/>
    <w:rsid w:val="00CA6A4B"/>
    <w:rsid w:val="00CA6C70"/>
    <w:rsid w:val="00CA6E08"/>
    <w:rsid w:val="00CA6F66"/>
    <w:rsid w:val="00CA71C1"/>
    <w:rsid w:val="00CA71FE"/>
    <w:rsid w:val="00CA733C"/>
    <w:rsid w:val="00CA767E"/>
    <w:rsid w:val="00CA76F9"/>
    <w:rsid w:val="00CA77F8"/>
    <w:rsid w:val="00CA794C"/>
    <w:rsid w:val="00CA7ABE"/>
    <w:rsid w:val="00CA7B8D"/>
    <w:rsid w:val="00CA7E38"/>
    <w:rsid w:val="00CA7E78"/>
    <w:rsid w:val="00CA7F79"/>
    <w:rsid w:val="00CB0049"/>
    <w:rsid w:val="00CB00FC"/>
    <w:rsid w:val="00CB0107"/>
    <w:rsid w:val="00CB0279"/>
    <w:rsid w:val="00CB0282"/>
    <w:rsid w:val="00CB046A"/>
    <w:rsid w:val="00CB0496"/>
    <w:rsid w:val="00CB05F7"/>
    <w:rsid w:val="00CB0651"/>
    <w:rsid w:val="00CB0661"/>
    <w:rsid w:val="00CB08D2"/>
    <w:rsid w:val="00CB0917"/>
    <w:rsid w:val="00CB0BB1"/>
    <w:rsid w:val="00CB0C1F"/>
    <w:rsid w:val="00CB0E44"/>
    <w:rsid w:val="00CB1070"/>
    <w:rsid w:val="00CB14F7"/>
    <w:rsid w:val="00CB159B"/>
    <w:rsid w:val="00CB173F"/>
    <w:rsid w:val="00CB18D3"/>
    <w:rsid w:val="00CB18EC"/>
    <w:rsid w:val="00CB1B3C"/>
    <w:rsid w:val="00CB1B3F"/>
    <w:rsid w:val="00CB1D17"/>
    <w:rsid w:val="00CB1DD0"/>
    <w:rsid w:val="00CB21F7"/>
    <w:rsid w:val="00CB2503"/>
    <w:rsid w:val="00CB266C"/>
    <w:rsid w:val="00CB28FF"/>
    <w:rsid w:val="00CB29FA"/>
    <w:rsid w:val="00CB2B36"/>
    <w:rsid w:val="00CB2B61"/>
    <w:rsid w:val="00CB2D10"/>
    <w:rsid w:val="00CB2D9F"/>
    <w:rsid w:val="00CB2EC1"/>
    <w:rsid w:val="00CB2F67"/>
    <w:rsid w:val="00CB31CA"/>
    <w:rsid w:val="00CB32DB"/>
    <w:rsid w:val="00CB33C6"/>
    <w:rsid w:val="00CB33EF"/>
    <w:rsid w:val="00CB3505"/>
    <w:rsid w:val="00CB353F"/>
    <w:rsid w:val="00CB3930"/>
    <w:rsid w:val="00CB3948"/>
    <w:rsid w:val="00CB3B2C"/>
    <w:rsid w:val="00CB3B4D"/>
    <w:rsid w:val="00CB3E99"/>
    <w:rsid w:val="00CB3FC1"/>
    <w:rsid w:val="00CB4016"/>
    <w:rsid w:val="00CB401F"/>
    <w:rsid w:val="00CB405F"/>
    <w:rsid w:val="00CB4095"/>
    <w:rsid w:val="00CB40F7"/>
    <w:rsid w:val="00CB4383"/>
    <w:rsid w:val="00CB43AD"/>
    <w:rsid w:val="00CB457A"/>
    <w:rsid w:val="00CB4664"/>
    <w:rsid w:val="00CB48CD"/>
    <w:rsid w:val="00CB48FC"/>
    <w:rsid w:val="00CB4A9C"/>
    <w:rsid w:val="00CB4BD1"/>
    <w:rsid w:val="00CB4BF7"/>
    <w:rsid w:val="00CB4C6A"/>
    <w:rsid w:val="00CB4F89"/>
    <w:rsid w:val="00CB5029"/>
    <w:rsid w:val="00CB51A2"/>
    <w:rsid w:val="00CB51B7"/>
    <w:rsid w:val="00CB52F3"/>
    <w:rsid w:val="00CB5479"/>
    <w:rsid w:val="00CB583A"/>
    <w:rsid w:val="00CB587C"/>
    <w:rsid w:val="00CB5977"/>
    <w:rsid w:val="00CB5B16"/>
    <w:rsid w:val="00CB5B58"/>
    <w:rsid w:val="00CB5B87"/>
    <w:rsid w:val="00CB5C6D"/>
    <w:rsid w:val="00CB5C8C"/>
    <w:rsid w:val="00CB5DCB"/>
    <w:rsid w:val="00CB5DFE"/>
    <w:rsid w:val="00CB5F52"/>
    <w:rsid w:val="00CB6104"/>
    <w:rsid w:val="00CB631E"/>
    <w:rsid w:val="00CB6352"/>
    <w:rsid w:val="00CB63FE"/>
    <w:rsid w:val="00CB64EA"/>
    <w:rsid w:val="00CB65B9"/>
    <w:rsid w:val="00CB65BE"/>
    <w:rsid w:val="00CB68D3"/>
    <w:rsid w:val="00CB6943"/>
    <w:rsid w:val="00CB6A7B"/>
    <w:rsid w:val="00CB6D00"/>
    <w:rsid w:val="00CB6DBE"/>
    <w:rsid w:val="00CB6EBE"/>
    <w:rsid w:val="00CB6F1A"/>
    <w:rsid w:val="00CB707D"/>
    <w:rsid w:val="00CB7234"/>
    <w:rsid w:val="00CB73AE"/>
    <w:rsid w:val="00CB7460"/>
    <w:rsid w:val="00CB7522"/>
    <w:rsid w:val="00CB7799"/>
    <w:rsid w:val="00CB77FB"/>
    <w:rsid w:val="00CB790F"/>
    <w:rsid w:val="00CB7968"/>
    <w:rsid w:val="00CB7B7A"/>
    <w:rsid w:val="00CB7D82"/>
    <w:rsid w:val="00CB7DE4"/>
    <w:rsid w:val="00CB7E5B"/>
    <w:rsid w:val="00CB7F00"/>
    <w:rsid w:val="00CB7F04"/>
    <w:rsid w:val="00CB7FFD"/>
    <w:rsid w:val="00CC0048"/>
    <w:rsid w:val="00CC0148"/>
    <w:rsid w:val="00CC023B"/>
    <w:rsid w:val="00CC0290"/>
    <w:rsid w:val="00CC070B"/>
    <w:rsid w:val="00CC0714"/>
    <w:rsid w:val="00CC0798"/>
    <w:rsid w:val="00CC0922"/>
    <w:rsid w:val="00CC093C"/>
    <w:rsid w:val="00CC09F2"/>
    <w:rsid w:val="00CC0A24"/>
    <w:rsid w:val="00CC0BD7"/>
    <w:rsid w:val="00CC0EAD"/>
    <w:rsid w:val="00CC0F21"/>
    <w:rsid w:val="00CC1020"/>
    <w:rsid w:val="00CC119A"/>
    <w:rsid w:val="00CC12A0"/>
    <w:rsid w:val="00CC15BC"/>
    <w:rsid w:val="00CC15F8"/>
    <w:rsid w:val="00CC166D"/>
    <w:rsid w:val="00CC173A"/>
    <w:rsid w:val="00CC1B73"/>
    <w:rsid w:val="00CC1CF2"/>
    <w:rsid w:val="00CC1EA3"/>
    <w:rsid w:val="00CC1F62"/>
    <w:rsid w:val="00CC2044"/>
    <w:rsid w:val="00CC205B"/>
    <w:rsid w:val="00CC2268"/>
    <w:rsid w:val="00CC228E"/>
    <w:rsid w:val="00CC2552"/>
    <w:rsid w:val="00CC2703"/>
    <w:rsid w:val="00CC27E1"/>
    <w:rsid w:val="00CC28A0"/>
    <w:rsid w:val="00CC2BFE"/>
    <w:rsid w:val="00CC2C1D"/>
    <w:rsid w:val="00CC2D16"/>
    <w:rsid w:val="00CC2F38"/>
    <w:rsid w:val="00CC3275"/>
    <w:rsid w:val="00CC337F"/>
    <w:rsid w:val="00CC342F"/>
    <w:rsid w:val="00CC3474"/>
    <w:rsid w:val="00CC34EE"/>
    <w:rsid w:val="00CC3593"/>
    <w:rsid w:val="00CC371C"/>
    <w:rsid w:val="00CC3753"/>
    <w:rsid w:val="00CC37C9"/>
    <w:rsid w:val="00CC3861"/>
    <w:rsid w:val="00CC38E0"/>
    <w:rsid w:val="00CC3928"/>
    <w:rsid w:val="00CC3998"/>
    <w:rsid w:val="00CC3A04"/>
    <w:rsid w:val="00CC3B25"/>
    <w:rsid w:val="00CC3B58"/>
    <w:rsid w:val="00CC3B6B"/>
    <w:rsid w:val="00CC3BC9"/>
    <w:rsid w:val="00CC3BD8"/>
    <w:rsid w:val="00CC3E8F"/>
    <w:rsid w:val="00CC3EA5"/>
    <w:rsid w:val="00CC3FCC"/>
    <w:rsid w:val="00CC41BA"/>
    <w:rsid w:val="00CC421F"/>
    <w:rsid w:val="00CC43EA"/>
    <w:rsid w:val="00CC448E"/>
    <w:rsid w:val="00CC44D8"/>
    <w:rsid w:val="00CC4838"/>
    <w:rsid w:val="00CC4B94"/>
    <w:rsid w:val="00CC4BE3"/>
    <w:rsid w:val="00CC4C12"/>
    <w:rsid w:val="00CC4CC0"/>
    <w:rsid w:val="00CC4CC1"/>
    <w:rsid w:val="00CC4D6E"/>
    <w:rsid w:val="00CC4DBE"/>
    <w:rsid w:val="00CC4E1D"/>
    <w:rsid w:val="00CC50A7"/>
    <w:rsid w:val="00CC5179"/>
    <w:rsid w:val="00CC5401"/>
    <w:rsid w:val="00CC56A0"/>
    <w:rsid w:val="00CC56F9"/>
    <w:rsid w:val="00CC5752"/>
    <w:rsid w:val="00CC5763"/>
    <w:rsid w:val="00CC597F"/>
    <w:rsid w:val="00CC5A08"/>
    <w:rsid w:val="00CC5C01"/>
    <w:rsid w:val="00CC5C59"/>
    <w:rsid w:val="00CC5D2F"/>
    <w:rsid w:val="00CC5DC8"/>
    <w:rsid w:val="00CC5DD8"/>
    <w:rsid w:val="00CC60E9"/>
    <w:rsid w:val="00CC613A"/>
    <w:rsid w:val="00CC627A"/>
    <w:rsid w:val="00CC645C"/>
    <w:rsid w:val="00CC646B"/>
    <w:rsid w:val="00CC6520"/>
    <w:rsid w:val="00CC65D4"/>
    <w:rsid w:val="00CC660F"/>
    <w:rsid w:val="00CC66B5"/>
    <w:rsid w:val="00CC6817"/>
    <w:rsid w:val="00CC684D"/>
    <w:rsid w:val="00CC6872"/>
    <w:rsid w:val="00CC68CF"/>
    <w:rsid w:val="00CC695F"/>
    <w:rsid w:val="00CC6D86"/>
    <w:rsid w:val="00CC6F46"/>
    <w:rsid w:val="00CC6F8F"/>
    <w:rsid w:val="00CC717E"/>
    <w:rsid w:val="00CC7199"/>
    <w:rsid w:val="00CC7350"/>
    <w:rsid w:val="00CC73D2"/>
    <w:rsid w:val="00CC756E"/>
    <w:rsid w:val="00CC7645"/>
    <w:rsid w:val="00CC78AF"/>
    <w:rsid w:val="00CC7A3C"/>
    <w:rsid w:val="00CC7BCC"/>
    <w:rsid w:val="00CC7F3F"/>
    <w:rsid w:val="00CD004B"/>
    <w:rsid w:val="00CD00FF"/>
    <w:rsid w:val="00CD0177"/>
    <w:rsid w:val="00CD01F2"/>
    <w:rsid w:val="00CD02FA"/>
    <w:rsid w:val="00CD0487"/>
    <w:rsid w:val="00CD05AD"/>
    <w:rsid w:val="00CD07D6"/>
    <w:rsid w:val="00CD0969"/>
    <w:rsid w:val="00CD0A5B"/>
    <w:rsid w:val="00CD0AA7"/>
    <w:rsid w:val="00CD0AB9"/>
    <w:rsid w:val="00CD0C93"/>
    <w:rsid w:val="00CD1057"/>
    <w:rsid w:val="00CD1181"/>
    <w:rsid w:val="00CD13AF"/>
    <w:rsid w:val="00CD14DE"/>
    <w:rsid w:val="00CD1516"/>
    <w:rsid w:val="00CD17E8"/>
    <w:rsid w:val="00CD18B3"/>
    <w:rsid w:val="00CD1ACD"/>
    <w:rsid w:val="00CD1B58"/>
    <w:rsid w:val="00CD1BF5"/>
    <w:rsid w:val="00CD1E17"/>
    <w:rsid w:val="00CD1E6D"/>
    <w:rsid w:val="00CD1EA0"/>
    <w:rsid w:val="00CD1F7D"/>
    <w:rsid w:val="00CD1F95"/>
    <w:rsid w:val="00CD20B8"/>
    <w:rsid w:val="00CD20DC"/>
    <w:rsid w:val="00CD22CF"/>
    <w:rsid w:val="00CD2466"/>
    <w:rsid w:val="00CD2537"/>
    <w:rsid w:val="00CD2563"/>
    <w:rsid w:val="00CD25FE"/>
    <w:rsid w:val="00CD27C6"/>
    <w:rsid w:val="00CD291C"/>
    <w:rsid w:val="00CD2A34"/>
    <w:rsid w:val="00CD2A85"/>
    <w:rsid w:val="00CD2B36"/>
    <w:rsid w:val="00CD2C34"/>
    <w:rsid w:val="00CD2C6B"/>
    <w:rsid w:val="00CD2CAA"/>
    <w:rsid w:val="00CD2DEB"/>
    <w:rsid w:val="00CD3010"/>
    <w:rsid w:val="00CD308A"/>
    <w:rsid w:val="00CD31DC"/>
    <w:rsid w:val="00CD320F"/>
    <w:rsid w:val="00CD321A"/>
    <w:rsid w:val="00CD32E7"/>
    <w:rsid w:val="00CD330A"/>
    <w:rsid w:val="00CD33E7"/>
    <w:rsid w:val="00CD35EF"/>
    <w:rsid w:val="00CD3614"/>
    <w:rsid w:val="00CD3967"/>
    <w:rsid w:val="00CD3A8E"/>
    <w:rsid w:val="00CD3ACE"/>
    <w:rsid w:val="00CD3BB4"/>
    <w:rsid w:val="00CD3CED"/>
    <w:rsid w:val="00CD3E96"/>
    <w:rsid w:val="00CD3F21"/>
    <w:rsid w:val="00CD3F3E"/>
    <w:rsid w:val="00CD3F73"/>
    <w:rsid w:val="00CD3F74"/>
    <w:rsid w:val="00CD3FC1"/>
    <w:rsid w:val="00CD4054"/>
    <w:rsid w:val="00CD439F"/>
    <w:rsid w:val="00CD4627"/>
    <w:rsid w:val="00CD462B"/>
    <w:rsid w:val="00CD4675"/>
    <w:rsid w:val="00CD4695"/>
    <w:rsid w:val="00CD496E"/>
    <w:rsid w:val="00CD49A3"/>
    <w:rsid w:val="00CD4AF9"/>
    <w:rsid w:val="00CD4F24"/>
    <w:rsid w:val="00CD504C"/>
    <w:rsid w:val="00CD5435"/>
    <w:rsid w:val="00CD55AF"/>
    <w:rsid w:val="00CD5767"/>
    <w:rsid w:val="00CD580B"/>
    <w:rsid w:val="00CD5848"/>
    <w:rsid w:val="00CD588A"/>
    <w:rsid w:val="00CD58D9"/>
    <w:rsid w:val="00CD5A5F"/>
    <w:rsid w:val="00CD5C30"/>
    <w:rsid w:val="00CD5C62"/>
    <w:rsid w:val="00CD5F4D"/>
    <w:rsid w:val="00CD602A"/>
    <w:rsid w:val="00CD602B"/>
    <w:rsid w:val="00CD6038"/>
    <w:rsid w:val="00CD60E6"/>
    <w:rsid w:val="00CD61FB"/>
    <w:rsid w:val="00CD626D"/>
    <w:rsid w:val="00CD6280"/>
    <w:rsid w:val="00CD64D9"/>
    <w:rsid w:val="00CD65A1"/>
    <w:rsid w:val="00CD6676"/>
    <w:rsid w:val="00CD6677"/>
    <w:rsid w:val="00CD6681"/>
    <w:rsid w:val="00CD68A1"/>
    <w:rsid w:val="00CD691E"/>
    <w:rsid w:val="00CD6948"/>
    <w:rsid w:val="00CD6A9A"/>
    <w:rsid w:val="00CD6B2C"/>
    <w:rsid w:val="00CD6B54"/>
    <w:rsid w:val="00CD6C2F"/>
    <w:rsid w:val="00CD6CC2"/>
    <w:rsid w:val="00CD6D87"/>
    <w:rsid w:val="00CD6DEB"/>
    <w:rsid w:val="00CD6E95"/>
    <w:rsid w:val="00CD6F65"/>
    <w:rsid w:val="00CD6F78"/>
    <w:rsid w:val="00CD70FC"/>
    <w:rsid w:val="00CD7237"/>
    <w:rsid w:val="00CD73CE"/>
    <w:rsid w:val="00CD74F6"/>
    <w:rsid w:val="00CD7537"/>
    <w:rsid w:val="00CD778E"/>
    <w:rsid w:val="00CD7AF5"/>
    <w:rsid w:val="00CD7B69"/>
    <w:rsid w:val="00CD7CCD"/>
    <w:rsid w:val="00CD7CD4"/>
    <w:rsid w:val="00CE00F6"/>
    <w:rsid w:val="00CE010E"/>
    <w:rsid w:val="00CE0130"/>
    <w:rsid w:val="00CE02B2"/>
    <w:rsid w:val="00CE034B"/>
    <w:rsid w:val="00CE041E"/>
    <w:rsid w:val="00CE0499"/>
    <w:rsid w:val="00CE05E5"/>
    <w:rsid w:val="00CE0697"/>
    <w:rsid w:val="00CE07BA"/>
    <w:rsid w:val="00CE080E"/>
    <w:rsid w:val="00CE0906"/>
    <w:rsid w:val="00CE0978"/>
    <w:rsid w:val="00CE09D2"/>
    <w:rsid w:val="00CE0B24"/>
    <w:rsid w:val="00CE0C0A"/>
    <w:rsid w:val="00CE0C50"/>
    <w:rsid w:val="00CE0C6D"/>
    <w:rsid w:val="00CE0E39"/>
    <w:rsid w:val="00CE0E84"/>
    <w:rsid w:val="00CE1013"/>
    <w:rsid w:val="00CE11C2"/>
    <w:rsid w:val="00CE12D3"/>
    <w:rsid w:val="00CE12D6"/>
    <w:rsid w:val="00CE138F"/>
    <w:rsid w:val="00CE13A3"/>
    <w:rsid w:val="00CE166D"/>
    <w:rsid w:val="00CE17C1"/>
    <w:rsid w:val="00CE17EA"/>
    <w:rsid w:val="00CE19EE"/>
    <w:rsid w:val="00CE1C56"/>
    <w:rsid w:val="00CE1CB1"/>
    <w:rsid w:val="00CE1D8E"/>
    <w:rsid w:val="00CE1D9E"/>
    <w:rsid w:val="00CE1DFE"/>
    <w:rsid w:val="00CE1E7D"/>
    <w:rsid w:val="00CE1FD0"/>
    <w:rsid w:val="00CE2315"/>
    <w:rsid w:val="00CE2327"/>
    <w:rsid w:val="00CE2356"/>
    <w:rsid w:val="00CE239A"/>
    <w:rsid w:val="00CE245F"/>
    <w:rsid w:val="00CE2582"/>
    <w:rsid w:val="00CE25EE"/>
    <w:rsid w:val="00CE2663"/>
    <w:rsid w:val="00CE26BF"/>
    <w:rsid w:val="00CE288F"/>
    <w:rsid w:val="00CE2981"/>
    <w:rsid w:val="00CE29B9"/>
    <w:rsid w:val="00CE2B5D"/>
    <w:rsid w:val="00CE2B88"/>
    <w:rsid w:val="00CE2BA4"/>
    <w:rsid w:val="00CE2CC6"/>
    <w:rsid w:val="00CE2D38"/>
    <w:rsid w:val="00CE2EAA"/>
    <w:rsid w:val="00CE2EE6"/>
    <w:rsid w:val="00CE2F7B"/>
    <w:rsid w:val="00CE3154"/>
    <w:rsid w:val="00CE319F"/>
    <w:rsid w:val="00CE326B"/>
    <w:rsid w:val="00CE3593"/>
    <w:rsid w:val="00CE3814"/>
    <w:rsid w:val="00CE39D7"/>
    <w:rsid w:val="00CE3A3B"/>
    <w:rsid w:val="00CE3B72"/>
    <w:rsid w:val="00CE3D79"/>
    <w:rsid w:val="00CE3F14"/>
    <w:rsid w:val="00CE3F84"/>
    <w:rsid w:val="00CE40A1"/>
    <w:rsid w:val="00CE4824"/>
    <w:rsid w:val="00CE485E"/>
    <w:rsid w:val="00CE48B5"/>
    <w:rsid w:val="00CE4938"/>
    <w:rsid w:val="00CE4967"/>
    <w:rsid w:val="00CE49EB"/>
    <w:rsid w:val="00CE4A7E"/>
    <w:rsid w:val="00CE4AAB"/>
    <w:rsid w:val="00CE4B1C"/>
    <w:rsid w:val="00CE4C83"/>
    <w:rsid w:val="00CE4CC6"/>
    <w:rsid w:val="00CE4E75"/>
    <w:rsid w:val="00CE4EB2"/>
    <w:rsid w:val="00CE5253"/>
    <w:rsid w:val="00CE52D0"/>
    <w:rsid w:val="00CE52DC"/>
    <w:rsid w:val="00CE5610"/>
    <w:rsid w:val="00CE5654"/>
    <w:rsid w:val="00CE568A"/>
    <w:rsid w:val="00CE56B6"/>
    <w:rsid w:val="00CE56F9"/>
    <w:rsid w:val="00CE5716"/>
    <w:rsid w:val="00CE5A43"/>
    <w:rsid w:val="00CE5AD3"/>
    <w:rsid w:val="00CE5B3C"/>
    <w:rsid w:val="00CE5BA5"/>
    <w:rsid w:val="00CE5C45"/>
    <w:rsid w:val="00CE5C50"/>
    <w:rsid w:val="00CE5D16"/>
    <w:rsid w:val="00CE5D8D"/>
    <w:rsid w:val="00CE60DA"/>
    <w:rsid w:val="00CE6107"/>
    <w:rsid w:val="00CE6145"/>
    <w:rsid w:val="00CE61D3"/>
    <w:rsid w:val="00CE61E1"/>
    <w:rsid w:val="00CE67F0"/>
    <w:rsid w:val="00CE6863"/>
    <w:rsid w:val="00CE6890"/>
    <w:rsid w:val="00CE6912"/>
    <w:rsid w:val="00CE6A7A"/>
    <w:rsid w:val="00CE6B4D"/>
    <w:rsid w:val="00CE6CD4"/>
    <w:rsid w:val="00CE6D75"/>
    <w:rsid w:val="00CE6DE5"/>
    <w:rsid w:val="00CE7048"/>
    <w:rsid w:val="00CE707C"/>
    <w:rsid w:val="00CE7130"/>
    <w:rsid w:val="00CE71A6"/>
    <w:rsid w:val="00CE7230"/>
    <w:rsid w:val="00CE742A"/>
    <w:rsid w:val="00CE75FA"/>
    <w:rsid w:val="00CE7702"/>
    <w:rsid w:val="00CE78D7"/>
    <w:rsid w:val="00CE78EE"/>
    <w:rsid w:val="00CE7984"/>
    <w:rsid w:val="00CE798E"/>
    <w:rsid w:val="00CE7B27"/>
    <w:rsid w:val="00CE7CE3"/>
    <w:rsid w:val="00CE7DDB"/>
    <w:rsid w:val="00CE7FB1"/>
    <w:rsid w:val="00CF0003"/>
    <w:rsid w:val="00CF04EB"/>
    <w:rsid w:val="00CF05E4"/>
    <w:rsid w:val="00CF06EF"/>
    <w:rsid w:val="00CF07CF"/>
    <w:rsid w:val="00CF0807"/>
    <w:rsid w:val="00CF08D2"/>
    <w:rsid w:val="00CF094A"/>
    <w:rsid w:val="00CF09DA"/>
    <w:rsid w:val="00CF09FD"/>
    <w:rsid w:val="00CF0C23"/>
    <w:rsid w:val="00CF0C43"/>
    <w:rsid w:val="00CF0C5A"/>
    <w:rsid w:val="00CF0C7D"/>
    <w:rsid w:val="00CF0CC3"/>
    <w:rsid w:val="00CF0D25"/>
    <w:rsid w:val="00CF0E2B"/>
    <w:rsid w:val="00CF0E5F"/>
    <w:rsid w:val="00CF0E8A"/>
    <w:rsid w:val="00CF0F6C"/>
    <w:rsid w:val="00CF0FCA"/>
    <w:rsid w:val="00CF10AA"/>
    <w:rsid w:val="00CF1179"/>
    <w:rsid w:val="00CF11E1"/>
    <w:rsid w:val="00CF129F"/>
    <w:rsid w:val="00CF1316"/>
    <w:rsid w:val="00CF1374"/>
    <w:rsid w:val="00CF1507"/>
    <w:rsid w:val="00CF16CE"/>
    <w:rsid w:val="00CF17EE"/>
    <w:rsid w:val="00CF18B5"/>
    <w:rsid w:val="00CF18CA"/>
    <w:rsid w:val="00CF1AA4"/>
    <w:rsid w:val="00CF1BE4"/>
    <w:rsid w:val="00CF1C0C"/>
    <w:rsid w:val="00CF1E21"/>
    <w:rsid w:val="00CF1F59"/>
    <w:rsid w:val="00CF1FAB"/>
    <w:rsid w:val="00CF2141"/>
    <w:rsid w:val="00CF2464"/>
    <w:rsid w:val="00CF252D"/>
    <w:rsid w:val="00CF2540"/>
    <w:rsid w:val="00CF25D0"/>
    <w:rsid w:val="00CF25E2"/>
    <w:rsid w:val="00CF2953"/>
    <w:rsid w:val="00CF29CA"/>
    <w:rsid w:val="00CF2AEE"/>
    <w:rsid w:val="00CF2C6A"/>
    <w:rsid w:val="00CF2F76"/>
    <w:rsid w:val="00CF300F"/>
    <w:rsid w:val="00CF30C3"/>
    <w:rsid w:val="00CF3110"/>
    <w:rsid w:val="00CF337B"/>
    <w:rsid w:val="00CF339A"/>
    <w:rsid w:val="00CF344D"/>
    <w:rsid w:val="00CF34C3"/>
    <w:rsid w:val="00CF3815"/>
    <w:rsid w:val="00CF3850"/>
    <w:rsid w:val="00CF3897"/>
    <w:rsid w:val="00CF395B"/>
    <w:rsid w:val="00CF3985"/>
    <w:rsid w:val="00CF3A4E"/>
    <w:rsid w:val="00CF3A79"/>
    <w:rsid w:val="00CF3ABA"/>
    <w:rsid w:val="00CF3B2F"/>
    <w:rsid w:val="00CF3B41"/>
    <w:rsid w:val="00CF3B58"/>
    <w:rsid w:val="00CF3BD2"/>
    <w:rsid w:val="00CF3C68"/>
    <w:rsid w:val="00CF3DEC"/>
    <w:rsid w:val="00CF3F42"/>
    <w:rsid w:val="00CF41CB"/>
    <w:rsid w:val="00CF420F"/>
    <w:rsid w:val="00CF428D"/>
    <w:rsid w:val="00CF4456"/>
    <w:rsid w:val="00CF4651"/>
    <w:rsid w:val="00CF4686"/>
    <w:rsid w:val="00CF4747"/>
    <w:rsid w:val="00CF482A"/>
    <w:rsid w:val="00CF48C2"/>
    <w:rsid w:val="00CF4A2C"/>
    <w:rsid w:val="00CF4A57"/>
    <w:rsid w:val="00CF4ADD"/>
    <w:rsid w:val="00CF4B17"/>
    <w:rsid w:val="00CF4BAD"/>
    <w:rsid w:val="00CF4E42"/>
    <w:rsid w:val="00CF4E98"/>
    <w:rsid w:val="00CF4EEE"/>
    <w:rsid w:val="00CF4FBF"/>
    <w:rsid w:val="00CF50BB"/>
    <w:rsid w:val="00CF52A5"/>
    <w:rsid w:val="00CF54D9"/>
    <w:rsid w:val="00CF55F5"/>
    <w:rsid w:val="00CF57D5"/>
    <w:rsid w:val="00CF5A46"/>
    <w:rsid w:val="00CF5A49"/>
    <w:rsid w:val="00CF5A62"/>
    <w:rsid w:val="00CF6077"/>
    <w:rsid w:val="00CF6279"/>
    <w:rsid w:val="00CF62AA"/>
    <w:rsid w:val="00CF638F"/>
    <w:rsid w:val="00CF6527"/>
    <w:rsid w:val="00CF675B"/>
    <w:rsid w:val="00CF692B"/>
    <w:rsid w:val="00CF6AFA"/>
    <w:rsid w:val="00CF6B01"/>
    <w:rsid w:val="00CF6C45"/>
    <w:rsid w:val="00CF6E0E"/>
    <w:rsid w:val="00CF6F76"/>
    <w:rsid w:val="00CF6F9F"/>
    <w:rsid w:val="00CF6FAF"/>
    <w:rsid w:val="00CF7279"/>
    <w:rsid w:val="00CF7422"/>
    <w:rsid w:val="00CF7505"/>
    <w:rsid w:val="00CF75F4"/>
    <w:rsid w:val="00CF75FE"/>
    <w:rsid w:val="00CF770D"/>
    <w:rsid w:val="00CF7961"/>
    <w:rsid w:val="00CF7A84"/>
    <w:rsid w:val="00CF7B4D"/>
    <w:rsid w:val="00CF7BA0"/>
    <w:rsid w:val="00CF7BB2"/>
    <w:rsid w:val="00CF7CBE"/>
    <w:rsid w:val="00CF7DA0"/>
    <w:rsid w:val="00CF7DE5"/>
    <w:rsid w:val="00CF7EAD"/>
    <w:rsid w:val="00D00092"/>
    <w:rsid w:val="00D000A2"/>
    <w:rsid w:val="00D00127"/>
    <w:rsid w:val="00D0020C"/>
    <w:rsid w:val="00D00286"/>
    <w:rsid w:val="00D002CD"/>
    <w:rsid w:val="00D002E3"/>
    <w:rsid w:val="00D00399"/>
    <w:rsid w:val="00D003F6"/>
    <w:rsid w:val="00D00530"/>
    <w:rsid w:val="00D005D5"/>
    <w:rsid w:val="00D00646"/>
    <w:rsid w:val="00D009D2"/>
    <w:rsid w:val="00D00AE6"/>
    <w:rsid w:val="00D00C0A"/>
    <w:rsid w:val="00D00DFC"/>
    <w:rsid w:val="00D00E47"/>
    <w:rsid w:val="00D00EE3"/>
    <w:rsid w:val="00D01225"/>
    <w:rsid w:val="00D01231"/>
    <w:rsid w:val="00D01326"/>
    <w:rsid w:val="00D013F9"/>
    <w:rsid w:val="00D0143A"/>
    <w:rsid w:val="00D01536"/>
    <w:rsid w:val="00D015DE"/>
    <w:rsid w:val="00D016D8"/>
    <w:rsid w:val="00D016F4"/>
    <w:rsid w:val="00D01861"/>
    <w:rsid w:val="00D01A77"/>
    <w:rsid w:val="00D02198"/>
    <w:rsid w:val="00D021A2"/>
    <w:rsid w:val="00D021AA"/>
    <w:rsid w:val="00D02531"/>
    <w:rsid w:val="00D0288F"/>
    <w:rsid w:val="00D02DA9"/>
    <w:rsid w:val="00D03055"/>
    <w:rsid w:val="00D030C2"/>
    <w:rsid w:val="00D0332F"/>
    <w:rsid w:val="00D033C0"/>
    <w:rsid w:val="00D033C4"/>
    <w:rsid w:val="00D03580"/>
    <w:rsid w:val="00D0359C"/>
    <w:rsid w:val="00D035DC"/>
    <w:rsid w:val="00D035F5"/>
    <w:rsid w:val="00D03A4A"/>
    <w:rsid w:val="00D03C35"/>
    <w:rsid w:val="00D03C48"/>
    <w:rsid w:val="00D03D3A"/>
    <w:rsid w:val="00D03EBF"/>
    <w:rsid w:val="00D03FA3"/>
    <w:rsid w:val="00D03FF7"/>
    <w:rsid w:val="00D040D6"/>
    <w:rsid w:val="00D04279"/>
    <w:rsid w:val="00D04747"/>
    <w:rsid w:val="00D04CA6"/>
    <w:rsid w:val="00D0500A"/>
    <w:rsid w:val="00D0503E"/>
    <w:rsid w:val="00D05125"/>
    <w:rsid w:val="00D05265"/>
    <w:rsid w:val="00D05490"/>
    <w:rsid w:val="00D054F0"/>
    <w:rsid w:val="00D05841"/>
    <w:rsid w:val="00D05996"/>
    <w:rsid w:val="00D05BC8"/>
    <w:rsid w:val="00D05C7A"/>
    <w:rsid w:val="00D05D9D"/>
    <w:rsid w:val="00D05F3F"/>
    <w:rsid w:val="00D06385"/>
    <w:rsid w:val="00D0639C"/>
    <w:rsid w:val="00D06509"/>
    <w:rsid w:val="00D065C2"/>
    <w:rsid w:val="00D065F3"/>
    <w:rsid w:val="00D066D4"/>
    <w:rsid w:val="00D067E4"/>
    <w:rsid w:val="00D0691B"/>
    <w:rsid w:val="00D069D6"/>
    <w:rsid w:val="00D06EDB"/>
    <w:rsid w:val="00D06F9C"/>
    <w:rsid w:val="00D0712D"/>
    <w:rsid w:val="00D072B4"/>
    <w:rsid w:val="00D07422"/>
    <w:rsid w:val="00D0756E"/>
    <w:rsid w:val="00D075B2"/>
    <w:rsid w:val="00D07684"/>
    <w:rsid w:val="00D076BE"/>
    <w:rsid w:val="00D0774B"/>
    <w:rsid w:val="00D07752"/>
    <w:rsid w:val="00D07764"/>
    <w:rsid w:val="00D079EE"/>
    <w:rsid w:val="00D07A11"/>
    <w:rsid w:val="00D07A50"/>
    <w:rsid w:val="00D07ADF"/>
    <w:rsid w:val="00D07B54"/>
    <w:rsid w:val="00D07E81"/>
    <w:rsid w:val="00D07F76"/>
    <w:rsid w:val="00D1023F"/>
    <w:rsid w:val="00D1032A"/>
    <w:rsid w:val="00D103BE"/>
    <w:rsid w:val="00D104E7"/>
    <w:rsid w:val="00D105EA"/>
    <w:rsid w:val="00D106B6"/>
    <w:rsid w:val="00D106EC"/>
    <w:rsid w:val="00D1085E"/>
    <w:rsid w:val="00D108CE"/>
    <w:rsid w:val="00D109AC"/>
    <w:rsid w:val="00D10A3F"/>
    <w:rsid w:val="00D10AD3"/>
    <w:rsid w:val="00D10B2F"/>
    <w:rsid w:val="00D10DA6"/>
    <w:rsid w:val="00D10E9B"/>
    <w:rsid w:val="00D1104B"/>
    <w:rsid w:val="00D11060"/>
    <w:rsid w:val="00D11130"/>
    <w:rsid w:val="00D1114B"/>
    <w:rsid w:val="00D111C4"/>
    <w:rsid w:val="00D113BF"/>
    <w:rsid w:val="00D114E3"/>
    <w:rsid w:val="00D1162F"/>
    <w:rsid w:val="00D11700"/>
    <w:rsid w:val="00D11821"/>
    <w:rsid w:val="00D11A04"/>
    <w:rsid w:val="00D11B6C"/>
    <w:rsid w:val="00D11BBB"/>
    <w:rsid w:val="00D11D53"/>
    <w:rsid w:val="00D11F00"/>
    <w:rsid w:val="00D11F75"/>
    <w:rsid w:val="00D12141"/>
    <w:rsid w:val="00D1218D"/>
    <w:rsid w:val="00D12237"/>
    <w:rsid w:val="00D12253"/>
    <w:rsid w:val="00D12429"/>
    <w:rsid w:val="00D12432"/>
    <w:rsid w:val="00D124E4"/>
    <w:rsid w:val="00D12777"/>
    <w:rsid w:val="00D127D4"/>
    <w:rsid w:val="00D12A4E"/>
    <w:rsid w:val="00D12B7E"/>
    <w:rsid w:val="00D12D99"/>
    <w:rsid w:val="00D12DA6"/>
    <w:rsid w:val="00D12F8E"/>
    <w:rsid w:val="00D131EB"/>
    <w:rsid w:val="00D132DB"/>
    <w:rsid w:val="00D1330B"/>
    <w:rsid w:val="00D1341F"/>
    <w:rsid w:val="00D13426"/>
    <w:rsid w:val="00D13450"/>
    <w:rsid w:val="00D13478"/>
    <w:rsid w:val="00D1353F"/>
    <w:rsid w:val="00D135BC"/>
    <w:rsid w:val="00D135D7"/>
    <w:rsid w:val="00D136AC"/>
    <w:rsid w:val="00D138A7"/>
    <w:rsid w:val="00D1398B"/>
    <w:rsid w:val="00D1398F"/>
    <w:rsid w:val="00D13A52"/>
    <w:rsid w:val="00D13AD0"/>
    <w:rsid w:val="00D13BB3"/>
    <w:rsid w:val="00D13BBD"/>
    <w:rsid w:val="00D13BF8"/>
    <w:rsid w:val="00D13C17"/>
    <w:rsid w:val="00D13CD7"/>
    <w:rsid w:val="00D13D86"/>
    <w:rsid w:val="00D13E24"/>
    <w:rsid w:val="00D13EFA"/>
    <w:rsid w:val="00D13F4B"/>
    <w:rsid w:val="00D13FD5"/>
    <w:rsid w:val="00D14116"/>
    <w:rsid w:val="00D1417D"/>
    <w:rsid w:val="00D1443B"/>
    <w:rsid w:val="00D145A9"/>
    <w:rsid w:val="00D147B5"/>
    <w:rsid w:val="00D14834"/>
    <w:rsid w:val="00D1494A"/>
    <w:rsid w:val="00D14B71"/>
    <w:rsid w:val="00D14D7F"/>
    <w:rsid w:val="00D14E57"/>
    <w:rsid w:val="00D1512E"/>
    <w:rsid w:val="00D15136"/>
    <w:rsid w:val="00D151D7"/>
    <w:rsid w:val="00D15228"/>
    <w:rsid w:val="00D1522B"/>
    <w:rsid w:val="00D15373"/>
    <w:rsid w:val="00D153AE"/>
    <w:rsid w:val="00D153CC"/>
    <w:rsid w:val="00D155E7"/>
    <w:rsid w:val="00D1563F"/>
    <w:rsid w:val="00D15AAA"/>
    <w:rsid w:val="00D15B65"/>
    <w:rsid w:val="00D15BCE"/>
    <w:rsid w:val="00D15C32"/>
    <w:rsid w:val="00D15D53"/>
    <w:rsid w:val="00D15D7E"/>
    <w:rsid w:val="00D15E8E"/>
    <w:rsid w:val="00D16015"/>
    <w:rsid w:val="00D1610F"/>
    <w:rsid w:val="00D16397"/>
    <w:rsid w:val="00D164E2"/>
    <w:rsid w:val="00D16583"/>
    <w:rsid w:val="00D16780"/>
    <w:rsid w:val="00D16986"/>
    <w:rsid w:val="00D16A57"/>
    <w:rsid w:val="00D16BBC"/>
    <w:rsid w:val="00D16CAC"/>
    <w:rsid w:val="00D16E2B"/>
    <w:rsid w:val="00D16F8A"/>
    <w:rsid w:val="00D16F8F"/>
    <w:rsid w:val="00D16FC0"/>
    <w:rsid w:val="00D171AC"/>
    <w:rsid w:val="00D171F0"/>
    <w:rsid w:val="00D174D9"/>
    <w:rsid w:val="00D174E7"/>
    <w:rsid w:val="00D174F7"/>
    <w:rsid w:val="00D1764E"/>
    <w:rsid w:val="00D176A1"/>
    <w:rsid w:val="00D179D6"/>
    <w:rsid w:val="00D17A17"/>
    <w:rsid w:val="00D17A30"/>
    <w:rsid w:val="00D17F50"/>
    <w:rsid w:val="00D20007"/>
    <w:rsid w:val="00D201DF"/>
    <w:rsid w:val="00D205E6"/>
    <w:rsid w:val="00D20859"/>
    <w:rsid w:val="00D2093B"/>
    <w:rsid w:val="00D209C2"/>
    <w:rsid w:val="00D20A26"/>
    <w:rsid w:val="00D20B31"/>
    <w:rsid w:val="00D20BA1"/>
    <w:rsid w:val="00D20C06"/>
    <w:rsid w:val="00D20D0E"/>
    <w:rsid w:val="00D20F28"/>
    <w:rsid w:val="00D20F38"/>
    <w:rsid w:val="00D213EC"/>
    <w:rsid w:val="00D213FE"/>
    <w:rsid w:val="00D21455"/>
    <w:rsid w:val="00D21587"/>
    <w:rsid w:val="00D215C6"/>
    <w:rsid w:val="00D215D0"/>
    <w:rsid w:val="00D215F6"/>
    <w:rsid w:val="00D216EA"/>
    <w:rsid w:val="00D217D6"/>
    <w:rsid w:val="00D2182C"/>
    <w:rsid w:val="00D21B33"/>
    <w:rsid w:val="00D21B3B"/>
    <w:rsid w:val="00D21BD0"/>
    <w:rsid w:val="00D21F87"/>
    <w:rsid w:val="00D21FCA"/>
    <w:rsid w:val="00D22387"/>
    <w:rsid w:val="00D223D0"/>
    <w:rsid w:val="00D22477"/>
    <w:rsid w:val="00D22526"/>
    <w:rsid w:val="00D22B24"/>
    <w:rsid w:val="00D22BB1"/>
    <w:rsid w:val="00D22C89"/>
    <w:rsid w:val="00D22DB1"/>
    <w:rsid w:val="00D22EC3"/>
    <w:rsid w:val="00D22ECB"/>
    <w:rsid w:val="00D22F66"/>
    <w:rsid w:val="00D23185"/>
    <w:rsid w:val="00D231B5"/>
    <w:rsid w:val="00D231C8"/>
    <w:rsid w:val="00D232F0"/>
    <w:rsid w:val="00D233A1"/>
    <w:rsid w:val="00D23499"/>
    <w:rsid w:val="00D23732"/>
    <w:rsid w:val="00D237F5"/>
    <w:rsid w:val="00D23823"/>
    <w:rsid w:val="00D2394B"/>
    <w:rsid w:val="00D23983"/>
    <w:rsid w:val="00D239A3"/>
    <w:rsid w:val="00D23A23"/>
    <w:rsid w:val="00D23A6B"/>
    <w:rsid w:val="00D23D0E"/>
    <w:rsid w:val="00D23E1D"/>
    <w:rsid w:val="00D23EB7"/>
    <w:rsid w:val="00D23FB5"/>
    <w:rsid w:val="00D24073"/>
    <w:rsid w:val="00D240B2"/>
    <w:rsid w:val="00D240EC"/>
    <w:rsid w:val="00D24124"/>
    <w:rsid w:val="00D244EC"/>
    <w:rsid w:val="00D245A9"/>
    <w:rsid w:val="00D24671"/>
    <w:rsid w:val="00D246CA"/>
    <w:rsid w:val="00D248DB"/>
    <w:rsid w:val="00D2492E"/>
    <w:rsid w:val="00D249A4"/>
    <w:rsid w:val="00D249FE"/>
    <w:rsid w:val="00D24C0B"/>
    <w:rsid w:val="00D24CB5"/>
    <w:rsid w:val="00D24CC7"/>
    <w:rsid w:val="00D24D2A"/>
    <w:rsid w:val="00D250B8"/>
    <w:rsid w:val="00D25352"/>
    <w:rsid w:val="00D253C6"/>
    <w:rsid w:val="00D256B4"/>
    <w:rsid w:val="00D25748"/>
    <w:rsid w:val="00D258C0"/>
    <w:rsid w:val="00D25C7E"/>
    <w:rsid w:val="00D25DBF"/>
    <w:rsid w:val="00D25EFC"/>
    <w:rsid w:val="00D25FB0"/>
    <w:rsid w:val="00D260C5"/>
    <w:rsid w:val="00D261A0"/>
    <w:rsid w:val="00D261B8"/>
    <w:rsid w:val="00D2620A"/>
    <w:rsid w:val="00D26355"/>
    <w:rsid w:val="00D26431"/>
    <w:rsid w:val="00D26482"/>
    <w:rsid w:val="00D264D0"/>
    <w:rsid w:val="00D26512"/>
    <w:rsid w:val="00D2659E"/>
    <w:rsid w:val="00D265AC"/>
    <w:rsid w:val="00D266EB"/>
    <w:rsid w:val="00D268DE"/>
    <w:rsid w:val="00D26AA4"/>
    <w:rsid w:val="00D26DC7"/>
    <w:rsid w:val="00D26DE5"/>
    <w:rsid w:val="00D26F1B"/>
    <w:rsid w:val="00D27310"/>
    <w:rsid w:val="00D273C9"/>
    <w:rsid w:val="00D2772D"/>
    <w:rsid w:val="00D2777E"/>
    <w:rsid w:val="00D27804"/>
    <w:rsid w:val="00D2787E"/>
    <w:rsid w:val="00D278DE"/>
    <w:rsid w:val="00D2790E"/>
    <w:rsid w:val="00D27957"/>
    <w:rsid w:val="00D2799F"/>
    <w:rsid w:val="00D279C4"/>
    <w:rsid w:val="00D27AB0"/>
    <w:rsid w:val="00D27AC0"/>
    <w:rsid w:val="00D27B7E"/>
    <w:rsid w:val="00D27D70"/>
    <w:rsid w:val="00D27D75"/>
    <w:rsid w:val="00D27DA1"/>
    <w:rsid w:val="00D27DA3"/>
    <w:rsid w:val="00D27E29"/>
    <w:rsid w:val="00D27E86"/>
    <w:rsid w:val="00D27FA8"/>
    <w:rsid w:val="00D30150"/>
    <w:rsid w:val="00D30278"/>
    <w:rsid w:val="00D30373"/>
    <w:rsid w:val="00D30384"/>
    <w:rsid w:val="00D30681"/>
    <w:rsid w:val="00D30688"/>
    <w:rsid w:val="00D30786"/>
    <w:rsid w:val="00D3093B"/>
    <w:rsid w:val="00D30A45"/>
    <w:rsid w:val="00D30B4F"/>
    <w:rsid w:val="00D30C06"/>
    <w:rsid w:val="00D30E05"/>
    <w:rsid w:val="00D30FEA"/>
    <w:rsid w:val="00D3176C"/>
    <w:rsid w:val="00D31780"/>
    <w:rsid w:val="00D319F3"/>
    <w:rsid w:val="00D31A52"/>
    <w:rsid w:val="00D31B87"/>
    <w:rsid w:val="00D31D49"/>
    <w:rsid w:val="00D32106"/>
    <w:rsid w:val="00D3232B"/>
    <w:rsid w:val="00D329B4"/>
    <w:rsid w:val="00D329D4"/>
    <w:rsid w:val="00D32BA0"/>
    <w:rsid w:val="00D32D14"/>
    <w:rsid w:val="00D32D2A"/>
    <w:rsid w:val="00D32D9F"/>
    <w:rsid w:val="00D32E8B"/>
    <w:rsid w:val="00D33038"/>
    <w:rsid w:val="00D3324B"/>
    <w:rsid w:val="00D33492"/>
    <w:rsid w:val="00D33770"/>
    <w:rsid w:val="00D337AD"/>
    <w:rsid w:val="00D338B4"/>
    <w:rsid w:val="00D3394F"/>
    <w:rsid w:val="00D339EF"/>
    <w:rsid w:val="00D33AA4"/>
    <w:rsid w:val="00D33B76"/>
    <w:rsid w:val="00D33D75"/>
    <w:rsid w:val="00D33DA6"/>
    <w:rsid w:val="00D33DFF"/>
    <w:rsid w:val="00D33EE5"/>
    <w:rsid w:val="00D341F0"/>
    <w:rsid w:val="00D34210"/>
    <w:rsid w:val="00D342A6"/>
    <w:rsid w:val="00D342DD"/>
    <w:rsid w:val="00D343BB"/>
    <w:rsid w:val="00D345EC"/>
    <w:rsid w:val="00D34660"/>
    <w:rsid w:val="00D34675"/>
    <w:rsid w:val="00D34A0F"/>
    <w:rsid w:val="00D34B38"/>
    <w:rsid w:val="00D34CD6"/>
    <w:rsid w:val="00D34D19"/>
    <w:rsid w:val="00D3504B"/>
    <w:rsid w:val="00D35076"/>
    <w:rsid w:val="00D35272"/>
    <w:rsid w:val="00D3530A"/>
    <w:rsid w:val="00D35447"/>
    <w:rsid w:val="00D354E1"/>
    <w:rsid w:val="00D354ED"/>
    <w:rsid w:val="00D35522"/>
    <w:rsid w:val="00D35527"/>
    <w:rsid w:val="00D35588"/>
    <w:rsid w:val="00D355C7"/>
    <w:rsid w:val="00D355D1"/>
    <w:rsid w:val="00D35656"/>
    <w:rsid w:val="00D3567C"/>
    <w:rsid w:val="00D3581C"/>
    <w:rsid w:val="00D3585A"/>
    <w:rsid w:val="00D35AF0"/>
    <w:rsid w:val="00D35B21"/>
    <w:rsid w:val="00D35B77"/>
    <w:rsid w:val="00D35DBF"/>
    <w:rsid w:val="00D35DD0"/>
    <w:rsid w:val="00D35E20"/>
    <w:rsid w:val="00D35EF8"/>
    <w:rsid w:val="00D35F06"/>
    <w:rsid w:val="00D35FA9"/>
    <w:rsid w:val="00D35FE4"/>
    <w:rsid w:val="00D36383"/>
    <w:rsid w:val="00D36606"/>
    <w:rsid w:val="00D3683D"/>
    <w:rsid w:val="00D36925"/>
    <w:rsid w:val="00D3695A"/>
    <w:rsid w:val="00D36B36"/>
    <w:rsid w:val="00D36C90"/>
    <w:rsid w:val="00D36D92"/>
    <w:rsid w:val="00D36DEB"/>
    <w:rsid w:val="00D36DF9"/>
    <w:rsid w:val="00D36F7B"/>
    <w:rsid w:val="00D37040"/>
    <w:rsid w:val="00D37238"/>
    <w:rsid w:val="00D3731C"/>
    <w:rsid w:val="00D375A6"/>
    <w:rsid w:val="00D375D0"/>
    <w:rsid w:val="00D375F8"/>
    <w:rsid w:val="00D3770F"/>
    <w:rsid w:val="00D37878"/>
    <w:rsid w:val="00D378C7"/>
    <w:rsid w:val="00D37C0C"/>
    <w:rsid w:val="00D37C4D"/>
    <w:rsid w:val="00D37C69"/>
    <w:rsid w:val="00D37CF6"/>
    <w:rsid w:val="00D37E3B"/>
    <w:rsid w:val="00D37E66"/>
    <w:rsid w:val="00D37FC5"/>
    <w:rsid w:val="00D4000F"/>
    <w:rsid w:val="00D4004E"/>
    <w:rsid w:val="00D4007D"/>
    <w:rsid w:val="00D40093"/>
    <w:rsid w:val="00D400BB"/>
    <w:rsid w:val="00D40111"/>
    <w:rsid w:val="00D4021D"/>
    <w:rsid w:val="00D40341"/>
    <w:rsid w:val="00D40553"/>
    <w:rsid w:val="00D406AB"/>
    <w:rsid w:val="00D4072B"/>
    <w:rsid w:val="00D409B6"/>
    <w:rsid w:val="00D40B77"/>
    <w:rsid w:val="00D40BBC"/>
    <w:rsid w:val="00D40C78"/>
    <w:rsid w:val="00D40CB4"/>
    <w:rsid w:val="00D40D19"/>
    <w:rsid w:val="00D40DDC"/>
    <w:rsid w:val="00D40E37"/>
    <w:rsid w:val="00D410B3"/>
    <w:rsid w:val="00D410F1"/>
    <w:rsid w:val="00D410F8"/>
    <w:rsid w:val="00D4119C"/>
    <w:rsid w:val="00D41219"/>
    <w:rsid w:val="00D4122B"/>
    <w:rsid w:val="00D4123A"/>
    <w:rsid w:val="00D4138D"/>
    <w:rsid w:val="00D41402"/>
    <w:rsid w:val="00D41559"/>
    <w:rsid w:val="00D417A7"/>
    <w:rsid w:val="00D417EE"/>
    <w:rsid w:val="00D417FC"/>
    <w:rsid w:val="00D41833"/>
    <w:rsid w:val="00D41A1E"/>
    <w:rsid w:val="00D41AA5"/>
    <w:rsid w:val="00D41B7E"/>
    <w:rsid w:val="00D41BF1"/>
    <w:rsid w:val="00D41D03"/>
    <w:rsid w:val="00D41EA2"/>
    <w:rsid w:val="00D41F83"/>
    <w:rsid w:val="00D4224D"/>
    <w:rsid w:val="00D42353"/>
    <w:rsid w:val="00D42377"/>
    <w:rsid w:val="00D423CC"/>
    <w:rsid w:val="00D424D8"/>
    <w:rsid w:val="00D4256B"/>
    <w:rsid w:val="00D42571"/>
    <w:rsid w:val="00D425EB"/>
    <w:rsid w:val="00D42655"/>
    <w:rsid w:val="00D42725"/>
    <w:rsid w:val="00D427FD"/>
    <w:rsid w:val="00D42843"/>
    <w:rsid w:val="00D42857"/>
    <w:rsid w:val="00D42980"/>
    <w:rsid w:val="00D42BE4"/>
    <w:rsid w:val="00D42C9D"/>
    <w:rsid w:val="00D42DA1"/>
    <w:rsid w:val="00D42ECD"/>
    <w:rsid w:val="00D42F1F"/>
    <w:rsid w:val="00D42FC4"/>
    <w:rsid w:val="00D43031"/>
    <w:rsid w:val="00D4305F"/>
    <w:rsid w:val="00D432E7"/>
    <w:rsid w:val="00D43340"/>
    <w:rsid w:val="00D4346C"/>
    <w:rsid w:val="00D434A5"/>
    <w:rsid w:val="00D43524"/>
    <w:rsid w:val="00D43643"/>
    <w:rsid w:val="00D437D3"/>
    <w:rsid w:val="00D43AE8"/>
    <w:rsid w:val="00D43B11"/>
    <w:rsid w:val="00D43BF3"/>
    <w:rsid w:val="00D43E1E"/>
    <w:rsid w:val="00D43F02"/>
    <w:rsid w:val="00D4400B"/>
    <w:rsid w:val="00D4408E"/>
    <w:rsid w:val="00D44184"/>
    <w:rsid w:val="00D443D7"/>
    <w:rsid w:val="00D44403"/>
    <w:rsid w:val="00D44629"/>
    <w:rsid w:val="00D44640"/>
    <w:rsid w:val="00D4469C"/>
    <w:rsid w:val="00D446C4"/>
    <w:rsid w:val="00D446EB"/>
    <w:rsid w:val="00D44A76"/>
    <w:rsid w:val="00D44D41"/>
    <w:rsid w:val="00D44E57"/>
    <w:rsid w:val="00D44FAE"/>
    <w:rsid w:val="00D450A8"/>
    <w:rsid w:val="00D4514D"/>
    <w:rsid w:val="00D451C4"/>
    <w:rsid w:val="00D452F8"/>
    <w:rsid w:val="00D4539C"/>
    <w:rsid w:val="00D4545A"/>
    <w:rsid w:val="00D455AC"/>
    <w:rsid w:val="00D4586E"/>
    <w:rsid w:val="00D45A17"/>
    <w:rsid w:val="00D45AAB"/>
    <w:rsid w:val="00D45AB7"/>
    <w:rsid w:val="00D45C55"/>
    <w:rsid w:val="00D46070"/>
    <w:rsid w:val="00D460A7"/>
    <w:rsid w:val="00D46171"/>
    <w:rsid w:val="00D4626C"/>
    <w:rsid w:val="00D462E3"/>
    <w:rsid w:val="00D462EF"/>
    <w:rsid w:val="00D462FE"/>
    <w:rsid w:val="00D463B6"/>
    <w:rsid w:val="00D4651C"/>
    <w:rsid w:val="00D4663C"/>
    <w:rsid w:val="00D46643"/>
    <w:rsid w:val="00D466DF"/>
    <w:rsid w:val="00D46764"/>
    <w:rsid w:val="00D46889"/>
    <w:rsid w:val="00D46BC2"/>
    <w:rsid w:val="00D46DA2"/>
    <w:rsid w:val="00D46EC3"/>
    <w:rsid w:val="00D47040"/>
    <w:rsid w:val="00D4719B"/>
    <w:rsid w:val="00D4720C"/>
    <w:rsid w:val="00D47251"/>
    <w:rsid w:val="00D47282"/>
    <w:rsid w:val="00D474B1"/>
    <w:rsid w:val="00D47567"/>
    <w:rsid w:val="00D4762D"/>
    <w:rsid w:val="00D476AC"/>
    <w:rsid w:val="00D4778F"/>
    <w:rsid w:val="00D478DB"/>
    <w:rsid w:val="00D479BE"/>
    <w:rsid w:val="00D47A2E"/>
    <w:rsid w:val="00D47B43"/>
    <w:rsid w:val="00D47C1F"/>
    <w:rsid w:val="00D47DA2"/>
    <w:rsid w:val="00D47E3D"/>
    <w:rsid w:val="00D47E71"/>
    <w:rsid w:val="00D47F4F"/>
    <w:rsid w:val="00D47FCF"/>
    <w:rsid w:val="00D50021"/>
    <w:rsid w:val="00D50027"/>
    <w:rsid w:val="00D50055"/>
    <w:rsid w:val="00D50113"/>
    <w:rsid w:val="00D50221"/>
    <w:rsid w:val="00D505A6"/>
    <w:rsid w:val="00D505C4"/>
    <w:rsid w:val="00D50A77"/>
    <w:rsid w:val="00D50A85"/>
    <w:rsid w:val="00D50BFC"/>
    <w:rsid w:val="00D50DDD"/>
    <w:rsid w:val="00D50E4C"/>
    <w:rsid w:val="00D50F26"/>
    <w:rsid w:val="00D51009"/>
    <w:rsid w:val="00D51384"/>
    <w:rsid w:val="00D514C3"/>
    <w:rsid w:val="00D51729"/>
    <w:rsid w:val="00D5177A"/>
    <w:rsid w:val="00D5177F"/>
    <w:rsid w:val="00D51842"/>
    <w:rsid w:val="00D518B4"/>
    <w:rsid w:val="00D51B89"/>
    <w:rsid w:val="00D51C0E"/>
    <w:rsid w:val="00D51CB2"/>
    <w:rsid w:val="00D51CCA"/>
    <w:rsid w:val="00D51E65"/>
    <w:rsid w:val="00D51E67"/>
    <w:rsid w:val="00D520A5"/>
    <w:rsid w:val="00D52527"/>
    <w:rsid w:val="00D52546"/>
    <w:rsid w:val="00D52569"/>
    <w:rsid w:val="00D52736"/>
    <w:rsid w:val="00D528F9"/>
    <w:rsid w:val="00D5299D"/>
    <w:rsid w:val="00D52C2A"/>
    <w:rsid w:val="00D52CA9"/>
    <w:rsid w:val="00D52D67"/>
    <w:rsid w:val="00D52D7A"/>
    <w:rsid w:val="00D52D91"/>
    <w:rsid w:val="00D52DA3"/>
    <w:rsid w:val="00D52E65"/>
    <w:rsid w:val="00D52E82"/>
    <w:rsid w:val="00D52EA7"/>
    <w:rsid w:val="00D52FB1"/>
    <w:rsid w:val="00D53213"/>
    <w:rsid w:val="00D53243"/>
    <w:rsid w:val="00D53260"/>
    <w:rsid w:val="00D5330E"/>
    <w:rsid w:val="00D533C8"/>
    <w:rsid w:val="00D53577"/>
    <w:rsid w:val="00D53590"/>
    <w:rsid w:val="00D5370C"/>
    <w:rsid w:val="00D5395A"/>
    <w:rsid w:val="00D53964"/>
    <w:rsid w:val="00D53A38"/>
    <w:rsid w:val="00D53A55"/>
    <w:rsid w:val="00D53CBD"/>
    <w:rsid w:val="00D53D27"/>
    <w:rsid w:val="00D53DFB"/>
    <w:rsid w:val="00D53F40"/>
    <w:rsid w:val="00D5409E"/>
    <w:rsid w:val="00D540E3"/>
    <w:rsid w:val="00D541D8"/>
    <w:rsid w:val="00D54444"/>
    <w:rsid w:val="00D5453B"/>
    <w:rsid w:val="00D5459D"/>
    <w:rsid w:val="00D549AA"/>
    <w:rsid w:val="00D54BDC"/>
    <w:rsid w:val="00D54C11"/>
    <w:rsid w:val="00D54D82"/>
    <w:rsid w:val="00D54E94"/>
    <w:rsid w:val="00D54F49"/>
    <w:rsid w:val="00D54F64"/>
    <w:rsid w:val="00D54FDD"/>
    <w:rsid w:val="00D55139"/>
    <w:rsid w:val="00D552CB"/>
    <w:rsid w:val="00D55300"/>
    <w:rsid w:val="00D55324"/>
    <w:rsid w:val="00D5545A"/>
    <w:rsid w:val="00D554EB"/>
    <w:rsid w:val="00D5550A"/>
    <w:rsid w:val="00D5553A"/>
    <w:rsid w:val="00D55826"/>
    <w:rsid w:val="00D5583E"/>
    <w:rsid w:val="00D558D5"/>
    <w:rsid w:val="00D55CAE"/>
    <w:rsid w:val="00D55CC7"/>
    <w:rsid w:val="00D55E4C"/>
    <w:rsid w:val="00D55E4E"/>
    <w:rsid w:val="00D56140"/>
    <w:rsid w:val="00D56211"/>
    <w:rsid w:val="00D56221"/>
    <w:rsid w:val="00D562CE"/>
    <w:rsid w:val="00D563B4"/>
    <w:rsid w:val="00D565EA"/>
    <w:rsid w:val="00D566A4"/>
    <w:rsid w:val="00D56910"/>
    <w:rsid w:val="00D56AEC"/>
    <w:rsid w:val="00D56B58"/>
    <w:rsid w:val="00D56B6C"/>
    <w:rsid w:val="00D56C74"/>
    <w:rsid w:val="00D56CBD"/>
    <w:rsid w:val="00D56CDD"/>
    <w:rsid w:val="00D56D35"/>
    <w:rsid w:val="00D56D70"/>
    <w:rsid w:val="00D56E0F"/>
    <w:rsid w:val="00D573AC"/>
    <w:rsid w:val="00D57A1B"/>
    <w:rsid w:val="00D57AE5"/>
    <w:rsid w:val="00D57C1D"/>
    <w:rsid w:val="00D57D83"/>
    <w:rsid w:val="00D57E17"/>
    <w:rsid w:val="00D57F07"/>
    <w:rsid w:val="00D57FED"/>
    <w:rsid w:val="00D6015B"/>
    <w:rsid w:val="00D60200"/>
    <w:rsid w:val="00D60294"/>
    <w:rsid w:val="00D60845"/>
    <w:rsid w:val="00D60959"/>
    <w:rsid w:val="00D609D0"/>
    <w:rsid w:val="00D60ADA"/>
    <w:rsid w:val="00D60E73"/>
    <w:rsid w:val="00D60FC5"/>
    <w:rsid w:val="00D61014"/>
    <w:rsid w:val="00D61198"/>
    <w:rsid w:val="00D61233"/>
    <w:rsid w:val="00D613CD"/>
    <w:rsid w:val="00D6176D"/>
    <w:rsid w:val="00D617E1"/>
    <w:rsid w:val="00D6181F"/>
    <w:rsid w:val="00D618EA"/>
    <w:rsid w:val="00D61A3F"/>
    <w:rsid w:val="00D61B9A"/>
    <w:rsid w:val="00D61D38"/>
    <w:rsid w:val="00D62255"/>
    <w:rsid w:val="00D6232B"/>
    <w:rsid w:val="00D623CD"/>
    <w:rsid w:val="00D624A8"/>
    <w:rsid w:val="00D6255F"/>
    <w:rsid w:val="00D6260F"/>
    <w:rsid w:val="00D626AB"/>
    <w:rsid w:val="00D62797"/>
    <w:rsid w:val="00D629C2"/>
    <w:rsid w:val="00D62C3E"/>
    <w:rsid w:val="00D62C5A"/>
    <w:rsid w:val="00D62C6E"/>
    <w:rsid w:val="00D62C83"/>
    <w:rsid w:val="00D62FE4"/>
    <w:rsid w:val="00D63113"/>
    <w:rsid w:val="00D631DF"/>
    <w:rsid w:val="00D632CB"/>
    <w:rsid w:val="00D634A0"/>
    <w:rsid w:val="00D63652"/>
    <w:rsid w:val="00D63C15"/>
    <w:rsid w:val="00D63C32"/>
    <w:rsid w:val="00D63DAD"/>
    <w:rsid w:val="00D63F4B"/>
    <w:rsid w:val="00D640F8"/>
    <w:rsid w:val="00D64280"/>
    <w:rsid w:val="00D644DF"/>
    <w:rsid w:val="00D64674"/>
    <w:rsid w:val="00D64874"/>
    <w:rsid w:val="00D64895"/>
    <w:rsid w:val="00D6490D"/>
    <w:rsid w:val="00D649C2"/>
    <w:rsid w:val="00D64DE3"/>
    <w:rsid w:val="00D64F51"/>
    <w:rsid w:val="00D65081"/>
    <w:rsid w:val="00D6513B"/>
    <w:rsid w:val="00D659CD"/>
    <w:rsid w:val="00D659E7"/>
    <w:rsid w:val="00D65A65"/>
    <w:rsid w:val="00D65C49"/>
    <w:rsid w:val="00D65C60"/>
    <w:rsid w:val="00D65D3F"/>
    <w:rsid w:val="00D65E3B"/>
    <w:rsid w:val="00D65EDD"/>
    <w:rsid w:val="00D65F11"/>
    <w:rsid w:val="00D65F1A"/>
    <w:rsid w:val="00D65FBF"/>
    <w:rsid w:val="00D66075"/>
    <w:rsid w:val="00D661EA"/>
    <w:rsid w:val="00D6669A"/>
    <w:rsid w:val="00D6670A"/>
    <w:rsid w:val="00D66711"/>
    <w:rsid w:val="00D667E9"/>
    <w:rsid w:val="00D668E7"/>
    <w:rsid w:val="00D6694D"/>
    <w:rsid w:val="00D669CF"/>
    <w:rsid w:val="00D669D4"/>
    <w:rsid w:val="00D66A24"/>
    <w:rsid w:val="00D66A93"/>
    <w:rsid w:val="00D66BF5"/>
    <w:rsid w:val="00D6708C"/>
    <w:rsid w:val="00D671D2"/>
    <w:rsid w:val="00D67319"/>
    <w:rsid w:val="00D6740A"/>
    <w:rsid w:val="00D6743B"/>
    <w:rsid w:val="00D67440"/>
    <w:rsid w:val="00D6777B"/>
    <w:rsid w:val="00D677AB"/>
    <w:rsid w:val="00D67887"/>
    <w:rsid w:val="00D67A29"/>
    <w:rsid w:val="00D67BD1"/>
    <w:rsid w:val="00D67DD5"/>
    <w:rsid w:val="00D67E6D"/>
    <w:rsid w:val="00D7021A"/>
    <w:rsid w:val="00D704A8"/>
    <w:rsid w:val="00D704AD"/>
    <w:rsid w:val="00D7061F"/>
    <w:rsid w:val="00D70708"/>
    <w:rsid w:val="00D7076E"/>
    <w:rsid w:val="00D70792"/>
    <w:rsid w:val="00D70A6C"/>
    <w:rsid w:val="00D70BDC"/>
    <w:rsid w:val="00D70D3B"/>
    <w:rsid w:val="00D70EE7"/>
    <w:rsid w:val="00D712DE"/>
    <w:rsid w:val="00D71364"/>
    <w:rsid w:val="00D71738"/>
    <w:rsid w:val="00D7175A"/>
    <w:rsid w:val="00D7189D"/>
    <w:rsid w:val="00D718EF"/>
    <w:rsid w:val="00D71978"/>
    <w:rsid w:val="00D719A9"/>
    <w:rsid w:val="00D71A73"/>
    <w:rsid w:val="00D71A9A"/>
    <w:rsid w:val="00D71B95"/>
    <w:rsid w:val="00D71C21"/>
    <w:rsid w:val="00D71CA0"/>
    <w:rsid w:val="00D71D2A"/>
    <w:rsid w:val="00D71DEE"/>
    <w:rsid w:val="00D71E1F"/>
    <w:rsid w:val="00D71FEE"/>
    <w:rsid w:val="00D72004"/>
    <w:rsid w:val="00D72209"/>
    <w:rsid w:val="00D72399"/>
    <w:rsid w:val="00D72432"/>
    <w:rsid w:val="00D727AE"/>
    <w:rsid w:val="00D727E6"/>
    <w:rsid w:val="00D72902"/>
    <w:rsid w:val="00D72A33"/>
    <w:rsid w:val="00D72A7A"/>
    <w:rsid w:val="00D72AE8"/>
    <w:rsid w:val="00D72BD0"/>
    <w:rsid w:val="00D72D13"/>
    <w:rsid w:val="00D72D1B"/>
    <w:rsid w:val="00D72D2D"/>
    <w:rsid w:val="00D72D53"/>
    <w:rsid w:val="00D72D5C"/>
    <w:rsid w:val="00D72E96"/>
    <w:rsid w:val="00D72F86"/>
    <w:rsid w:val="00D73029"/>
    <w:rsid w:val="00D73148"/>
    <w:rsid w:val="00D7338E"/>
    <w:rsid w:val="00D733A1"/>
    <w:rsid w:val="00D73434"/>
    <w:rsid w:val="00D73640"/>
    <w:rsid w:val="00D7364C"/>
    <w:rsid w:val="00D7384B"/>
    <w:rsid w:val="00D73AE4"/>
    <w:rsid w:val="00D73B68"/>
    <w:rsid w:val="00D73BA5"/>
    <w:rsid w:val="00D73BEB"/>
    <w:rsid w:val="00D73C79"/>
    <w:rsid w:val="00D73CC4"/>
    <w:rsid w:val="00D73D55"/>
    <w:rsid w:val="00D73D94"/>
    <w:rsid w:val="00D73E30"/>
    <w:rsid w:val="00D73E54"/>
    <w:rsid w:val="00D73F0A"/>
    <w:rsid w:val="00D741F9"/>
    <w:rsid w:val="00D745D9"/>
    <w:rsid w:val="00D74661"/>
    <w:rsid w:val="00D748D9"/>
    <w:rsid w:val="00D74985"/>
    <w:rsid w:val="00D74A7C"/>
    <w:rsid w:val="00D74AA8"/>
    <w:rsid w:val="00D74ABA"/>
    <w:rsid w:val="00D74B26"/>
    <w:rsid w:val="00D74CA4"/>
    <w:rsid w:val="00D74CE0"/>
    <w:rsid w:val="00D74D5D"/>
    <w:rsid w:val="00D74D77"/>
    <w:rsid w:val="00D74E4A"/>
    <w:rsid w:val="00D74FD7"/>
    <w:rsid w:val="00D7522B"/>
    <w:rsid w:val="00D752A7"/>
    <w:rsid w:val="00D752EE"/>
    <w:rsid w:val="00D752F5"/>
    <w:rsid w:val="00D75575"/>
    <w:rsid w:val="00D755B2"/>
    <w:rsid w:val="00D7595F"/>
    <w:rsid w:val="00D75977"/>
    <w:rsid w:val="00D75A2E"/>
    <w:rsid w:val="00D75BF1"/>
    <w:rsid w:val="00D75BFC"/>
    <w:rsid w:val="00D75DE1"/>
    <w:rsid w:val="00D75E6E"/>
    <w:rsid w:val="00D75E9A"/>
    <w:rsid w:val="00D75FC1"/>
    <w:rsid w:val="00D76154"/>
    <w:rsid w:val="00D761D9"/>
    <w:rsid w:val="00D765AA"/>
    <w:rsid w:val="00D7661F"/>
    <w:rsid w:val="00D766E6"/>
    <w:rsid w:val="00D7671F"/>
    <w:rsid w:val="00D767EC"/>
    <w:rsid w:val="00D7683D"/>
    <w:rsid w:val="00D768D6"/>
    <w:rsid w:val="00D76A36"/>
    <w:rsid w:val="00D76C06"/>
    <w:rsid w:val="00D76DC8"/>
    <w:rsid w:val="00D76FE0"/>
    <w:rsid w:val="00D77032"/>
    <w:rsid w:val="00D77085"/>
    <w:rsid w:val="00D7734A"/>
    <w:rsid w:val="00D773D3"/>
    <w:rsid w:val="00D7753D"/>
    <w:rsid w:val="00D77615"/>
    <w:rsid w:val="00D77659"/>
    <w:rsid w:val="00D7769A"/>
    <w:rsid w:val="00D776E8"/>
    <w:rsid w:val="00D77709"/>
    <w:rsid w:val="00D777D8"/>
    <w:rsid w:val="00D778AE"/>
    <w:rsid w:val="00D778BE"/>
    <w:rsid w:val="00D77ACA"/>
    <w:rsid w:val="00D77B9A"/>
    <w:rsid w:val="00D77BE1"/>
    <w:rsid w:val="00D77CE8"/>
    <w:rsid w:val="00D77DA0"/>
    <w:rsid w:val="00D77E1D"/>
    <w:rsid w:val="00D77E8B"/>
    <w:rsid w:val="00D77EF2"/>
    <w:rsid w:val="00D8017B"/>
    <w:rsid w:val="00D801DF"/>
    <w:rsid w:val="00D80231"/>
    <w:rsid w:val="00D80444"/>
    <w:rsid w:val="00D804E4"/>
    <w:rsid w:val="00D805E8"/>
    <w:rsid w:val="00D80802"/>
    <w:rsid w:val="00D80C74"/>
    <w:rsid w:val="00D80CD8"/>
    <w:rsid w:val="00D80EF0"/>
    <w:rsid w:val="00D80F03"/>
    <w:rsid w:val="00D81022"/>
    <w:rsid w:val="00D810DB"/>
    <w:rsid w:val="00D81241"/>
    <w:rsid w:val="00D8161E"/>
    <w:rsid w:val="00D81948"/>
    <w:rsid w:val="00D81969"/>
    <w:rsid w:val="00D81AD7"/>
    <w:rsid w:val="00D81CD1"/>
    <w:rsid w:val="00D81F4A"/>
    <w:rsid w:val="00D82228"/>
    <w:rsid w:val="00D822B8"/>
    <w:rsid w:val="00D822BD"/>
    <w:rsid w:val="00D8230E"/>
    <w:rsid w:val="00D82636"/>
    <w:rsid w:val="00D827D6"/>
    <w:rsid w:val="00D8282E"/>
    <w:rsid w:val="00D828B1"/>
    <w:rsid w:val="00D829FE"/>
    <w:rsid w:val="00D82A9C"/>
    <w:rsid w:val="00D82C01"/>
    <w:rsid w:val="00D82C78"/>
    <w:rsid w:val="00D82D0A"/>
    <w:rsid w:val="00D82E58"/>
    <w:rsid w:val="00D82F3E"/>
    <w:rsid w:val="00D831B4"/>
    <w:rsid w:val="00D83215"/>
    <w:rsid w:val="00D836A9"/>
    <w:rsid w:val="00D83740"/>
    <w:rsid w:val="00D83AB7"/>
    <w:rsid w:val="00D83DDD"/>
    <w:rsid w:val="00D83F97"/>
    <w:rsid w:val="00D840D8"/>
    <w:rsid w:val="00D840F8"/>
    <w:rsid w:val="00D8410C"/>
    <w:rsid w:val="00D842C5"/>
    <w:rsid w:val="00D842E3"/>
    <w:rsid w:val="00D84330"/>
    <w:rsid w:val="00D843B6"/>
    <w:rsid w:val="00D8443F"/>
    <w:rsid w:val="00D845AF"/>
    <w:rsid w:val="00D84683"/>
    <w:rsid w:val="00D84729"/>
    <w:rsid w:val="00D84836"/>
    <w:rsid w:val="00D849D8"/>
    <w:rsid w:val="00D84A60"/>
    <w:rsid w:val="00D84BDA"/>
    <w:rsid w:val="00D84E0C"/>
    <w:rsid w:val="00D84E8E"/>
    <w:rsid w:val="00D84F37"/>
    <w:rsid w:val="00D84F7A"/>
    <w:rsid w:val="00D8516D"/>
    <w:rsid w:val="00D85271"/>
    <w:rsid w:val="00D85370"/>
    <w:rsid w:val="00D8559B"/>
    <w:rsid w:val="00D8560C"/>
    <w:rsid w:val="00D85900"/>
    <w:rsid w:val="00D859C8"/>
    <w:rsid w:val="00D85BA1"/>
    <w:rsid w:val="00D86171"/>
    <w:rsid w:val="00D86189"/>
    <w:rsid w:val="00D8620F"/>
    <w:rsid w:val="00D86254"/>
    <w:rsid w:val="00D86560"/>
    <w:rsid w:val="00D865D9"/>
    <w:rsid w:val="00D8668D"/>
    <w:rsid w:val="00D8679A"/>
    <w:rsid w:val="00D8698E"/>
    <w:rsid w:val="00D86BF9"/>
    <w:rsid w:val="00D86DD6"/>
    <w:rsid w:val="00D86F9D"/>
    <w:rsid w:val="00D8715A"/>
    <w:rsid w:val="00D871B9"/>
    <w:rsid w:val="00D873B8"/>
    <w:rsid w:val="00D873D7"/>
    <w:rsid w:val="00D87523"/>
    <w:rsid w:val="00D875EE"/>
    <w:rsid w:val="00D877AD"/>
    <w:rsid w:val="00D87810"/>
    <w:rsid w:val="00D8787C"/>
    <w:rsid w:val="00D878FC"/>
    <w:rsid w:val="00D87904"/>
    <w:rsid w:val="00D87A1F"/>
    <w:rsid w:val="00D87AC8"/>
    <w:rsid w:val="00D87D7F"/>
    <w:rsid w:val="00D87DDB"/>
    <w:rsid w:val="00D87DF9"/>
    <w:rsid w:val="00D87E53"/>
    <w:rsid w:val="00D87F00"/>
    <w:rsid w:val="00D90025"/>
    <w:rsid w:val="00D90054"/>
    <w:rsid w:val="00D903AB"/>
    <w:rsid w:val="00D90493"/>
    <w:rsid w:val="00D904B3"/>
    <w:rsid w:val="00D90535"/>
    <w:rsid w:val="00D90539"/>
    <w:rsid w:val="00D905DC"/>
    <w:rsid w:val="00D905FB"/>
    <w:rsid w:val="00D906E2"/>
    <w:rsid w:val="00D907C6"/>
    <w:rsid w:val="00D90881"/>
    <w:rsid w:val="00D909F7"/>
    <w:rsid w:val="00D90BE7"/>
    <w:rsid w:val="00D90EB7"/>
    <w:rsid w:val="00D9101C"/>
    <w:rsid w:val="00D916B8"/>
    <w:rsid w:val="00D91782"/>
    <w:rsid w:val="00D9191C"/>
    <w:rsid w:val="00D91BE6"/>
    <w:rsid w:val="00D91C72"/>
    <w:rsid w:val="00D91E22"/>
    <w:rsid w:val="00D91FCD"/>
    <w:rsid w:val="00D92137"/>
    <w:rsid w:val="00D921B5"/>
    <w:rsid w:val="00D921DF"/>
    <w:rsid w:val="00D92765"/>
    <w:rsid w:val="00D92F21"/>
    <w:rsid w:val="00D92F4E"/>
    <w:rsid w:val="00D932DE"/>
    <w:rsid w:val="00D9332D"/>
    <w:rsid w:val="00D93348"/>
    <w:rsid w:val="00D933F6"/>
    <w:rsid w:val="00D93408"/>
    <w:rsid w:val="00D9345C"/>
    <w:rsid w:val="00D93513"/>
    <w:rsid w:val="00D93622"/>
    <w:rsid w:val="00D93861"/>
    <w:rsid w:val="00D93864"/>
    <w:rsid w:val="00D93969"/>
    <w:rsid w:val="00D939BF"/>
    <w:rsid w:val="00D93A11"/>
    <w:rsid w:val="00D93B06"/>
    <w:rsid w:val="00D93B8D"/>
    <w:rsid w:val="00D93D33"/>
    <w:rsid w:val="00D93E13"/>
    <w:rsid w:val="00D93F37"/>
    <w:rsid w:val="00D93F47"/>
    <w:rsid w:val="00D93F59"/>
    <w:rsid w:val="00D94037"/>
    <w:rsid w:val="00D940EF"/>
    <w:rsid w:val="00D94160"/>
    <w:rsid w:val="00D941B1"/>
    <w:rsid w:val="00D94276"/>
    <w:rsid w:val="00D9428A"/>
    <w:rsid w:val="00D94439"/>
    <w:rsid w:val="00D944B1"/>
    <w:rsid w:val="00D94C67"/>
    <w:rsid w:val="00D94DBA"/>
    <w:rsid w:val="00D94E08"/>
    <w:rsid w:val="00D94FC4"/>
    <w:rsid w:val="00D94FFF"/>
    <w:rsid w:val="00D95332"/>
    <w:rsid w:val="00D953EE"/>
    <w:rsid w:val="00D9541C"/>
    <w:rsid w:val="00D954DC"/>
    <w:rsid w:val="00D9559F"/>
    <w:rsid w:val="00D9575B"/>
    <w:rsid w:val="00D957E4"/>
    <w:rsid w:val="00D95843"/>
    <w:rsid w:val="00D958A0"/>
    <w:rsid w:val="00D958BC"/>
    <w:rsid w:val="00D95B69"/>
    <w:rsid w:val="00D95B7C"/>
    <w:rsid w:val="00D95C30"/>
    <w:rsid w:val="00D95C7D"/>
    <w:rsid w:val="00D95CD2"/>
    <w:rsid w:val="00D95EB1"/>
    <w:rsid w:val="00D95F10"/>
    <w:rsid w:val="00D95F39"/>
    <w:rsid w:val="00D96112"/>
    <w:rsid w:val="00D961A6"/>
    <w:rsid w:val="00D96311"/>
    <w:rsid w:val="00D9632E"/>
    <w:rsid w:val="00D96432"/>
    <w:rsid w:val="00D965E0"/>
    <w:rsid w:val="00D965F4"/>
    <w:rsid w:val="00D966D0"/>
    <w:rsid w:val="00D967E1"/>
    <w:rsid w:val="00D96800"/>
    <w:rsid w:val="00D96888"/>
    <w:rsid w:val="00D9695F"/>
    <w:rsid w:val="00D969C8"/>
    <w:rsid w:val="00D96A50"/>
    <w:rsid w:val="00D96A53"/>
    <w:rsid w:val="00D96DF9"/>
    <w:rsid w:val="00D96F7D"/>
    <w:rsid w:val="00D970A5"/>
    <w:rsid w:val="00D970DB"/>
    <w:rsid w:val="00D970F4"/>
    <w:rsid w:val="00D9734C"/>
    <w:rsid w:val="00D97354"/>
    <w:rsid w:val="00D97474"/>
    <w:rsid w:val="00D974E0"/>
    <w:rsid w:val="00D974E8"/>
    <w:rsid w:val="00D97508"/>
    <w:rsid w:val="00D97594"/>
    <w:rsid w:val="00D97626"/>
    <w:rsid w:val="00D97631"/>
    <w:rsid w:val="00D9764A"/>
    <w:rsid w:val="00D9777E"/>
    <w:rsid w:val="00D97857"/>
    <w:rsid w:val="00D97AFC"/>
    <w:rsid w:val="00D97BDD"/>
    <w:rsid w:val="00D97CB1"/>
    <w:rsid w:val="00D97D6E"/>
    <w:rsid w:val="00D97D84"/>
    <w:rsid w:val="00DA004A"/>
    <w:rsid w:val="00DA007B"/>
    <w:rsid w:val="00DA018D"/>
    <w:rsid w:val="00DA04E1"/>
    <w:rsid w:val="00DA055E"/>
    <w:rsid w:val="00DA056C"/>
    <w:rsid w:val="00DA066B"/>
    <w:rsid w:val="00DA0682"/>
    <w:rsid w:val="00DA06EE"/>
    <w:rsid w:val="00DA0720"/>
    <w:rsid w:val="00DA079A"/>
    <w:rsid w:val="00DA095F"/>
    <w:rsid w:val="00DA0A2A"/>
    <w:rsid w:val="00DA0A4F"/>
    <w:rsid w:val="00DA0A67"/>
    <w:rsid w:val="00DA0B38"/>
    <w:rsid w:val="00DA0C88"/>
    <w:rsid w:val="00DA0DA2"/>
    <w:rsid w:val="00DA0E2B"/>
    <w:rsid w:val="00DA0F5B"/>
    <w:rsid w:val="00DA0F65"/>
    <w:rsid w:val="00DA1072"/>
    <w:rsid w:val="00DA110D"/>
    <w:rsid w:val="00DA11C6"/>
    <w:rsid w:val="00DA1241"/>
    <w:rsid w:val="00DA14C1"/>
    <w:rsid w:val="00DA15A7"/>
    <w:rsid w:val="00DA1616"/>
    <w:rsid w:val="00DA1832"/>
    <w:rsid w:val="00DA183E"/>
    <w:rsid w:val="00DA1860"/>
    <w:rsid w:val="00DA1873"/>
    <w:rsid w:val="00DA1876"/>
    <w:rsid w:val="00DA1B0A"/>
    <w:rsid w:val="00DA1B2D"/>
    <w:rsid w:val="00DA1B66"/>
    <w:rsid w:val="00DA1B9E"/>
    <w:rsid w:val="00DA1C8C"/>
    <w:rsid w:val="00DA1CE0"/>
    <w:rsid w:val="00DA1D71"/>
    <w:rsid w:val="00DA1DDA"/>
    <w:rsid w:val="00DA1E00"/>
    <w:rsid w:val="00DA1E25"/>
    <w:rsid w:val="00DA1E42"/>
    <w:rsid w:val="00DA1E82"/>
    <w:rsid w:val="00DA1ECE"/>
    <w:rsid w:val="00DA1FF8"/>
    <w:rsid w:val="00DA214C"/>
    <w:rsid w:val="00DA2162"/>
    <w:rsid w:val="00DA2167"/>
    <w:rsid w:val="00DA22C5"/>
    <w:rsid w:val="00DA23BE"/>
    <w:rsid w:val="00DA24A2"/>
    <w:rsid w:val="00DA24C1"/>
    <w:rsid w:val="00DA24DF"/>
    <w:rsid w:val="00DA24F5"/>
    <w:rsid w:val="00DA25CA"/>
    <w:rsid w:val="00DA27CF"/>
    <w:rsid w:val="00DA287E"/>
    <w:rsid w:val="00DA28E2"/>
    <w:rsid w:val="00DA2A27"/>
    <w:rsid w:val="00DA2C85"/>
    <w:rsid w:val="00DA2C9E"/>
    <w:rsid w:val="00DA2D6A"/>
    <w:rsid w:val="00DA2E2E"/>
    <w:rsid w:val="00DA2EB8"/>
    <w:rsid w:val="00DA2EF6"/>
    <w:rsid w:val="00DA30BB"/>
    <w:rsid w:val="00DA311C"/>
    <w:rsid w:val="00DA3338"/>
    <w:rsid w:val="00DA337C"/>
    <w:rsid w:val="00DA339F"/>
    <w:rsid w:val="00DA3471"/>
    <w:rsid w:val="00DA35CF"/>
    <w:rsid w:val="00DA3628"/>
    <w:rsid w:val="00DA38BC"/>
    <w:rsid w:val="00DA38FC"/>
    <w:rsid w:val="00DA392E"/>
    <w:rsid w:val="00DA3AB5"/>
    <w:rsid w:val="00DA3B7B"/>
    <w:rsid w:val="00DA3C3B"/>
    <w:rsid w:val="00DA3D3E"/>
    <w:rsid w:val="00DA3E5E"/>
    <w:rsid w:val="00DA3EB1"/>
    <w:rsid w:val="00DA3EDA"/>
    <w:rsid w:val="00DA41B0"/>
    <w:rsid w:val="00DA42DF"/>
    <w:rsid w:val="00DA4356"/>
    <w:rsid w:val="00DA43CD"/>
    <w:rsid w:val="00DA4624"/>
    <w:rsid w:val="00DA49D3"/>
    <w:rsid w:val="00DA4A3C"/>
    <w:rsid w:val="00DA4C5B"/>
    <w:rsid w:val="00DA4DB3"/>
    <w:rsid w:val="00DA4F1A"/>
    <w:rsid w:val="00DA5028"/>
    <w:rsid w:val="00DA50BF"/>
    <w:rsid w:val="00DA50FB"/>
    <w:rsid w:val="00DA5285"/>
    <w:rsid w:val="00DA52F2"/>
    <w:rsid w:val="00DA534F"/>
    <w:rsid w:val="00DA539A"/>
    <w:rsid w:val="00DA53F8"/>
    <w:rsid w:val="00DA546F"/>
    <w:rsid w:val="00DA5536"/>
    <w:rsid w:val="00DA5638"/>
    <w:rsid w:val="00DA5739"/>
    <w:rsid w:val="00DA5801"/>
    <w:rsid w:val="00DA5834"/>
    <w:rsid w:val="00DA5940"/>
    <w:rsid w:val="00DA5E78"/>
    <w:rsid w:val="00DA5EEB"/>
    <w:rsid w:val="00DA5EF9"/>
    <w:rsid w:val="00DA5FB9"/>
    <w:rsid w:val="00DA5FF4"/>
    <w:rsid w:val="00DA6084"/>
    <w:rsid w:val="00DA6110"/>
    <w:rsid w:val="00DA625E"/>
    <w:rsid w:val="00DA63E6"/>
    <w:rsid w:val="00DA6669"/>
    <w:rsid w:val="00DA6692"/>
    <w:rsid w:val="00DA6721"/>
    <w:rsid w:val="00DA67DB"/>
    <w:rsid w:val="00DA6909"/>
    <w:rsid w:val="00DA6D4C"/>
    <w:rsid w:val="00DA6EE9"/>
    <w:rsid w:val="00DA6F59"/>
    <w:rsid w:val="00DA6FC1"/>
    <w:rsid w:val="00DA7096"/>
    <w:rsid w:val="00DA718F"/>
    <w:rsid w:val="00DA7242"/>
    <w:rsid w:val="00DA7289"/>
    <w:rsid w:val="00DA73EA"/>
    <w:rsid w:val="00DA74DA"/>
    <w:rsid w:val="00DA74F5"/>
    <w:rsid w:val="00DA7649"/>
    <w:rsid w:val="00DA76FD"/>
    <w:rsid w:val="00DA7753"/>
    <w:rsid w:val="00DA7797"/>
    <w:rsid w:val="00DA79B7"/>
    <w:rsid w:val="00DA79D1"/>
    <w:rsid w:val="00DA79D5"/>
    <w:rsid w:val="00DA7CB7"/>
    <w:rsid w:val="00DA7D57"/>
    <w:rsid w:val="00DB002D"/>
    <w:rsid w:val="00DB0042"/>
    <w:rsid w:val="00DB005C"/>
    <w:rsid w:val="00DB008A"/>
    <w:rsid w:val="00DB0138"/>
    <w:rsid w:val="00DB02C4"/>
    <w:rsid w:val="00DB040C"/>
    <w:rsid w:val="00DB04B3"/>
    <w:rsid w:val="00DB05CB"/>
    <w:rsid w:val="00DB05CE"/>
    <w:rsid w:val="00DB063F"/>
    <w:rsid w:val="00DB06EE"/>
    <w:rsid w:val="00DB084E"/>
    <w:rsid w:val="00DB09FE"/>
    <w:rsid w:val="00DB0C33"/>
    <w:rsid w:val="00DB0EA8"/>
    <w:rsid w:val="00DB0ED3"/>
    <w:rsid w:val="00DB10D5"/>
    <w:rsid w:val="00DB132D"/>
    <w:rsid w:val="00DB1513"/>
    <w:rsid w:val="00DB15DD"/>
    <w:rsid w:val="00DB165A"/>
    <w:rsid w:val="00DB1664"/>
    <w:rsid w:val="00DB1679"/>
    <w:rsid w:val="00DB1715"/>
    <w:rsid w:val="00DB184E"/>
    <w:rsid w:val="00DB1984"/>
    <w:rsid w:val="00DB1B2F"/>
    <w:rsid w:val="00DB1B65"/>
    <w:rsid w:val="00DB1C0D"/>
    <w:rsid w:val="00DB1DED"/>
    <w:rsid w:val="00DB1EA1"/>
    <w:rsid w:val="00DB211A"/>
    <w:rsid w:val="00DB2224"/>
    <w:rsid w:val="00DB2284"/>
    <w:rsid w:val="00DB2298"/>
    <w:rsid w:val="00DB2329"/>
    <w:rsid w:val="00DB233A"/>
    <w:rsid w:val="00DB2557"/>
    <w:rsid w:val="00DB276E"/>
    <w:rsid w:val="00DB27E1"/>
    <w:rsid w:val="00DB281D"/>
    <w:rsid w:val="00DB28B2"/>
    <w:rsid w:val="00DB28D7"/>
    <w:rsid w:val="00DB2A72"/>
    <w:rsid w:val="00DB2B09"/>
    <w:rsid w:val="00DB2B4A"/>
    <w:rsid w:val="00DB2BEB"/>
    <w:rsid w:val="00DB2E24"/>
    <w:rsid w:val="00DB2E64"/>
    <w:rsid w:val="00DB2E76"/>
    <w:rsid w:val="00DB30FB"/>
    <w:rsid w:val="00DB329C"/>
    <w:rsid w:val="00DB353E"/>
    <w:rsid w:val="00DB378D"/>
    <w:rsid w:val="00DB39D1"/>
    <w:rsid w:val="00DB3AA7"/>
    <w:rsid w:val="00DB3F19"/>
    <w:rsid w:val="00DB41E2"/>
    <w:rsid w:val="00DB4314"/>
    <w:rsid w:val="00DB4341"/>
    <w:rsid w:val="00DB4353"/>
    <w:rsid w:val="00DB43A8"/>
    <w:rsid w:val="00DB44A4"/>
    <w:rsid w:val="00DB45E3"/>
    <w:rsid w:val="00DB4649"/>
    <w:rsid w:val="00DB474B"/>
    <w:rsid w:val="00DB47F5"/>
    <w:rsid w:val="00DB4DE0"/>
    <w:rsid w:val="00DB4DF5"/>
    <w:rsid w:val="00DB4F0C"/>
    <w:rsid w:val="00DB5081"/>
    <w:rsid w:val="00DB511F"/>
    <w:rsid w:val="00DB518B"/>
    <w:rsid w:val="00DB51F7"/>
    <w:rsid w:val="00DB53B7"/>
    <w:rsid w:val="00DB5400"/>
    <w:rsid w:val="00DB557C"/>
    <w:rsid w:val="00DB55AA"/>
    <w:rsid w:val="00DB56B6"/>
    <w:rsid w:val="00DB56CB"/>
    <w:rsid w:val="00DB5A42"/>
    <w:rsid w:val="00DB5BFE"/>
    <w:rsid w:val="00DB5CC8"/>
    <w:rsid w:val="00DB5CD9"/>
    <w:rsid w:val="00DB5D15"/>
    <w:rsid w:val="00DB5F2B"/>
    <w:rsid w:val="00DB6092"/>
    <w:rsid w:val="00DB6116"/>
    <w:rsid w:val="00DB612B"/>
    <w:rsid w:val="00DB621A"/>
    <w:rsid w:val="00DB6475"/>
    <w:rsid w:val="00DB6499"/>
    <w:rsid w:val="00DB6555"/>
    <w:rsid w:val="00DB65BE"/>
    <w:rsid w:val="00DB662B"/>
    <w:rsid w:val="00DB6718"/>
    <w:rsid w:val="00DB6744"/>
    <w:rsid w:val="00DB6A80"/>
    <w:rsid w:val="00DB6AF0"/>
    <w:rsid w:val="00DB6B9B"/>
    <w:rsid w:val="00DB6C88"/>
    <w:rsid w:val="00DB6CEF"/>
    <w:rsid w:val="00DB6DEB"/>
    <w:rsid w:val="00DB6E26"/>
    <w:rsid w:val="00DB6F5B"/>
    <w:rsid w:val="00DB703D"/>
    <w:rsid w:val="00DB70AB"/>
    <w:rsid w:val="00DB7261"/>
    <w:rsid w:val="00DB72FF"/>
    <w:rsid w:val="00DB743C"/>
    <w:rsid w:val="00DB74E8"/>
    <w:rsid w:val="00DB7566"/>
    <w:rsid w:val="00DB7819"/>
    <w:rsid w:val="00DB7A34"/>
    <w:rsid w:val="00DB7A93"/>
    <w:rsid w:val="00DB7AEC"/>
    <w:rsid w:val="00DB7CD9"/>
    <w:rsid w:val="00DB7DC6"/>
    <w:rsid w:val="00DB7EB8"/>
    <w:rsid w:val="00DC030F"/>
    <w:rsid w:val="00DC0378"/>
    <w:rsid w:val="00DC04FB"/>
    <w:rsid w:val="00DC0694"/>
    <w:rsid w:val="00DC0772"/>
    <w:rsid w:val="00DC07FE"/>
    <w:rsid w:val="00DC08BB"/>
    <w:rsid w:val="00DC0908"/>
    <w:rsid w:val="00DC0B3F"/>
    <w:rsid w:val="00DC0ED9"/>
    <w:rsid w:val="00DC0EE6"/>
    <w:rsid w:val="00DC122A"/>
    <w:rsid w:val="00DC15A9"/>
    <w:rsid w:val="00DC162E"/>
    <w:rsid w:val="00DC1703"/>
    <w:rsid w:val="00DC1978"/>
    <w:rsid w:val="00DC1A9D"/>
    <w:rsid w:val="00DC1B05"/>
    <w:rsid w:val="00DC1D96"/>
    <w:rsid w:val="00DC1ED9"/>
    <w:rsid w:val="00DC1F26"/>
    <w:rsid w:val="00DC2038"/>
    <w:rsid w:val="00DC2415"/>
    <w:rsid w:val="00DC244E"/>
    <w:rsid w:val="00DC24C7"/>
    <w:rsid w:val="00DC24DF"/>
    <w:rsid w:val="00DC2526"/>
    <w:rsid w:val="00DC2546"/>
    <w:rsid w:val="00DC2626"/>
    <w:rsid w:val="00DC282B"/>
    <w:rsid w:val="00DC28D6"/>
    <w:rsid w:val="00DC298A"/>
    <w:rsid w:val="00DC2AB3"/>
    <w:rsid w:val="00DC2AE4"/>
    <w:rsid w:val="00DC2D02"/>
    <w:rsid w:val="00DC2E33"/>
    <w:rsid w:val="00DC2E8C"/>
    <w:rsid w:val="00DC2FE1"/>
    <w:rsid w:val="00DC3018"/>
    <w:rsid w:val="00DC3140"/>
    <w:rsid w:val="00DC3174"/>
    <w:rsid w:val="00DC32CD"/>
    <w:rsid w:val="00DC3386"/>
    <w:rsid w:val="00DC33EB"/>
    <w:rsid w:val="00DC35B8"/>
    <w:rsid w:val="00DC3668"/>
    <w:rsid w:val="00DC38E7"/>
    <w:rsid w:val="00DC391B"/>
    <w:rsid w:val="00DC39ED"/>
    <w:rsid w:val="00DC3A95"/>
    <w:rsid w:val="00DC3BE2"/>
    <w:rsid w:val="00DC40FF"/>
    <w:rsid w:val="00DC41B0"/>
    <w:rsid w:val="00DC42DD"/>
    <w:rsid w:val="00DC43C6"/>
    <w:rsid w:val="00DC44F6"/>
    <w:rsid w:val="00DC4632"/>
    <w:rsid w:val="00DC46DE"/>
    <w:rsid w:val="00DC4817"/>
    <w:rsid w:val="00DC4835"/>
    <w:rsid w:val="00DC483F"/>
    <w:rsid w:val="00DC496A"/>
    <w:rsid w:val="00DC4AB5"/>
    <w:rsid w:val="00DC4BC7"/>
    <w:rsid w:val="00DC4C25"/>
    <w:rsid w:val="00DC4CC5"/>
    <w:rsid w:val="00DC4ECE"/>
    <w:rsid w:val="00DC4FC0"/>
    <w:rsid w:val="00DC4FEB"/>
    <w:rsid w:val="00DC5202"/>
    <w:rsid w:val="00DC5386"/>
    <w:rsid w:val="00DC539D"/>
    <w:rsid w:val="00DC564E"/>
    <w:rsid w:val="00DC58E5"/>
    <w:rsid w:val="00DC5C55"/>
    <w:rsid w:val="00DC5CE4"/>
    <w:rsid w:val="00DC5F65"/>
    <w:rsid w:val="00DC603C"/>
    <w:rsid w:val="00DC6341"/>
    <w:rsid w:val="00DC6343"/>
    <w:rsid w:val="00DC634A"/>
    <w:rsid w:val="00DC65D1"/>
    <w:rsid w:val="00DC66CE"/>
    <w:rsid w:val="00DC684F"/>
    <w:rsid w:val="00DC687C"/>
    <w:rsid w:val="00DC6ACF"/>
    <w:rsid w:val="00DC6B49"/>
    <w:rsid w:val="00DC6C82"/>
    <w:rsid w:val="00DC724A"/>
    <w:rsid w:val="00DC733B"/>
    <w:rsid w:val="00DC7613"/>
    <w:rsid w:val="00DC76B2"/>
    <w:rsid w:val="00DC7704"/>
    <w:rsid w:val="00DC785C"/>
    <w:rsid w:val="00DC7998"/>
    <w:rsid w:val="00DC79B3"/>
    <w:rsid w:val="00DC7C4F"/>
    <w:rsid w:val="00DC7C8A"/>
    <w:rsid w:val="00DC7E54"/>
    <w:rsid w:val="00DD010E"/>
    <w:rsid w:val="00DD0337"/>
    <w:rsid w:val="00DD052C"/>
    <w:rsid w:val="00DD05B3"/>
    <w:rsid w:val="00DD08A9"/>
    <w:rsid w:val="00DD09D4"/>
    <w:rsid w:val="00DD0A99"/>
    <w:rsid w:val="00DD1079"/>
    <w:rsid w:val="00DD11F6"/>
    <w:rsid w:val="00DD137E"/>
    <w:rsid w:val="00DD1458"/>
    <w:rsid w:val="00DD153A"/>
    <w:rsid w:val="00DD16C5"/>
    <w:rsid w:val="00DD1AC3"/>
    <w:rsid w:val="00DD1B9C"/>
    <w:rsid w:val="00DD1C71"/>
    <w:rsid w:val="00DD1DDF"/>
    <w:rsid w:val="00DD1FB1"/>
    <w:rsid w:val="00DD202B"/>
    <w:rsid w:val="00DD2094"/>
    <w:rsid w:val="00DD20DC"/>
    <w:rsid w:val="00DD2394"/>
    <w:rsid w:val="00DD23AE"/>
    <w:rsid w:val="00DD25A9"/>
    <w:rsid w:val="00DD2612"/>
    <w:rsid w:val="00DD2708"/>
    <w:rsid w:val="00DD2763"/>
    <w:rsid w:val="00DD2AA7"/>
    <w:rsid w:val="00DD2B49"/>
    <w:rsid w:val="00DD2B8A"/>
    <w:rsid w:val="00DD2E6D"/>
    <w:rsid w:val="00DD332A"/>
    <w:rsid w:val="00DD3378"/>
    <w:rsid w:val="00DD346B"/>
    <w:rsid w:val="00DD34B2"/>
    <w:rsid w:val="00DD34BC"/>
    <w:rsid w:val="00DD34F2"/>
    <w:rsid w:val="00DD3687"/>
    <w:rsid w:val="00DD36CC"/>
    <w:rsid w:val="00DD3BAA"/>
    <w:rsid w:val="00DD3E7D"/>
    <w:rsid w:val="00DD3E8F"/>
    <w:rsid w:val="00DD3EAA"/>
    <w:rsid w:val="00DD419B"/>
    <w:rsid w:val="00DD4243"/>
    <w:rsid w:val="00DD4247"/>
    <w:rsid w:val="00DD4375"/>
    <w:rsid w:val="00DD4708"/>
    <w:rsid w:val="00DD48BA"/>
    <w:rsid w:val="00DD491F"/>
    <w:rsid w:val="00DD4A48"/>
    <w:rsid w:val="00DD4AA6"/>
    <w:rsid w:val="00DD4B94"/>
    <w:rsid w:val="00DD4C34"/>
    <w:rsid w:val="00DD4C6F"/>
    <w:rsid w:val="00DD4C7A"/>
    <w:rsid w:val="00DD4C8F"/>
    <w:rsid w:val="00DD4CE0"/>
    <w:rsid w:val="00DD4D3A"/>
    <w:rsid w:val="00DD4E57"/>
    <w:rsid w:val="00DD4F58"/>
    <w:rsid w:val="00DD4FB6"/>
    <w:rsid w:val="00DD4FDA"/>
    <w:rsid w:val="00DD5003"/>
    <w:rsid w:val="00DD5048"/>
    <w:rsid w:val="00DD5063"/>
    <w:rsid w:val="00DD529B"/>
    <w:rsid w:val="00DD52E7"/>
    <w:rsid w:val="00DD538A"/>
    <w:rsid w:val="00DD5632"/>
    <w:rsid w:val="00DD5A88"/>
    <w:rsid w:val="00DD5B7B"/>
    <w:rsid w:val="00DD5B8B"/>
    <w:rsid w:val="00DD5C43"/>
    <w:rsid w:val="00DD5CDE"/>
    <w:rsid w:val="00DD5DF5"/>
    <w:rsid w:val="00DD63F1"/>
    <w:rsid w:val="00DD65E2"/>
    <w:rsid w:val="00DD6633"/>
    <w:rsid w:val="00DD6795"/>
    <w:rsid w:val="00DD69BF"/>
    <w:rsid w:val="00DD6B2D"/>
    <w:rsid w:val="00DD6C16"/>
    <w:rsid w:val="00DD6D9D"/>
    <w:rsid w:val="00DD6E27"/>
    <w:rsid w:val="00DD6F38"/>
    <w:rsid w:val="00DD6FC2"/>
    <w:rsid w:val="00DD70AB"/>
    <w:rsid w:val="00DD70EF"/>
    <w:rsid w:val="00DD7158"/>
    <w:rsid w:val="00DD7206"/>
    <w:rsid w:val="00DD72C3"/>
    <w:rsid w:val="00DD7606"/>
    <w:rsid w:val="00DD76B3"/>
    <w:rsid w:val="00DD7946"/>
    <w:rsid w:val="00DD7A09"/>
    <w:rsid w:val="00DD7AB2"/>
    <w:rsid w:val="00DD7BD2"/>
    <w:rsid w:val="00DD7F22"/>
    <w:rsid w:val="00DE0304"/>
    <w:rsid w:val="00DE0370"/>
    <w:rsid w:val="00DE0567"/>
    <w:rsid w:val="00DE065F"/>
    <w:rsid w:val="00DE069B"/>
    <w:rsid w:val="00DE0935"/>
    <w:rsid w:val="00DE09AD"/>
    <w:rsid w:val="00DE09B1"/>
    <w:rsid w:val="00DE09EA"/>
    <w:rsid w:val="00DE0D9A"/>
    <w:rsid w:val="00DE0DFE"/>
    <w:rsid w:val="00DE0E1B"/>
    <w:rsid w:val="00DE0E57"/>
    <w:rsid w:val="00DE0E7B"/>
    <w:rsid w:val="00DE108E"/>
    <w:rsid w:val="00DE108F"/>
    <w:rsid w:val="00DE1244"/>
    <w:rsid w:val="00DE16FA"/>
    <w:rsid w:val="00DE17F2"/>
    <w:rsid w:val="00DE1879"/>
    <w:rsid w:val="00DE18A7"/>
    <w:rsid w:val="00DE1CBA"/>
    <w:rsid w:val="00DE1CC1"/>
    <w:rsid w:val="00DE1E21"/>
    <w:rsid w:val="00DE1F31"/>
    <w:rsid w:val="00DE216C"/>
    <w:rsid w:val="00DE23FF"/>
    <w:rsid w:val="00DE2600"/>
    <w:rsid w:val="00DE2697"/>
    <w:rsid w:val="00DE279A"/>
    <w:rsid w:val="00DE2921"/>
    <w:rsid w:val="00DE3026"/>
    <w:rsid w:val="00DE3382"/>
    <w:rsid w:val="00DE33C1"/>
    <w:rsid w:val="00DE3421"/>
    <w:rsid w:val="00DE3498"/>
    <w:rsid w:val="00DE3787"/>
    <w:rsid w:val="00DE37FB"/>
    <w:rsid w:val="00DE3824"/>
    <w:rsid w:val="00DE38FF"/>
    <w:rsid w:val="00DE3938"/>
    <w:rsid w:val="00DE398A"/>
    <w:rsid w:val="00DE39A0"/>
    <w:rsid w:val="00DE39A8"/>
    <w:rsid w:val="00DE3BCB"/>
    <w:rsid w:val="00DE3C46"/>
    <w:rsid w:val="00DE3D08"/>
    <w:rsid w:val="00DE3D24"/>
    <w:rsid w:val="00DE3D7C"/>
    <w:rsid w:val="00DE3DB0"/>
    <w:rsid w:val="00DE3DDB"/>
    <w:rsid w:val="00DE3FC7"/>
    <w:rsid w:val="00DE4135"/>
    <w:rsid w:val="00DE43DC"/>
    <w:rsid w:val="00DE456B"/>
    <w:rsid w:val="00DE472D"/>
    <w:rsid w:val="00DE4780"/>
    <w:rsid w:val="00DE4923"/>
    <w:rsid w:val="00DE4B5A"/>
    <w:rsid w:val="00DE4BB5"/>
    <w:rsid w:val="00DE4E15"/>
    <w:rsid w:val="00DE4FCB"/>
    <w:rsid w:val="00DE51ED"/>
    <w:rsid w:val="00DE5508"/>
    <w:rsid w:val="00DE55F1"/>
    <w:rsid w:val="00DE586B"/>
    <w:rsid w:val="00DE5871"/>
    <w:rsid w:val="00DE5897"/>
    <w:rsid w:val="00DE5915"/>
    <w:rsid w:val="00DE5940"/>
    <w:rsid w:val="00DE59C9"/>
    <w:rsid w:val="00DE5A34"/>
    <w:rsid w:val="00DE5A99"/>
    <w:rsid w:val="00DE5BB7"/>
    <w:rsid w:val="00DE5CF0"/>
    <w:rsid w:val="00DE5D72"/>
    <w:rsid w:val="00DE5D97"/>
    <w:rsid w:val="00DE5ED4"/>
    <w:rsid w:val="00DE607B"/>
    <w:rsid w:val="00DE612A"/>
    <w:rsid w:val="00DE6282"/>
    <w:rsid w:val="00DE62C6"/>
    <w:rsid w:val="00DE638D"/>
    <w:rsid w:val="00DE6625"/>
    <w:rsid w:val="00DE665A"/>
    <w:rsid w:val="00DE66BB"/>
    <w:rsid w:val="00DE6756"/>
    <w:rsid w:val="00DE67A2"/>
    <w:rsid w:val="00DE69CC"/>
    <w:rsid w:val="00DE6A94"/>
    <w:rsid w:val="00DE6ABD"/>
    <w:rsid w:val="00DE6C44"/>
    <w:rsid w:val="00DE6CEB"/>
    <w:rsid w:val="00DE6D8A"/>
    <w:rsid w:val="00DE6EFD"/>
    <w:rsid w:val="00DE6F13"/>
    <w:rsid w:val="00DE7177"/>
    <w:rsid w:val="00DE7220"/>
    <w:rsid w:val="00DE74BF"/>
    <w:rsid w:val="00DE7502"/>
    <w:rsid w:val="00DE763B"/>
    <w:rsid w:val="00DE77AF"/>
    <w:rsid w:val="00DE77D9"/>
    <w:rsid w:val="00DE7A8F"/>
    <w:rsid w:val="00DE7AF4"/>
    <w:rsid w:val="00DE7AFD"/>
    <w:rsid w:val="00DE7BA1"/>
    <w:rsid w:val="00DE7E27"/>
    <w:rsid w:val="00DE7F0B"/>
    <w:rsid w:val="00DF00D5"/>
    <w:rsid w:val="00DF0214"/>
    <w:rsid w:val="00DF038D"/>
    <w:rsid w:val="00DF03E8"/>
    <w:rsid w:val="00DF0419"/>
    <w:rsid w:val="00DF048A"/>
    <w:rsid w:val="00DF04C1"/>
    <w:rsid w:val="00DF04E5"/>
    <w:rsid w:val="00DF05E4"/>
    <w:rsid w:val="00DF074C"/>
    <w:rsid w:val="00DF08AD"/>
    <w:rsid w:val="00DF0936"/>
    <w:rsid w:val="00DF0A93"/>
    <w:rsid w:val="00DF0B58"/>
    <w:rsid w:val="00DF0BEC"/>
    <w:rsid w:val="00DF0C0F"/>
    <w:rsid w:val="00DF0CDE"/>
    <w:rsid w:val="00DF0EE6"/>
    <w:rsid w:val="00DF0F5D"/>
    <w:rsid w:val="00DF109B"/>
    <w:rsid w:val="00DF10B8"/>
    <w:rsid w:val="00DF11E6"/>
    <w:rsid w:val="00DF144C"/>
    <w:rsid w:val="00DF15C1"/>
    <w:rsid w:val="00DF15E8"/>
    <w:rsid w:val="00DF171C"/>
    <w:rsid w:val="00DF1890"/>
    <w:rsid w:val="00DF192D"/>
    <w:rsid w:val="00DF1932"/>
    <w:rsid w:val="00DF19B7"/>
    <w:rsid w:val="00DF1E5A"/>
    <w:rsid w:val="00DF1F48"/>
    <w:rsid w:val="00DF1F90"/>
    <w:rsid w:val="00DF2299"/>
    <w:rsid w:val="00DF22E0"/>
    <w:rsid w:val="00DF2342"/>
    <w:rsid w:val="00DF23C7"/>
    <w:rsid w:val="00DF24EF"/>
    <w:rsid w:val="00DF252D"/>
    <w:rsid w:val="00DF257F"/>
    <w:rsid w:val="00DF25A3"/>
    <w:rsid w:val="00DF2659"/>
    <w:rsid w:val="00DF276A"/>
    <w:rsid w:val="00DF279D"/>
    <w:rsid w:val="00DF29F0"/>
    <w:rsid w:val="00DF2A9F"/>
    <w:rsid w:val="00DF2CD3"/>
    <w:rsid w:val="00DF2ECE"/>
    <w:rsid w:val="00DF2F70"/>
    <w:rsid w:val="00DF2FF7"/>
    <w:rsid w:val="00DF305A"/>
    <w:rsid w:val="00DF3278"/>
    <w:rsid w:val="00DF3403"/>
    <w:rsid w:val="00DF36DF"/>
    <w:rsid w:val="00DF38BB"/>
    <w:rsid w:val="00DF3B63"/>
    <w:rsid w:val="00DF3D28"/>
    <w:rsid w:val="00DF3F97"/>
    <w:rsid w:val="00DF3FB8"/>
    <w:rsid w:val="00DF406B"/>
    <w:rsid w:val="00DF4322"/>
    <w:rsid w:val="00DF4323"/>
    <w:rsid w:val="00DF449F"/>
    <w:rsid w:val="00DF4573"/>
    <w:rsid w:val="00DF458F"/>
    <w:rsid w:val="00DF45E8"/>
    <w:rsid w:val="00DF460A"/>
    <w:rsid w:val="00DF4613"/>
    <w:rsid w:val="00DF4806"/>
    <w:rsid w:val="00DF48BD"/>
    <w:rsid w:val="00DF4915"/>
    <w:rsid w:val="00DF498D"/>
    <w:rsid w:val="00DF4AB6"/>
    <w:rsid w:val="00DF4BB9"/>
    <w:rsid w:val="00DF4BD4"/>
    <w:rsid w:val="00DF4C8D"/>
    <w:rsid w:val="00DF4CB8"/>
    <w:rsid w:val="00DF4CF2"/>
    <w:rsid w:val="00DF4CF4"/>
    <w:rsid w:val="00DF4EA8"/>
    <w:rsid w:val="00DF4EB8"/>
    <w:rsid w:val="00DF5124"/>
    <w:rsid w:val="00DF51CE"/>
    <w:rsid w:val="00DF5264"/>
    <w:rsid w:val="00DF5382"/>
    <w:rsid w:val="00DF53C4"/>
    <w:rsid w:val="00DF5573"/>
    <w:rsid w:val="00DF56A5"/>
    <w:rsid w:val="00DF56F0"/>
    <w:rsid w:val="00DF5740"/>
    <w:rsid w:val="00DF58CB"/>
    <w:rsid w:val="00DF58F2"/>
    <w:rsid w:val="00DF5A8E"/>
    <w:rsid w:val="00DF5B7E"/>
    <w:rsid w:val="00DF5B9E"/>
    <w:rsid w:val="00DF5FF3"/>
    <w:rsid w:val="00DF61EE"/>
    <w:rsid w:val="00DF61F9"/>
    <w:rsid w:val="00DF6288"/>
    <w:rsid w:val="00DF642C"/>
    <w:rsid w:val="00DF6460"/>
    <w:rsid w:val="00DF6473"/>
    <w:rsid w:val="00DF65E7"/>
    <w:rsid w:val="00DF6791"/>
    <w:rsid w:val="00DF6A5D"/>
    <w:rsid w:val="00DF6A6B"/>
    <w:rsid w:val="00DF6B42"/>
    <w:rsid w:val="00DF6B61"/>
    <w:rsid w:val="00DF6E6D"/>
    <w:rsid w:val="00DF6EA7"/>
    <w:rsid w:val="00DF6F8B"/>
    <w:rsid w:val="00DF73DD"/>
    <w:rsid w:val="00DF7515"/>
    <w:rsid w:val="00DF79B7"/>
    <w:rsid w:val="00DF7ACB"/>
    <w:rsid w:val="00DF7AE4"/>
    <w:rsid w:val="00DF7BB3"/>
    <w:rsid w:val="00DF7E91"/>
    <w:rsid w:val="00DF7F10"/>
    <w:rsid w:val="00DF7F95"/>
    <w:rsid w:val="00DF7FB1"/>
    <w:rsid w:val="00E000A0"/>
    <w:rsid w:val="00E002F3"/>
    <w:rsid w:val="00E0057D"/>
    <w:rsid w:val="00E006B5"/>
    <w:rsid w:val="00E00752"/>
    <w:rsid w:val="00E0086B"/>
    <w:rsid w:val="00E008A5"/>
    <w:rsid w:val="00E0095D"/>
    <w:rsid w:val="00E00A14"/>
    <w:rsid w:val="00E00D8C"/>
    <w:rsid w:val="00E00E5B"/>
    <w:rsid w:val="00E00FA1"/>
    <w:rsid w:val="00E01108"/>
    <w:rsid w:val="00E01132"/>
    <w:rsid w:val="00E011A3"/>
    <w:rsid w:val="00E011FE"/>
    <w:rsid w:val="00E0125D"/>
    <w:rsid w:val="00E01261"/>
    <w:rsid w:val="00E0126C"/>
    <w:rsid w:val="00E01317"/>
    <w:rsid w:val="00E01330"/>
    <w:rsid w:val="00E013C3"/>
    <w:rsid w:val="00E015C3"/>
    <w:rsid w:val="00E0167D"/>
    <w:rsid w:val="00E01880"/>
    <w:rsid w:val="00E0188E"/>
    <w:rsid w:val="00E019F7"/>
    <w:rsid w:val="00E01BD3"/>
    <w:rsid w:val="00E01DD0"/>
    <w:rsid w:val="00E01DE0"/>
    <w:rsid w:val="00E01F8E"/>
    <w:rsid w:val="00E0204A"/>
    <w:rsid w:val="00E02200"/>
    <w:rsid w:val="00E02300"/>
    <w:rsid w:val="00E02361"/>
    <w:rsid w:val="00E02562"/>
    <w:rsid w:val="00E02574"/>
    <w:rsid w:val="00E0258B"/>
    <w:rsid w:val="00E027B5"/>
    <w:rsid w:val="00E0281C"/>
    <w:rsid w:val="00E028A5"/>
    <w:rsid w:val="00E029DB"/>
    <w:rsid w:val="00E02B1A"/>
    <w:rsid w:val="00E02E99"/>
    <w:rsid w:val="00E0321E"/>
    <w:rsid w:val="00E03330"/>
    <w:rsid w:val="00E033C6"/>
    <w:rsid w:val="00E033E6"/>
    <w:rsid w:val="00E034A0"/>
    <w:rsid w:val="00E03693"/>
    <w:rsid w:val="00E0376C"/>
    <w:rsid w:val="00E0377D"/>
    <w:rsid w:val="00E0378B"/>
    <w:rsid w:val="00E03828"/>
    <w:rsid w:val="00E038A3"/>
    <w:rsid w:val="00E0390C"/>
    <w:rsid w:val="00E03997"/>
    <w:rsid w:val="00E039BA"/>
    <w:rsid w:val="00E03D2C"/>
    <w:rsid w:val="00E03E0D"/>
    <w:rsid w:val="00E03EEE"/>
    <w:rsid w:val="00E0405A"/>
    <w:rsid w:val="00E041AB"/>
    <w:rsid w:val="00E04232"/>
    <w:rsid w:val="00E046BF"/>
    <w:rsid w:val="00E046D4"/>
    <w:rsid w:val="00E04804"/>
    <w:rsid w:val="00E04A51"/>
    <w:rsid w:val="00E04B03"/>
    <w:rsid w:val="00E04B87"/>
    <w:rsid w:val="00E04C1F"/>
    <w:rsid w:val="00E04D11"/>
    <w:rsid w:val="00E04D51"/>
    <w:rsid w:val="00E04DF7"/>
    <w:rsid w:val="00E0531C"/>
    <w:rsid w:val="00E05352"/>
    <w:rsid w:val="00E05435"/>
    <w:rsid w:val="00E054B4"/>
    <w:rsid w:val="00E054BF"/>
    <w:rsid w:val="00E056EF"/>
    <w:rsid w:val="00E05768"/>
    <w:rsid w:val="00E0585C"/>
    <w:rsid w:val="00E05870"/>
    <w:rsid w:val="00E05A40"/>
    <w:rsid w:val="00E05D6E"/>
    <w:rsid w:val="00E05D95"/>
    <w:rsid w:val="00E05ED2"/>
    <w:rsid w:val="00E061C5"/>
    <w:rsid w:val="00E0627D"/>
    <w:rsid w:val="00E06566"/>
    <w:rsid w:val="00E06780"/>
    <w:rsid w:val="00E06A32"/>
    <w:rsid w:val="00E06BDD"/>
    <w:rsid w:val="00E06EA0"/>
    <w:rsid w:val="00E0710B"/>
    <w:rsid w:val="00E07189"/>
    <w:rsid w:val="00E0718E"/>
    <w:rsid w:val="00E071C9"/>
    <w:rsid w:val="00E07312"/>
    <w:rsid w:val="00E0775F"/>
    <w:rsid w:val="00E077D4"/>
    <w:rsid w:val="00E0781D"/>
    <w:rsid w:val="00E07825"/>
    <w:rsid w:val="00E078ED"/>
    <w:rsid w:val="00E0791A"/>
    <w:rsid w:val="00E07C1F"/>
    <w:rsid w:val="00E10038"/>
    <w:rsid w:val="00E10084"/>
    <w:rsid w:val="00E10129"/>
    <w:rsid w:val="00E10272"/>
    <w:rsid w:val="00E106B2"/>
    <w:rsid w:val="00E1083B"/>
    <w:rsid w:val="00E10AE2"/>
    <w:rsid w:val="00E10BA9"/>
    <w:rsid w:val="00E10CBE"/>
    <w:rsid w:val="00E10D77"/>
    <w:rsid w:val="00E110B1"/>
    <w:rsid w:val="00E11115"/>
    <w:rsid w:val="00E111AE"/>
    <w:rsid w:val="00E11474"/>
    <w:rsid w:val="00E11592"/>
    <w:rsid w:val="00E11648"/>
    <w:rsid w:val="00E1176C"/>
    <w:rsid w:val="00E117CE"/>
    <w:rsid w:val="00E11956"/>
    <w:rsid w:val="00E11A19"/>
    <w:rsid w:val="00E11A37"/>
    <w:rsid w:val="00E11ABA"/>
    <w:rsid w:val="00E11BA7"/>
    <w:rsid w:val="00E11C0A"/>
    <w:rsid w:val="00E11D2F"/>
    <w:rsid w:val="00E11E75"/>
    <w:rsid w:val="00E11FFB"/>
    <w:rsid w:val="00E12160"/>
    <w:rsid w:val="00E1216F"/>
    <w:rsid w:val="00E123C9"/>
    <w:rsid w:val="00E12431"/>
    <w:rsid w:val="00E1246D"/>
    <w:rsid w:val="00E12644"/>
    <w:rsid w:val="00E1276B"/>
    <w:rsid w:val="00E128C1"/>
    <w:rsid w:val="00E12BDA"/>
    <w:rsid w:val="00E12E7C"/>
    <w:rsid w:val="00E12EF4"/>
    <w:rsid w:val="00E130A2"/>
    <w:rsid w:val="00E13102"/>
    <w:rsid w:val="00E1318F"/>
    <w:rsid w:val="00E1319B"/>
    <w:rsid w:val="00E13299"/>
    <w:rsid w:val="00E133B2"/>
    <w:rsid w:val="00E1350A"/>
    <w:rsid w:val="00E135B0"/>
    <w:rsid w:val="00E1392B"/>
    <w:rsid w:val="00E13AAD"/>
    <w:rsid w:val="00E13BDE"/>
    <w:rsid w:val="00E13C0C"/>
    <w:rsid w:val="00E13C3B"/>
    <w:rsid w:val="00E13C59"/>
    <w:rsid w:val="00E13C66"/>
    <w:rsid w:val="00E13CB2"/>
    <w:rsid w:val="00E13CCD"/>
    <w:rsid w:val="00E13D2A"/>
    <w:rsid w:val="00E13D95"/>
    <w:rsid w:val="00E13FDB"/>
    <w:rsid w:val="00E1413C"/>
    <w:rsid w:val="00E141DA"/>
    <w:rsid w:val="00E14605"/>
    <w:rsid w:val="00E14614"/>
    <w:rsid w:val="00E1462F"/>
    <w:rsid w:val="00E14869"/>
    <w:rsid w:val="00E14942"/>
    <w:rsid w:val="00E1494E"/>
    <w:rsid w:val="00E149AC"/>
    <w:rsid w:val="00E149DF"/>
    <w:rsid w:val="00E14B29"/>
    <w:rsid w:val="00E14BC5"/>
    <w:rsid w:val="00E14C56"/>
    <w:rsid w:val="00E14CA9"/>
    <w:rsid w:val="00E14DD8"/>
    <w:rsid w:val="00E14E5F"/>
    <w:rsid w:val="00E1501A"/>
    <w:rsid w:val="00E15106"/>
    <w:rsid w:val="00E15220"/>
    <w:rsid w:val="00E153A0"/>
    <w:rsid w:val="00E15421"/>
    <w:rsid w:val="00E1543C"/>
    <w:rsid w:val="00E1561C"/>
    <w:rsid w:val="00E157A9"/>
    <w:rsid w:val="00E1580B"/>
    <w:rsid w:val="00E1585C"/>
    <w:rsid w:val="00E15AF4"/>
    <w:rsid w:val="00E15B1B"/>
    <w:rsid w:val="00E15D16"/>
    <w:rsid w:val="00E15D96"/>
    <w:rsid w:val="00E15EDC"/>
    <w:rsid w:val="00E16242"/>
    <w:rsid w:val="00E162AB"/>
    <w:rsid w:val="00E163CF"/>
    <w:rsid w:val="00E1643A"/>
    <w:rsid w:val="00E1668F"/>
    <w:rsid w:val="00E167E5"/>
    <w:rsid w:val="00E16878"/>
    <w:rsid w:val="00E16A5C"/>
    <w:rsid w:val="00E16A62"/>
    <w:rsid w:val="00E16C29"/>
    <w:rsid w:val="00E16CE8"/>
    <w:rsid w:val="00E16E11"/>
    <w:rsid w:val="00E16E67"/>
    <w:rsid w:val="00E16F46"/>
    <w:rsid w:val="00E16FE5"/>
    <w:rsid w:val="00E16FF6"/>
    <w:rsid w:val="00E17AAE"/>
    <w:rsid w:val="00E17B1F"/>
    <w:rsid w:val="00E17CF9"/>
    <w:rsid w:val="00E17DB3"/>
    <w:rsid w:val="00E17DED"/>
    <w:rsid w:val="00E17DEE"/>
    <w:rsid w:val="00E201C3"/>
    <w:rsid w:val="00E20321"/>
    <w:rsid w:val="00E203AB"/>
    <w:rsid w:val="00E20418"/>
    <w:rsid w:val="00E20452"/>
    <w:rsid w:val="00E20569"/>
    <w:rsid w:val="00E2066A"/>
    <w:rsid w:val="00E20676"/>
    <w:rsid w:val="00E20677"/>
    <w:rsid w:val="00E206AF"/>
    <w:rsid w:val="00E20842"/>
    <w:rsid w:val="00E209EA"/>
    <w:rsid w:val="00E20AF3"/>
    <w:rsid w:val="00E20B2B"/>
    <w:rsid w:val="00E20C3B"/>
    <w:rsid w:val="00E20E70"/>
    <w:rsid w:val="00E20E71"/>
    <w:rsid w:val="00E20FBB"/>
    <w:rsid w:val="00E21098"/>
    <w:rsid w:val="00E210A3"/>
    <w:rsid w:val="00E21273"/>
    <w:rsid w:val="00E212A9"/>
    <w:rsid w:val="00E21393"/>
    <w:rsid w:val="00E213B2"/>
    <w:rsid w:val="00E213F8"/>
    <w:rsid w:val="00E21685"/>
    <w:rsid w:val="00E216D5"/>
    <w:rsid w:val="00E2183D"/>
    <w:rsid w:val="00E21900"/>
    <w:rsid w:val="00E2191E"/>
    <w:rsid w:val="00E21979"/>
    <w:rsid w:val="00E21A71"/>
    <w:rsid w:val="00E21B6F"/>
    <w:rsid w:val="00E21BF6"/>
    <w:rsid w:val="00E21E7F"/>
    <w:rsid w:val="00E21EB5"/>
    <w:rsid w:val="00E21ED3"/>
    <w:rsid w:val="00E21F29"/>
    <w:rsid w:val="00E21F37"/>
    <w:rsid w:val="00E21FD3"/>
    <w:rsid w:val="00E22174"/>
    <w:rsid w:val="00E221F4"/>
    <w:rsid w:val="00E22249"/>
    <w:rsid w:val="00E22329"/>
    <w:rsid w:val="00E2239F"/>
    <w:rsid w:val="00E224A8"/>
    <w:rsid w:val="00E227EC"/>
    <w:rsid w:val="00E22838"/>
    <w:rsid w:val="00E228DF"/>
    <w:rsid w:val="00E228FB"/>
    <w:rsid w:val="00E22A32"/>
    <w:rsid w:val="00E22B78"/>
    <w:rsid w:val="00E22BC5"/>
    <w:rsid w:val="00E22C1A"/>
    <w:rsid w:val="00E22F32"/>
    <w:rsid w:val="00E230C3"/>
    <w:rsid w:val="00E23100"/>
    <w:rsid w:val="00E2321C"/>
    <w:rsid w:val="00E23355"/>
    <w:rsid w:val="00E233B9"/>
    <w:rsid w:val="00E233E1"/>
    <w:rsid w:val="00E234F6"/>
    <w:rsid w:val="00E2353B"/>
    <w:rsid w:val="00E23659"/>
    <w:rsid w:val="00E237A1"/>
    <w:rsid w:val="00E2392A"/>
    <w:rsid w:val="00E239FF"/>
    <w:rsid w:val="00E23A6C"/>
    <w:rsid w:val="00E23AD5"/>
    <w:rsid w:val="00E23AE6"/>
    <w:rsid w:val="00E23F98"/>
    <w:rsid w:val="00E2407C"/>
    <w:rsid w:val="00E240BA"/>
    <w:rsid w:val="00E241F7"/>
    <w:rsid w:val="00E24259"/>
    <w:rsid w:val="00E2427B"/>
    <w:rsid w:val="00E24313"/>
    <w:rsid w:val="00E24345"/>
    <w:rsid w:val="00E2436D"/>
    <w:rsid w:val="00E24376"/>
    <w:rsid w:val="00E24410"/>
    <w:rsid w:val="00E245A9"/>
    <w:rsid w:val="00E245EE"/>
    <w:rsid w:val="00E246AF"/>
    <w:rsid w:val="00E247FD"/>
    <w:rsid w:val="00E24BAF"/>
    <w:rsid w:val="00E24C0A"/>
    <w:rsid w:val="00E24C2F"/>
    <w:rsid w:val="00E24DF2"/>
    <w:rsid w:val="00E24FAD"/>
    <w:rsid w:val="00E25130"/>
    <w:rsid w:val="00E25141"/>
    <w:rsid w:val="00E2524D"/>
    <w:rsid w:val="00E25372"/>
    <w:rsid w:val="00E25379"/>
    <w:rsid w:val="00E253DD"/>
    <w:rsid w:val="00E254E2"/>
    <w:rsid w:val="00E2553B"/>
    <w:rsid w:val="00E25571"/>
    <w:rsid w:val="00E25769"/>
    <w:rsid w:val="00E25998"/>
    <w:rsid w:val="00E25B00"/>
    <w:rsid w:val="00E25BE3"/>
    <w:rsid w:val="00E25BF5"/>
    <w:rsid w:val="00E25CC7"/>
    <w:rsid w:val="00E25E75"/>
    <w:rsid w:val="00E25E79"/>
    <w:rsid w:val="00E25EC6"/>
    <w:rsid w:val="00E25F83"/>
    <w:rsid w:val="00E26045"/>
    <w:rsid w:val="00E260FF"/>
    <w:rsid w:val="00E261EA"/>
    <w:rsid w:val="00E2624F"/>
    <w:rsid w:val="00E26360"/>
    <w:rsid w:val="00E263D5"/>
    <w:rsid w:val="00E263D8"/>
    <w:rsid w:val="00E264A3"/>
    <w:rsid w:val="00E26545"/>
    <w:rsid w:val="00E26579"/>
    <w:rsid w:val="00E266DE"/>
    <w:rsid w:val="00E26725"/>
    <w:rsid w:val="00E26820"/>
    <w:rsid w:val="00E268E4"/>
    <w:rsid w:val="00E269F8"/>
    <w:rsid w:val="00E26A02"/>
    <w:rsid w:val="00E26A27"/>
    <w:rsid w:val="00E26D76"/>
    <w:rsid w:val="00E26D92"/>
    <w:rsid w:val="00E26FA5"/>
    <w:rsid w:val="00E26FD5"/>
    <w:rsid w:val="00E2706C"/>
    <w:rsid w:val="00E2715A"/>
    <w:rsid w:val="00E272B9"/>
    <w:rsid w:val="00E27664"/>
    <w:rsid w:val="00E27671"/>
    <w:rsid w:val="00E27687"/>
    <w:rsid w:val="00E276DA"/>
    <w:rsid w:val="00E27736"/>
    <w:rsid w:val="00E27ABA"/>
    <w:rsid w:val="00E27BFC"/>
    <w:rsid w:val="00E27D5A"/>
    <w:rsid w:val="00E27F9F"/>
    <w:rsid w:val="00E27FD8"/>
    <w:rsid w:val="00E30126"/>
    <w:rsid w:val="00E301C8"/>
    <w:rsid w:val="00E3020A"/>
    <w:rsid w:val="00E30250"/>
    <w:rsid w:val="00E3030A"/>
    <w:rsid w:val="00E303B2"/>
    <w:rsid w:val="00E304EC"/>
    <w:rsid w:val="00E30617"/>
    <w:rsid w:val="00E3098A"/>
    <w:rsid w:val="00E30A69"/>
    <w:rsid w:val="00E30B71"/>
    <w:rsid w:val="00E30C12"/>
    <w:rsid w:val="00E30C3B"/>
    <w:rsid w:val="00E30D98"/>
    <w:rsid w:val="00E30DDF"/>
    <w:rsid w:val="00E310A1"/>
    <w:rsid w:val="00E31195"/>
    <w:rsid w:val="00E3129F"/>
    <w:rsid w:val="00E3138E"/>
    <w:rsid w:val="00E31494"/>
    <w:rsid w:val="00E31626"/>
    <w:rsid w:val="00E3179E"/>
    <w:rsid w:val="00E319F4"/>
    <w:rsid w:val="00E31AEF"/>
    <w:rsid w:val="00E31C2C"/>
    <w:rsid w:val="00E31DE5"/>
    <w:rsid w:val="00E31E6F"/>
    <w:rsid w:val="00E31FCD"/>
    <w:rsid w:val="00E3207E"/>
    <w:rsid w:val="00E320F0"/>
    <w:rsid w:val="00E320F5"/>
    <w:rsid w:val="00E32172"/>
    <w:rsid w:val="00E32180"/>
    <w:rsid w:val="00E32236"/>
    <w:rsid w:val="00E322AF"/>
    <w:rsid w:val="00E322E4"/>
    <w:rsid w:val="00E32499"/>
    <w:rsid w:val="00E324C4"/>
    <w:rsid w:val="00E324C8"/>
    <w:rsid w:val="00E326DE"/>
    <w:rsid w:val="00E32A54"/>
    <w:rsid w:val="00E32C5E"/>
    <w:rsid w:val="00E32C62"/>
    <w:rsid w:val="00E32D89"/>
    <w:rsid w:val="00E32EFF"/>
    <w:rsid w:val="00E32FB4"/>
    <w:rsid w:val="00E33062"/>
    <w:rsid w:val="00E33075"/>
    <w:rsid w:val="00E3307F"/>
    <w:rsid w:val="00E330C5"/>
    <w:rsid w:val="00E3327E"/>
    <w:rsid w:val="00E333AE"/>
    <w:rsid w:val="00E333B8"/>
    <w:rsid w:val="00E33486"/>
    <w:rsid w:val="00E3365B"/>
    <w:rsid w:val="00E33888"/>
    <w:rsid w:val="00E3390E"/>
    <w:rsid w:val="00E33C31"/>
    <w:rsid w:val="00E33E12"/>
    <w:rsid w:val="00E33F20"/>
    <w:rsid w:val="00E3407A"/>
    <w:rsid w:val="00E344AB"/>
    <w:rsid w:val="00E347DB"/>
    <w:rsid w:val="00E34CAC"/>
    <w:rsid w:val="00E34E93"/>
    <w:rsid w:val="00E34FD0"/>
    <w:rsid w:val="00E3518D"/>
    <w:rsid w:val="00E35191"/>
    <w:rsid w:val="00E351C5"/>
    <w:rsid w:val="00E355E7"/>
    <w:rsid w:val="00E3565E"/>
    <w:rsid w:val="00E35746"/>
    <w:rsid w:val="00E359E2"/>
    <w:rsid w:val="00E35AE0"/>
    <w:rsid w:val="00E35BB1"/>
    <w:rsid w:val="00E35C5D"/>
    <w:rsid w:val="00E35C64"/>
    <w:rsid w:val="00E35D98"/>
    <w:rsid w:val="00E35FAC"/>
    <w:rsid w:val="00E35FE2"/>
    <w:rsid w:val="00E35FFC"/>
    <w:rsid w:val="00E36001"/>
    <w:rsid w:val="00E360B8"/>
    <w:rsid w:val="00E360C8"/>
    <w:rsid w:val="00E362B1"/>
    <w:rsid w:val="00E364EA"/>
    <w:rsid w:val="00E3650C"/>
    <w:rsid w:val="00E366E5"/>
    <w:rsid w:val="00E36859"/>
    <w:rsid w:val="00E368F0"/>
    <w:rsid w:val="00E369CB"/>
    <w:rsid w:val="00E36A92"/>
    <w:rsid w:val="00E370B4"/>
    <w:rsid w:val="00E374C0"/>
    <w:rsid w:val="00E374EF"/>
    <w:rsid w:val="00E37522"/>
    <w:rsid w:val="00E37809"/>
    <w:rsid w:val="00E3785C"/>
    <w:rsid w:val="00E379D8"/>
    <w:rsid w:val="00E37A28"/>
    <w:rsid w:val="00E37B30"/>
    <w:rsid w:val="00E37CFC"/>
    <w:rsid w:val="00E37D31"/>
    <w:rsid w:val="00E37DB8"/>
    <w:rsid w:val="00E37EA0"/>
    <w:rsid w:val="00E37F75"/>
    <w:rsid w:val="00E37FA2"/>
    <w:rsid w:val="00E40032"/>
    <w:rsid w:val="00E4024F"/>
    <w:rsid w:val="00E4029B"/>
    <w:rsid w:val="00E4035B"/>
    <w:rsid w:val="00E40373"/>
    <w:rsid w:val="00E403BE"/>
    <w:rsid w:val="00E404E2"/>
    <w:rsid w:val="00E4061C"/>
    <w:rsid w:val="00E406D7"/>
    <w:rsid w:val="00E40765"/>
    <w:rsid w:val="00E407A1"/>
    <w:rsid w:val="00E40823"/>
    <w:rsid w:val="00E4085F"/>
    <w:rsid w:val="00E408BF"/>
    <w:rsid w:val="00E40B22"/>
    <w:rsid w:val="00E40B4D"/>
    <w:rsid w:val="00E40E47"/>
    <w:rsid w:val="00E40E58"/>
    <w:rsid w:val="00E40EE0"/>
    <w:rsid w:val="00E40F67"/>
    <w:rsid w:val="00E41086"/>
    <w:rsid w:val="00E410EB"/>
    <w:rsid w:val="00E4129F"/>
    <w:rsid w:val="00E41361"/>
    <w:rsid w:val="00E41421"/>
    <w:rsid w:val="00E414A2"/>
    <w:rsid w:val="00E41556"/>
    <w:rsid w:val="00E41873"/>
    <w:rsid w:val="00E4189D"/>
    <w:rsid w:val="00E41932"/>
    <w:rsid w:val="00E41B02"/>
    <w:rsid w:val="00E41D27"/>
    <w:rsid w:val="00E41F70"/>
    <w:rsid w:val="00E41FA6"/>
    <w:rsid w:val="00E422EF"/>
    <w:rsid w:val="00E4232B"/>
    <w:rsid w:val="00E42348"/>
    <w:rsid w:val="00E4243F"/>
    <w:rsid w:val="00E427F8"/>
    <w:rsid w:val="00E428A6"/>
    <w:rsid w:val="00E42923"/>
    <w:rsid w:val="00E429B7"/>
    <w:rsid w:val="00E42AE9"/>
    <w:rsid w:val="00E42C0A"/>
    <w:rsid w:val="00E42CA1"/>
    <w:rsid w:val="00E42CE1"/>
    <w:rsid w:val="00E42E21"/>
    <w:rsid w:val="00E42E8C"/>
    <w:rsid w:val="00E42EBE"/>
    <w:rsid w:val="00E430AD"/>
    <w:rsid w:val="00E430B4"/>
    <w:rsid w:val="00E43320"/>
    <w:rsid w:val="00E4338A"/>
    <w:rsid w:val="00E4348E"/>
    <w:rsid w:val="00E434B9"/>
    <w:rsid w:val="00E434F3"/>
    <w:rsid w:val="00E435E9"/>
    <w:rsid w:val="00E43991"/>
    <w:rsid w:val="00E43A67"/>
    <w:rsid w:val="00E43B9A"/>
    <w:rsid w:val="00E43C7F"/>
    <w:rsid w:val="00E43E5F"/>
    <w:rsid w:val="00E43EB1"/>
    <w:rsid w:val="00E441CE"/>
    <w:rsid w:val="00E4420E"/>
    <w:rsid w:val="00E4439E"/>
    <w:rsid w:val="00E44481"/>
    <w:rsid w:val="00E446E0"/>
    <w:rsid w:val="00E447E6"/>
    <w:rsid w:val="00E44814"/>
    <w:rsid w:val="00E44971"/>
    <w:rsid w:val="00E449A7"/>
    <w:rsid w:val="00E44A6D"/>
    <w:rsid w:val="00E44AA9"/>
    <w:rsid w:val="00E44BFC"/>
    <w:rsid w:val="00E44CB4"/>
    <w:rsid w:val="00E44CD8"/>
    <w:rsid w:val="00E44D9E"/>
    <w:rsid w:val="00E44E4C"/>
    <w:rsid w:val="00E44E9F"/>
    <w:rsid w:val="00E44EE7"/>
    <w:rsid w:val="00E44F42"/>
    <w:rsid w:val="00E44FB8"/>
    <w:rsid w:val="00E44FC9"/>
    <w:rsid w:val="00E45061"/>
    <w:rsid w:val="00E450B1"/>
    <w:rsid w:val="00E4527E"/>
    <w:rsid w:val="00E45343"/>
    <w:rsid w:val="00E4535C"/>
    <w:rsid w:val="00E45485"/>
    <w:rsid w:val="00E454DC"/>
    <w:rsid w:val="00E45607"/>
    <w:rsid w:val="00E45654"/>
    <w:rsid w:val="00E4577B"/>
    <w:rsid w:val="00E45978"/>
    <w:rsid w:val="00E4597A"/>
    <w:rsid w:val="00E45A01"/>
    <w:rsid w:val="00E45ABA"/>
    <w:rsid w:val="00E45CE0"/>
    <w:rsid w:val="00E45F58"/>
    <w:rsid w:val="00E45FAF"/>
    <w:rsid w:val="00E45FD2"/>
    <w:rsid w:val="00E45FF0"/>
    <w:rsid w:val="00E460F4"/>
    <w:rsid w:val="00E46166"/>
    <w:rsid w:val="00E4649D"/>
    <w:rsid w:val="00E464A5"/>
    <w:rsid w:val="00E4655D"/>
    <w:rsid w:val="00E465CB"/>
    <w:rsid w:val="00E4669F"/>
    <w:rsid w:val="00E466A9"/>
    <w:rsid w:val="00E4678D"/>
    <w:rsid w:val="00E468AB"/>
    <w:rsid w:val="00E468D8"/>
    <w:rsid w:val="00E4691E"/>
    <w:rsid w:val="00E46EA3"/>
    <w:rsid w:val="00E47033"/>
    <w:rsid w:val="00E4739F"/>
    <w:rsid w:val="00E4752B"/>
    <w:rsid w:val="00E47A58"/>
    <w:rsid w:val="00E47ADA"/>
    <w:rsid w:val="00E47B3D"/>
    <w:rsid w:val="00E47B93"/>
    <w:rsid w:val="00E47E5C"/>
    <w:rsid w:val="00E50069"/>
    <w:rsid w:val="00E502B3"/>
    <w:rsid w:val="00E50389"/>
    <w:rsid w:val="00E5063F"/>
    <w:rsid w:val="00E50691"/>
    <w:rsid w:val="00E5070D"/>
    <w:rsid w:val="00E508B2"/>
    <w:rsid w:val="00E50949"/>
    <w:rsid w:val="00E509F2"/>
    <w:rsid w:val="00E50A3B"/>
    <w:rsid w:val="00E50F33"/>
    <w:rsid w:val="00E50FE2"/>
    <w:rsid w:val="00E510EC"/>
    <w:rsid w:val="00E51363"/>
    <w:rsid w:val="00E5137D"/>
    <w:rsid w:val="00E51382"/>
    <w:rsid w:val="00E513F4"/>
    <w:rsid w:val="00E51432"/>
    <w:rsid w:val="00E51493"/>
    <w:rsid w:val="00E51557"/>
    <w:rsid w:val="00E51630"/>
    <w:rsid w:val="00E51710"/>
    <w:rsid w:val="00E51910"/>
    <w:rsid w:val="00E51996"/>
    <w:rsid w:val="00E51F2F"/>
    <w:rsid w:val="00E5200D"/>
    <w:rsid w:val="00E52118"/>
    <w:rsid w:val="00E522C6"/>
    <w:rsid w:val="00E522D6"/>
    <w:rsid w:val="00E522E3"/>
    <w:rsid w:val="00E5239C"/>
    <w:rsid w:val="00E5239F"/>
    <w:rsid w:val="00E524B5"/>
    <w:rsid w:val="00E524EC"/>
    <w:rsid w:val="00E52525"/>
    <w:rsid w:val="00E5266C"/>
    <w:rsid w:val="00E526E4"/>
    <w:rsid w:val="00E5271A"/>
    <w:rsid w:val="00E5272E"/>
    <w:rsid w:val="00E528FC"/>
    <w:rsid w:val="00E52E53"/>
    <w:rsid w:val="00E52E8B"/>
    <w:rsid w:val="00E52F86"/>
    <w:rsid w:val="00E53027"/>
    <w:rsid w:val="00E53084"/>
    <w:rsid w:val="00E53161"/>
    <w:rsid w:val="00E531E3"/>
    <w:rsid w:val="00E53449"/>
    <w:rsid w:val="00E5357C"/>
    <w:rsid w:val="00E5361C"/>
    <w:rsid w:val="00E537CE"/>
    <w:rsid w:val="00E5394E"/>
    <w:rsid w:val="00E5399A"/>
    <w:rsid w:val="00E53AA7"/>
    <w:rsid w:val="00E53D46"/>
    <w:rsid w:val="00E53D5C"/>
    <w:rsid w:val="00E540CA"/>
    <w:rsid w:val="00E541AE"/>
    <w:rsid w:val="00E54249"/>
    <w:rsid w:val="00E542B7"/>
    <w:rsid w:val="00E543B1"/>
    <w:rsid w:val="00E545F2"/>
    <w:rsid w:val="00E54768"/>
    <w:rsid w:val="00E5485D"/>
    <w:rsid w:val="00E54906"/>
    <w:rsid w:val="00E54AA2"/>
    <w:rsid w:val="00E54AC7"/>
    <w:rsid w:val="00E54B37"/>
    <w:rsid w:val="00E54B5C"/>
    <w:rsid w:val="00E54BC8"/>
    <w:rsid w:val="00E54C50"/>
    <w:rsid w:val="00E54C72"/>
    <w:rsid w:val="00E54EB9"/>
    <w:rsid w:val="00E550D1"/>
    <w:rsid w:val="00E550D3"/>
    <w:rsid w:val="00E55143"/>
    <w:rsid w:val="00E551FB"/>
    <w:rsid w:val="00E5545C"/>
    <w:rsid w:val="00E5546B"/>
    <w:rsid w:val="00E558FF"/>
    <w:rsid w:val="00E55999"/>
    <w:rsid w:val="00E559AD"/>
    <w:rsid w:val="00E55B7C"/>
    <w:rsid w:val="00E55C29"/>
    <w:rsid w:val="00E55DEC"/>
    <w:rsid w:val="00E55EE5"/>
    <w:rsid w:val="00E55F39"/>
    <w:rsid w:val="00E55FE8"/>
    <w:rsid w:val="00E56013"/>
    <w:rsid w:val="00E5605F"/>
    <w:rsid w:val="00E560E9"/>
    <w:rsid w:val="00E56278"/>
    <w:rsid w:val="00E562E5"/>
    <w:rsid w:val="00E562F7"/>
    <w:rsid w:val="00E5636A"/>
    <w:rsid w:val="00E563AF"/>
    <w:rsid w:val="00E56536"/>
    <w:rsid w:val="00E56578"/>
    <w:rsid w:val="00E566C2"/>
    <w:rsid w:val="00E56945"/>
    <w:rsid w:val="00E56983"/>
    <w:rsid w:val="00E56A96"/>
    <w:rsid w:val="00E56AB4"/>
    <w:rsid w:val="00E56B80"/>
    <w:rsid w:val="00E56D9D"/>
    <w:rsid w:val="00E56DC7"/>
    <w:rsid w:val="00E57029"/>
    <w:rsid w:val="00E5707F"/>
    <w:rsid w:val="00E570D7"/>
    <w:rsid w:val="00E570FE"/>
    <w:rsid w:val="00E571AA"/>
    <w:rsid w:val="00E57474"/>
    <w:rsid w:val="00E57640"/>
    <w:rsid w:val="00E57716"/>
    <w:rsid w:val="00E5772A"/>
    <w:rsid w:val="00E57786"/>
    <w:rsid w:val="00E577B1"/>
    <w:rsid w:val="00E5784E"/>
    <w:rsid w:val="00E57C69"/>
    <w:rsid w:val="00E57D09"/>
    <w:rsid w:val="00E57E3C"/>
    <w:rsid w:val="00E57E8A"/>
    <w:rsid w:val="00E57F2D"/>
    <w:rsid w:val="00E57F99"/>
    <w:rsid w:val="00E57FEC"/>
    <w:rsid w:val="00E602A6"/>
    <w:rsid w:val="00E603A5"/>
    <w:rsid w:val="00E60523"/>
    <w:rsid w:val="00E60585"/>
    <w:rsid w:val="00E605B1"/>
    <w:rsid w:val="00E606FB"/>
    <w:rsid w:val="00E609B0"/>
    <w:rsid w:val="00E60B89"/>
    <w:rsid w:val="00E60BFD"/>
    <w:rsid w:val="00E60C24"/>
    <w:rsid w:val="00E60CC3"/>
    <w:rsid w:val="00E60D34"/>
    <w:rsid w:val="00E610AC"/>
    <w:rsid w:val="00E611D0"/>
    <w:rsid w:val="00E614AD"/>
    <w:rsid w:val="00E614ED"/>
    <w:rsid w:val="00E61572"/>
    <w:rsid w:val="00E617C6"/>
    <w:rsid w:val="00E61806"/>
    <w:rsid w:val="00E61841"/>
    <w:rsid w:val="00E61AA8"/>
    <w:rsid w:val="00E61C5E"/>
    <w:rsid w:val="00E61D24"/>
    <w:rsid w:val="00E61DAB"/>
    <w:rsid w:val="00E61E84"/>
    <w:rsid w:val="00E61F6B"/>
    <w:rsid w:val="00E61F88"/>
    <w:rsid w:val="00E620E9"/>
    <w:rsid w:val="00E62265"/>
    <w:rsid w:val="00E6238E"/>
    <w:rsid w:val="00E624EB"/>
    <w:rsid w:val="00E625EA"/>
    <w:rsid w:val="00E627B5"/>
    <w:rsid w:val="00E6284B"/>
    <w:rsid w:val="00E62B2D"/>
    <w:rsid w:val="00E62E4E"/>
    <w:rsid w:val="00E62EDB"/>
    <w:rsid w:val="00E6300C"/>
    <w:rsid w:val="00E633C5"/>
    <w:rsid w:val="00E63471"/>
    <w:rsid w:val="00E634C1"/>
    <w:rsid w:val="00E63566"/>
    <w:rsid w:val="00E635D9"/>
    <w:rsid w:val="00E636D9"/>
    <w:rsid w:val="00E637DD"/>
    <w:rsid w:val="00E6395A"/>
    <w:rsid w:val="00E639C2"/>
    <w:rsid w:val="00E63ADB"/>
    <w:rsid w:val="00E63B4A"/>
    <w:rsid w:val="00E63D7D"/>
    <w:rsid w:val="00E63EE1"/>
    <w:rsid w:val="00E64053"/>
    <w:rsid w:val="00E6415D"/>
    <w:rsid w:val="00E641BA"/>
    <w:rsid w:val="00E64304"/>
    <w:rsid w:val="00E643DC"/>
    <w:rsid w:val="00E6441A"/>
    <w:rsid w:val="00E644C7"/>
    <w:rsid w:val="00E644D9"/>
    <w:rsid w:val="00E64509"/>
    <w:rsid w:val="00E64566"/>
    <w:rsid w:val="00E64792"/>
    <w:rsid w:val="00E647B3"/>
    <w:rsid w:val="00E6483D"/>
    <w:rsid w:val="00E6497B"/>
    <w:rsid w:val="00E64BF4"/>
    <w:rsid w:val="00E64C8F"/>
    <w:rsid w:val="00E64CC9"/>
    <w:rsid w:val="00E64CFB"/>
    <w:rsid w:val="00E64D33"/>
    <w:rsid w:val="00E64E44"/>
    <w:rsid w:val="00E64E51"/>
    <w:rsid w:val="00E65018"/>
    <w:rsid w:val="00E65111"/>
    <w:rsid w:val="00E65468"/>
    <w:rsid w:val="00E656A6"/>
    <w:rsid w:val="00E65793"/>
    <w:rsid w:val="00E65829"/>
    <w:rsid w:val="00E659FF"/>
    <w:rsid w:val="00E65D94"/>
    <w:rsid w:val="00E65E80"/>
    <w:rsid w:val="00E65F20"/>
    <w:rsid w:val="00E66045"/>
    <w:rsid w:val="00E6618D"/>
    <w:rsid w:val="00E6621F"/>
    <w:rsid w:val="00E6626B"/>
    <w:rsid w:val="00E66337"/>
    <w:rsid w:val="00E66355"/>
    <w:rsid w:val="00E664D1"/>
    <w:rsid w:val="00E66578"/>
    <w:rsid w:val="00E6666C"/>
    <w:rsid w:val="00E6680D"/>
    <w:rsid w:val="00E66831"/>
    <w:rsid w:val="00E66862"/>
    <w:rsid w:val="00E668C5"/>
    <w:rsid w:val="00E66A9E"/>
    <w:rsid w:val="00E66BDB"/>
    <w:rsid w:val="00E66C45"/>
    <w:rsid w:val="00E670C5"/>
    <w:rsid w:val="00E67218"/>
    <w:rsid w:val="00E673F1"/>
    <w:rsid w:val="00E674A7"/>
    <w:rsid w:val="00E674C5"/>
    <w:rsid w:val="00E6765E"/>
    <w:rsid w:val="00E677D0"/>
    <w:rsid w:val="00E677FD"/>
    <w:rsid w:val="00E678BD"/>
    <w:rsid w:val="00E67B1F"/>
    <w:rsid w:val="00E67E6E"/>
    <w:rsid w:val="00E67EC9"/>
    <w:rsid w:val="00E700BA"/>
    <w:rsid w:val="00E7011D"/>
    <w:rsid w:val="00E7014C"/>
    <w:rsid w:val="00E70159"/>
    <w:rsid w:val="00E701BB"/>
    <w:rsid w:val="00E701FD"/>
    <w:rsid w:val="00E7023B"/>
    <w:rsid w:val="00E7035B"/>
    <w:rsid w:val="00E70385"/>
    <w:rsid w:val="00E703F2"/>
    <w:rsid w:val="00E7055D"/>
    <w:rsid w:val="00E705AC"/>
    <w:rsid w:val="00E70771"/>
    <w:rsid w:val="00E7081E"/>
    <w:rsid w:val="00E70822"/>
    <w:rsid w:val="00E70A78"/>
    <w:rsid w:val="00E70A9D"/>
    <w:rsid w:val="00E70AF1"/>
    <w:rsid w:val="00E70B7A"/>
    <w:rsid w:val="00E70BC2"/>
    <w:rsid w:val="00E70BD6"/>
    <w:rsid w:val="00E70C4D"/>
    <w:rsid w:val="00E70DC6"/>
    <w:rsid w:val="00E70FF1"/>
    <w:rsid w:val="00E711F8"/>
    <w:rsid w:val="00E71327"/>
    <w:rsid w:val="00E717D4"/>
    <w:rsid w:val="00E71853"/>
    <w:rsid w:val="00E71BFF"/>
    <w:rsid w:val="00E71C01"/>
    <w:rsid w:val="00E71DE6"/>
    <w:rsid w:val="00E71DF4"/>
    <w:rsid w:val="00E71F29"/>
    <w:rsid w:val="00E7207D"/>
    <w:rsid w:val="00E7218D"/>
    <w:rsid w:val="00E72395"/>
    <w:rsid w:val="00E72592"/>
    <w:rsid w:val="00E725F0"/>
    <w:rsid w:val="00E72670"/>
    <w:rsid w:val="00E72726"/>
    <w:rsid w:val="00E72752"/>
    <w:rsid w:val="00E728B8"/>
    <w:rsid w:val="00E72BBE"/>
    <w:rsid w:val="00E72BD7"/>
    <w:rsid w:val="00E72BEC"/>
    <w:rsid w:val="00E72CFC"/>
    <w:rsid w:val="00E72D5A"/>
    <w:rsid w:val="00E72D83"/>
    <w:rsid w:val="00E72D92"/>
    <w:rsid w:val="00E732BB"/>
    <w:rsid w:val="00E732E5"/>
    <w:rsid w:val="00E73613"/>
    <w:rsid w:val="00E73653"/>
    <w:rsid w:val="00E736DC"/>
    <w:rsid w:val="00E7379E"/>
    <w:rsid w:val="00E7394A"/>
    <w:rsid w:val="00E73B00"/>
    <w:rsid w:val="00E73F4E"/>
    <w:rsid w:val="00E74210"/>
    <w:rsid w:val="00E74227"/>
    <w:rsid w:val="00E7426B"/>
    <w:rsid w:val="00E747B6"/>
    <w:rsid w:val="00E747DB"/>
    <w:rsid w:val="00E747E1"/>
    <w:rsid w:val="00E74983"/>
    <w:rsid w:val="00E74A08"/>
    <w:rsid w:val="00E74ADC"/>
    <w:rsid w:val="00E74C2C"/>
    <w:rsid w:val="00E74D8C"/>
    <w:rsid w:val="00E74DCD"/>
    <w:rsid w:val="00E7517F"/>
    <w:rsid w:val="00E7519C"/>
    <w:rsid w:val="00E752C9"/>
    <w:rsid w:val="00E75625"/>
    <w:rsid w:val="00E759E5"/>
    <w:rsid w:val="00E75A27"/>
    <w:rsid w:val="00E75DD2"/>
    <w:rsid w:val="00E75F0A"/>
    <w:rsid w:val="00E760C9"/>
    <w:rsid w:val="00E76115"/>
    <w:rsid w:val="00E761BB"/>
    <w:rsid w:val="00E761C5"/>
    <w:rsid w:val="00E762B8"/>
    <w:rsid w:val="00E762E8"/>
    <w:rsid w:val="00E76367"/>
    <w:rsid w:val="00E76399"/>
    <w:rsid w:val="00E763B9"/>
    <w:rsid w:val="00E76500"/>
    <w:rsid w:val="00E7670F"/>
    <w:rsid w:val="00E76843"/>
    <w:rsid w:val="00E76902"/>
    <w:rsid w:val="00E76950"/>
    <w:rsid w:val="00E769D6"/>
    <w:rsid w:val="00E76A70"/>
    <w:rsid w:val="00E76DE4"/>
    <w:rsid w:val="00E76E15"/>
    <w:rsid w:val="00E76E59"/>
    <w:rsid w:val="00E76EEA"/>
    <w:rsid w:val="00E76FCE"/>
    <w:rsid w:val="00E7706A"/>
    <w:rsid w:val="00E77294"/>
    <w:rsid w:val="00E772C1"/>
    <w:rsid w:val="00E77586"/>
    <w:rsid w:val="00E776A8"/>
    <w:rsid w:val="00E7782F"/>
    <w:rsid w:val="00E77834"/>
    <w:rsid w:val="00E779C4"/>
    <w:rsid w:val="00E77B91"/>
    <w:rsid w:val="00E77C7E"/>
    <w:rsid w:val="00E77CF2"/>
    <w:rsid w:val="00E77DC4"/>
    <w:rsid w:val="00E77DDF"/>
    <w:rsid w:val="00E77ECC"/>
    <w:rsid w:val="00E77F9B"/>
    <w:rsid w:val="00E77FDC"/>
    <w:rsid w:val="00E8000D"/>
    <w:rsid w:val="00E800DE"/>
    <w:rsid w:val="00E800FE"/>
    <w:rsid w:val="00E8016A"/>
    <w:rsid w:val="00E80210"/>
    <w:rsid w:val="00E802DE"/>
    <w:rsid w:val="00E802F1"/>
    <w:rsid w:val="00E803F6"/>
    <w:rsid w:val="00E8044A"/>
    <w:rsid w:val="00E80571"/>
    <w:rsid w:val="00E8077B"/>
    <w:rsid w:val="00E809D4"/>
    <w:rsid w:val="00E80A73"/>
    <w:rsid w:val="00E80A88"/>
    <w:rsid w:val="00E80CC2"/>
    <w:rsid w:val="00E80D1B"/>
    <w:rsid w:val="00E8142E"/>
    <w:rsid w:val="00E81461"/>
    <w:rsid w:val="00E817A2"/>
    <w:rsid w:val="00E8194A"/>
    <w:rsid w:val="00E81A10"/>
    <w:rsid w:val="00E81A2F"/>
    <w:rsid w:val="00E81A79"/>
    <w:rsid w:val="00E81AB4"/>
    <w:rsid w:val="00E81DD8"/>
    <w:rsid w:val="00E81FB6"/>
    <w:rsid w:val="00E81FF5"/>
    <w:rsid w:val="00E82038"/>
    <w:rsid w:val="00E82095"/>
    <w:rsid w:val="00E821C9"/>
    <w:rsid w:val="00E82243"/>
    <w:rsid w:val="00E82582"/>
    <w:rsid w:val="00E825A0"/>
    <w:rsid w:val="00E826B4"/>
    <w:rsid w:val="00E82AC0"/>
    <w:rsid w:val="00E82AC7"/>
    <w:rsid w:val="00E82B21"/>
    <w:rsid w:val="00E82B34"/>
    <w:rsid w:val="00E82BA2"/>
    <w:rsid w:val="00E82C07"/>
    <w:rsid w:val="00E82DEE"/>
    <w:rsid w:val="00E82EC4"/>
    <w:rsid w:val="00E82EEB"/>
    <w:rsid w:val="00E82F06"/>
    <w:rsid w:val="00E82F6A"/>
    <w:rsid w:val="00E830D0"/>
    <w:rsid w:val="00E8324F"/>
    <w:rsid w:val="00E832EF"/>
    <w:rsid w:val="00E83380"/>
    <w:rsid w:val="00E8338C"/>
    <w:rsid w:val="00E833AB"/>
    <w:rsid w:val="00E83556"/>
    <w:rsid w:val="00E835EB"/>
    <w:rsid w:val="00E8361B"/>
    <w:rsid w:val="00E836E7"/>
    <w:rsid w:val="00E83B56"/>
    <w:rsid w:val="00E83C0F"/>
    <w:rsid w:val="00E84054"/>
    <w:rsid w:val="00E841BA"/>
    <w:rsid w:val="00E84262"/>
    <w:rsid w:val="00E84351"/>
    <w:rsid w:val="00E84456"/>
    <w:rsid w:val="00E844BD"/>
    <w:rsid w:val="00E84558"/>
    <w:rsid w:val="00E845E4"/>
    <w:rsid w:val="00E846AC"/>
    <w:rsid w:val="00E84708"/>
    <w:rsid w:val="00E84983"/>
    <w:rsid w:val="00E84998"/>
    <w:rsid w:val="00E84A88"/>
    <w:rsid w:val="00E84BA5"/>
    <w:rsid w:val="00E84FB1"/>
    <w:rsid w:val="00E850A7"/>
    <w:rsid w:val="00E850EB"/>
    <w:rsid w:val="00E851A7"/>
    <w:rsid w:val="00E85244"/>
    <w:rsid w:val="00E852EF"/>
    <w:rsid w:val="00E85508"/>
    <w:rsid w:val="00E8553B"/>
    <w:rsid w:val="00E85541"/>
    <w:rsid w:val="00E857FF"/>
    <w:rsid w:val="00E8584C"/>
    <w:rsid w:val="00E85891"/>
    <w:rsid w:val="00E85B28"/>
    <w:rsid w:val="00E85BB6"/>
    <w:rsid w:val="00E85E6C"/>
    <w:rsid w:val="00E86131"/>
    <w:rsid w:val="00E8613C"/>
    <w:rsid w:val="00E861B8"/>
    <w:rsid w:val="00E862FE"/>
    <w:rsid w:val="00E86443"/>
    <w:rsid w:val="00E864B3"/>
    <w:rsid w:val="00E8654A"/>
    <w:rsid w:val="00E865C3"/>
    <w:rsid w:val="00E867EF"/>
    <w:rsid w:val="00E86B6D"/>
    <w:rsid w:val="00E86E6A"/>
    <w:rsid w:val="00E86EC1"/>
    <w:rsid w:val="00E87297"/>
    <w:rsid w:val="00E873DF"/>
    <w:rsid w:val="00E8750C"/>
    <w:rsid w:val="00E87676"/>
    <w:rsid w:val="00E8770F"/>
    <w:rsid w:val="00E877AC"/>
    <w:rsid w:val="00E87896"/>
    <w:rsid w:val="00E878FD"/>
    <w:rsid w:val="00E87C0A"/>
    <w:rsid w:val="00E87C67"/>
    <w:rsid w:val="00E87C83"/>
    <w:rsid w:val="00E87C86"/>
    <w:rsid w:val="00E87D8A"/>
    <w:rsid w:val="00E900B6"/>
    <w:rsid w:val="00E90203"/>
    <w:rsid w:val="00E90227"/>
    <w:rsid w:val="00E9024E"/>
    <w:rsid w:val="00E9034B"/>
    <w:rsid w:val="00E9043F"/>
    <w:rsid w:val="00E905C5"/>
    <w:rsid w:val="00E905E4"/>
    <w:rsid w:val="00E90724"/>
    <w:rsid w:val="00E909E4"/>
    <w:rsid w:val="00E90A5E"/>
    <w:rsid w:val="00E90B24"/>
    <w:rsid w:val="00E90B56"/>
    <w:rsid w:val="00E90CBE"/>
    <w:rsid w:val="00E90D09"/>
    <w:rsid w:val="00E90D14"/>
    <w:rsid w:val="00E90DF5"/>
    <w:rsid w:val="00E9102F"/>
    <w:rsid w:val="00E9119C"/>
    <w:rsid w:val="00E911CA"/>
    <w:rsid w:val="00E91472"/>
    <w:rsid w:val="00E91514"/>
    <w:rsid w:val="00E9165F"/>
    <w:rsid w:val="00E9169E"/>
    <w:rsid w:val="00E91BF3"/>
    <w:rsid w:val="00E91CF8"/>
    <w:rsid w:val="00E91CFE"/>
    <w:rsid w:val="00E91E50"/>
    <w:rsid w:val="00E91E60"/>
    <w:rsid w:val="00E91ED1"/>
    <w:rsid w:val="00E91F17"/>
    <w:rsid w:val="00E91F76"/>
    <w:rsid w:val="00E91FEB"/>
    <w:rsid w:val="00E920A4"/>
    <w:rsid w:val="00E920B4"/>
    <w:rsid w:val="00E9215B"/>
    <w:rsid w:val="00E92440"/>
    <w:rsid w:val="00E924A6"/>
    <w:rsid w:val="00E92593"/>
    <w:rsid w:val="00E927A2"/>
    <w:rsid w:val="00E92890"/>
    <w:rsid w:val="00E928D4"/>
    <w:rsid w:val="00E928FA"/>
    <w:rsid w:val="00E92A59"/>
    <w:rsid w:val="00E92AF0"/>
    <w:rsid w:val="00E92B30"/>
    <w:rsid w:val="00E92B7D"/>
    <w:rsid w:val="00E92C63"/>
    <w:rsid w:val="00E92D6F"/>
    <w:rsid w:val="00E92D85"/>
    <w:rsid w:val="00E92E2D"/>
    <w:rsid w:val="00E93294"/>
    <w:rsid w:val="00E934C8"/>
    <w:rsid w:val="00E935AA"/>
    <w:rsid w:val="00E935ED"/>
    <w:rsid w:val="00E9361C"/>
    <w:rsid w:val="00E93886"/>
    <w:rsid w:val="00E93899"/>
    <w:rsid w:val="00E93970"/>
    <w:rsid w:val="00E93B38"/>
    <w:rsid w:val="00E93C27"/>
    <w:rsid w:val="00E93C30"/>
    <w:rsid w:val="00E94460"/>
    <w:rsid w:val="00E946AE"/>
    <w:rsid w:val="00E946E5"/>
    <w:rsid w:val="00E9484B"/>
    <w:rsid w:val="00E9495A"/>
    <w:rsid w:val="00E94AC7"/>
    <w:rsid w:val="00E94B2D"/>
    <w:rsid w:val="00E94C03"/>
    <w:rsid w:val="00E94C60"/>
    <w:rsid w:val="00E94E9E"/>
    <w:rsid w:val="00E94F93"/>
    <w:rsid w:val="00E94FD8"/>
    <w:rsid w:val="00E95032"/>
    <w:rsid w:val="00E95045"/>
    <w:rsid w:val="00E950D2"/>
    <w:rsid w:val="00E95105"/>
    <w:rsid w:val="00E951B4"/>
    <w:rsid w:val="00E95310"/>
    <w:rsid w:val="00E95543"/>
    <w:rsid w:val="00E95547"/>
    <w:rsid w:val="00E9554E"/>
    <w:rsid w:val="00E955D0"/>
    <w:rsid w:val="00E9569C"/>
    <w:rsid w:val="00E9573F"/>
    <w:rsid w:val="00E9590C"/>
    <w:rsid w:val="00E95B50"/>
    <w:rsid w:val="00E95BC6"/>
    <w:rsid w:val="00E95BF0"/>
    <w:rsid w:val="00E95C27"/>
    <w:rsid w:val="00E95C9C"/>
    <w:rsid w:val="00E95CAB"/>
    <w:rsid w:val="00E95CD6"/>
    <w:rsid w:val="00E95D96"/>
    <w:rsid w:val="00E95E81"/>
    <w:rsid w:val="00E95FC1"/>
    <w:rsid w:val="00E9663B"/>
    <w:rsid w:val="00E966D5"/>
    <w:rsid w:val="00E968AE"/>
    <w:rsid w:val="00E968D5"/>
    <w:rsid w:val="00E96935"/>
    <w:rsid w:val="00E96A6B"/>
    <w:rsid w:val="00E96B3A"/>
    <w:rsid w:val="00E96E9A"/>
    <w:rsid w:val="00E96EAE"/>
    <w:rsid w:val="00E96EB1"/>
    <w:rsid w:val="00E97083"/>
    <w:rsid w:val="00E97163"/>
    <w:rsid w:val="00E974AF"/>
    <w:rsid w:val="00E97515"/>
    <w:rsid w:val="00E97555"/>
    <w:rsid w:val="00E97859"/>
    <w:rsid w:val="00E97B4C"/>
    <w:rsid w:val="00E97BBA"/>
    <w:rsid w:val="00E97CF4"/>
    <w:rsid w:val="00E97D37"/>
    <w:rsid w:val="00E97DB1"/>
    <w:rsid w:val="00E97F4E"/>
    <w:rsid w:val="00E97FED"/>
    <w:rsid w:val="00EA0039"/>
    <w:rsid w:val="00EA0277"/>
    <w:rsid w:val="00EA034C"/>
    <w:rsid w:val="00EA035E"/>
    <w:rsid w:val="00EA04C2"/>
    <w:rsid w:val="00EA057D"/>
    <w:rsid w:val="00EA09B5"/>
    <w:rsid w:val="00EA0C0B"/>
    <w:rsid w:val="00EA0EAE"/>
    <w:rsid w:val="00EA0FBA"/>
    <w:rsid w:val="00EA10E6"/>
    <w:rsid w:val="00EA1149"/>
    <w:rsid w:val="00EA12F4"/>
    <w:rsid w:val="00EA1580"/>
    <w:rsid w:val="00EA15E7"/>
    <w:rsid w:val="00EA1B24"/>
    <w:rsid w:val="00EA1BC1"/>
    <w:rsid w:val="00EA1C7D"/>
    <w:rsid w:val="00EA1D2E"/>
    <w:rsid w:val="00EA1D60"/>
    <w:rsid w:val="00EA1F32"/>
    <w:rsid w:val="00EA20DD"/>
    <w:rsid w:val="00EA20FC"/>
    <w:rsid w:val="00EA22B3"/>
    <w:rsid w:val="00EA23E2"/>
    <w:rsid w:val="00EA245F"/>
    <w:rsid w:val="00EA25ED"/>
    <w:rsid w:val="00EA26EE"/>
    <w:rsid w:val="00EA2713"/>
    <w:rsid w:val="00EA271B"/>
    <w:rsid w:val="00EA27FC"/>
    <w:rsid w:val="00EA284A"/>
    <w:rsid w:val="00EA285B"/>
    <w:rsid w:val="00EA2B83"/>
    <w:rsid w:val="00EA2DFB"/>
    <w:rsid w:val="00EA2EB6"/>
    <w:rsid w:val="00EA2F3C"/>
    <w:rsid w:val="00EA2FB9"/>
    <w:rsid w:val="00EA30FC"/>
    <w:rsid w:val="00EA31CB"/>
    <w:rsid w:val="00EA36D1"/>
    <w:rsid w:val="00EA3985"/>
    <w:rsid w:val="00EA3A6F"/>
    <w:rsid w:val="00EA3AEE"/>
    <w:rsid w:val="00EA3B7E"/>
    <w:rsid w:val="00EA3CB0"/>
    <w:rsid w:val="00EA3E01"/>
    <w:rsid w:val="00EA3E1C"/>
    <w:rsid w:val="00EA4000"/>
    <w:rsid w:val="00EA409A"/>
    <w:rsid w:val="00EA40E6"/>
    <w:rsid w:val="00EA41DA"/>
    <w:rsid w:val="00EA4374"/>
    <w:rsid w:val="00EA4585"/>
    <w:rsid w:val="00EA45B0"/>
    <w:rsid w:val="00EA45F2"/>
    <w:rsid w:val="00EA47D9"/>
    <w:rsid w:val="00EA480E"/>
    <w:rsid w:val="00EA48DC"/>
    <w:rsid w:val="00EA4AC0"/>
    <w:rsid w:val="00EA4BB2"/>
    <w:rsid w:val="00EA4CB2"/>
    <w:rsid w:val="00EA4F40"/>
    <w:rsid w:val="00EA502A"/>
    <w:rsid w:val="00EA522F"/>
    <w:rsid w:val="00EA5272"/>
    <w:rsid w:val="00EA5276"/>
    <w:rsid w:val="00EA52FF"/>
    <w:rsid w:val="00EA5372"/>
    <w:rsid w:val="00EA5405"/>
    <w:rsid w:val="00EA5446"/>
    <w:rsid w:val="00EA54A9"/>
    <w:rsid w:val="00EA5588"/>
    <w:rsid w:val="00EA568B"/>
    <w:rsid w:val="00EA5765"/>
    <w:rsid w:val="00EA58D1"/>
    <w:rsid w:val="00EA5901"/>
    <w:rsid w:val="00EA59DB"/>
    <w:rsid w:val="00EA5C94"/>
    <w:rsid w:val="00EA5E3F"/>
    <w:rsid w:val="00EA5EE6"/>
    <w:rsid w:val="00EA6104"/>
    <w:rsid w:val="00EA6137"/>
    <w:rsid w:val="00EA615F"/>
    <w:rsid w:val="00EA6254"/>
    <w:rsid w:val="00EA663C"/>
    <w:rsid w:val="00EA670E"/>
    <w:rsid w:val="00EA69D4"/>
    <w:rsid w:val="00EA6B19"/>
    <w:rsid w:val="00EA6BBA"/>
    <w:rsid w:val="00EA6DA8"/>
    <w:rsid w:val="00EA6DBE"/>
    <w:rsid w:val="00EA6E18"/>
    <w:rsid w:val="00EA6EF7"/>
    <w:rsid w:val="00EA6F4C"/>
    <w:rsid w:val="00EA715B"/>
    <w:rsid w:val="00EA7A77"/>
    <w:rsid w:val="00EA7AC9"/>
    <w:rsid w:val="00EA7B3D"/>
    <w:rsid w:val="00EA7B92"/>
    <w:rsid w:val="00EA7D4D"/>
    <w:rsid w:val="00EA7DA9"/>
    <w:rsid w:val="00EA7E9F"/>
    <w:rsid w:val="00EA7EDC"/>
    <w:rsid w:val="00EB007E"/>
    <w:rsid w:val="00EB00FA"/>
    <w:rsid w:val="00EB011E"/>
    <w:rsid w:val="00EB0190"/>
    <w:rsid w:val="00EB042A"/>
    <w:rsid w:val="00EB0563"/>
    <w:rsid w:val="00EB05B1"/>
    <w:rsid w:val="00EB0706"/>
    <w:rsid w:val="00EB0791"/>
    <w:rsid w:val="00EB07EA"/>
    <w:rsid w:val="00EB0AEE"/>
    <w:rsid w:val="00EB0BFB"/>
    <w:rsid w:val="00EB0C32"/>
    <w:rsid w:val="00EB0E45"/>
    <w:rsid w:val="00EB0F53"/>
    <w:rsid w:val="00EB1115"/>
    <w:rsid w:val="00EB12BF"/>
    <w:rsid w:val="00EB12CC"/>
    <w:rsid w:val="00EB14E2"/>
    <w:rsid w:val="00EB1725"/>
    <w:rsid w:val="00EB17C9"/>
    <w:rsid w:val="00EB18FF"/>
    <w:rsid w:val="00EB1931"/>
    <w:rsid w:val="00EB1940"/>
    <w:rsid w:val="00EB1990"/>
    <w:rsid w:val="00EB1B0B"/>
    <w:rsid w:val="00EB1B30"/>
    <w:rsid w:val="00EB1BFE"/>
    <w:rsid w:val="00EB1C10"/>
    <w:rsid w:val="00EB1C6F"/>
    <w:rsid w:val="00EB1CE1"/>
    <w:rsid w:val="00EB1DC2"/>
    <w:rsid w:val="00EB1E71"/>
    <w:rsid w:val="00EB1F0E"/>
    <w:rsid w:val="00EB203A"/>
    <w:rsid w:val="00EB21A5"/>
    <w:rsid w:val="00EB21C1"/>
    <w:rsid w:val="00EB21DA"/>
    <w:rsid w:val="00EB23ED"/>
    <w:rsid w:val="00EB2471"/>
    <w:rsid w:val="00EB2566"/>
    <w:rsid w:val="00EB2573"/>
    <w:rsid w:val="00EB265F"/>
    <w:rsid w:val="00EB2765"/>
    <w:rsid w:val="00EB2915"/>
    <w:rsid w:val="00EB2ACC"/>
    <w:rsid w:val="00EB2BA0"/>
    <w:rsid w:val="00EB2C3A"/>
    <w:rsid w:val="00EB2DFE"/>
    <w:rsid w:val="00EB324D"/>
    <w:rsid w:val="00EB32CB"/>
    <w:rsid w:val="00EB32F5"/>
    <w:rsid w:val="00EB335B"/>
    <w:rsid w:val="00EB3776"/>
    <w:rsid w:val="00EB3839"/>
    <w:rsid w:val="00EB386C"/>
    <w:rsid w:val="00EB3A78"/>
    <w:rsid w:val="00EB3AC9"/>
    <w:rsid w:val="00EB3AEE"/>
    <w:rsid w:val="00EB3BFB"/>
    <w:rsid w:val="00EB3C69"/>
    <w:rsid w:val="00EB3D5B"/>
    <w:rsid w:val="00EB3D62"/>
    <w:rsid w:val="00EB3E4B"/>
    <w:rsid w:val="00EB3E98"/>
    <w:rsid w:val="00EB3EAE"/>
    <w:rsid w:val="00EB4025"/>
    <w:rsid w:val="00EB4160"/>
    <w:rsid w:val="00EB428D"/>
    <w:rsid w:val="00EB4298"/>
    <w:rsid w:val="00EB44F2"/>
    <w:rsid w:val="00EB458B"/>
    <w:rsid w:val="00EB45E0"/>
    <w:rsid w:val="00EB4826"/>
    <w:rsid w:val="00EB4882"/>
    <w:rsid w:val="00EB48E2"/>
    <w:rsid w:val="00EB48F8"/>
    <w:rsid w:val="00EB4C68"/>
    <w:rsid w:val="00EB4CBC"/>
    <w:rsid w:val="00EB4DA6"/>
    <w:rsid w:val="00EB4E74"/>
    <w:rsid w:val="00EB4F5F"/>
    <w:rsid w:val="00EB505C"/>
    <w:rsid w:val="00EB5154"/>
    <w:rsid w:val="00EB517C"/>
    <w:rsid w:val="00EB5380"/>
    <w:rsid w:val="00EB559E"/>
    <w:rsid w:val="00EB5638"/>
    <w:rsid w:val="00EB580D"/>
    <w:rsid w:val="00EB5AF9"/>
    <w:rsid w:val="00EB5D1D"/>
    <w:rsid w:val="00EB5DE8"/>
    <w:rsid w:val="00EB5DFE"/>
    <w:rsid w:val="00EB5E2D"/>
    <w:rsid w:val="00EB62DC"/>
    <w:rsid w:val="00EB6356"/>
    <w:rsid w:val="00EB6379"/>
    <w:rsid w:val="00EB6547"/>
    <w:rsid w:val="00EB6619"/>
    <w:rsid w:val="00EB6654"/>
    <w:rsid w:val="00EB68AE"/>
    <w:rsid w:val="00EB68CF"/>
    <w:rsid w:val="00EB6BB5"/>
    <w:rsid w:val="00EB6C05"/>
    <w:rsid w:val="00EB6C56"/>
    <w:rsid w:val="00EB6CE3"/>
    <w:rsid w:val="00EB6D65"/>
    <w:rsid w:val="00EB6FB7"/>
    <w:rsid w:val="00EB7128"/>
    <w:rsid w:val="00EB721A"/>
    <w:rsid w:val="00EB72A6"/>
    <w:rsid w:val="00EB72DF"/>
    <w:rsid w:val="00EB74EB"/>
    <w:rsid w:val="00EB7612"/>
    <w:rsid w:val="00EB7651"/>
    <w:rsid w:val="00EB77CB"/>
    <w:rsid w:val="00EB77EF"/>
    <w:rsid w:val="00EB798E"/>
    <w:rsid w:val="00EB7A33"/>
    <w:rsid w:val="00EB7A93"/>
    <w:rsid w:val="00EB7B7D"/>
    <w:rsid w:val="00EB7BE9"/>
    <w:rsid w:val="00EB7C9E"/>
    <w:rsid w:val="00EB7D30"/>
    <w:rsid w:val="00EB7D3C"/>
    <w:rsid w:val="00EB7D82"/>
    <w:rsid w:val="00EB7EFC"/>
    <w:rsid w:val="00EB7FC4"/>
    <w:rsid w:val="00EC0043"/>
    <w:rsid w:val="00EC01FB"/>
    <w:rsid w:val="00EC0235"/>
    <w:rsid w:val="00EC0507"/>
    <w:rsid w:val="00EC077E"/>
    <w:rsid w:val="00EC07CE"/>
    <w:rsid w:val="00EC07E1"/>
    <w:rsid w:val="00EC07FB"/>
    <w:rsid w:val="00EC082A"/>
    <w:rsid w:val="00EC0A67"/>
    <w:rsid w:val="00EC0E5C"/>
    <w:rsid w:val="00EC0ED4"/>
    <w:rsid w:val="00EC1536"/>
    <w:rsid w:val="00EC154A"/>
    <w:rsid w:val="00EC15BF"/>
    <w:rsid w:val="00EC1778"/>
    <w:rsid w:val="00EC199E"/>
    <w:rsid w:val="00EC1BE4"/>
    <w:rsid w:val="00EC1D32"/>
    <w:rsid w:val="00EC1F0C"/>
    <w:rsid w:val="00EC1FA6"/>
    <w:rsid w:val="00EC1FB2"/>
    <w:rsid w:val="00EC20B5"/>
    <w:rsid w:val="00EC210C"/>
    <w:rsid w:val="00EC2150"/>
    <w:rsid w:val="00EC229F"/>
    <w:rsid w:val="00EC22FA"/>
    <w:rsid w:val="00EC23AF"/>
    <w:rsid w:val="00EC29AD"/>
    <w:rsid w:val="00EC2B91"/>
    <w:rsid w:val="00EC2BA4"/>
    <w:rsid w:val="00EC2F4C"/>
    <w:rsid w:val="00EC33FC"/>
    <w:rsid w:val="00EC345A"/>
    <w:rsid w:val="00EC35BA"/>
    <w:rsid w:val="00EC380C"/>
    <w:rsid w:val="00EC3822"/>
    <w:rsid w:val="00EC398E"/>
    <w:rsid w:val="00EC3A9B"/>
    <w:rsid w:val="00EC3AC9"/>
    <w:rsid w:val="00EC3E90"/>
    <w:rsid w:val="00EC4155"/>
    <w:rsid w:val="00EC422A"/>
    <w:rsid w:val="00EC4258"/>
    <w:rsid w:val="00EC429D"/>
    <w:rsid w:val="00EC42AC"/>
    <w:rsid w:val="00EC4372"/>
    <w:rsid w:val="00EC448C"/>
    <w:rsid w:val="00EC4546"/>
    <w:rsid w:val="00EC45CF"/>
    <w:rsid w:val="00EC4700"/>
    <w:rsid w:val="00EC4755"/>
    <w:rsid w:val="00EC4862"/>
    <w:rsid w:val="00EC49F0"/>
    <w:rsid w:val="00EC4A07"/>
    <w:rsid w:val="00EC4F38"/>
    <w:rsid w:val="00EC4FD6"/>
    <w:rsid w:val="00EC52B8"/>
    <w:rsid w:val="00EC5322"/>
    <w:rsid w:val="00EC597B"/>
    <w:rsid w:val="00EC5A25"/>
    <w:rsid w:val="00EC5BFC"/>
    <w:rsid w:val="00EC5CEC"/>
    <w:rsid w:val="00EC5D26"/>
    <w:rsid w:val="00EC5DBD"/>
    <w:rsid w:val="00EC5DF7"/>
    <w:rsid w:val="00EC5E7A"/>
    <w:rsid w:val="00EC5F9D"/>
    <w:rsid w:val="00EC5FD5"/>
    <w:rsid w:val="00EC602D"/>
    <w:rsid w:val="00EC61AF"/>
    <w:rsid w:val="00EC624A"/>
    <w:rsid w:val="00EC6251"/>
    <w:rsid w:val="00EC64E7"/>
    <w:rsid w:val="00EC64F3"/>
    <w:rsid w:val="00EC65BC"/>
    <w:rsid w:val="00EC661B"/>
    <w:rsid w:val="00EC67EA"/>
    <w:rsid w:val="00EC68A4"/>
    <w:rsid w:val="00EC696B"/>
    <w:rsid w:val="00EC6A2B"/>
    <w:rsid w:val="00EC6A95"/>
    <w:rsid w:val="00EC6B65"/>
    <w:rsid w:val="00EC6B8B"/>
    <w:rsid w:val="00EC6BF5"/>
    <w:rsid w:val="00EC6C6F"/>
    <w:rsid w:val="00EC6C9D"/>
    <w:rsid w:val="00EC6CB3"/>
    <w:rsid w:val="00EC6CE6"/>
    <w:rsid w:val="00EC6E50"/>
    <w:rsid w:val="00EC6F5F"/>
    <w:rsid w:val="00EC6F96"/>
    <w:rsid w:val="00EC707C"/>
    <w:rsid w:val="00EC71A5"/>
    <w:rsid w:val="00EC757F"/>
    <w:rsid w:val="00EC75DA"/>
    <w:rsid w:val="00EC7745"/>
    <w:rsid w:val="00EC7872"/>
    <w:rsid w:val="00EC78B7"/>
    <w:rsid w:val="00EC79D4"/>
    <w:rsid w:val="00EC7B6C"/>
    <w:rsid w:val="00EC7CDA"/>
    <w:rsid w:val="00EC7E5A"/>
    <w:rsid w:val="00ED001E"/>
    <w:rsid w:val="00ED0115"/>
    <w:rsid w:val="00ED0220"/>
    <w:rsid w:val="00ED0230"/>
    <w:rsid w:val="00ED0233"/>
    <w:rsid w:val="00ED0234"/>
    <w:rsid w:val="00ED0263"/>
    <w:rsid w:val="00ED029B"/>
    <w:rsid w:val="00ED0328"/>
    <w:rsid w:val="00ED04F1"/>
    <w:rsid w:val="00ED0693"/>
    <w:rsid w:val="00ED0796"/>
    <w:rsid w:val="00ED07E0"/>
    <w:rsid w:val="00ED0845"/>
    <w:rsid w:val="00ED0878"/>
    <w:rsid w:val="00ED08AE"/>
    <w:rsid w:val="00ED0AF7"/>
    <w:rsid w:val="00ED0DBE"/>
    <w:rsid w:val="00ED10F2"/>
    <w:rsid w:val="00ED1150"/>
    <w:rsid w:val="00ED12A0"/>
    <w:rsid w:val="00ED147B"/>
    <w:rsid w:val="00ED155B"/>
    <w:rsid w:val="00ED1663"/>
    <w:rsid w:val="00ED1827"/>
    <w:rsid w:val="00ED197F"/>
    <w:rsid w:val="00ED1BB4"/>
    <w:rsid w:val="00ED1BE5"/>
    <w:rsid w:val="00ED1D1B"/>
    <w:rsid w:val="00ED1D45"/>
    <w:rsid w:val="00ED1EE2"/>
    <w:rsid w:val="00ED2110"/>
    <w:rsid w:val="00ED2457"/>
    <w:rsid w:val="00ED251E"/>
    <w:rsid w:val="00ED25B0"/>
    <w:rsid w:val="00ED284D"/>
    <w:rsid w:val="00ED28DD"/>
    <w:rsid w:val="00ED296D"/>
    <w:rsid w:val="00ED2B5E"/>
    <w:rsid w:val="00ED2C34"/>
    <w:rsid w:val="00ED2D9D"/>
    <w:rsid w:val="00ED2E0B"/>
    <w:rsid w:val="00ED2E38"/>
    <w:rsid w:val="00ED2F72"/>
    <w:rsid w:val="00ED2FCC"/>
    <w:rsid w:val="00ED3045"/>
    <w:rsid w:val="00ED306C"/>
    <w:rsid w:val="00ED3074"/>
    <w:rsid w:val="00ED3272"/>
    <w:rsid w:val="00ED3432"/>
    <w:rsid w:val="00ED35DB"/>
    <w:rsid w:val="00ED366B"/>
    <w:rsid w:val="00ED3737"/>
    <w:rsid w:val="00ED378F"/>
    <w:rsid w:val="00ED379C"/>
    <w:rsid w:val="00ED3879"/>
    <w:rsid w:val="00ED38A3"/>
    <w:rsid w:val="00ED38C6"/>
    <w:rsid w:val="00ED3AFA"/>
    <w:rsid w:val="00ED3CA1"/>
    <w:rsid w:val="00ED3DCC"/>
    <w:rsid w:val="00ED4144"/>
    <w:rsid w:val="00ED4235"/>
    <w:rsid w:val="00ED42A5"/>
    <w:rsid w:val="00ED4446"/>
    <w:rsid w:val="00ED451E"/>
    <w:rsid w:val="00ED4681"/>
    <w:rsid w:val="00ED49D9"/>
    <w:rsid w:val="00ED4C81"/>
    <w:rsid w:val="00ED4DD3"/>
    <w:rsid w:val="00ED4DF4"/>
    <w:rsid w:val="00ED50C3"/>
    <w:rsid w:val="00ED50DA"/>
    <w:rsid w:val="00ED52D7"/>
    <w:rsid w:val="00ED53E2"/>
    <w:rsid w:val="00ED55D2"/>
    <w:rsid w:val="00ED5699"/>
    <w:rsid w:val="00ED599B"/>
    <w:rsid w:val="00ED5B3E"/>
    <w:rsid w:val="00ED5B96"/>
    <w:rsid w:val="00ED5BDD"/>
    <w:rsid w:val="00ED5C22"/>
    <w:rsid w:val="00ED5DD6"/>
    <w:rsid w:val="00ED5E6E"/>
    <w:rsid w:val="00ED6122"/>
    <w:rsid w:val="00ED6203"/>
    <w:rsid w:val="00ED63AF"/>
    <w:rsid w:val="00ED6574"/>
    <w:rsid w:val="00ED65C7"/>
    <w:rsid w:val="00ED65D5"/>
    <w:rsid w:val="00ED6753"/>
    <w:rsid w:val="00ED678C"/>
    <w:rsid w:val="00ED67DD"/>
    <w:rsid w:val="00ED67E7"/>
    <w:rsid w:val="00ED6AA3"/>
    <w:rsid w:val="00ED6AE8"/>
    <w:rsid w:val="00ED6B43"/>
    <w:rsid w:val="00ED6B67"/>
    <w:rsid w:val="00ED6C37"/>
    <w:rsid w:val="00ED6CEB"/>
    <w:rsid w:val="00ED7022"/>
    <w:rsid w:val="00ED70A6"/>
    <w:rsid w:val="00ED7123"/>
    <w:rsid w:val="00ED71AF"/>
    <w:rsid w:val="00ED71F7"/>
    <w:rsid w:val="00ED72A3"/>
    <w:rsid w:val="00ED72AA"/>
    <w:rsid w:val="00ED75FE"/>
    <w:rsid w:val="00ED7664"/>
    <w:rsid w:val="00ED766C"/>
    <w:rsid w:val="00ED7825"/>
    <w:rsid w:val="00ED787B"/>
    <w:rsid w:val="00ED79E3"/>
    <w:rsid w:val="00ED7B72"/>
    <w:rsid w:val="00ED7CF1"/>
    <w:rsid w:val="00ED7DF2"/>
    <w:rsid w:val="00ED7E72"/>
    <w:rsid w:val="00ED7ED7"/>
    <w:rsid w:val="00ED7F1C"/>
    <w:rsid w:val="00ED7FE3"/>
    <w:rsid w:val="00ED7FF2"/>
    <w:rsid w:val="00EE011A"/>
    <w:rsid w:val="00EE02E4"/>
    <w:rsid w:val="00EE02F2"/>
    <w:rsid w:val="00EE044A"/>
    <w:rsid w:val="00EE061D"/>
    <w:rsid w:val="00EE06F2"/>
    <w:rsid w:val="00EE07CF"/>
    <w:rsid w:val="00EE0916"/>
    <w:rsid w:val="00EE0B54"/>
    <w:rsid w:val="00EE0B64"/>
    <w:rsid w:val="00EE0B6D"/>
    <w:rsid w:val="00EE0BB4"/>
    <w:rsid w:val="00EE0D5A"/>
    <w:rsid w:val="00EE0F95"/>
    <w:rsid w:val="00EE101D"/>
    <w:rsid w:val="00EE1453"/>
    <w:rsid w:val="00EE14D2"/>
    <w:rsid w:val="00EE15EE"/>
    <w:rsid w:val="00EE1827"/>
    <w:rsid w:val="00EE1841"/>
    <w:rsid w:val="00EE1A95"/>
    <w:rsid w:val="00EE1D38"/>
    <w:rsid w:val="00EE1E9E"/>
    <w:rsid w:val="00EE210E"/>
    <w:rsid w:val="00EE2118"/>
    <w:rsid w:val="00EE21BC"/>
    <w:rsid w:val="00EE2206"/>
    <w:rsid w:val="00EE290B"/>
    <w:rsid w:val="00EE2AD0"/>
    <w:rsid w:val="00EE2B2F"/>
    <w:rsid w:val="00EE2F5B"/>
    <w:rsid w:val="00EE2FE9"/>
    <w:rsid w:val="00EE2FF8"/>
    <w:rsid w:val="00EE3067"/>
    <w:rsid w:val="00EE308A"/>
    <w:rsid w:val="00EE30D3"/>
    <w:rsid w:val="00EE31E7"/>
    <w:rsid w:val="00EE343E"/>
    <w:rsid w:val="00EE35E0"/>
    <w:rsid w:val="00EE3730"/>
    <w:rsid w:val="00EE37C3"/>
    <w:rsid w:val="00EE3813"/>
    <w:rsid w:val="00EE39A5"/>
    <w:rsid w:val="00EE3AA4"/>
    <w:rsid w:val="00EE3ACD"/>
    <w:rsid w:val="00EE3C23"/>
    <w:rsid w:val="00EE3D0C"/>
    <w:rsid w:val="00EE3DBE"/>
    <w:rsid w:val="00EE3E5C"/>
    <w:rsid w:val="00EE3F66"/>
    <w:rsid w:val="00EE407E"/>
    <w:rsid w:val="00EE40D5"/>
    <w:rsid w:val="00EE418B"/>
    <w:rsid w:val="00EE44C5"/>
    <w:rsid w:val="00EE4510"/>
    <w:rsid w:val="00EE479F"/>
    <w:rsid w:val="00EE4873"/>
    <w:rsid w:val="00EE4895"/>
    <w:rsid w:val="00EE48C8"/>
    <w:rsid w:val="00EE49A5"/>
    <w:rsid w:val="00EE4A2A"/>
    <w:rsid w:val="00EE4AD2"/>
    <w:rsid w:val="00EE4BFC"/>
    <w:rsid w:val="00EE4C6B"/>
    <w:rsid w:val="00EE4EE8"/>
    <w:rsid w:val="00EE4FC8"/>
    <w:rsid w:val="00EE508C"/>
    <w:rsid w:val="00EE519E"/>
    <w:rsid w:val="00EE5347"/>
    <w:rsid w:val="00EE535E"/>
    <w:rsid w:val="00EE5426"/>
    <w:rsid w:val="00EE554A"/>
    <w:rsid w:val="00EE59D3"/>
    <w:rsid w:val="00EE5B8B"/>
    <w:rsid w:val="00EE5DAE"/>
    <w:rsid w:val="00EE5FBA"/>
    <w:rsid w:val="00EE6299"/>
    <w:rsid w:val="00EE6372"/>
    <w:rsid w:val="00EE64A8"/>
    <w:rsid w:val="00EE651F"/>
    <w:rsid w:val="00EE6563"/>
    <w:rsid w:val="00EE670E"/>
    <w:rsid w:val="00EE680E"/>
    <w:rsid w:val="00EE6918"/>
    <w:rsid w:val="00EE6A0B"/>
    <w:rsid w:val="00EE6AD0"/>
    <w:rsid w:val="00EE6C47"/>
    <w:rsid w:val="00EE6D7E"/>
    <w:rsid w:val="00EE6DD7"/>
    <w:rsid w:val="00EE6E9F"/>
    <w:rsid w:val="00EE6EEF"/>
    <w:rsid w:val="00EE6F00"/>
    <w:rsid w:val="00EE7050"/>
    <w:rsid w:val="00EE7105"/>
    <w:rsid w:val="00EE711B"/>
    <w:rsid w:val="00EE7177"/>
    <w:rsid w:val="00EE71F2"/>
    <w:rsid w:val="00EE76E1"/>
    <w:rsid w:val="00EE77B9"/>
    <w:rsid w:val="00EE7D3E"/>
    <w:rsid w:val="00EE7D48"/>
    <w:rsid w:val="00EE7D72"/>
    <w:rsid w:val="00EE7DAE"/>
    <w:rsid w:val="00EF002A"/>
    <w:rsid w:val="00EF0402"/>
    <w:rsid w:val="00EF0567"/>
    <w:rsid w:val="00EF05C8"/>
    <w:rsid w:val="00EF05D8"/>
    <w:rsid w:val="00EF0884"/>
    <w:rsid w:val="00EF09D7"/>
    <w:rsid w:val="00EF0A86"/>
    <w:rsid w:val="00EF0C63"/>
    <w:rsid w:val="00EF0DC3"/>
    <w:rsid w:val="00EF12A9"/>
    <w:rsid w:val="00EF14E4"/>
    <w:rsid w:val="00EF15A6"/>
    <w:rsid w:val="00EF16BF"/>
    <w:rsid w:val="00EF16C2"/>
    <w:rsid w:val="00EF16FB"/>
    <w:rsid w:val="00EF1734"/>
    <w:rsid w:val="00EF1841"/>
    <w:rsid w:val="00EF1A88"/>
    <w:rsid w:val="00EF1AD0"/>
    <w:rsid w:val="00EF1BAA"/>
    <w:rsid w:val="00EF1C00"/>
    <w:rsid w:val="00EF1CD8"/>
    <w:rsid w:val="00EF1D60"/>
    <w:rsid w:val="00EF1E59"/>
    <w:rsid w:val="00EF1EAF"/>
    <w:rsid w:val="00EF1F54"/>
    <w:rsid w:val="00EF1F71"/>
    <w:rsid w:val="00EF201D"/>
    <w:rsid w:val="00EF2321"/>
    <w:rsid w:val="00EF2391"/>
    <w:rsid w:val="00EF2419"/>
    <w:rsid w:val="00EF2506"/>
    <w:rsid w:val="00EF25AC"/>
    <w:rsid w:val="00EF27F7"/>
    <w:rsid w:val="00EF2808"/>
    <w:rsid w:val="00EF2811"/>
    <w:rsid w:val="00EF2954"/>
    <w:rsid w:val="00EF2977"/>
    <w:rsid w:val="00EF29F2"/>
    <w:rsid w:val="00EF2A18"/>
    <w:rsid w:val="00EF2ABC"/>
    <w:rsid w:val="00EF2B89"/>
    <w:rsid w:val="00EF2BBF"/>
    <w:rsid w:val="00EF2C15"/>
    <w:rsid w:val="00EF2D09"/>
    <w:rsid w:val="00EF2DA4"/>
    <w:rsid w:val="00EF2DC8"/>
    <w:rsid w:val="00EF2DF2"/>
    <w:rsid w:val="00EF2EC1"/>
    <w:rsid w:val="00EF2F63"/>
    <w:rsid w:val="00EF32E7"/>
    <w:rsid w:val="00EF35E1"/>
    <w:rsid w:val="00EF362E"/>
    <w:rsid w:val="00EF36F5"/>
    <w:rsid w:val="00EF3774"/>
    <w:rsid w:val="00EF3785"/>
    <w:rsid w:val="00EF37CB"/>
    <w:rsid w:val="00EF38FA"/>
    <w:rsid w:val="00EF399F"/>
    <w:rsid w:val="00EF3D9B"/>
    <w:rsid w:val="00EF3DD4"/>
    <w:rsid w:val="00EF3E93"/>
    <w:rsid w:val="00EF3EC2"/>
    <w:rsid w:val="00EF3F58"/>
    <w:rsid w:val="00EF421D"/>
    <w:rsid w:val="00EF422E"/>
    <w:rsid w:val="00EF4243"/>
    <w:rsid w:val="00EF42A9"/>
    <w:rsid w:val="00EF42BD"/>
    <w:rsid w:val="00EF42F4"/>
    <w:rsid w:val="00EF4496"/>
    <w:rsid w:val="00EF44E1"/>
    <w:rsid w:val="00EF47E3"/>
    <w:rsid w:val="00EF484B"/>
    <w:rsid w:val="00EF4B26"/>
    <w:rsid w:val="00EF4BAB"/>
    <w:rsid w:val="00EF4BAC"/>
    <w:rsid w:val="00EF4D0B"/>
    <w:rsid w:val="00EF4E6C"/>
    <w:rsid w:val="00EF4EB0"/>
    <w:rsid w:val="00EF4FB8"/>
    <w:rsid w:val="00EF50DC"/>
    <w:rsid w:val="00EF513A"/>
    <w:rsid w:val="00EF5198"/>
    <w:rsid w:val="00EF52D0"/>
    <w:rsid w:val="00EF52D4"/>
    <w:rsid w:val="00EF5709"/>
    <w:rsid w:val="00EF5758"/>
    <w:rsid w:val="00EF5874"/>
    <w:rsid w:val="00EF5979"/>
    <w:rsid w:val="00EF5A0D"/>
    <w:rsid w:val="00EF5A17"/>
    <w:rsid w:val="00EF5AB7"/>
    <w:rsid w:val="00EF5B83"/>
    <w:rsid w:val="00EF5C7C"/>
    <w:rsid w:val="00EF5EEE"/>
    <w:rsid w:val="00EF5FE9"/>
    <w:rsid w:val="00EF61B8"/>
    <w:rsid w:val="00EF629E"/>
    <w:rsid w:val="00EF62D5"/>
    <w:rsid w:val="00EF630D"/>
    <w:rsid w:val="00EF6329"/>
    <w:rsid w:val="00EF6335"/>
    <w:rsid w:val="00EF6343"/>
    <w:rsid w:val="00EF6401"/>
    <w:rsid w:val="00EF652F"/>
    <w:rsid w:val="00EF660E"/>
    <w:rsid w:val="00EF6817"/>
    <w:rsid w:val="00EF6872"/>
    <w:rsid w:val="00EF68C7"/>
    <w:rsid w:val="00EF6AFC"/>
    <w:rsid w:val="00EF6C75"/>
    <w:rsid w:val="00EF6DB2"/>
    <w:rsid w:val="00EF6EFA"/>
    <w:rsid w:val="00EF7666"/>
    <w:rsid w:val="00EF767E"/>
    <w:rsid w:val="00EF7862"/>
    <w:rsid w:val="00EF7A27"/>
    <w:rsid w:val="00EF7A5B"/>
    <w:rsid w:val="00EF7AB4"/>
    <w:rsid w:val="00EF7B22"/>
    <w:rsid w:val="00EF7C0E"/>
    <w:rsid w:val="00EF7ECA"/>
    <w:rsid w:val="00EF7F38"/>
    <w:rsid w:val="00F00027"/>
    <w:rsid w:val="00F0043F"/>
    <w:rsid w:val="00F00572"/>
    <w:rsid w:val="00F00667"/>
    <w:rsid w:val="00F00703"/>
    <w:rsid w:val="00F00AAB"/>
    <w:rsid w:val="00F00B32"/>
    <w:rsid w:val="00F00CD8"/>
    <w:rsid w:val="00F00E12"/>
    <w:rsid w:val="00F01069"/>
    <w:rsid w:val="00F01096"/>
    <w:rsid w:val="00F011DB"/>
    <w:rsid w:val="00F011F9"/>
    <w:rsid w:val="00F013DA"/>
    <w:rsid w:val="00F015F8"/>
    <w:rsid w:val="00F01725"/>
    <w:rsid w:val="00F01869"/>
    <w:rsid w:val="00F018B0"/>
    <w:rsid w:val="00F018FA"/>
    <w:rsid w:val="00F01967"/>
    <w:rsid w:val="00F019C3"/>
    <w:rsid w:val="00F01A04"/>
    <w:rsid w:val="00F01A7D"/>
    <w:rsid w:val="00F01D32"/>
    <w:rsid w:val="00F01F84"/>
    <w:rsid w:val="00F0200F"/>
    <w:rsid w:val="00F0201B"/>
    <w:rsid w:val="00F02320"/>
    <w:rsid w:val="00F02632"/>
    <w:rsid w:val="00F026D7"/>
    <w:rsid w:val="00F027E3"/>
    <w:rsid w:val="00F02899"/>
    <w:rsid w:val="00F02999"/>
    <w:rsid w:val="00F02B34"/>
    <w:rsid w:val="00F02C45"/>
    <w:rsid w:val="00F02C72"/>
    <w:rsid w:val="00F02C82"/>
    <w:rsid w:val="00F02CC9"/>
    <w:rsid w:val="00F02D7B"/>
    <w:rsid w:val="00F02DEA"/>
    <w:rsid w:val="00F02E2B"/>
    <w:rsid w:val="00F02E39"/>
    <w:rsid w:val="00F0301D"/>
    <w:rsid w:val="00F030E5"/>
    <w:rsid w:val="00F033AB"/>
    <w:rsid w:val="00F03444"/>
    <w:rsid w:val="00F039EE"/>
    <w:rsid w:val="00F03AB3"/>
    <w:rsid w:val="00F03AEE"/>
    <w:rsid w:val="00F03CCD"/>
    <w:rsid w:val="00F03D08"/>
    <w:rsid w:val="00F03D31"/>
    <w:rsid w:val="00F03F0F"/>
    <w:rsid w:val="00F0405F"/>
    <w:rsid w:val="00F04091"/>
    <w:rsid w:val="00F0416E"/>
    <w:rsid w:val="00F041AA"/>
    <w:rsid w:val="00F043C7"/>
    <w:rsid w:val="00F045A9"/>
    <w:rsid w:val="00F048CD"/>
    <w:rsid w:val="00F04B2E"/>
    <w:rsid w:val="00F04E88"/>
    <w:rsid w:val="00F04EFB"/>
    <w:rsid w:val="00F04F51"/>
    <w:rsid w:val="00F05168"/>
    <w:rsid w:val="00F05296"/>
    <w:rsid w:val="00F053F5"/>
    <w:rsid w:val="00F05585"/>
    <w:rsid w:val="00F0558A"/>
    <w:rsid w:val="00F056B3"/>
    <w:rsid w:val="00F057A2"/>
    <w:rsid w:val="00F0581D"/>
    <w:rsid w:val="00F05838"/>
    <w:rsid w:val="00F05F54"/>
    <w:rsid w:val="00F0603A"/>
    <w:rsid w:val="00F060AE"/>
    <w:rsid w:val="00F061B3"/>
    <w:rsid w:val="00F061D8"/>
    <w:rsid w:val="00F06265"/>
    <w:rsid w:val="00F062AB"/>
    <w:rsid w:val="00F06361"/>
    <w:rsid w:val="00F0653E"/>
    <w:rsid w:val="00F06571"/>
    <w:rsid w:val="00F066C3"/>
    <w:rsid w:val="00F066CB"/>
    <w:rsid w:val="00F06AE9"/>
    <w:rsid w:val="00F06B29"/>
    <w:rsid w:val="00F06EAB"/>
    <w:rsid w:val="00F071D6"/>
    <w:rsid w:val="00F07282"/>
    <w:rsid w:val="00F073FA"/>
    <w:rsid w:val="00F07450"/>
    <w:rsid w:val="00F07524"/>
    <w:rsid w:val="00F07600"/>
    <w:rsid w:val="00F0770E"/>
    <w:rsid w:val="00F0782D"/>
    <w:rsid w:val="00F07831"/>
    <w:rsid w:val="00F07848"/>
    <w:rsid w:val="00F078B7"/>
    <w:rsid w:val="00F07A4D"/>
    <w:rsid w:val="00F07A79"/>
    <w:rsid w:val="00F1004F"/>
    <w:rsid w:val="00F100DC"/>
    <w:rsid w:val="00F10116"/>
    <w:rsid w:val="00F10447"/>
    <w:rsid w:val="00F10449"/>
    <w:rsid w:val="00F10578"/>
    <w:rsid w:val="00F108F7"/>
    <w:rsid w:val="00F109CF"/>
    <w:rsid w:val="00F109DA"/>
    <w:rsid w:val="00F109FE"/>
    <w:rsid w:val="00F10A8D"/>
    <w:rsid w:val="00F10A9C"/>
    <w:rsid w:val="00F10CE5"/>
    <w:rsid w:val="00F10DF9"/>
    <w:rsid w:val="00F10E6D"/>
    <w:rsid w:val="00F10EE1"/>
    <w:rsid w:val="00F10F17"/>
    <w:rsid w:val="00F1106C"/>
    <w:rsid w:val="00F11395"/>
    <w:rsid w:val="00F11443"/>
    <w:rsid w:val="00F114BA"/>
    <w:rsid w:val="00F11534"/>
    <w:rsid w:val="00F11542"/>
    <w:rsid w:val="00F1161A"/>
    <w:rsid w:val="00F118AF"/>
    <w:rsid w:val="00F118F6"/>
    <w:rsid w:val="00F11B64"/>
    <w:rsid w:val="00F11C5A"/>
    <w:rsid w:val="00F11CD8"/>
    <w:rsid w:val="00F11CEB"/>
    <w:rsid w:val="00F11DE3"/>
    <w:rsid w:val="00F11E04"/>
    <w:rsid w:val="00F11F93"/>
    <w:rsid w:val="00F11F97"/>
    <w:rsid w:val="00F122EC"/>
    <w:rsid w:val="00F1232E"/>
    <w:rsid w:val="00F12333"/>
    <w:rsid w:val="00F1233D"/>
    <w:rsid w:val="00F12695"/>
    <w:rsid w:val="00F126A9"/>
    <w:rsid w:val="00F1273D"/>
    <w:rsid w:val="00F128AD"/>
    <w:rsid w:val="00F129A4"/>
    <w:rsid w:val="00F12CA0"/>
    <w:rsid w:val="00F12CF1"/>
    <w:rsid w:val="00F12E41"/>
    <w:rsid w:val="00F12EBE"/>
    <w:rsid w:val="00F12EE0"/>
    <w:rsid w:val="00F12F6B"/>
    <w:rsid w:val="00F12FBA"/>
    <w:rsid w:val="00F13028"/>
    <w:rsid w:val="00F1311A"/>
    <w:rsid w:val="00F13231"/>
    <w:rsid w:val="00F132C0"/>
    <w:rsid w:val="00F133B6"/>
    <w:rsid w:val="00F13627"/>
    <w:rsid w:val="00F13744"/>
    <w:rsid w:val="00F13904"/>
    <w:rsid w:val="00F1394C"/>
    <w:rsid w:val="00F139AD"/>
    <w:rsid w:val="00F13A66"/>
    <w:rsid w:val="00F13C2A"/>
    <w:rsid w:val="00F13C7B"/>
    <w:rsid w:val="00F13E61"/>
    <w:rsid w:val="00F13F0A"/>
    <w:rsid w:val="00F13FB0"/>
    <w:rsid w:val="00F13FB6"/>
    <w:rsid w:val="00F1407C"/>
    <w:rsid w:val="00F140E5"/>
    <w:rsid w:val="00F1444B"/>
    <w:rsid w:val="00F144C2"/>
    <w:rsid w:val="00F14672"/>
    <w:rsid w:val="00F147A5"/>
    <w:rsid w:val="00F1480D"/>
    <w:rsid w:val="00F14810"/>
    <w:rsid w:val="00F148A9"/>
    <w:rsid w:val="00F14D88"/>
    <w:rsid w:val="00F14DB5"/>
    <w:rsid w:val="00F1503E"/>
    <w:rsid w:val="00F15467"/>
    <w:rsid w:val="00F1564F"/>
    <w:rsid w:val="00F15657"/>
    <w:rsid w:val="00F15834"/>
    <w:rsid w:val="00F15B7D"/>
    <w:rsid w:val="00F16099"/>
    <w:rsid w:val="00F1614F"/>
    <w:rsid w:val="00F1634F"/>
    <w:rsid w:val="00F16383"/>
    <w:rsid w:val="00F163AB"/>
    <w:rsid w:val="00F164AA"/>
    <w:rsid w:val="00F16779"/>
    <w:rsid w:val="00F167E4"/>
    <w:rsid w:val="00F167E7"/>
    <w:rsid w:val="00F168E3"/>
    <w:rsid w:val="00F1696F"/>
    <w:rsid w:val="00F16A13"/>
    <w:rsid w:val="00F16EF7"/>
    <w:rsid w:val="00F16F80"/>
    <w:rsid w:val="00F174A8"/>
    <w:rsid w:val="00F17510"/>
    <w:rsid w:val="00F175E5"/>
    <w:rsid w:val="00F176EA"/>
    <w:rsid w:val="00F177E7"/>
    <w:rsid w:val="00F179D5"/>
    <w:rsid w:val="00F17A7D"/>
    <w:rsid w:val="00F17B46"/>
    <w:rsid w:val="00F17CC3"/>
    <w:rsid w:val="00F17CD3"/>
    <w:rsid w:val="00F17DB8"/>
    <w:rsid w:val="00F20021"/>
    <w:rsid w:val="00F201D8"/>
    <w:rsid w:val="00F202A3"/>
    <w:rsid w:val="00F203D4"/>
    <w:rsid w:val="00F203D6"/>
    <w:rsid w:val="00F203F6"/>
    <w:rsid w:val="00F2050C"/>
    <w:rsid w:val="00F205B7"/>
    <w:rsid w:val="00F2087F"/>
    <w:rsid w:val="00F20A42"/>
    <w:rsid w:val="00F20B8B"/>
    <w:rsid w:val="00F20BB1"/>
    <w:rsid w:val="00F20C0C"/>
    <w:rsid w:val="00F20EC3"/>
    <w:rsid w:val="00F210DB"/>
    <w:rsid w:val="00F21252"/>
    <w:rsid w:val="00F21381"/>
    <w:rsid w:val="00F213BF"/>
    <w:rsid w:val="00F2147B"/>
    <w:rsid w:val="00F21482"/>
    <w:rsid w:val="00F21498"/>
    <w:rsid w:val="00F2152A"/>
    <w:rsid w:val="00F2157D"/>
    <w:rsid w:val="00F218E9"/>
    <w:rsid w:val="00F21B67"/>
    <w:rsid w:val="00F21B85"/>
    <w:rsid w:val="00F21C1A"/>
    <w:rsid w:val="00F21E11"/>
    <w:rsid w:val="00F21E34"/>
    <w:rsid w:val="00F21F16"/>
    <w:rsid w:val="00F21F29"/>
    <w:rsid w:val="00F21F92"/>
    <w:rsid w:val="00F22162"/>
    <w:rsid w:val="00F22277"/>
    <w:rsid w:val="00F222ED"/>
    <w:rsid w:val="00F2236B"/>
    <w:rsid w:val="00F2243A"/>
    <w:rsid w:val="00F2245F"/>
    <w:rsid w:val="00F2270C"/>
    <w:rsid w:val="00F227A5"/>
    <w:rsid w:val="00F2281C"/>
    <w:rsid w:val="00F22820"/>
    <w:rsid w:val="00F228CC"/>
    <w:rsid w:val="00F2291A"/>
    <w:rsid w:val="00F22937"/>
    <w:rsid w:val="00F2294F"/>
    <w:rsid w:val="00F22B48"/>
    <w:rsid w:val="00F22B88"/>
    <w:rsid w:val="00F22BB8"/>
    <w:rsid w:val="00F22D43"/>
    <w:rsid w:val="00F22D8D"/>
    <w:rsid w:val="00F22DC9"/>
    <w:rsid w:val="00F22E8B"/>
    <w:rsid w:val="00F22E9B"/>
    <w:rsid w:val="00F22EFC"/>
    <w:rsid w:val="00F23060"/>
    <w:rsid w:val="00F231CD"/>
    <w:rsid w:val="00F233EE"/>
    <w:rsid w:val="00F2355C"/>
    <w:rsid w:val="00F235B6"/>
    <w:rsid w:val="00F23639"/>
    <w:rsid w:val="00F23692"/>
    <w:rsid w:val="00F238B1"/>
    <w:rsid w:val="00F239C1"/>
    <w:rsid w:val="00F239C5"/>
    <w:rsid w:val="00F23A12"/>
    <w:rsid w:val="00F23EF9"/>
    <w:rsid w:val="00F23FAB"/>
    <w:rsid w:val="00F24056"/>
    <w:rsid w:val="00F241FC"/>
    <w:rsid w:val="00F241FF"/>
    <w:rsid w:val="00F242E8"/>
    <w:rsid w:val="00F24312"/>
    <w:rsid w:val="00F24344"/>
    <w:rsid w:val="00F243DF"/>
    <w:rsid w:val="00F24637"/>
    <w:rsid w:val="00F24C4E"/>
    <w:rsid w:val="00F24F8A"/>
    <w:rsid w:val="00F24FA2"/>
    <w:rsid w:val="00F25019"/>
    <w:rsid w:val="00F251AA"/>
    <w:rsid w:val="00F251C0"/>
    <w:rsid w:val="00F2532A"/>
    <w:rsid w:val="00F253CA"/>
    <w:rsid w:val="00F25413"/>
    <w:rsid w:val="00F2550A"/>
    <w:rsid w:val="00F255E0"/>
    <w:rsid w:val="00F25754"/>
    <w:rsid w:val="00F258DD"/>
    <w:rsid w:val="00F259C6"/>
    <w:rsid w:val="00F25A53"/>
    <w:rsid w:val="00F25B9D"/>
    <w:rsid w:val="00F25DA8"/>
    <w:rsid w:val="00F25DD3"/>
    <w:rsid w:val="00F25E1A"/>
    <w:rsid w:val="00F25EEE"/>
    <w:rsid w:val="00F25F7A"/>
    <w:rsid w:val="00F26032"/>
    <w:rsid w:val="00F261E9"/>
    <w:rsid w:val="00F26227"/>
    <w:rsid w:val="00F26239"/>
    <w:rsid w:val="00F2627B"/>
    <w:rsid w:val="00F26282"/>
    <w:rsid w:val="00F2632A"/>
    <w:rsid w:val="00F2638F"/>
    <w:rsid w:val="00F26402"/>
    <w:rsid w:val="00F26531"/>
    <w:rsid w:val="00F265BE"/>
    <w:rsid w:val="00F2663A"/>
    <w:rsid w:val="00F26746"/>
    <w:rsid w:val="00F26B06"/>
    <w:rsid w:val="00F26BA2"/>
    <w:rsid w:val="00F26C60"/>
    <w:rsid w:val="00F26D3B"/>
    <w:rsid w:val="00F271B7"/>
    <w:rsid w:val="00F2720D"/>
    <w:rsid w:val="00F2725F"/>
    <w:rsid w:val="00F272AB"/>
    <w:rsid w:val="00F273D3"/>
    <w:rsid w:val="00F2754E"/>
    <w:rsid w:val="00F27584"/>
    <w:rsid w:val="00F2760A"/>
    <w:rsid w:val="00F2763D"/>
    <w:rsid w:val="00F27766"/>
    <w:rsid w:val="00F27808"/>
    <w:rsid w:val="00F279AA"/>
    <w:rsid w:val="00F27A7D"/>
    <w:rsid w:val="00F27B2F"/>
    <w:rsid w:val="00F27B97"/>
    <w:rsid w:val="00F27EA6"/>
    <w:rsid w:val="00F27EDF"/>
    <w:rsid w:val="00F27F86"/>
    <w:rsid w:val="00F27F95"/>
    <w:rsid w:val="00F300E8"/>
    <w:rsid w:val="00F30135"/>
    <w:rsid w:val="00F30167"/>
    <w:rsid w:val="00F3016D"/>
    <w:rsid w:val="00F30551"/>
    <w:rsid w:val="00F30613"/>
    <w:rsid w:val="00F30A08"/>
    <w:rsid w:val="00F30AE8"/>
    <w:rsid w:val="00F30B58"/>
    <w:rsid w:val="00F30BB2"/>
    <w:rsid w:val="00F30D56"/>
    <w:rsid w:val="00F30E8D"/>
    <w:rsid w:val="00F310B5"/>
    <w:rsid w:val="00F310D5"/>
    <w:rsid w:val="00F31166"/>
    <w:rsid w:val="00F31310"/>
    <w:rsid w:val="00F31379"/>
    <w:rsid w:val="00F314D8"/>
    <w:rsid w:val="00F314F3"/>
    <w:rsid w:val="00F3150A"/>
    <w:rsid w:val="00F315A8"/>
    <w:rsid w:val="00F31632"/>
    <w:rsid w:val="00F316BE"/>
    <w:rsid w:val="00F31790"/>
    <w:rsid w:val="00F317E5"/>
    <w:rsid w:val="00F31875"/>
    <w:rsid w:val="00F31A2D"/>
    <w:rsid w:val="00F31A40"/>
    <w:rsid w:val="00F31F44"/>
    <w:rsid w:val="00F32100"/>
    <w:rsid w:val="00F3219C"/>
    <w:rsid w:val="00F324EE"/>
    <w:rsid w:val="00F3271F"/>
    <w:rsid w:val="00F3289F"/>
    <w:rsid w:val="00F32947"/>
    <w:rsid w:val="00F32961"/>
    <w:rsid w:val="00F329B9"/>
    <w:rsid w:val="00F32A12"/>
    <w:rsid w:val="00F32ADC"/>
    <w:rsid w:val="00F32B85"/>
    <w:rsid w:val="00F32CF7"/>
    <w:rsid w:val="00F3329B"/>
    <w:rsid w:val="00F332F3"/>
    <w:rsid w:val="00F33330"/>
    <w:rsid w:val="00F33339"/>
    <w:rsid w:val="00F333D7"/>
    <w:rsid w:val="00F335D1"/>
    <w:rsid w:val="00F33872"/>
    <w:rsid w:val="00F338C0"/>
    <w:rsid w:val="00F339A7"/>
    <w:rsid w:val="00F33AA3"/>
    <w:rsid w:val="00F33B12"/>
    <w:rsid w:val="00F33DA1"/>
    <w:rsid w:val="00F33DEF"/>
    <w:rsid w:val="00F33F19"/>
    <w:rsid w:val="00F34254"/>
    <w:rsid w:val="00F34291"/>
    <w:rsid w:val="00F34365"/>
    <w:rsid w:val="00F34604"/>
    <w:rsid w:val="00F346E9"/>
    <w:rsid w:val="00F347C6"/>
    <w:rsid w:val="00F34837"/>
    <w:rsid w:val="00F34A03"/>
    <w:rsid w:val="00F34AB7"/>
    <w:rsid w:val="00F34C80"/>
    <w:rsid w:val="00F34C83"/>
    <w:rsid w:val="00F34D94"/>
    <w:rsid w:val="00F34F17"/>
    <w:rsid w:val="00F352DA"/>
    <w:rsid w:val="00F35325"/>
    <w:rsid w:val="00F35327"/>
    <w:rsid w:val="00F3540A"/>
    <w:rsid w:val="00F35428"/>
    <w:rsid w:val="00F35734"/>
    <w:rsid w:val="00F35757"/>
    <w:rsid w:val="00F35768"/>
    <w:rsid w:val="00F35A02"/>
    <w:rsid w:val="00F35D8D"/>
    <w:rsid w:val="00F35E53"/>
    <w:rsid w:val="00F35E9E"/>
    <w:rsid w:val="00F35F2C"/>
    <w:rsid w:val="00F35F7A"/>
    <w:rsid w:val="00F35FEA"/>
    <w:rsid w:val="00F35FF1"/>
    <w:rsid w:val="00F35FF9"/>
    <w:rsid w:val="00F3604B"/>
    <w:rsid w:val="00F36059"/>
    <w:rsid w:val="00F36094"/>
    <w:rsid w:val="00F360B7"/>
    <w:rsid w:val="00F3641E"/>
    <w:rsid w:val="00F3648D"/>
    <w:rsid w:val="00F364C4"/>
    <w:rsid w:val="00F364F5"/>
    <w:rsid w:val="00F36527"/>
    <w:rsid w:val="00F3672F"/>
    <w:rsid w:val="00F3682C"/>
    <w:rsid w:val="00F36875"/>
    <w:rsid w:val="00F36D66"/>
    <w:rsid w:val="00F36DF5"/>
    <w:rsid w:val="00F36E6B"/>
    <w:rsid w:val="00F36F23"/>
    <w:rsid w:val="00F37022"/>
    <w:rsid w:val="00F370AD"/>
    <w:rsid w:val="00F3710C"/>
    <w:rsid w:val="00F37481"/>
    <w:rsid w:val="00F37535"/>
    <w:rsid w:val="00F37553"/>
    <w:rsid w:val="00F375F6"/>
    <w:rsid w:val="00F37663"/>
    <w:rsid w:val="00F37681"/>
    <w:rsid w:val="00F37924"/>
    <w:rsid w:val="00F37A0B"/>
    <w:rsid w:val="00F37BA4"/>
    <w:rsid w:val="00F37C70"/>
    <w:rsid w:val="00F37D5F"/>
    <w:rsid w:val="00F37E21"/>
    <w:rsid w:val="00F37ECD"/>
    <w:rsid w:val="00F4025A"/>
    <w:rsid w:val="00F40273"/>
    <w:rsid w:val="00F402A9"/>
    <w:rsid w:val="00F40321"/>
    <w:rsid w:val="00F40337"/>
    <w:rsid w:val="00F4041F"/>
    <w:rsid w:val="00F40540"/>
    <w:rsid w:val="00F40629"/>
    <w:rsid w:val="00F4069A"/>
    <w:rsid w:val="00F4070C"/>
    <w:rsid w:val="00F4078D"/>
    <w:rsid w:val="00F40799"/>
    <w:rsid w:val="00F408CF"/>
    <w:rsid w:val="00F4090E"/>
    <w:rsid w:val="00F409D7"/>
    <w:rsid w:val="00F40A2E"/>
    <w:rsid w:val="00F40B47"/>
    <w:rsid w:val="00F40BEB"/>
    <w:rsid w:val="00F40C7E"/>
    <w:rsid w:val="00F410B3"/>
    <w:rsid w:val="00F410C2"/>
    <w:rsid w:val="00F41147"/>
    <w:rsid w:val="00F4125C"/>
    <w:rsid w:val="00F41302"/>
    <w:rsid w:val="00F4132A"/>
    <w:rsid w:val="00F413A0"/>
    <w:rsid w:val="00F413D9"/>
    <w:rsid w:val="00F41411"/>
    <w:rsid w:val="00F41465"/>
    <w:rsid w:val="00F414C6"/>
    <w:rsid w:val="00F416BE"/>
    <w:rsid w:val="00F417EB"/>
    <w:rsid w:val="00F4193F"/>
    <w:rsid w:val="00F41982"/>
    <w:rsid w:val="00F41A44"/>
    <w:rsid w:val="00F41A5B"/>
    <w:rsid w:val="00F41B27"/>
    <w:rsid w:val="00F41BBA"/>
    <w:rsid w:val="00F41E5B"/>
    <w:rsid w:val="00F41E87"/>
    <w:rsid w:val="00F41FCD"/>
    <w:rsid w:val="00F4206F"/>
    <w:rsid w:val="00F4213E"/>
    <w:rsid w:val="00F4226D"/>
    <w:rsid w:val="00F42446"/>
    <w:rsid w:val="00F42496"/>
    <w:rsid w:val="00F424DD"/>
    <w:rsid w:val="00F42537"/>
    <w:rsid w:val="00F425AA"/>
    <w:rsid w:val="00F42661"/>
    <w:rsid w:val="00F4271F"/>
    <w:rsid w:val="00F429CE"/>
    <w:rsid w:val="00F42A71"/>
    <w:rsid w:val="00F42AA2"/>
    <w:rsid w:val="00F42BAC"/>
    <w:rsid w:val="00F42F9D"/>
    <w:rsid w:val="00F43015"/>
    <w:rsid w:val="00F43306"/>
    <w:rsid w:val="00F433C9"/>
    <w:rsid w:val="00F435F0"/>
    <w:rsid w:val="00F4361E"/>
    <w:rsid w:val="00F4363D"/>
    <w:rsid w:val="00F437AD"/>
    <w:rsid w:val="00F438B6"/>
    <w:rsid w:val="00F438C3"/>
    <w:rsid w:val="00F438C5"/>
    <w:rsid w:val="00F43A8B"/>
    <w:rsid w:val="00F43C23"/>
    <w:rsid w:val="00F43CA6"/>
    <w:rsid w:val="00F43CF7"/>
    <w:rsid w:val="00F43E1C"/>
    <w:rsid w:val="00F4406E"/>
    <w:rsid w:val="00F44096"/>
    <w:rsid w:val="00F4418B"/>
    <w:rsid w:val="00F441FD"/>
    <w:rsid w:val="00F442D5"/>
    <w:rsid w:val="00F44684"/>
    <w:rsid w:val="00F447D5"/>
    <w:rsid w:val="00F44999"/>
    <w:rsid w:val="00F44CF2"/>
    <w:rsid w:val="00F44D20"/>
    <w:rsid w:val="00F44E7B"/>
    <w:rsid w:val="00F4502A"/>
    <w:rsid w:val="00F45540"/>
    <w:rsid w:val="00F45601"/>
    <w:rsid w:val="00F45646"/>
    <w:rsid w:val="00F462B8"/>
    <w:rsid w:val="00F46370"/>
    <w:rsid w:val="00F4671B"/>
    <w:rsid w:val="00F46A03"/>
    <w:rsid w:val="00F46A6A"/>
    <w:rsid w:val="00F46AA6"/>
    <w:rsid w:val="00F46AB4"/>
    <w:rsid w:val="00F46C5E"/>
    <w:rsid w:val="00F46C8A"/>
    <w:rsid w:val="00F46DBB"/>
    <w:rsid w:val="00F46FD7"/>
    <w:rsid w:val="00F47235"/>
    <w:rsid w:val="00F472B2"/>
    <w:rsid w:val="00F472DE"/>
    <w:rsid w:val="00F47340"/>
    <w:rsid w:val="00F473C1"/>
    <w:rsid w:val="00F473E4"/>
    <w:rsid w:val="00F47465"/>
    <w:rsid w:val="00F474B7"/>
    <w:rsid w:val="00F4765D"/>
    <w:rsid w:val="00F478C1"/>
    <w:rsid w:val="00F47A79"/>
    <w:rsid w:val="00F47B80"/>
    <w:rsid w:val="00F47BA5"/>
    <w:rsid w:val="00F47F39"/>
    <w:rsid w:val="00F50076"/>
    <w:rsid w:val="00F50110"/>
    <w:rsid w:val="00F5014A"/>
    <w:rsid w:val="00F5036A"/>
    <w:rsid w:val="00F5042B"/>
    <w:rsid w:val="00F50438"/>
    <w:rsid w:val="00F5044B"/>
    <w:rsid w:val="00F505D7"/>
    <w:rsid w:val="00F5070F"/>
    <w:rsid w:val="00F508E6"/>
    <w:rsid w:val="00F508FA"/>
    <w:rsid w:val="00F509E4"/>
    <w:rsid w:val="00F50C38"/>
    <w:rsid w:val="00F50DE2"/>
    <w:rsid w:val="00F50E2F"/>
    <w:rsid w:val="00F50E9E"/>
    <w:rsid w:val="00F511FE"/>
    <w:rsid w:val="00F5121D"/>
    <w:rsid w:val="00F51271"/>
    <w:rsid w:val="00F51275"/>
    <w:rsid w:val="00F51400"/>
    <w:rsid w:val="00F514D7"/>
    <w:rsid w:val="00F5172E"/>
    <w:rsid w:val="00F51812"/>
    <w:rsid w:val="00F5198E"/>
    <w:rsid w:val="00F519E1"/>
    <w:rsid w:val="00F51AB1"/>
    <w:rsid w:val="00F51DAE"/>
    <w:rsid w:val="00F51DCE"/>
    <w:rsid w:val="00F51F7B"/>
    <w:rsid w:val="00F51FA5"/>
    <w:rsid w:val="00F5204A"/>
    <w:rsid w:val="00F520EF"/>
    <w:rsid w:val="00F5221D"/>
    <w:rsid w:val="00F5223B"/>
    <w:rsid w:val="00F52341"/>
    <w:rsid w:val="00F524A2"/>
    <w:rsid w:val="00F526A2"/>
    <w:rsid w:val="00F5284F"/>
    <w:rsid w:val="00F528A3"/>
    <w:rsid w:val="00F528E5"/>
    <w:rsid w:val="00F52A48"/>
    <w:rsid w:val="00F52AC1"/>
    <w:rsid w:val="00F52B93"/>
    <w:rsid w:val="00F52C10"/>
    <w:rsid w:val="00F52F1B"/>
    <w:rsid w:val="00F52FFB"/>
    <w:rsid w:val="00F533C0"/>
    <w:rsid w:val="00F539D7"/>
    <w:rsid w:val="00F53AA0"/>
    <w:rsid w:val="00F53C56"/>
    <w:rsid w:val="00F53E7F"/>
    <w:rsid w:val="00F53F99"/>
    <w:rsid w:val="00F5404A"/>
    <w:rsid w:val="00F54313"/>
    <w:rsid w:val="00F54398"/>
    <w:rsid w:val="00F543AF"/>
    <w:rsid w:val="00F5460C"/>
    <w:rsid w:val="00F54768"/>
    <w:rsid w:val="00F54784"/>
    <w:rsid w:val="00F54A8B"/>
    <w:rsid w:val="00F54B9E"/>
    <w:rsid w:val="00F54BBA"/>
    <w:rsid w:val="00F54C18"/>
    <w:rsid w:val="00F54E7D"/>
    <w:rsid w:val="00F54E84"/>
    <w:rsid w:val="00F55042"/>
    <w:rsid w:val="00F5510A"/>
    <w:rsid w:val="00F552BB"/>
    <w:rsid w:val="00F55312"/>
    <w:rsid w:val="00F553BE"/>
    <w:rsid w:val="00F55462"/>
    <w:rsid w:val="00F5559A"/>
    <w:rsid w:val="00F555C5"/>
    <w:rsid w:val="00F55605"/>
    <w:rsid w:val="00F55617"/>
    <w:rsid w:val="00F55676"/>
    <w:rsid w:val="00F55715"/>
    <w:rsid w:val="00F55A0F"/>
    <w:rsid w:val="00F55AAE"/>
    <w:rsid w:val="00F55ACB"/>
    <w:rsid w:val="00F55AFB"/>
    <w:rsid w:val="00F55CE9"/>
    <w:rsid w:val="00F55D1A"/>
    <w:rsid w:val="00F55E88"/>
    <w:rsid w:val="00F55E96"/>
    <w:rsid w:val="00F55EE4"/>
    <w:rsid w:val="00F55F69"/>
    <w:rsid w:val="00F55F73"/>
    <w:rsid w:val="00F56014"/>
    <w:rsid w:val="00F562EF"/>
    <w:rsid w:val="00F562FD"/>
    <w:rsid w:val="00F56304"/>
    <w:rsid w:val="00F564E1"/>
    <w:rsid w:val="00F5654D"/>
    <w:rsid w:val="00F56893"/>
    <w:rsid w:val="00F56A77"/>
    <w:rsid w:val="00F56ABA"/>
    <w:rsid w:val="00F56BE5"/>
    <w:rsid w:val="00F56BEE"/>
    <w:rsid w:val="00F56C33"/>
    <w:rsid w:val="00F56C91"/>
    <w:rsid w:val="00F56C9F"/>
    <w:rsid w:val="00F56CD1"/>
    <w:rsid w:val="00F56CF7"/>
    <w:rsid w:val="00F56DD7"/>
    <w:rsid w:val="00F572DF"/>
    <w:rsid w:val="00F573E0"/>
    <w:rsid w:val="00F57450"/>
    <w:rsid w:val="00F574EC"/>
    <w:rsid w:val="00F5753C"/>
    <w:rsid w:val="00F576A9"/>
    <w:rsid w:val="00F57784"/>
    <w:rsid w:val="00F57877"/>
    <w:rsid w:val="00F57963"/>
    <w:rsid w:val="00F579F6"/>
    <w:rsid w:val="00F57B0E"/>
    <w:rsid w:val="00F57C2D"/>
    <w:rsid w:val="00F57C76"/>
    <w:rsid w:val="00F57D73"/>
    <w:rsid w:val="00F57EBA"/>
    <w:rsid w:val="00F57F80"/>
    <w:rsid w:val="00F6005C"/>
    <w:rsid w:val="00F60081"/>
    <w:rsid w:val="00F60168"/>
    <w:rsid w:val="00F603A8"/>
    <w:rsid w:val="00F6044D"/>
    <w:rsid w:val="00F604D0"/>
    <w:rsid w:val="00F60561"/>
    <w:rsid w:val="00F60696"/>
    <w:rsid w:val="00F60865"/>
    <w:rsid w:val="00F60930"/>
    <w:rsid w:val="00F60A0A"/>
    <w:rsid w:val="00F60A15"/>
    <w:rsid w:val="00F60A67"/>
    <w:rsid w:val="00F60C4C"/>
    <w:rsid w:val="00F60D6B"/>
    <w:rsid w:val="00F60D78"/>
    <w:rsid w:val="00F60DC3"/>
    <w:rsid w:val="00F60E4F"/>
    <w:rsid w:val="00F60EA7"/>
    <w:rsid w:val="00F60EB0"/>
    <w:rsid w:val="00F61024"/>
    <w:rsid w:val="00F61475"/>
    <w:rsid w:val="00F614D5"/>
    <w:rsid w:val="00F614D9"/>
    <w:rsid w:val="00F619FE"/>
    <w:rsid w:val="00F61A97"/>
    <w:rsid w:val="00F61DB8"/>
    <w:rsid w:val="00F61E39"/>
    <w:rsid w:val="00F62162"/>
    <w:rsid w:val="00F62277"/>
    <w:rsid w:val="00F62326"/>
    <w:rsid w:val="00F624BC"/>
    <w:rsid w:val="00F625DF"/>
    <w:rsid w:val="00F626DC"/>
    <w:rsid w:val="00F6276E"/>
    <w:rsid w:val="00F62780"/>
    <w:rsid w:val="00F627BC"/>
    <w:rsid w:val="00F628DD"/>
    <w:rsid w:val="00F62942"/>
    <w:rsid w:val="00F62A8E"/>
    <w:rsid w:val="00F62B78"/>
    <w:rsid w:val="00F62D86"/>
    <w:rsid w:val="00F63098"/>
    <w:rsid w:val="00F631DF"/>
    <w:rsid w:val="00F63256"/>
    <w:rsid w:val="00F633C6"/>
    <w:rsid w:val="00F63951"/>
    <w:rsid w:val="00F639FE"/>
    <w:rsid w:val="00F63E00"/>
    <w:rsid w:val="00F63E7B"/>
    <w:rsid w:val="00F641AC"/>
    <w:rsid w:val="00F645FE"/>
    <w:rsid w:val="00F647F7"/>
    <w:rsid w:val="00F648A6"/>
    <w:rsid w:val="00F6491E"/>
    <w:rsid w:val="00F64B99"/>
    <w:rsid w:val="00F64DE3"/>
    <w:rsid w:val="00F64DF2"/>
    <w:rsid w:val="00F64F36"/>
    <w:rsid w:val="00F6500C"/>
    <w:rsid w:val="00F65026"/>
    <w:rsid w:val="00F65188"/>
    <w:rsid w:val="00F651B4"/>
    <w:rsid w:val="00F6551C"/>
    <w:rsid w:val="00F65692"/>
    <w:rsid w:val="00F65736"/>
    <w:rsid w:val="00F65C67"/>
    <w:rsid w:val="00F65E30"/>
    <w:rsid w:val="00F6612D"/>
    <w:rsid w:val="00F66225"/>
    <w:rsid w:val="00F6622D"/>
    <w:rsid w:val="00F66266"/>
    <w:rsid w:val="00F662B5"/>
    <w:rsid w:val="00F664FF"/>
    <w:rsid w:val="00F6655E"/>
    <w:rsid w:val="00F66ABE"/>
    <w:rsid w:val="00F66CE0"/>
    <w:rsid w:val="00F66D32"/>
    <w:rsid w:val="00F66D66"/>
    <w:rsid w:val="00F66ED9"/>
    <w:rsid w:val="00F66F63"/>
    <w:rsid w:val="00F67055"/>
    <w:rsid w:val="00F67215"/>
    <w:rsid w:val="00F6731D"/>
    <w:rsid w:val="00F67363"/>
    <w:rsid w:val="00F67684"/>
    <w:rsid w:val="00F677A0"/>
    <w:rsid w:val="00F67955"/>
    <w:rsid w:val="00F67CDA"/>
    <w:rsid w:val="00F67DBD"/>
    <w:rsid w:val="00F70140"/>
    <w:rsid w:val="00F70148"/>
    <w:rsid w:val="00F704F0"/>
    <w:rsid w:val="00F7057E"/>
    <w:rsid w:val="00F70644"/>
    <w:rsid w:val="00F708B8"/>
    <w:rsid w:val="00F7096B"/>
    <w:rsid w:val="00F70BE9"/>
    <w:rsid w:val="00F70C52"/>
    <w:rsid w:val="00F70C61"/>
    <w:rsid w:val="00F70C69"/>
    <w:rsid w:val="00F70C71"/>
    <w:rsid w:val="00F70CDE"/>
    <w:rsid w:val="00F70D62"/>
    <w:rsid w:val="00F70EFF"/>
    <w:rsid w:val="00F71013"/>
    <w:rsid w:val="00F712EF"/>
    <w:rsid w:val="00F7135B"/>
    <w:rsid w:val="00F71867"/>
    <w:rsid w:val="00F71908"/>
    <w:rsid w:val="00F719AF"/>
    <w:rsid w:val="00F71A0F"/>
    <w:rsid w:val="00F71B05"/>
    <w:rsid w:val="00F71EBD"/>
    <w:rsid w:val="00F71EED"/>
    <w:rsid w:val="00F71F5C"/>
    <w:rsid w:val="00F721A3"/>
    <w:rsid w:val="00F72331"/>
    <w:rsid w:val="00F724D3"/>
    <w:rsid w:val="00F724F2"/>
    <w:rsid w:val="00F7264B"/>
    <w:rsid w:val="00F7266F"/>
    <w:rsid w:val="00F727AC"/>
    <w:rsid w:val="00F72945"/>
    <w:rsid w:val="00F72AA0"/>
    <w:rsid w:val="00F72B84"/>
    <w:rsid w:val="00F72C4A"/>
    <w:rsid w:val="00F72E94"/>
    <w:rsid w:val="00F72F45"/>
    <w:rsid w:val="00F72F9F"/>
    <w:rsid w:val="00F730AF"/>
    <w:rsid w:val="00F734A1"/>
    <w:rsid w:val="00F735D4"/>
    <w:rsid w:val="00F73618"/>
    <w:rsid w:val="00F73635"/>
    <w:rsid w:val="00F737E8"/>
    <w:rsid w:val="00F73B5E"/>
    <w:rsid w:val="00F73C6D"/>
    <w:rsid w:val="00F73DDB"/>
    <w:rsid w:val="00F73DDD"/>
    <w:rsid w:val="00F73E55"/>
    <w:rsid w:val="00F73F18"/>
    <w:rsid w:val="00F74163"/>
    <w:rsid w:val="00F7423E"/>
    <w:rsid w:val="00F7426A"/>
    <w:rsid w:val="00F7430D"/>
    <w:rsid w:val="00F743E3"/>
    <w:rsid w:val="00F7453A"/>
    <w:rsid w:val="00F74860"/>
    <w:rsid w:val="00F74883"/>
    <w:rsid w:val="00F74949"/>
    <w:rsid w:val="00F74D61"/>
    <w:rsid w:val="00F74DBE"/>
    <w:rsid w:val="00F74E92"/>
    <w:rsid w:val="00F74FB4"/>
    <w:rsid w:val="00F7503F"/>
    <w:rsid w:val="00F75168"/>
    <w:rsid w:val="00F7520A"/>
    <w:rsid w:val="00F7551E"/>
    <w:rsid w:val="00F75684"/>
    <w:rsid w:val="00F75753"/>
    <w:rsid w:val="00F7576E"/>
    <w:rsid w:val="00F75B70"/>
    <w:rsid w:val="00F75B82"/>
    <w:rsid w:val="00F75B95"/>
    <w:rsid w:val="00F75CB4"/>
    <w:rsid w:val="00F75CE0"/>
    <w:rsid w:val="00F75CFB"/>
    <w:rsid w:val="00F75DF2"/>
    <w:rsid w:val="00F75E10"/>
    <w:rsid w:val="00F75EB6"/>
    <w:rsid w:val="00F75FDD"/>
    <w:rsid w:val="00F75FE2"/>
    <w:rsid w:val="00F76039"/>
    <w:rsid w:val="00F7603D"/>
    <w:rsid w:val="00F760BB"/>
    <w:rsid w:val="00F765A9"/>
    <w:rsid w:val="00F7685B"/>
    <w:rsid w:val="00F768D2"/>
    <w:rsid w:val="00F768DD"/>
    <w:rsid w:val="00F769E5"/>
    <w:rsid w:val="00F76AD1"/>
    <w:rsid w:val="00F76B96"/>
    <w:rsid w:val="00F76CE1"/>
    <w:rsid w:val="00F76FEE"/>
    <w:rsid w:val="00F7702A"/>
    <w:rsid w:val="00F7705E"/>
    <w:rsid w:val="00F7718F"/>
    <w:rsid w:val="00F77234"/>
    <w:rsid w:val="00F7726A"/>
    <w:rsid w:val="00F77460"/>
    <w:rsid w:val="00F77501"/>
    <w:rsid w:val="00F777F0"/>
    <w:rsid w:val="00F7788A"/>
    <w:rsid w:val="00F77A5A"/>
    <w:rsid w:val="00F77EF0"/>
    <w:rsid w:val="00F77F16"/>
    <w:rsid w:val="00F800D1"/>
    <w:rsid w:val="00F80129"/>
    <w:rsid w:val="00F802E7"/>
    <w:rsid w:val="00F802FC"/>
    <w:rsid w:val="00F8039A"/>
    <w:rsid w:val="00F80430"/>
    <w:rsid w:val="00F80451"/>
    <w:rsid w:val="00F80466"/>
    <w:rsid w:val="00F8049B"/>
    <w:rsid w:val="00F805B6"/>
    <w:rsid w:val="00F80B0B"/>
    <w:rsid w:val="00F80F52"/>
    <w:rsid w:val="00F81191"/>
    <w:rsid w:val="00F815A0"/>
    <w:rsid w:val="00F8162E"/>
    <w:rsid w:val="00F8165E"/>
    <w:rsid w:val="00F81699"/>
    <w:rsid w:val="00F817D6"/>
    <w:rsid w:val="00F81810"/>
    <w:rsid w:val="00F8184B"/>
    <w:rsid w:val="00F81948"/>
    <w:rsid w:val="00F81965"/>
    <w:rsid w:val="00F819BC"/>
    <w:rsid w:val="00F81A23"/>
    <w:rsid w:val="00F81B79"/>
    <w:rsid w:val="00F81C77"/>
    <w:rsid w:val="00F81EE3"/>
    <w:rsid w:val="00F8226D"/>
    <w:rsid w:val="00F823C1"/>
    <w:rsid w:val="00F82444"/>
    <w:rsid w:val="00F826AC"/>
    <w:rsid w:val="00F82A05"/>
    <w:rsid w:val="00F82ADD"/>
    <w:rsid w:val="00F82CFE"/>
    <w:rsid w:val="00F82D54"/>
    <w:rsid w:val="00F82E57"/>
    <w:rsid w:val="00F82ECB"/>
    <w:rsid w:val="00F831A5"/>
    <w:rsid w:val="00F835CD"/>
    <w:rsid w:val="00F83663"/>
    <w:rsid w:val="00F8369D"/>
    <w:rsid w:val="00F83A08"/>
    <w:rsid w:val="00F83B16"/>
    <w:rsid w:val="00F83B1F"/>
    <w:rsid w:val="00F83BF0"/>
    <w:rsid w:val="00F83CEE"/>
    <w:rsid w:val="00F83F31"/>
    <w:rsid w:val="00F84268"/>
    <w:rsid w:val="00F842DF"/>
    <w:rsid w:val="00F842E0"/>
    <w:rsid w:val="00F844F4"/>
    <w:rsid w:val="00F845A4"/>
    <w:rsid w:val="00F84686"/>
    <w:rsid w:val="00F846FC"/>
    <w:rsid w:val="00F84789"/>
    <w:rsid w:val="00F847B2"/>
    <w:rsid w:val="00F848BD"/>
    <w:rsid w:val="00F84B31"/>
    <w:rsid w:val="00F84D0B"/>
    <w:rsid w:val="00F84EBE"/>
    <w:rsid w:val="00F84EEB"/>
    <w:rsid w:val="00F84EEF"/>
    <w:rsid w:val="00F85016"/>
    <w:rsid w:val="00F85040"/>
    <w:rsid w:val="00F850DC"/>
    <w:rsid w:val="00F85116"/>
    <w:rsid w:val="00F851A4"/>
    <w:rsid w:val="00F852CA"/>
    <w:rsid w:val="00F85495"/>
    <w:rsid w:val="00F854AF"/>
    <w:rsid w:val="00F85585"/>
    <w:rsid w:val="00F855B6"/>
    <w:rsid w:val="00F8582D"/>
    <w:rsid w:val="00F85830"/>
    <w:rsid w:val="00F859AA"/>
    <w:rsid w:val="00F859E1"/>
    <w:rsid w:val="00F85B5B"/>
    <w:rsid w:val="00F85BA3"/>
    <w:rsid w:val="00F85BFC"/>
    <w:rsid w:val="00F85CA1"/>
    <w:rsid w:val="00F85E27"/>
    <w:rsid w:val="00F85EFD"/>
    <w:rsid w:val="00F85FFC"/>
    <w:rsid w:val="00F860C2"/>
    <w:rsid w:val="00F8612E"/>
    <w:rsid w:val="00F86249"/>
    <w:rsid w:val="00F86281"/>
    <w:rsid w:val="00F86288"/>
    <w:rsid w:val="00F86637"/>
    <w:rsid w:val="00F8676D"/>
    <w:rsid w:val="00F867F7"/>
    <w:rsid w:val="00F8696C"/>
    <w:rsid w:val="00F86D9F"/>
    <w:rsid w:val="00F86F88"/>
    <w:rsid w:val="00F87026"/>
    <w:rsid w:val="00F8705C"/>
    <w:rsid w:val="00F8720D"/>
    <w:rsid w:val="00F8740B"/>
    <w:rsid w:val="00F87418"/>
    <w:rsid w:val="00F874B4"/>
    <w:rsid w:val="00F875A8"/>
    <w:rsid w:val="00F8769B"/>
    <w:rsid w:val="00F87708"/>
    <w:rsid w:val="00F87821"/>
    <w:rsid w:val="00F87C4A"/>
    <w:rsid w:val="00F87D11"/>
    <w:rsid w:val="00F87DFB"/>
    <w:rsid w:val="00F87EB8"/>
    <w:rsid w:val="00F87FEB"/>
    <w:rsid w:val="00F90094"/>
    <w:rsid w:val="00F901DC"/>
    <w:rsid w:val="00F90323"/>
    <w:rsid w:val="00F90350"/>
    <w:rsid w:val="00F90398"/>
    <w:rsid w:val="00F9057F"/>
    <w:rsid w:val="00F905E5"/>
    <w:rsid w:val="00F90620"/>
    <w:rsid w:val="00F908B0"/>
    <w:rsid w:val="00F908D2"/>
    <w:rsid w:val="00F90A52"/>
    <w:rsid w:val="00F90B79"/>
    <w:rsid w:val="00F910E6"/>
    <w:rsid w:val="00F91126"/>
    <w:rsid w:val="00F91236"/>
    <w:rsid w:val="00F912AE"/>
    <w:rsid w:val="00F91329"/>
    <w:rsid w:val="00F913E1"/>
    <w:rsid w:val="00F9154C"/>
    <w:rsid w:val="00F91661"/>
    <w:rsid w:val="00F91832"/>
    <w:rsid w:val="00F9185B"/>
    <w:rsid w:val="00F91986"/>
    <w:rsid w:val="00F9198C"/>
    <w:rsid w:val="00F91A04"/>
    <w:rsid w:val="00F91BC6"/>
    <w:rsid w:val="00F91C43"/>
    <w:rsid w:val="00F91C56"/>
    <w:rsid w:val="00F91C75"/>
    <w:rsid w:val="00F9211F"/>
    <w:rsid w:val="00F92149"/>
    <w:rsid w:val="00F923A0"/>
    <w:rsid w:val="00F923DC"/>
    <w:rsid w:val="00F924CD"/>
    <w:rsid w:val="00F92552"/>
    <w:rsid w:val="00F9264D"/>
    <w:rsid w:val="00F9279C"/>
    <w:rsid w:val="00F927E7"/>
    <w:rsid w:val="00F9285C"/>
    <w:rsid w:val="00F92AB9"/>
    <w:rsid w:val="00F92CBB"/>
    <w:rsid w:val="00F92CF6"/>
    <w:rsid w:val="00F92D1A"/>
    <w:rsid w:val="00F930A6"/>
    <w:rsid w:val="00F931CE"/>
    <w:rsid w:val="00F931F3"/>
    <w:rsid w:val="00F9322A"/>
    <w:rsid w:val="00F93430"/>
    <w:rsid w:val="00F935FC"/>
    <w:rsid w:val="00F93619"/>
    <w:rsid w:val="00F9367A"/>
    <w:rsid w:val="00F937A3"/>
    <w:rsid w:val="00F939BA"/>
    <w:rsid w:val="00F93B05"/>
    <w:rsid w:val="00F93E49"/>
    <w:rsid w:val="00F94006"/>
    <w:rsid w:val="00F94150"/>
    <w:rsid w:val="00F941AE"/>
    <w:rsid w:val="00F9447D"/>
    <w:rsid w:val="00F944B6"/>
    <w:rsid w:val="00F9459D"/>
    <w:rsid w:val="00F947CA"/>
    <w:rsid w:val="00F947F5"/>
    <w:rsid w:val="00F9481A"/>
    <w:rsid w:val="00F94944"/>
    <w:rsid w:val="00F94A44"/>
    <w:rsid w:val="00F94D8A"/>
    <w:rsid w:val="00F950F1"/>
    <w:rsid w:val="00F9520D"/>
    <w:rsid w:val="00F95471"/>
    <w:rsid w:val="00F954BB"/>
    <w:rsid w:val="00F9550D"/>
    <w:rsid w:val="00F9552B"/>
    <w:rsid w:val="00F955BE"/>
    <w:rsid w:val="00F9567B"/>
    <w:rsid w:val="00F95747"/>
    <w:rsid w:val="00F957AE"/>
    <w:rsid w:val="00F958BE"/>
    <w:rsid w:val="00F95A25"/>
    <w:rsid w:val="00F95ABD"/>
    <w:rsid w:val="00F95C49"/>
    <w:rsid w:val="00F95D73"/>
    <w:rsid w:val="00F95D91"/>
    <w:rsid w:val="00F95DAD"/>
    <w:rsid w:val="00F95DFE"/>
    <w:rsid w:val="00F95E08"/>
    <w:rsid w:val="00F95FB0"/>
    <w:rsid w:val="00F96065"/>
    <w:rsid w:val="00F961C1"/>
    <w:rsid w:val="00F9620B"/>
    <w:rsid w:val="00F96244"/>
    <w:rsid w:val="00F96307"/>
    <w:rsid w:val="00F96398"/>
    <w:rsid w:val="00F96404"/>
    <w:rsid w:val="00F96474"/>
    <w:rsid w:val="00F9649D"/>
    <w:rsid w:val="00F96501"/>
    <w:rsid w:val="00F96557"/>
    <w:rsid w:val="00F96697"/>
    <w:rsid w:val="00F96762"/>
    <w:rsid w:val="00F968C0"/>
    <w:rsid w:val="00F969E9"/>
    <w:rsid w:val="00F96A8B"/>
    <w:rsid w:val="00F96BFA"/>
    <w:rsid w:val="00F96E0F"/>
    <w:rsid w:val="00F96F80"/>
    <w:rsid w:val="00F97059"/>
    <w:rsid w:val="00F97175"/>
    <w:rsid w:val="00F972AE"/>
    <w:rsid w:val="00F97346"/>
    <w:rsid w:val="00F9762A"/>
    <w:rsid w:val="00F9785C"/>
    <w:rsid w:val="00F97BF4"/>
    <w:rsid w:val="00F97CAC"/>
    <w:rsid w:val="00F97D80"/>
    <w:rsid w:val="00F97FD1"/>
    <w:rsid w:val="00FA0382"/>
    <w:rsid w:val="00FA0632"/>
    <w:rsid w:val="00FA0773"/>
    <w:rsid w:val="00FA0851"/>
    <w:rsid w:val="00FA0894"/>
    <w:rsid w:val="00FA0896"/>
    <w:rsid w:val="00FA09DE"/>
    <w:rsid w:val="00FA0A11"/>
    <w:rsid w:val="00FA0A94"/>
    <w:rsid w:val="00FA0BD0"/>
    <w:rsid w:val="00FA0D47"/>
    <w:rsid w:val="00FA0E36"/>
    <w:rsid w:val="00FA0EF3"/>
    <w:rsid w:val="00FA10F4"/>
    <w:rsid w:val="00FA1164"/>
    <w:rsid w:val="00FA1307"/>
    <w:rsid w:val="00FA1341"/>
    <w:rsid w:val="00FA14CF"/>
    <w:rsid w:val="00FA1585"/>
    <w:rsid w:val="00FA15F0"/>
    <w:rsid w:val="00FA172B"/>
    <w:rsid w:val="00FA1792"/>
    <w:rsid w:val="00FA17D7"/>
    <w:rsid w:val="00FA181D"/>
    <w:rsid w:val="00FA19C7"/>
    <w:rsid w:val="00FA1B17"/>
    <w:rsid w:val="00FA1B1D"/>
    <w:rsid w:val="00FA1C08"/>
    <w:rsid w:val="00FA1D68"/>
    <w:rsid w:val="00FA1EAA"/>
    <w:rsid w:val="00FA1FFE"/>
    <w:rsid w:val="00FA2190"/>
    <w:rsid w:val="00FA2417"/>
    <w:rsid w:val="00FA2428"/>
    <w:rsid w:val="00FA25E6"/>
    <w:rsid w:val="00FA27CC"/>
    <w:rsid w:val="00FA283C"/>
    <w:rsid w:val="00FA2AF1"/>
    <w:rsid w:val="00FA2CA0"/>
    <w:rsid w:val="00FA2E6D"/>
    <w:rsid w:val="00FA31AF"/>
    <w:rsid w:val="00FA3209"/>
    <w:rsid w:val="00FA325F"/>
    <w:rsid w:val="00FA34C8"/>
    <w:rsid w:val="00FA35EF"/>
    <w:rsid w:val="00FA370A"/>
    <w:rsid w:val="00FA374C"/>
    <w:rsid w:val="00FA3920"/>
    <w:rsid w:val="00FA3A96"/>
    <w:rsid w:val="00FA3AA4"/>
    <w:rsid w:val="00FA3AD8"/>
    <w:rsid w:val="00FA3BE8"/>
    <w:rsid w:val="00FA3C9C"/>
    <w:rsid w:val="00FA3D31"/>
    <w:rsid w:val="00FA3EF9"/>
    <w:rsid w:val="00FA3F92"/>
    <w:rsid w:val="00FA41CD"/>
    <w:rsid w:val="00FA41D8"/>
    <w:rsid w:val="00FA422D"/>
    <w:rsid w:val="00FA42E1"/>
    <w:rsid w:val="00FA43BE"/>
    <w:rsid w:val="00FA4443"/>
    <w:rsid w:val="00FA4554"/>
    <w:rsid w:val="00FA479C"/>
    <w:rsid w:val="00FA4905"/>
    <w:rsid w:val="00FA4BA5"/>
    <w:rsid w:val="00FA4BDA"/>
    <w:rsid w:val="00FA4C90"/>
    <w:rsid w:val="00FA4E5D"/>
    <w:rsid w:val="00FA4F22"/>
    <w:rsid w:val="00FA4FF5"/>
    <w:rsid w:val="00FA5006"/>
    <w:rsid w:val="00FA502A"/>
    <w:rsid w:val="00FA5255"/>
    <w:rsid w:val="00FA54E8"/>
    <w:rsid w:val="00FA5605"/>
    <w:rsid w:val="00FA57B2"/>
    <w:rsid w:val="00FA58A4"/>
    <w:rsid w:val="00FA5957"/>
    <w:rsid w:val="00FA5A1F"/>
    <w:rsid w:val="00FA5B74"/>
    <w:rsid w:val="00FA5BEA"/>
    <w:rsid w:val="00FA5E34"/>
    <w:rsid w:val="00FA5EDF"/>
    <w:rsid w:val="00FA5F16"/>
    <w:rsid w:val="00FA5F17"/>
    <w:rsid w:val="00FA6288"/>
    <w:rsid w:val="00FA62AB"/>
    <w:rsid w:val="00FA6435"/>
    <w:rsid w:val="00FA6538"/>
    <w:rsid w:val="00FA67E7"/>
    <w:rsid w:val="00FA683B"/>
    <w:rsid w:val="00FA694C"/>
    <w:rsid w:val="00FA6A5B"/>
    <w:rsid w:val="00FA6A93"/>
    <w:rsid w:val="00FA6AA7"/>
    <w:rsid w:val="00FA6B6B"/>
    <w:rsid w:val="00FA6F82"/>
    <w:rsid w:val="00FA7124"/>
    <w:rsid w:val="00FA742C"/>
    <w:rsid w:val="00FA7494"/>
    <w:rsid w:val="00FA75B4"/>
    <w:rsid w:val="00FA75EF"/>
    <w:rsid w:val="00FA7612"/>
    <w:rsid w:val="00FA7671"/>
    <w:rsid w:val="00FA769F"/>
    <w:rsid w:val="00FA76DD"/>
    <w:rsid w:val="00FA7821"/>
    <w:rsid w:val="00FA7825"/>
    <w:rsid w:val="00FA7A7E"/>
    <w:rsid w:val="00FA7B13"/>
    <w:rsid w:val="00FA7DB0"/>
    <w:rsid w:val="00FA7E11"/>
    <w:rsid w:val="00FA7E90"/>
    <w:rsid w:val="00FA7EAB"/>
    <w:rsid w:val="00FA7F40"/>
    <w:rsid w:val="00FA7FEF"/>
    <w:rsid w:val="00FB003D"/>
    <w:rsid w:val="00FB0144"/>
    <w:rsid w:val="00FB0327"/>
    <w:rsid w:val="00FB03C3"/>
    <w:rsid w:val="00FB04CC"/>
    <w:rsid w:val="00FB051C"/>
    <w:rsid w:val="00FB0548"/>
    <w:rsid w:val="00FB0582"/>
    <w:rsid w:val="00FB05E2"/>
    <w:rsid w:val="00FB08ED"/>
    <w:rsid w:val="00FB0ACD"/>
    <w:rsid w:val="00FB0E21"/>
    <w:rsid w:val="00FB0F92"/>
    <w:rsid w:val="00FB1071"/>
    <w:rsid w:val="00FB1112"/>
    <w:rsid w:val="00FB1168"/>
    <w:rsid w:val="00FB1196"/>
    <w:rsid w:val="00FB11DA"/>
    <w:rsid w:val="00FB1311"/>
    <w:rsid w:val="00FB134E"/>
    <w:rsid w:val="00FB1384"/>
    <w:rsid w:val="00FB13EC"/>
    <w:rsid w:val="00FB14B0"/>
    <w:rsid w:val="00FB16D5"/>
    <w:rsid w:val="00FB180D"/>
    <w:rsid w:val="00FB198E"/>
    <w:rsid w:val="00FB1A7F"/>
    <w:rsid w:val="00FB1BA1"/>
    <w:rsid w:val="00FB1CC1"/>
    <w:rsid w:val="00FB1CFB"/>
    <w:rsid w:val="00FB1E0D"/>
    <w:rsid w:val="00FB1E84"/>
    <w:rsid w:val="00FB1F05"/>
    <w:rsid w:val="00FB1F06"/>
    <w:rsid w:val="00FB1F26"/>
    <w:rsid w:val="00FB2208"/>
    <w:rsid w:val="00FB22DF"/>
    <w:rsid w:val="00FB23F7"/>
    <w:rsid w:val="00FB24F8"/>
    <w:rsid w:val="00FB2640"/>
    <w:rsid w:val="00FB2777"/>
    <w:rsid w:val="00FB28F4"/>
    <w:rsid w:val="00FB2931"/>
    <w:rsid w:val="00FB2B56"/>
    <w:rsid w:val="00FB2D61"/>
    <w:rsid w:val="00FB305E"/>
    <w:rsid w:val="00FB30F0"/>
    <w:rsid w:val="00FB33A3"/>
    <w:rsid w:val="00FB33E2"/>
    <w:rsid w:val="00FB352E"/>
    <w:rsid w:val="00FB35F7"/>
    <w:rsid w:val="00FB3608"/>
    <w:rsid w:val="00FB369F"/>
    <w:rsid w:val="00FB3820"/>
    <w:rsid w:val="00FB3883"/>
    <w:rsid w:val="00FB393A"/>
    <w:rsid w:val="00FB3AB4"/>
    <w:rsid w:val="00FB3CB5"/>
    <w:rsid w:val="00FB3CF8"/>
    <w:rsid w:val="00FB3D17"/>
    <w:rsid w:val="00FB3D52"/>
    <w:rsid w:val="00FB3DBA"/>
    <w:rsid w:val="00FB3E5E"/>
    <w:rsid w:val="00FB40A1"/>
    <w:rsid w:val="00FB4298"/>
    <w:rsid w:val="00FB43FF"/>
    <w:rsid w:val="00FB4480"/>
    <w:rsid w:val="00FB44B6"/>
    <w:rsid w:val="00FB4589"/>
    <w:rsid w:val="00FB459D"/>
    <w:rsid w:val="00FB4844"/>
    <w:rsid w:val="00FB4891"/>
    <w:rsid w:val="00FB4C7D"/>
    <w:rsid w:val="00FB4DEF"/>
    <w:rsid w:val="00FB508E"/>
    <w:rsid w:val="00FB51A8"/>
    <w:rsid w:val="00FB5379"/>
    <w:rsid w:val="00FB5392"/>
    <w:rsid w:val="00FB5421"/>
    <w:rsid w:val="00FB5423"/>
    <w:rsid w:val="00FB56AF"/>
    <w:rsid w:val="00FB5732"/>
    <w:rsid w:val="00FB5767"/>
    <w:rsid w:val="00FB5797"/>
    <w:rsid w:val="00FB58B5"/>
    <w:rsid w:val="00FB5924"/>
    <w:rsid w:val="00FB5942"/>
    <w:rsid w:val="00FB59B5"/>
    <w:rsid w:val="00FB5A35"/>
    <w:rsid w:val="00FB5A82"/>
    <w:rsid w:val="00FB5ADA"/>
    <w:rsid w:val="00FB5CBE"/>
    <w:rsid w:val="00FB5DA9"/>
    <w:rsid w:val="00FB5F50"/>
    <w:rsid w:val="00FB5F65"/>
    <w:rsid w:val="00FB606E"/>
    <w:rsid w:val="00FB612F"/>
    <w:rsid w:val="00FB6238"/>
    <w:rsid w:val="00FB62BC"/>
    <w:rsid w:val="00FB62DE"/>
    <w:rsid w:val="00FB632E"/>
    <w:rsid w:val="00FB6391"/>
    <w:rsid w:val="00FB63D4"/>
    <w:rsid w:val="00FB6485"/>
    <w:rsid w:val="00FB6A22"/>
    <w:rsid w:val="00FB6CB1"/>
    <w:rsid w:val="00FB6CCB"/>
    <w:rsid w:val="00FB6F59"/>
    <w:rsid w:val="00FB724D"/>
    <w:rsid w:val="00FB7291"/>
    <w:rsid w:val="00FB7448"/>
    <w:rsid w:val="00FB7714"/>
    <w:rsid w:val="00FB77B8"/>
    <w:rsid w:val="00FB77D6"/>
    <w:rsid w:val="00FB7813"/>
    <w:rsid w:val="00FB7881"/>
    <w:rsid w:val="00FB7C03"/>
    <w:rsid w:val="00FB7C14"/>
    <w:rsid w:val="00FB7CFC"/>
    <w:rsid w:val="00FB7D46"/>
    <w:rsid w:val="00FB7DD3"/>
    <w:rsid w:val="00FC058B"/>
    <w:rsid w:val="00FC05E1"/>
    <w:rsid w:val="00FC06FC"/>
    <w:rsid w:val="00FC077C"/>
    <w:rsid w:val="00FC0963"/>
    <w:rsid w:val="00FC0B01"/>
    <w:rsid w:val="00FC0C68"/>
    <w:rsid w:val="00FC0E33"/>
    <w:rsid w:val="00FC0E5A"/>
    <w:rsid w:val="00FC102E"/>
    <w:rsid w:val="00FC1075"/>
    <w:rsid w:val="00FC10FF"/>
    <w:rsid w:val="00FC1221"/>
    <w:rsid w:val="00FC12AB"/>
    <w:rsid w:val="00FC1447"/>
    <w:rsid w:val="00FC1465"/>
    <w:rsid w:val="00FC1466"/>
    <w:rsid w:val="00FC161D"/>
    <w:rsid w:val="00FC165B"/>
    <w:rsid w:val="00FC16E5"/>
    <w:rsid w:val="00FC16F2"/>
    <w:rsid w:val="00FC17AA"/>
    <w:rsid w:val="00FC17BA"/>
    <w:rsid w:val="00FC1B7B"/>
    <w:rsid w:val="00FC1BA0"/>
    <w:rsid w:val="00FC1D87"/>
    <w:rsid w:val="00FC2082"/>
    <w:rsid w:val="00FC22D8"/>
    <w:rsid w:val="00FC249A"/>
    <w:rsid w:val="00FC28C6"/>
    <w:rsid w:val="00FC2947"/>
    <w:rsid w:val="00FC2A00"/>
    <w:rsid w:val="00FC2ADE"/>
    <w:rsid w:val="00FC2CF4"/>
    <w:rsid w:val="00FC2EB6"/>
    <w:rsid w:val="00FC310C"/>
    <w:rsid w:val="00FC31C3"/>
    <w:rsid w:val="00FC327E"/>
    <w:rsid w:val="00FC33C5"/>
    <w:rsid w:val="00FC33D8"/>
    <w:rsid w:val="00FC352C"/>
    <w:rsid w:val="00FC3685"/>
    <w:rsid w:val="00FC3689"/>
    <w:rsid w:val="00FC3A33"/>
    <w:rsid w:val="00FC3ADE"/>
    <w:rsid w:val="00FC3B16"/>
    <w:rsid w:val="00FC3C82"/>
    <w:rsid w:val="00FC3CF4"/>
    <w:rsid w:val="00FC3E90"/>
    <w:rsid w:val="00FC3F46"/>
    <w:rsid w:val="00FC3FBF"/>
    <w:rsid w:val="00FC41D4"/>
    <w:rsid w:val="00FC43DA"/>
    <w:rsid w:val="00FC4558"/>
    <w:rsid w:val="00FC47FA"/>
    <w:rsid w:val="00FC4A23"/>
    <w:rsid w:val="00FC4A8F"/>
    <w:rsid w:val="00FC50B8"/>
    <w:rsid w:val="00FC50C9"/>
    <w:rsid w:val="00FC50E3"/>
    <w:rsid w:val="00FC56BB"/>
    <w:rsid w:val="00FC578C"/>
    <w:rsid w:val="00FC5888"/>
    <w:rsid w:val="00FC58E5"/>
    <w:rsid w:val="00FC5A90"/>
    <w:rsid w:val="00FC5C30"/>
    <w:rsid w:val="00FC5C8E"/>
    <w:rsid w:val="00FC5CA2"/>
    <w:rsid w:val="00FC5D7D"/>
    <w:rsid w:val="00FC5E72"/>
    <w:rsid w:val="00FC60D5"/>
    <w:rsid w:val="00FC6111"/>
    <w:rsid w:val="00FC615E"/>
    <w:rsid w:val="00FC61F8"/>
    <w:rsid w:val="00FC6209"/>
    <w:rsid w:val="00FC6216"/>
    <w:rsid w:val="00FC6260"/>
    <w:rsid w:val="00FC644B"/>
    <w:rsid w:val="00FC649E"/>
    <w:rsid w:val="00FC65A8"/>
    <w:rsid w:val="00FC672D"/>
    <w:rsid w:val="00FC6852"/>
    <w:rsid w:val="00FC6999"/>
    <w:rsid w:val="00FC699A"/>
    <w:rsid w:val="00FC6A67"/>
    <w:rsid w:val="00FC6AD3"/>
    <w:rsid w:val="00FC6B8E"/>
    <w:rsid w:val="00FC6BC8"/>
    <w:rsid w:val="00FC6CF6"/>
    <w:rsid w:val="00FC6D6B"/>
    <w:rsid w:val="00FC6E1E"/>
    <w:rsid w:val="00FC6F03"/>
    <w:rsid w:val="00FC72C1"/>
    <w:rsid w:val="00FC741D"/>
    <w:rsid w:val="00FC7453"/>
    <w:rsid w:val="00FC7576"/>
    <w:rsid w:val="00FC75AB"/>
    <w:rsid w:val="00FC770F"/>
    <w:rsid w:val="00FC79C1"/>
    <w:rsid w:val="00FC7A71"/>
    <w:rsid w:val="00FC7B2E"/>
    <w:rsid w:val="00FC7CA5"/>
    <w:rsid w:val="00FC7D8F"/>
    <w:rsid w:val="00FC7E57"/>
    <w:rsid w:val="00FC7EFA"/>
    <w:rsid w:val="00FC7EFF"/>
    <w:rsid w:val="00FD02BA"/>
    <w:rsid w:val="00FD02DF"/>
    <w:rsid w:val="00FD03B7"/>
    <w:rsid w:val="00FD0466"/>
    <w:rsid w:val="00FD051F"/>
    <w:rsid w:val="00FD0559"/>
    <w:rsid w:val="00FD062D"/>
    <w:rsid w:val="00FD06CC"/>
    <w:rsid w:val="00FD0868"/>
    <w:rsid w:val="00FD0874"/>
    <w:rsid w:val="00FD08CB"/>
    <w:rsid w:val="00FD0930"/>
    <w:rsid w:val="00FD093F"/>
    <w:rsid w:val="00FD0A4C"/>
    <w:rsid w:val="00FD0B69"/>
    <w:rsid w:val="00FD0D2B"/>
    <w:rsid w:val="00FD0DC2"/>
    <w:rsid w:val="00FD0E83"/>
    <w:rsid w:val="00FD1093"/>
    <w:rsid w:val="00FD109B"/>
    <w:rsid w:val="00FD136D"/>
    <w:rsid w:val="00FD1377"/>
    <w:rsid w:val="00FD1566"/>
    <w:rsid w:val="00FD1812"/>
    <w:rsid w:val="00FD1860"/>
    <w:rsid w:val="00FD1888"/>
    <w:rsid w:val="00FD1DA3"/>
    <w:rsid w:val="00FD1E58"/>
    <w:rsid w:val="00FD1E70"/>
    <w:rsid w:val="00FD1E92"/>
    <w:rsid w:val="00FD23EB"/>
    <w:rsid w:val="00FD247F"/>
    <w:rsid w:val="00FD2588"/>
    <w:rsid w:val="00FD25D8"/>
    <w:rsid w:val="00FD26AE"/>
    <w:rsid w:val="00FD26B3"/>
    <w:rsid w:val="00FD2843"/>
    <w:rsid w:val="00FD2845"/>
    <w:rsid w:val="00FD290E"/>
    <w:rsid w:val="00FD2B47"/>
    <w:rsid w:val="00FD2D88"/>
    <w:rsid w:val="00FD2F89"/>
    <w:rsid w:val="00FD2FC1"/>
    <w:rsid w:val="00FD3035"/>
    <w:rsid w:val="00FD304C"/>
    <w:rsid w:val="00FD314D"/>
    <w:rsid w:val="00FD323E"/>
    <w:rsid w:val="00FD33F0"/>
    <w:rsid w:val="00FD34E7"/>
    <w:rsid w:val="00FD36D3"/>
    <w:rsid w:val="00FD3732"/>
    <w:rsid w:val="00FD3761"/>
    <w:rsid w:val="00FD380D"/>
    <w:rsid w:val="00FD38F1"/>
    <w:rsid w:val="00FD3A62"/>
    <w:rsid w:val="00FD3D71"/>
    <w:rsid w:val="00FD3F38"/>
    <w:rsid w:val="00FD3FAB"/>
    <w:rsid w:val="00FD406B"/>
    <w:rsid w:val="00FD4157"/>
    <w:rsid w:val="00FD41FD"/>
    <w:rsid w:val="00FD4291"/>
    <w:rsid w:val="00FD44C7"/>
    <w:rsid w:val="00FD474B"/>
    <w:rsid w:val="00FD47B0"/>
    <w:rsid w:val="00FD49F9"/>
    <w:rsid w:val="00FD4A9D"/>
    <w:rsid w:val="00FD4AAD"/>
    <w:rsid w:val="00FD4AB1"/>
    <w:rsid w:val="00FD4BB2"/>
    <w:rsid w:val="00FD4BB6"/>
    <w:rsid w:val="00FD4C6A"/>
    <w:rsid w:val="00FD4C85"/>
    <w:rsid w:val="00FD4CA9"/>
    <w:rsid w:val="00FD4EC2"/>
    <w:rsid w:val="00FD5243"/>
    <w:rsid w:val="00FD5248"/>
    <w:rsid w:val="00FD52C3"/>
    <w:rsid w:val="00FD549D"/>
    <w:rsid w:val="00FD5604"/>
    <w:rsid w:val="00FD56AE"/>
    <w:rsid w:val="00FD56D0"/>
    <w:rsid w:val="00FD57D0"/>
    <w:rsid w:val="00FD593F"/>
    <w:rsid w:val="00FD5B23"/>
    <w:rsid w:val="00FD5B46"/>
    <w:rsid w:val="00FD5CD2"/>
    <w:rsid w:val="00FD5D4B"/>
    <w:rsid w:val="00FD5D7F"/>
    <w:rsid w:val="00FD5E3F"/>
    <w:rsid w:val="00FD5EFE"/>
    <w:rsid w:val="00FD60C5"/>
    <w:rsid w:val="00FD6135"/>
    <w:rsid w:val="00FD620E"/>
    <w:rsid w:val="00FD65E2"/>
    <w:rsid w:val="00FD6689"/>
    <w:rsid w:val="00FD670F"/>
    <w:rsid w:val="00FD6711"/>
    <w:rsid w:val="00FD6831"/>
    <w:rsid w:val="00FD685F"/>
    <w:rsid w:val="00FD69D7"/>
    <w:rsid w:val="00FD69ED"/>
    <w:rsid w:val="00FD6ACC"/>
    <w:rsid w:val="00FD6B59"/>
    <w:rsid w:val="00FD6D55"/>
    <w:rsid w:val="00FD6DF8"/>
    <w:rsid w:val="00FD6E54"/>
    <w:rsid w:val="00FD6EA1"/>
    <w:rsid w:val="00FD708A"/>
    <w:rsid w:val="00FD7153"/>
    <w:rsid w:val="00FD71A7"/>
    <w:rsid w:val="00FD723C"/>
    <w:rsid w:val="00FD7280"/>
    <w:rsid w:val="00FD732D"/>
    <w:rsid w:val="00FD76E7"/>
    <w:rsid w:val="00FD76EA"/>
    <w:rsid w:val="00FD76ED"/>
    <w:rsid w:val="00FD771D"/>
    <w:rsid w:val="00FD77D3"/>
    <w:rsid w:val="00FD794A"/>
    <w:rsid w:val="00FD7AF5"/>
    <w:rsid w:val="00FE0190"/>
    <w:rsid w:val="00FE039C"/>
    <w:rsid w:val="00FE0811"/>
    <w:rsid w:val="00FE0919"/>
    <w:rsid w:val="00FE099A"/>
    <w:rsid w:val="00FE0A92"/>
    <w:rsid w:val="00FE0AF9"/>
    <w:rsid w:val="00FE0BA4"/>
    <w:rsid w:val="00FE0C43"/>
    <w:rsid w:val="00FE0C61"/>
    <w:rsid w:val="00FE0CAE"/>
    <w:rsid w:val="00FE0CC4"/>
    <w:rsid w:val="00FE0D1E"/>
    <w:rsid w:val="00FE0D86"/>
    <w:rsid w:val="00FE104B"/>
    <w:rsid w:val="00FE1080"/>
    <w:rsid w:val="00FE1506"/>
    <w:rsid w:val="00FE1591"/>
    <w:rsid w:val="00FE1A0B"/>
    <w:rsid w:val="00FE1B51"/>
    <w:rsid w:val="00FE1C81"/>
    <w:rsid w:val="00FE1E22"/>
    <w:rsid w:val="00FE1F96"/>
    <w:rsid w:val="00FE20AD"/>
    <w:rsid w:val="00FE2109"/>
    <w:rsid w:val="00FE21C5"/>
    <w:rsid w:val="00FE2424"/>
    <w:rsid w:val="00FE2503"/>
    <w:rsid w:val="00FE2593"/>
    <w:rsid w:val="00FE2760"/>
    <w:rsid w:val="00FE2973"/>
    <w:rsid w:val="00FE2D60"/>
    <w:rsid w:val="00FE2DB8"/>
    <w:rsid w:val="00FE2DEB"/>
    <w:rsid w:val="00FE2F11"/>
    <w:rsid w:val="00FE30C6"/>
    <w:rsid w:val="00FE30DC"/>
    <w:rsid w:val="00FE31FC"/>
    <w:rsid w:val="00FE33D6"/>
    <w:rsid w:val="00FE34C1"/>
    <w:rsid w:val="00FE354E"/>
    <w:rsid w:val="00FE39CF"/>
    <w:rsid w:val="00FE3C11"/>
    <w:rsid w:val="00FE3D17"/>
    <w:rsid w:val="00FE3F36"/>
    <w:rsid w:val="00FE413C"/>
    <w:rsid w:val="00FE4156"/>
    <w:rsid w:val="00FE41F6"/>
    <w:rsid w:val="00FE4222"/>
    <w:rsid w:val="00FE42F8"/>
    <w:rsid w:val="00FE436D"/>
    <w:rsid w:val="00FE4578"/>
    <w:rsid w:val="00FE459A"/>
    <w:rsid w:val="00FE46F3"/>
    <w:rsid w:val="00FE4737"/>
    <w:rsid w:val="00FE4759"/>
    <w:rsid w:val="00FE48A1"/>
    <w:rsid w:val="00FE48CF"/>
    <w:rsid w:val="00FE4C75"/>
    <w:rsid w:val="00FE4CE0"/>
    <w:rsid w:val="00FE50E1"/>
    <w:rsid w:val="00FE5177"/>
    <w:rsid w:val="00FE51AE"/>
    <w:rsid w:val="00FE51C4"/>
    <w:rsid w:val="00FE5660"/>
    <w:rsid w:val="00FE5776"/>
    <w:rsid w:val="00FE582B"/>
    <w:rsid w:val="00FE5917"/>
    <w:rsid w:val="00FE5A08"/>
    <w:rsid w:val="00FE5B35"/>
    <w:rsid w:val="00FE5BD8"/>
    <w:rsid w:val="00FE5C95"/>
    <w:rsid w:val="00FE5CAF"/>
    <w:rsid w:val="00FE5F80"/>
    <w:rsid w:val="00FE5FA7"/>
    <w:rsid w:val="00FE624C"/>
    <w:rsid w:val="00FE6276"/>
    <w:rsid w:val="00FE644B"/>
    <w:rsid w:val="00FE6451"/>
    <w:rsid w:val="00FE648A"/>
    <w:rsid w:val="00FE64E2"/>
    <w:rsid w:val="00FE66FA"/>
    <w:rsid w:val="00FE6876"/>
    <w:rsid w:val="00FE69AB"/>
    <w:rsid w:val="00FE6A2B"/>
    <w:rsid w:val="00FE6B48"/>
    <w:rsid w:val="00FE6C3A"/>
    <w:rsid w:val="00FE720E"/>
    <w:rsid w:val="00FE723D"/>
    <w:rsid w:val="00FE76F6"/>
    <w:rsid w:val="00FE7734"/>
    <w:rsid w:val="00FE787D"/>
    <w:rsid w:val="00FE79F2"/>
    <w:rsid w:val="00FE7B49"/>
    <w:rsid w:val="00FE7B4F"/>
    <w:rsid w:val="00FE7C02"/>
    <w:rsid w:val="00FE7CC5"/>
    <w:rsid w:val="00FE7CCD"/>
    <w:rsid w:val="00FE7E2C"/>
    <w:rsid w:val="00FF0023"/>
    <w:rsid w:val="00FF0125"/>
    <w:rsid w:val="00FF020F"/>
    <w:rsid w:val="00FF0298"/>
    <w:rsid w:val="00FF02E3"/>
    <w:rsid w:val="00FF054A"/>
    <w:rsid w:val="00FF063C"/>
    <w:rsid w:val="00FF097C"/>
    <w:rsid w:val="00FF11ED"/>
    <w:rsid w:val="00FF132C"/>
    <w:rsid w:val="00FF13E8"/>
    <w:rsid w:val="00FF14F2"/>
    <w:rsid w:val="00FF16A6"/>
    <w:rsid w:val="00FF1755"/>
    <w:rsid w:val="00FF19D3"/>
    <w:rsid w:val="00FF19E0"/>
    <w:rsid w:val="00FF1D4B"/>
    <w:rsid w:val="00FF1FAB"/>
    <w:rsid w:val="00FF211C"/>
    <w:rsid w:val="00FF21BC"/>
    <w:rsid w:val="00FF2262"/>
    <w:rsid w:val="00FF2284"/>
    <w:rsid w:val="00FF2498"/>
    <w:rsid w:val="00FF24F5"/>
    <w:rsid w:val="00FF25CC"/>
    <w:rsid w:val="00FF2745"/>
    <w:rsid w:val="00FF290D"/>
    <w:rsid w:val="00FF2993"/>
    <w:rsid w:val="00FF2BC9"/>
    <w:rsid w:val="00FF2CC7"/>
    <w:rsid w:val="00FF2E1B"/>
    <w:rsid w:val="00FF2E96"/>
    <w:rsid w:val="00FF2F03"/>
    <w:rsid w:val="00FF302C"/>
    <w:rsid w:val="00FF303A"/>
    <w:rsid w:val="00FF3318"/>
    <w:rsid w:val="00FF333C"/>
    <w:rsid w:val="00FF350C"/>
    <w:rsid w:val="00FF3568"/>
    <w:rsid w:val="00FF373A"/>
    <w:rsid w:val="00FF3863"/>
    <w:rsid w:val="00FF3B2A"/>
    <w:rsid w:val="00FF3B87"/>
    <w:rsid w:val="00FF3BA2"/>
    <w:rsid w:val="00FF3C3E"/>
    <w:rsid w:val="00FF3C80"/>
    <w:rsid w:val="00FF3E4E"/>
    <w:rsid w:val="00FF3F9F"/>
    <w:rsid w:val="00FF40B8"/>
    <w:rsid w:val="00FF4264"/>
    <w:rsid w:val="00FF42F7"/>
    <w:rsid w:val="00FF43D7"/>
    <w:rsid w:val="00FF43DB"/>
    <w:rsid w:val="00FF44BD"/>
    <w:rsid w:val="00FF44CC"/>
    <w:rsid w:val="00FF452B"/>
    <w:rsid w:val="00FF4701"/>
    <w:rsid w:val="00FF48F8"/>
    <w:rsid w:val="00FF4915"/>
    <w:rsid w:val="00FF4983"/>
    <w:rsid w:val="00FF4A53"/>
    <w:rsid w:val="00FF4BBD"/>
    <w:rsid w:val="00FF4DD3"/>
    <w:rsid w:val="00FF4E7E"/>
    <w:rsid w:val="00FF4E8F"/>
    <w:rsid w:val="00FF50EC"/>
    <w:rsid w:val="00FF533C"/>
    <w:rsid w:val="00FF533F"/>
    <w:rsid w:val="00FF5369"/>
    <w:rsid w:val="00FF53FD"/>
    <w:rsid w:val="00FF542F"/>
    <w:rsid w:val="00FF5436"/>
    <w:rsid w:val="00FF56EF"/>
    <w:rsid w:val="00FF5814"/>
    <w:rsid w:val="00FF5CB4"/>
    <w:rsid w:val="00FF5CDB"/>
    <w:rsid w:val="00FF5CF7"/>
    <w:rsid w:val="00FF5E5B"/>
    <w:rsid w:val="00FF6016"/>
    <w:rsid w:val="00FF619D"/>
    <w:rsid w:val="00FF625A"/>
    <w:rsid w:val="00FF6263"/>
    <w:rsid w:val="00FF646F"/>
    <w:rsid w:val="00FF68B1"/>
    <w:rsid w:val="00FF6A23"/>
    <w:rsid w:val="00FF6A48"/>
    <w:rsid w:val="00FF6B36"/>
    <w:rsid w:val="00FF6BC3"/>
    <w:rsid w:val="00FF6DCE"/>
    <w:rsid w:val="00FF6F5E"/>
    <w:rsid w:val="00FF6FF5"/>
    <w:rsid w:val="00FF70D4"/>
    <w:rsid w:val="00FF719E"/>
    <w:rsid w:val="00FF72FF"/>
    <w:rsid w:val="00FF75A9"/>
    <w:rsid w:val="00FF7634"/>
    <w:rsid w:val="00FF76A1"/>
    <w:rsid w:val="00FF76C5"/>
    <w:rsid w:val="00FF773F"/>
    <w:rsid w:val="00FF77B0"/>
    <w:rsid w:val="00FF77D4"/>
    <w:rsid w:val="00FF78AF"/>
    <w:rsid w:val="00FF7B5D"/>
    <w:rsid w:val="00FF7F92"/>
    <w:rsid w:val="01674F0E"/>
    <w:rsid w:val="01675E0E"/>
    <w:rsid w:val="0185B201"/>
    <w:rsid w:val="01B96DD5"/>
    <w:rsid w:val="01CF5D25"/>
    <w:rsid w:val="0216CEBF"/>
    <w:rsid w:val="0297BDB7"/>
    <w:rsid w:val="02B74BFE"/>
    <w:rsid w:val="02E41179"/>
    <w:rsid w:val="02E8A6ED"/>
    <w:rsid w:val="0305F355"/>
    <w:rsid w:val="03A1FC2E"/>
    <w:rsid w:val="059B609D"/>
    <w:rsid w:val="05BEAF97"/>
    <w:rsid w:val="05EE1036"/>
    <w:rsid w:val="0671838D"/>
    <w:rsid w:val="069319D0"/>
    <w:rsid w:val="06E2A914"/>
    <w:rsid w:val="07003C4E"/>
    <w:rsid w:val="079F7371"/>
    <w:rsid w:val="08038F39"/>
    <w:rsid w:val="082A6902"/>
    <w:rsid w:val="082A7B11"/>
    <w:rsid w:val="08D82AFE"/>
    <w:rsid w:val="08FE66C4"/>
    <w:rsid w:val="093DB4B2"/>
    <w:rsid w:val="094BE3A7"/>
    <w:rsid w:val="09CFBBC6"/>
    <w:rsid w:val="09E2B8F2"/>
    <w:rsid w:val="09FBB3A2"/>
    <w:rsid w:val="0A63776D"/>
    <w:rsid w:val="0B1DCDEB"/>
    <w:rsid w:val="0B221780"/>
    <w:rsid w:val="0C4F8E9A"/>
    <w:rsid w:val="0C50D26F"/>
    <w:rsid w:val="0D01FC0E"/>
    <w:rsid w:val="0D94F25F"/>
    <w:rsid w:val="0DDF97A8"/>
    <w:rsid w:val="0E31A2A6"/>
    <w:rsid w:val="0E5AD99A"/>
    <w:rsid w:val="0E83E698"/>
    <w:rsid w:val="0E902097"/>
    <w:rsid w:val="107F7D11"/>
    <w:rsid w:val="11B41D42"/>
    <w:rsid w:val="1447E3E4"/>
    <w:rsid w:val="144EF4F3"/>
    <w:rsid w:val="145F2075"/>
    <w:rsid w:val="14742396"/>
    <w:rsid w:val="14E5D121"/>
    <w:rsid w:val="153928A7"/>
    <w:rsid w:val="1572BBB2"/>
    <w:rsid w:val="15A52A2D"/>
    <w:rsid w:val="166B5E16"/>
    <w:rsid w:val="16B2A65E"/>
    <w:rsid w:val="16DE87E3"/>
    <w:rsid w:val="173E6F15"/>
    <w:rsid w:val="17535665"/>
    <w:rsid w:val="17F4474E"/>
    <w:rsid w:val="17FB5DC0"/>
    <w:rsid w:val="18629A85"/>
    <w:rsid w:val="186AEC60"/>
    <w:rsid w:val="18C6D8B2"/>
    <w:rsid w:val="19365E41"/>
    <w:rsid w:val="195C7C98"/>
    <w:rsid w:val="1AB780AA"/>
    <w:rsid w:val="1AD85FE1"/>
    <w:rsid w:val="1AE5DD8E"/>
    <w:rsid w:val="1BEFC8C6"/>
    <w:rsid w:val="1C061F4F"/>
    <w:rsid w:val="1C51F826"/>
    <w:rsid w:val="1D2EA57A"/>
    <w:rsid w:val="1DC7E75E"/>
    <w:rsid w:val="1DDC0180"/>
    <w:rsid w:val="1DE7715C"/>
    <w:rsid w:val="1E072DBC"/>
    <w:rsid w:val="1E30A0E9"/>
    <w:rsid w:val="1E5F859A"/>
    <w:rsid w:val="1F420EA2"/>
    <w:rsid w:val="206C68EC"/>
    <w:rsid w:val="21B3F704"/>
    <w:rsid w:val="220CBA9A"/>
    <w:rsid w:val="231862BA"/>
    <w:rsid w:val="231A6F91"/>
    <w:rsid w:val="24D4E238"/>
    <w:rsid w:val="24E468F6"/>
    <w:rsid w:val="24FD1AFF"/>
    <w:rsid w:val="2536E4F9"/>
    <w:rsid w:val="25A4A4EC"/>
    <w:rsid w:val="26C775AB"/>
    <w:rsid w:val="27895CD3"/>
    <w:rsid w:val="27FD8085"/>
    <w:rsid w:val="282E71BE"/>
    <w:rsid w:val="283E5210"/>
    <w:rsid w:val="28688BC3"/>
    <w:rsid w:val="2883D9A2"/>
    <w:rsid w:val="295E168D"/>
    <w:rsid w:val="29778548"/>
    <w:rsid w:val="2A0B114D"/>
    <w:rsid w:val="2A971372"/>
    <w:rsid w:val="2B28731B"/>
    <w:rsid w:val="2B3D6C27"/>
    <w:rsid w:val="2B79D84F"/>
    <w:rsid w:val="2B8EE079"/>
    <w:rsid w:val="2C8B346F"/>
    <w:rsid w:val="2CB1A05C"/>
    <w:rsid w:val="2CC85CBA"/>
    <w:rsid w:val="2D205F4E"/>
    <w:rsid w:val="2DC439EA"/>
    <w:rsid w:val="2E1E44C2"/>
    <w:rsid w:val="2EC245D5"/>
    <w:rsid w:val="2FA20C07"/>
    <w:rsid w:val="2FC98507"/>
    <w:rsid w:val="30942A5C"/>
    <w:rsid w:val="30B8A006"/>
    <w:rsid w:val="30E236FC"/>
    <w:rsid w:val="328F18CD"/>
    <w:rsid w:val="3388F091"/>
    <w:rsid w:val="33C4D56C"/>
    <w:rsid w:val="341568B3"/>
    <w:rsid w:val="34948811"/>
    <w:rsid w:val="34F6D393"/>
    <w:rsid w:val="353297D6"/>
    <w:rsid w:val="35608556"/>
    <w:rsid w:val="356D830D"/>
    <w:rsid w:val="35739525"/>
    <w:rsid w:val="35B1AB46"/>
    <w:rsid w:val="35C06183"/>
    <w:rsid w:val="36E80242"/>
    <w:rsid w:val="3803E05E"/>
    <w:rsid w:val="3847FA93"/>
    <w:rsid w:val="3909ED35"/>
    <w:rsid w:val="394AF75C"/>
    <w:rsid w:val="399F7D1D"/>
    <w:rsid w:val="3A11CCE0"/>
    <w:rsid w:val="3B229B34"/>
    <w:rsid w:val="3B5A174F"/>
    <w:rsid w:val="3B7249A5"/>
    <w:rsid w:val="3BBE6600"/>
    <w:rsid w:val="3C53D3DD"/>
    <w:rsid w:val="3CA728B9"/>
    <w:rsid w:val="3DB77815"/>
    <w:rsid w:val="3DBF259C"/>
    <w:rsid w:val="3DD55E2D"/>
    <w:rsid w:val="3E274549"/>
    <w:rsid w:val="3E4F36C6"/>
    <w:rsid w:val="3E670732"/>
    <w:rsid w:val="3ED356D4"/>
    <w:rsid w:val="3F282D77"/>
    <w:rsid w:val="41AD318F"/>
    <w:rsid w:val="43071FBC"/>
    <w:rsid w:val="43111072"/>
    <w:rsid w:val="437EBB42"/>
    <w:rsid w:val="43E83863"/>
    <w:rsid w:val="4418F1A1"/>
    <w:rsid w:val="44DC81F6"/>
    <w:rsid w:val="450011C8"/>
    <w:rsid w:val="453B038F"/>
    <w:rsid w:val="45450EBB"/>
    <w:rsid w:val="45590CCA"/>
    <w:rsid w:val="45811425"/>
    <w:rsid w:val="45F9699E"/>
    <w:rsid w:val="46851C0F"/>
    <w:rsid w:val="469CA3F8"/>
    <w:rsid w:val="46A27E03"/>
    <w:rsid w:val="4707FCA8"/>
    <w:rsid w:val="47A84E90"/>
    <w:rsid w:val="47D1E66A"/>
    <w:rsid w:val="4872A382"/>
    <w:rsid w:val="48A990E6"/>
    <w:rsid w:val="4991CF73"/>
    <w:rsid w:val="49D3231C"/>
    <w:rsid w:val="4A5A9D19"/>
    <w:rsid w:val="4AC2ECC3"/>
    <w:rsid w:val="4AD5298A"/>
    <w:rsid w:val="4AF1E856"/>
    <w:rsid w:val="4C7F8D28"/>
    <w:rsid w:val="4C9B47D5"/>
    <w:rsid w:val="4D5262CA"/>
    <w:rsid w:val="4D74AC91"/>
    <w:rsid w:val="4D9625B8"/>
    <w:rsid w:val="4DA6A2A1"/>
    <w:rsid w:val="4DE418BD"/>
    <w:rsid w:val="4E245422"/>
    <w:rsid w:val="4E6BFD48"/>
    <w:rsid w:val="4E6F9F01"/>
    <w:rsid w:val="4F388E97"/>
    <w:rsid w:val="4F5DD40D"/>
    <w:rsid w:val="4F84518F"/>
    <w:rsid w:val="50F670FA"/>
    <w:rsid w:val="50FD0616"/>
    <w:rsid w:val="511D6E57"/>
    <w:rsid w:val="512F31FE"/>
    <w:rsid w:val="51B1930F"/>
    <w:rsid w:val="526B1338"/>
    <w:rsid w:val="52B53C70"/>
    <w:rsid w:val="530C2ECD"/>
    <w:rsid w:val="53748FBA"/>
    <w:rsid w:val="53E438F3"/>
    <w:rsid w:val="53FBEB44"/>
    <w:rsid w:val="5411ACD4"/>
    <w:rsid w:val="541EA7A3"/>
    <w:rsid w:val="542B9A4F"/>
    <w:rsid w:val="544BCFF1"/>
    <w:rsid w:val="555FE34C"/>
    <w:rsid w:val="55786FB0"/>
    <w:rsid w:val="55F37F3B"/>
    <w:rsid w:val="561401AC"/>
    <w:rsid w:val="566800F0"/>
    <w:rsid w:val="5706605B"/>
    <w:rsid w:val="570A1DF5"/>
    <w:rsid w:val="571C2638"/>
    <w:rsid w:val="574E2510"/>
    <w:rsid w:val="57DCDA9B"/>
    <w:rsid w:val="57E9D22C"/>
    <w:rsid w:val="57F6FF61"/>
    <w:rsid w:val="59E153B8"/>
    <w:rsid w:val="5A1E3907"/>
    <w:rsid w:val="5A631DA5"/>
    <w:rsid w:val="5A8AC3B2"/>
    <w:rsid w:val="5A9E46B0"/>
    <w:rsid w:val="5BBB8E46"/>
    <w:rsid w:val="5BCB91A9"/>
    <w:rsid w:val="5C0C3F52"/>
    <w:rsid w:val="5C3D8351"/>
    <w:rsid w:val="5CD0857E"/>
    <w:rsid w:val="5D369AC6"/>
    <w:rsid w:val="5D40C8E6"/>
    <w:rsid w:val="5E20C28B"/>
    <w:rsid w:val="5E411FE2"/>
    <w:rsid w:val="5E48E2EE"/>
    <w:rsid w:val="5E593AF2"/>
    <w:rsid w:val="5E943053"/>
    <w:rsid w:val="5F1CA643"/>
    <w:rsid w:val="60072A16"/>
    <w:rsid w:val="605C6E30"/>
    <w:rsid w:val="60DEA844"/>
    <w:rsid w:val="60E1152C"/>
    <w:rsid w:val="61D1F013"/>
    <w:rsid w:val="62F2C4EA"/>
    <w:rsid w:val="64111AF5"/>
    <w:rsid w:val="64AC0461"/>
    <w:rsid w:val="6513C1AF"/>
    <w:rsid w:val="65E68CA4"/>
    <w:rsid w:val="6627CDA5"/>
    <w:rsid w:val="66900DA7"/>
    <w:rsid w:val="66A3B39A"/>
    <w:rsid w:val="66F062E8"/>
    <w:rsid w:val="675F4829"/>
    <w:rsid w:val="6773CFB6"/>
    <w:rsid w:val="67972BC3"/>
    <w:rsid w:val="67B25CB8"/>
    <w:rsid w:val="67B6F75C"/>
    <w:rsid w:val="685B9E18"/>
    <w:rsid w:val="686C888C"/>
    <w:rsid w:val="693A8677"/>
    <w:rsid w:val="69663416"/>
    <w:rsid w:val="697580BE"/>
    <w:rsid w:val="6A854091"/>
    <w:rsid w:val="6ADAEE3E"/>
    <w:rsid w:val="6BC94A38"/>
    <w:rsid w:val="6DA957B0"/>
    <w:rsid w:val="6E25C070"/>
    <w:rsid w:val="6EAA4951"/>
    <w:rsid w:val="6EC1EDBA"/>
    <w:rsid w:val="6F74E174"/>
    <w:rsid w:val="6FE00A10"/>
    <w:rsid w:val="708EB57A"/>
    <w:rsid w:val="71B3B340"/>
    <w:rsid w:val="71D02FB1"/>
    <w:rsid w:val="71E89338"/>
    <w:rsid w:val="732CFFD4"/>
    <w:rsid w:val="7373B3AB"/>
    <w:rsid w:val="7377D8EA"/>
    <w:rsid w:val="7416F2B5"/>
    <w:rsid w:val="7597DB1D"/>
    <w:rsid w:val="75ED2A7E"/>
    <w:rsid w:val="75F9A890"/>
    <w:rsid w:val="76356C76"/>
    <w:rsid w:val="76919602"/>
    <w:rsid w:val="76ADF21A"/>
    <w:rsid w:val="76D9509F"/>
    <w:rsid w:val="772A7828"/>
    <w:rsid w:val="774AE002"/>
    <w:rsid w:val="77518D39"/>
    <w:rsid w:val="777A35EA"/>
    <w:rsid w:val="779BDEA5"/>
    <w:rsid w:val="77C6E330"/>
    <w:rsid w:val="77CC6BA5"/>
    <w:rsid w:val="78A01910"/>
    <w:rsid w:val="7988383D"/>
    <w:rsid w:val="79C9723B"/>
    <w:rsid w:val="7A245025"/>
    <w:rsid w:val="7ACE1671"/>
    <w:rsid w:val="7B27A5B1"/>
    <w:rsid w:val="7B8242E1"/>
    <w:rsid w:val="7BFAEF70"/>
    <w:rsid w:val="7C1DAD2E"/>
    <w:rsid w:val="7CA04C42"/>
    <w:rsid w:val="7D4ABF1C"/>
    <w:rsid w:val="7DB3635C"/>
    <w:rsid w:val="7DD9199C"/>
    <w:rsid w:val="7E0844AE"/>
    <w:rsid w:val="7E633259"/>
    <w:rsid w:val="7F2E404E"/>
    <w:rsid w:val="7F78ECC9"/>
    <w:rsid w:val="7FC0AEE8"/>
    <w:rsid w:val="7FE0B2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6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9"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lsdException w:name="heading 8" w:semiHidden="1" w:uiPriority="19" w:unhideWhenUsed="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8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B97"/>
    <w:pPr>
      <w:spacing w:after="120"/>
    </w:pPr>
    <w:rPr>
      <w:rFonts w:ascii="Segoe UI" w:hAnsi="Segoe UI"/>
      <w:sz w:val="19"/>
      <w:lang w:val="en-AU"/>
    </w:rPr>
  </w:style>
  <w:style w:type="paragraph" w:styleId="Heading1">
    <w:name w:val="heading 1"/>
    <w:basedOn w:val="Normal"/>
    <w:next w:val="Normal"/>
    <w:link w:val="Heading1Char"/>
    <w:uiPriority w:val="19"/>
    <w:qFormat/>
    <w:rsid w:val="005B2B97"/>
    <w:pPr>
      <w:keepNext/>
      <w:pageBreakBefore/>
      <w:numPr>
        <w:numId w:val="9"/>
      </w:numPr>
      <w:spacing w:after="480" w:line="240" w:lineRule="auto"/>
      <w:outlineLvl w:val="0"/>
    </w:pPr>
    <w:rPr>
      <w:rFonts w:eastAsia="Times New Roman" w:cs="Times New Roman"/>
      <w:b/>
      <w:color w:val="00264D"/>
      <w:sz w:val="36"/>
      <w:szCs w:val="19"/>
      <w:lang w:eastAsia="en-AU"/>
    </w:rPr>
  </w:style>
  <w:style w:type="paragraph" w:styleId="Heading2">
    <w:name w:val="heading 2"/>
    <w:basedOn w:val="Normal"/>
    <w:next w:val="Normal"/>
    <w:link w:val="Heading2Char"/>
    <w:uiPriority w:val="19"/>
    <w:qFormat/>
    <w:rsid w:val="005B2B97"/>
    <w:pPr>
      <w:keepNext/>
      <w:numPr>
        <w:ilvl w:val="1"/>
        <w:numId w:val="9"/>
      </w:numPr>
      <w:spacing w:before="300" w:after="180" w:line="240" w:lineRule="auto"/>
      <w:outlineLvl w:val="1"/>
    </w:pPr>
    <w:rPr>
      <w:rFonts w:ascii="Segoe UI Semibold" w:eastAsia="Times New Roman" w:hAnsi="Segoe UI Semibold" w:cs="Times New Roman"/>
      <w:color w:val="00264D"/>
      <w:sz w:val="30"/>
      <w:szCs w:val="19"/>
      <w:lang w:eastAsia="en-AU"/>
    </w:rPr>
  </w:style>
  <w:style w:type="paragraph" w:styleId="Heading3">
    <w:name w:val="heading 3"/>
    <w:basedOn w:val="Normal"/>
    <w:next w:val="Normal"/>
    <w:link w:val="Heading3Char"/>
    <w:uiPriority w:val="19"/>
    <w:qFormat/>
    <w:rsid w:val="005B2B97"/>
    <w:pPr>
      <w:keepNext/>
      <w:numPr>
        <w:ilvl w:val="2"/>
        <w:numId w:val="9"/>
      </w:numPr>
      <w:spacing w:before="240"/>
      <w:outlineLvl w:val="2"/>
    </w:pPr>
    <w:rPr>
      <w:rFonts w:ascii="Segoe UI Semibold" w:eastAsia="Times New Roman" w:hAnsi="Segoe UI Semibold" w:cs="Times New Roman"/>
      <w:color w:val="00264D"/>
      <w:sz w:val="26"/>
      <w:szCs w:val="19"/>
      <w:lang w:eastAsia="en-AU"/>
    </w:rPr>
  </w:style>
  <w:style w:type="paragraph" w:styleId="Heading4">
    <w:name w:val="heading 4"/>
    <w:basedOn w:val="Normal"/>
    <w:next w:val="Normal"/>
    <w:link w:val="Heading4Char"/>
    <w:uiPriority w:val="19"/>
    <w:qFormat/>
    <w:rsid w:val="005B2B97"/>
    <w:pPr>
      <w:keepNext/>
      <w:spacing w:before="180"/>
      <w:outlineLvl w:val="3"/>
    </w:pPr>
    <w:rPr>
      <w:rFonts w:ascii="Segoe UI Semibold" w:eastAsia="Times New Roman" w:hAnsi="Segoe UI Semibold" w:cs="Times New Roman"/>
      <w:color w:val="00264D" w:themeColor="background2"/>
      <w:sz w:val="22"/>
      <w:szCs w:val="19"/>
      <w:lang w:eastAsia="en-AU"/>
    </w:rPr>
  </w:style>
  <w:style w:type="paragraph" w:styleId="Heading5">
    <w:name w:val="heading 5"/>
    <w:basedOn w:val="Normal"/>
    <w:next w:val="Normal"/>
    <w:link w:val="Heading5Char"/>
    <w:uiPriority w:val="19"/>
    <w:qFormat/>
    <w:rsid w:val="005B2B97"/>
    <w:pPr>
      <w:keepNext/>
      <w:numPr>
        <w:ilvl w:val="4"/>
        <w:numId w:val="9"/>
      </w:numPr>
      <w:spacing w:before="180"/>
      <w:outlineLvl w:val="4"/>
    </w:pPr>
    <w:rPr>
      <w:rFonts w:eastAsia="Times New Roman" w:cs="Times New Roman"/>
      <w:b/>
      <w:color w:val="000000" w:themeColor="text1"/>
      <w:sz w:val="20"/>
      <w:szCs w:val="24"/>
      <w:lang w:eastAsia="en-AU"/>
    </w:rPr>
  </w:style>
  <w:style w:type="paragraph" w:styleId="Heading6">
    <w:name w:val="heading 6"/>
    <w:basedOn w:val="Normal"/>
    <w:next w:val="Normal"/>
    <w:link w:val="Heading6Char"/>
    <w:uiPriority w:val="19"/>
    <w:qFormat/>
    <w:rsid w:val="005B2B97"/>
    <w:pPr>
      <w:keepNext/>
      <w:keepLines/>
      <w:numPr>
        <w:ilvl w:val="5"/>
        <w:numId w:val="9"/>
      </w:numPr>
      <w:spacing w:before="120"/>
      <w:outlineLvl w:val="5"/>
    </w:pPr>
    <w:rPr>
      <w:rFonts w:eastAsiaTheme="majorEastAsia" w:cstheme="majorBidi"/>
      <w:b/>
      <w:i/>
      <w:iCs/>
      <w:color w:val="000000" w:themeColor="text1"/>
      <w:szCs w:val="19"/>
      <w:lang w:eastAsia="en-AU"/>
    </w:rPr>
  </w:style>
  <w:style w:type="paragraph" w:styleId="Heading7">
    <w:name w:val="heading 7"/>
    <w:basedOn w:val="Normal"/>
    <w:next w:val="Normal"/>
    <w:link w:val="Heading7Char"/>
    <w:uiPriority w:val="19"/>
    <w:semiHidden/>
    <w:rsid w:val="005B2B97"/>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19"/>
    <w:semiHidden/>
    <w:rsid w:val="005B2B97"/>
    <w:pPr>
      <w:keepNext/>
      <w:keepLines/>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19"/>
    <w:semiHidden/>
    <w:qFormat/>
    <w:rsid w:val="002B29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9"/>
    <w:rsid w:val="005B2B97"/>
    <w:rPr>
      <w:rFonts w:ascii="Segoe UI" w:eastAsia="Times New Roman" w:hAnsi="Segoe UI" w:cs="Times New Roman"/>
      <w:b/>
      <w:color w:val="00264D"/>
      <w:sz w:val="36"/>
      <w:szCs w:val="19"/>
      <w:lang w:val="en-AU" w:eastAsia="en-AU"/>
    </w:rPr>
  </w:style>
  <w:style w:type="character" w:customStyle="1" w:styleId="Heading2Char">
    <w:name w:val="Heading 2 Char"/>
    <w:basedOn w:val="DefaultParagraphFont"/>
    <w:link w:val="Heading2"/>
    <w:uiPriority w:val="19"/>
    <w:rsid w:val="005B2B97"/>
    <w:rPr>
      <w:rFonts w:ascii="Segoe UI Semibold" w:eastAsia="Times New Roman" w:hAnsi="Segoe UI Semibold" w:cs="Times New Roman"/>
      <w:color w:val="00264D"/>
      <w:sz w:val="30"/>
      <w:szCs w:val="19"/>
      <w:lang w:val="en-AU" w:eastAsia="en-AU"/>
    </w:rPr>
  </w:style>
  <w:style w:type="character" w:customStyle="1" w:styleId="Heading3Char">
    <w:name w:val="Heading 3 Char"/>
    <w:basedOn w:val="DefaultParagraphFont"/>
    <w:link w:val="Heading3"/>
    <w:uiPriority w:val="19"/>
    <w:rsid w:val="005B2B97"/>
    <w:rPr>
      <w:rFonts w:ascii="Segoe UI Semibold" w:eastAsia="Times New Roman" w:hAnsi="Segoe UI Semibold" w:cs="Times New Roman"/>
      <w:color w:val="00264D"/>
      <w:sz w:val="26"/>
      <w:szCs w:val="19"/>
      <w:lang w:val="en-AU" w:eastAsia="en-AU"/>
    </w:rPr>
  </w:style>
  <w:style w:type="character" w:customStyle="1" w:styleId="Heading4Char">
    <w:name w:val="Heading 4 Char"/>
    <w:basedOn w:val="DefaultParagraphFont"/>
    <w:link w:val="Heading4"/>
    <w:uiPriority w:val="19"/>
    <w:rsid w:val="005B2B97"/>
    <w:rPr>
      <w:rFonts w:ascii="Segoe UI Semibold" w:eastAsia="Times New Roman" w:hAnsi="Segoe UI Semibold" w:cs="Times New Roman"/>
      <w:color w:val="00264D" w:themeColor="background2"/>
      <w:szCs w:val="19"/>
      <w:lang w:val="en-AU" w:eastAsia="en-AU"/>
    </w:rPr>
  </w:style>
  <w:style w:type="character" w:customStyle="1" w:styleId="Heading5Char">
    <w:name w:val="Heading 5 Char"/>
    <w:basedOn w:val="DefaultParagraphFont"/>
    <w:link w:val="Heading5"/>
    <w:uiPriority w:val="19"/>
    <w:rsid w:val="005B2B97"/>
    <w:rPr>
      <w:rFonts w:ascii="Segoe UI" w:eastAsia="Times New Roman" w:hAnsi="Segoe UI" w:cs="Times New Roman"/>
      <w:b/>
      <w:color w:val="000000" w:themeColor="text1"/>
      <w:sz w:val="20"/>
      <w:szCs w:val="24"/>
      <w:lang w:val="en-AU" w:eastAsia="en-AU"/>
    </w:rPr>
  </w:style>
  <w:style w:type="character" w:customStyle="1" w:styleId="Heading6Char">
    <w:name w:val="Heading 6 Char"/>
    <w:basedOn w:val="DefaultParagraphFont"/>
    <w:link w:val="Heading6"/>
    <w:uiPriority w:val="19"/>
    <w:rsid w:val="005B2B97"/>
    <w:rPr>
      <w:rFonts w:ascii="Segoe UI" w:eastAsiaTheme="majorEastAsia" w:hAnsi="Segoe UI" w:cstheme="majorBidi"/>
      <w:b/>
      <w:i/>
      <w:iCs/>
      <w:color w:val="000000" w:themeColor="text1"/>
      <w:sz w:val="19"/>
      <w:szCs w:val="19"/>
      <w:lang w:val="en-AU" w:eastAsia="en-AU"/>
    </w:rPr>
  </w:style>
  <w:style w:type="paragraph" w:customStyle="1" w:styleId="Bullet">
    <w:name w:val="Bullet"/>
    <w:basedOn w:val="Normal"/>
    <w:link w:val="BulletChar"/>
    <w:uiPriority w:val="2"/>
    <w:qFormat/>
    <w:rsid w:val="005B2B97"/>
    <w:pPr>
      <w:numPr>
        <w:numId w:val="8"/>
      </w:numPr>
      <w:suppressAutoHyphens/>
    </w:pPr>
    <w:rPr>
      <w:rFonts w:eastAsia="Times New Roman" w:cs="Times New Roman"/>
      <w:szCs w:val="19"/>
      <w:lang w:eastAsia="en-AU"/>
    </w:rPr>
  </w:style>
  <w:style w:type="paragraph" w:customStyle="1" w:styleId="TableNheader">
    <w:name w:val="Table N header"/>
    <w:basedOn w:val="Normal"/>
    <w:uiPriority w:val="2"/>
    <w:qFormat/>
    <w:rsid w:val="005B2B97"/>
    <w:pPr>
      <w:spacing w:before="40" w:after="40" w:line="240" w:lineRule="auto"/>
    </w:pPr>
    <w:rPr>
      <w:rFonts w:ascii="Segoe UI Semibold" w:hAnsi="Segoe UI Semibold"/>
      <w:color w:val="00264D" w:themeColor="background2"/>
      <w:sz w:val="18"/>
    </w:rPr>
  </w:style>
  <w:style w:type="paragraph" w:customStyle="1" w:styleId="TableNText">
    <w:name w:val="Table N Text"/>
    <w:basedOn w:val="Normal"/>
    <w:link w:val="TableNTextChar"/>
    <w:uiPriority w:val="2"/>
    <w:qFormat/>
    <w:rsid w:val="005B2B97"/>
    <w:pPr>
      <w:spacing w:before="60" w:after="60"/>
    </w:pPr>
    <w:rPr>
      <w:sz w:val="17"/>
    </w:rPr>
  </w:style>
  <w:style w:type="table" w:customStyle="1" w:styleId="NousTableStyletopandsideheading">
    <w:name w:val="Nous Table Style top and side heading"/>
    <w:basedOn w:val="TableNormal"/>
    <w:uiPriority w:val="99"/>
    <w:rsid w:val="000D4C32"/>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Yu Mincho" w:hAnsi="Yu Mincho"/>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tcPr>
    </w:tblStylePr>
    <w:tblStylePr w:type="firstCol">
      <w:pPr>
        <w:jc w:val="center"/>
      </w:pPr>
      <w:rPr>
        <w:rFonts w:ascii="Yu Mincho" w:hAnsi="Yu Mincho"/>
        <w:b w:val="0"/>
        <w:color w:val="00264D" w:themeColor="background2"/>
        <w:sz w:val="18"/>
      </w:rPr>
      <w:tblPr/>
      <w:tcPr>
        <w:tcBorders>
          <w:left w:val="nil"/>
        </w:tcBorders>
        <w:shd w:val="clear" w:color="auto" w:fill="E6E6E1" w:themeFill="accent5"/>
      </w:tcPr>
    </w:tblStylePr>
  </w:style>
  <w:style w:type="paragraph" w:styleId="Footer">
    <w:name w:val="footer"/>
    <w:aliases w:val="Foot note"/>
    <w:basedOn w:val="Normal"/>
    <w:link w:val="FooterChar"/>
    <w:uiPriority w:val="89"/>
    <w:unhideWhenUsed/>
    <w:rsid w:val="005B2B97"/>
    <w:pPr>
      <w:tabs>
        <w:tab w:val="center" w:pos="4513"/>
        <w:tab w:val="right" w:pos="9026"/>
      </w:tabs>
      <w:spacing w:after="0"/>
    </w:pPr>
    <w:rPr>
      <w:sz w:val="15"/>
    </w:rPr>
  </w:style>
  <w:style w:type="character" w:customStyle="1" w:styleId="FooterChar">
    <w:name w:val="Footer Char"/>
    <w:aliases w:val="Foot note Char"/>
    <w:basedOn w:val="DefaultParagraphFont"/>
    <w:link w:val="Footer"/>
    <w:uiPriority w:val="89"/>
    <w:rsid w:val="005B2B97"/>
    <w:rPr>
      <w:rFonts w:ascii="Segoe UI" w:hAnsi="Segoe UI"/>
      <w:sz w:val="15"/>
      <w:lang w:val="en-AU"/>
    </w:rPr>
  </w:style>
  <w:style w:type="paragraph" w:styleId="Caption">
    <w:name w:val="caption"/>
    <w:basedOn w:val="Normal"/>
    <w:next w:val="Normal"/>
    <w:link w:val="CaptionChar"/>
    <w:uiPriority w:val="35"/>
    <w:qFormat/>
    <w:rsid w:val="005B2B97"/>
    <w:pPr>
      <w:keepNext/>
      <w:spacing w:before="180"/>
    </w:pPr>
    <w:rPr>
      <w:rFonts w:ascii="Segoe UI Semibold" w:hAnsi="Segoe UI Semibold"/>
      <w:bCs/>
      <w:color w:val="00264D" w:themeColor="background2"/>
      <w:szCs w:val="18"/>
    </w:rPr>
  </w:style>
  <w:style w:type="paragraph" w:customStyle="1" w:styleId="TableNBullet">
    <w:name w:val="Table N Bullet"/>
    <w:basedOn w:val="Bullet"/>
    <w:link w:val="TableNBulletChar"/>
    <w:uiPriority w:val="2"/>
    <w:qFormat/>
    <w:rsid w:val="005B2B97"/>
    <w:pPr>
      <w:numPr>
        <w:numId w:val="16"/>
      </w:numPr>
      <w:spacing w:before="60" w:after="60"/>
    </w:pPr>
    <w:rPr>
      <w:sz w:val="17"/>
    </w:rPr>
  </w:style>
  <w:style w:type="paragraph" w:customStyle="1" w:styleId="TableNListnumbered">
    <w:name w:val="Table N List (numbered)"/>
    <w:basedOn w:val="TableNBullet"/>
    <w:uiPriority w:val="2"/>
    <w:qFormat/>
    <w:rsid w:val="005B2B97"/>
    <w:pPr>
      <w:numPr>
        <w:numId w:val="18"/>
      </w:numPr>
    </w:pPr>
  </w:style>
  <w:style w:type="paragraph" w:customStyle="1" w:styleId="xAppendixLevel1">
    <w:name w:val="xAppendix Level 1"/>
    <w:basedOn w:val="Heading1"/>
    <w:next w:val="Normal"/>
    <w:uiPriority w:val="98"/>
    <w:qFormat/>
    <w:rsid w:val="005B2B97"/>
    <w:pPr>
      <w:numPr>
        <w:numId w:val="19"/>
      </w:numPr>
    </w:pPr>
    <w:rPr>
      <w:bCs/>
    </w:rPr>
  </w:style>
  <w:style w:type="paragraph" w:customStyle="1" w:styleId="xAppendixLevel2">
    <w:name w:val="xAppendix Level 2"/>
    <w:basedOn w:val="Heading2"/>
    <w:next w:val="Normal"/>
    <w:uiPriority w:val="98"/>
    <w:qFormat/>
    <w:rsid w:val="005B2B97"/>
    <w:pPr>
      <w:numPr>
        <w:numId w:val="19"/>
      </w:numPr>
    </w:pPr>
    <w:rPr>
      <w:bCs/>
      <w:sz w:val="34"/>
    </w:rPr>
  </w:style>
  <w:style w:type="paragraph" w:customStyle="1" w:styleId="xAppendixLevel3">
    <w:name w:val="xAppendix Level 3"/>
    <w:basedOn w:val="Heading3"/>
    <w:next w:val="Normal"/>
    <w:uiPriority w:val="98"/>
    <w:qFormat/>
    <w:rsid w:val="005B2B97"/>
    <w:pPr>
      <w:numPr>
        <w:numId w:val="19"/>
      </w:numPr>
    </w:pPr>
    <w:rPr>
      <w:bCs/>
    </w:rPr>
  </w:style>
  <w:style w:type="paragraph" w:customStyle="1" w:styleId="Listnumbered">
    <w:name w:val="List (numbered)"/>
    <w:basedOn w:val="Normal"/>
    <w:uiPriority w:val="1"/>
    <w:qFormat/>
    <w:rsid w:val="005B2B97"/>
    <w:pPr>
      <w:numPr>
        <w:numId w:val="20"/>
      </w:numPr>
    </w:pPr>
  </w:style>
  <w:style w:type="paragraph" w:customStyle="1" w:styleId="Source">
    <w:name w:val="Source"/>
    <w:basedOn w:val="Normal"/>
    <w:next w:val="Normal"/>
    <w:link w:val="SourceChar"/>
    <w:uiPriority w:val="39"/>
    <w:rsid w:val="005B2B97"/>
    <w:pPr>
      <w:spacing w:before="120" w:after="240"/>
    </w:pPr>
    <w:rPr>
      <w:rFonts w:eastAsia="Times New Roman" w:cs="Times New Roman"/>
      <w:i/>
      <w:sz w:val="17"/>
      <w:szCs w:val="19"/>
      <w:lang w:eastAsia="en-AU"/>
    </w:rPr>
  </w:style>
  <w:style w:type="character" w:customStyle="1" w:styleId="SourceChar">
    <w:name w:val="Source Char"/>
    <w:basedOn w:val="DefaultParagraphFont"/>
    <w:link w:val="Source"/>
    <w:uiPriority w:val="39"/>
    <w:rsid w:val="005B2B97"/>
    <w:rPr>
      <w:rFonts w:ascii="Segoe UI" w:eastAsia="Times New Roman" w:hAnsi="Segoe UI" w:cs="Times New Roman"/>
      <w:i/>
      <w:sz w:val="17"/>
      <w:szCs w:val="19"/>
      <w:lang w:val="en-AU" w:eastAsia="en-AU"/>
    </w:rPr>
  </w:style>
  <w:style w:type="paragraph" w:customStyle="1" w:styleId="TableExpBullet0">
    <w:name w:val="Table Exp Bullet"/>
    <w:basedOn w:val="TableNBullet"/>
    <w:uiPriority w:val="3"/>
    <w:qFormat/>
    <w:rsid w:val="00865A27"/>
  </w:style>
  <w:style w:type="paragraph" w:customStyle="1" w:styleId="Tableexpheader">
    <w:name w:val="Table exp header"/>
    <w:basedOn w:val="Normal"/>
    <w:uiPriority w:val="3"/>
    <w:qFormat/>
    <w:rsid w:val="005B2B97"/>
    <w:pPr>
      <w:spacing w:before="40" w:after="40" w:line="240" w:lineRule="auto"/>
    </w:pPr>
    <w:rPr>
      <w:rFonts w:ascii="Segoe UI Semibold" w:hAnsi="Segoe UI Semibold"/>
      <w:color w:val="00264D" w:themeColor="background2"/>
      <w:sz w:val="17"/>
    </w:rPr>
  </w:style>
  <w:style w:type="paragraph" w:customStyle="1" w:styleId="TableexpListnumbered">
    <w:name w:val="Table exp List (numbered)"/>
    <w:basedOn w:val="Normal"/>
    <w:uiPriority w:val="3"/>
    <w:qFormat/>
    <w:rsid w:val="005B2B97"/>
    <w:pPr>
      <w:numPr>
        <w:numId w:val="15"/>
      </w:numPr>
      <w:spacing w:before="60" w:after="60"/>
    </w:pPr>
    <w:rPr>
      <w:sz w:val="16"/>
    </w:rPr>
  </w:style>
  <w:style w:type="paragraph" w:customStyle="1" w:styleId="TableExpText">
    <w:name w:val="Table Exp Text"/>
    <w:basedOn w:val="Normal"/>
    <w:uiPriority w:val="3"/>
    <w:qFormat/>
    <w:rsid w:val="005B2B97"/>
    <w:rPr>
      <w:sz w:val="16"/>
    </w:rPr>
  </w:style>
  <w:style w:type="character" w:customStyle="1" w:styleId="Heading7Char">
    <w:name w:val="Heading 7 Char"/>
    <w:basedOn w:val="DefaultParagraphFont"/>
    <w:link w:val="Heading7"/>
    <w:uiPriority w:val="19"/>
    <w:semiHidden/>
    <w:rsid w:val="005B2B97"/>
    <w:rPr>
      <w:rFonts w:ascii="Segoe UI" w:eastAsiaTheme="majorEastAsia" w:hAnsi="Segoe UI" w:cstheme="majorBidi"/>
      <w:i/>
      <w:iCs/>
      <w:color w:val="404040" w:themeColor="text1" w:themeTint="BF"/>
      <w:sz w:val="19"/>
      <w:lang w:val="en-AU"/>
    </w:rPr>
  </w:style>
  <w:style w:type="paragraph" w:customStyle="1" w:styleId="TableText">
    <w:name w:val="Table Text"/>
    <w:link w:val="TableTextChar"/>
    <w:uiPriority w:val="2"/>
    <w:rsid w:val="00653916"/>
    <w:pPr>
      <w:spacing w:before="40" w:after="40" w:line="240" w:lineRule="auto"/>
    </w:pPr>
    <w:rPr>
      <w:rFonts w:ascii="Segoe UI" w:eastAsia="Times New Roman" w:hAnsi="Segoe UI" w:cs="Times New Roman"/>
      <w:sz w:val="17"/>
      <w:szCs w:val="19"/>
      <w:lang w:val="en-AU" w:eastAsia="en-AU"/>
    </w:rPr>
  </w:style>
  <w:style w:type="paragraph" w:customStyle="1" w:styleId="Tablecolumnheading">
    <w:name w:val="Table column heading"/>
    <w:basedOn w:val="Normal"/>
    <w:link w:val="TablecolumnheadingChar"/>
    <w:uiPriority w:val="2"/>
    <w:rsid w:val="00653916"/>
    <w:pPr>
      <w:keepNext/>
      <w:spacing w:before="40" w:after="40"/>
    </w:pPr>
    <w:rPr>
      <w:rFonts w:ascii="Segoe UI Semibold" w:eastAsia="Times New Roman" w:hAnsi="Segoe UI Semibold" w:cs="Times New Roman"/>
      <w:color w:val="00264D"/>
      <w:sz w:val="18"/>
      <w:szCs w:val="17"/>
      <w:lang w:eastAsia="en-AU"/>
    </w:rPr>
  </w:style>
  <w:style w:type="character" w:customStyle="1" w:styleId="TableTextChar">
    <w:name w:val="Table Text Char"/>
    <w:basedOn w:val="DefaultParagraphFont"/>
    <w:link w:val="TableText"/>
    <w:uiPriority w:val="2"/>
    <w:rsid w:val="00865A27"/>
    <w:rPr>
      <w:rFonts w:ascii="Segoe UI" w:eastAsia="Times New Roman" w:hAnsi="Segoe UI" w:cs="Times New Roman"/>
      <w:sz w:val="17"/>
      <w:szCs w:val="19"/>
      <w:lang w:val="en-AU" w:eastAsia="en-AU"/>
    </w:rPr>
  </w:style>
  <w:style w:type="character" w:customStyle="1" w:styleId="TablecolumnheadingChar">
    <w:name w:val="Table column heading Char"/>
    <w:basedOn w:val="DefaultParagraphFont"/>
    <w:link w:val="Tablecolumnheading"/>
    <w:uiPriority w:val="2"/>
    <w:rsid w:val="00865A27"/>
    <w:rPr>
      <w:rFonts w:ascii="Segoe UI Semibold" w:eastAsia="Times New Roman" w:hAnsi="Segoe UI Semibold" w:cs="Times New Roman"/>
      <w:color w:val="00264D"/>
      <w:sz w:val="18"/>
      <w:szCs w:val="17"/>
      <w:lang w:val="en-AU" w:eastAsia="en-AU"/>
    </w:rPr>
  </w:style>
  <w:style w:type="table" w:customStyle="1" w:styleId="Style1">
    <w:name w:val="Style1"/>
    <w:basedOn w:val="TableNormal"/>
    <w:uiPriority w:val="99"/>
    <w:rsid w:val="00653916"/>
    <w:pPr>
      <w:spacing w:after="0" w:line="240" w:lineRule="auto"/>
    </w:pPr>
    <w:tblPr/>
    <w:tcPr>
      <w:shd w:val="clear" w:color="auto" w:fill="E6E6E1" w:themeFill="accent5"/>
    </w:tcPr>
  </w:style>
  <w:style w:type="paragraph" w:styleId="BalloonText">
    <w:name w:val="Balloon Text"/>
    <w:basedOn w:val="Normal"/>
    <w:link w:val="BalloonTextChar"/>
    <w:uiPriority w:val="99"/>
    <w:semiHidden/>
    <w:unhideWhenUsed/>
    <w:rsid w:val="005B2B9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B97"/>
    <w:rPr>
      <w:rFonts w:ascii="Tahoma" w:hAnsi="Tahoma" w:cs="Tahoma"/>
      <w:sz w:val="16"/>
      <w:szCs w:val="16"/>
      <w:lang w:val="en-AU"/>
    </w:rPr>
  </w:style>
  <w:style w:type="paragraph" w:customStyle="1" w:styleId="URL-groupcomau">
    <w:name w:val="URL - group.com.au"/>
    <w:basedOn w:val="Normal"/>
    <w:link w:val="URL-groupcomauChar"/>
    <w:uiPriority w:val="89"/>
    <w:semiHidden/>
    <w:qFormat/>
    <w:rsid w:val="005B2B97"/>
    <w:pPr>
      <w:spacing w:after="0"/>
    </w:pPr>
    <w:rPr>
      <w:rFonts w:eastAsia="Times New Roman" w:cs="Times New Roman"/>
      <w:color w:val="2E368F" w:themeColor="text2"/>
      <w:spacing w:val="20"/>
      <w:sz w:val="14"/>
      <w:szCs w:val="19"/>
      <w:lang w:eastAsia="en-AU"/>
    </w:rPr>
  </w:style>
  <w:style w:type="character" w:customStyle="1" w:styleId="URL-groupcomauChar">
    <w:name w:val="URL - group.com.au Char"/>
    <w:basedOn w:val="DefaultParagraphFont"/>
    <w:link w:val="URL-groupcomau"/>
    <w:uiPriority w:val="89"/>
    <w:semiHidden/>
    <w:rsid w:val="005B2B97"/>
    <w:rPr>
      <w:rFonts w:ascii="Segoe UI" w:eastAsia="Times New Roman" w:hAnsi="Segoe UI" w:cs="Times New Roman"/>
      <w:color w:val="2E368F" w:themeColor="text2"/>
      <w:spacing w:val="20"/>
      <w:sz w:val="14"/>
      <w:szCs w:val="19"/>
      <w:lang w:val="en-AU" w:eastAsia="en-AU"/>
    </w:rPr>
  </w:style>
  <w:style w:type="paragraph" w:customStyle="1" w:styleId="URL-nous">
    <w:name w:val="URL - nous"/>
    <w:basedOn w:val="Normal"/>
    <w:link w:val="URL-nousChar"/>
    <w:uiPriority w:val="89"/>
    <w:semiHidden/>
    <w:qFormat/>
    <w:rsid w:val="005B2B97"/>
    <w:pPr>
      <w:spacing w:after="0"/>
    </w:pPr>
    <w:rPr>
      <w:rFonts w:eastAsia="Times New Roman" w:cs="Times New Roman"/>
      <w:color w:val="FF3A40" w:themeColor="accent1"/>
      <w:spacing w:val="20"/>
      <w:sz w:val="14"/>
      <w:szCs w:val="19"/>
      <w:lang w:eastAsia="en-AU"/>
    </w:rPr>
  </w:style>
  <w:style w:type="character" w:customStyle="1" w:styleId="URL-nousChar">
    <w:name w:val="URL - nous Char"/>
    <w:basedOn w:val="DefaultParagraphFont"/>
    <w:link w:val="URL-nous"/>
    <w:uiPriority w:val="89"/>
    <w:semiHidden/>
    <w:rsid w:val="005B2B97"/>
    <w:rPr>
      <w:rFonts w:ascii="Segoe UI" w:eastAsia="Times New Roman" w:hAnsi="Segoe UI" w:cs="Times New Roman"/>
      <w:color w:val="FF3A40" w:themeColor="accent1"/>
      <w:spacing w:val="20"/>
      <w:sz w:val="14"/>
      <w:szCs w:val="19"/>
      <w:lang w:val="en-AU" w:eastAsia="en-AU"/>
    </w:rPr>
  </w:style>
  <w:style w:type="paragraph" w:customStyle="1" w:styleId="ContentsHeading">
    <w:name w:val="Contents Heading"/>
    <w:basedOn w:val="Normal"/>
    <w:uiPriority w:val="19"/>
    <w:rsid w:val="005B2B97"/>
    <w:pPr>
      <w:spacing w:before="360" w:after="600" w:line="560" w:lineRule="exact"/>
    </w:pPr>
    <w:rPr>
      <w:rFonts w:eastAsia="Times New Roman" w:cs="Segoe UI"/>
      <w:b/>
      <w:color w:val="00264D"/>
      <w:sz w:val="36"/>
      <w:szCs w:val="36"/>
      <w:lang w:eastAsia="en-AU"/>
    </w:rPr>
  </w:style>
  <w:style w:type="character" w:customStyle="1" w:styleId="BulletChar">
    <w:name w:val="Bullet Char"/>
    <w:basedOn w:val="DefaultParagraphFont"/>
    <w:link w:val="Bullet"/>
    <w:uiPriority w:val="2"/>
    <w:rsid w:val="005B2B97"/>
    <w:rPr>
      <w:rFonts w:ascii="Segoe UI" w:eastAsia="Times New Roman" w:hAnsi="Segoe UI" w:cs="Times New Roman"/>
      <w:sz w:val="19"/>
      <w:szCs w:val="19"/>
      <w:lang w:val="en-AU" w:eastAsia="en-AU"/>
    </w:rPr>
  </w:style>
  <w:style w:type="paragraph" w:customStyle="1" w:styleId="Sectiondividerheading">
    <w:name w:val="Section divider heading"/>
    <w:basedOn w:val="Normal"/>
    <w:link w:val="SectiondividerheadingChar"/>
    <w:uiPriority w:val="99"/>
    <w:rsid w:val="00A10340"/>
    <w:pPr>
      <w:spacing w:after="0"/>
    </w:pPr>
    <w:rPr>
      <w:rFonts w:eastAsia="Source Sans Pro" w:cs="Segoe UI"/>
      <w:b/>
      <w:bCs/>
      <w:color w:val="F8981D"/>
      <w:sz w:val="56"/>
      <w:szCs w:val="56"/>
      <w:lang w:eastAsia="en-AU"/>
    </w:rPr>
  </w:style>
  <w:style w:type="character" w:customStyle="1" w:styleId="SectiondividerheadingChar">
    <w:name w:val="Section divider heading Char"/>
    <w:basedOn w:val="DefaultParagraphFont"/>
    <w:link w:val="Sectiondividerheading"/>
    <w:uiPriority w:val="99"/>
    <w:rsid w:val="00865A27"/>
    <w:rPr>
      <w:rFonts w:ascii="Segoe UI" w:eastAsia="Source Sans Pro" w:hAnsi="Segoe UI" w:cs="Segoe UI"/>
      <w:b/>
      <w:bCs/>
      <w:color w:val="F8981D"/>
      <w:sz w:val="56"/>
      <w:szCs w:val="56"/>
      <w:lang w:val="en-AU" w:eastAsia="en-AU"/>
    </w:rPr>
  </w:style>
  <w:style w:type="paragraph" w:styleId="TOC2">
    <w:name w:val="toc 2"/>
    <w:basedOn w:val="Normal"/>
    <w:next w:val="Normal"/>
    <w:autoRedefine/>
    <w:uiPriority w:val="39"/>
    <w:unhideWhenUsed/>
    <w:qFormat/>
    <w:rsid w:val="005B2B97"/>
    <w:pPr>
      <w:tabs>
        <w:tab w:val="left" w:pos="851"/>
        <w:tab w:val="right" w:leader="dot" w:pos="9185"/>
      </w:tabs>
      <w:spacing w:after="100" w:line="240" w:lineRule="auto"/>
      <w:ind w:left="850" w:hanging="425"/>
    </w:pPr>
    <w:rPr>
      <w:lang w:val="en-US"/>
    </w:rPr>
  </w:style>
  <w:style w:type="paragraph" w:styleId="TOC1">
    <w:name w:val="toc 1"/>
    <w:basedOn w:val="Normal"/>
    <w:next w:val="Normal"/>
    <w:autoRedefine/>
    <w:uiPriority w:val="39"/>
    <w:unhideWhenUsed/>
    <w:qFormat/>
    <w:rsid w:val="005B2B97"/>
    <w:pPr>
      <w:tabs>
        <w:tab w:val="left" w:pos="426"/>
        <w:tab w:val="left" w:pos="1134"/>
        <w:tab w:val="right" w:leader="dot" w:pos="9185"/>
      </w:tabs>
      <w:spacing w:before="180" w:after="100" w:line="240" w:lineRule="auto"/>
      <w:ind w:left="425" w:hanging="425"/>
    </w:pPr>
    <w:rPr>
      <w:rFonts w:ascii="Segoe UI Semibold" w:hAnsi="Segoe UI Semibold"/>
      <w:noProof/>
      <w:lang w:val="en-US"/>
    </w:rPr>
  </w:style>
  <w:style w:type="character" w:styleId="Hyperlink">
    <w:name w:val="Hyperlink"/>
    <w:basedOn w:val="DefaultParagraphFont"/>
    <w:uiPriority w:val="99"/>
    <w:unhideWhenUsed/>
    <w:rsid w:val="005B2B97"/>
    <w:rPr>
      <w:color w:val="00264D" w:themeColor="background2"/>
      <w:u w:val="single"/>
    </w:rPr>
  </w:style>
  <w:style w:type="table" w:styleId="TableGrid">
    <w:name w:val="Table Grid"/>
    <w:aliases w:val="Nous Table,Table"/>
    <w:basedOn w:val="TableNormal"/>
    <w:uiPriority w:val="39"/>
    <w:rsid w:val="005471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71DFF"/>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insideH w:val="single" w:sz="8" w:space="0" w:color="E6E6E1" w:themeColor="accent5"/>
        <w:insideV w:val="single" w:sz="8" w:space="0" w:color="E6E6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E6E1" w:themeColor="accent5"/>
          <w:left w:val="single" w:sz="8" w:space="0" w:color="E6E6E1" w:themeColor="accent5"/>
          <w:bottom w:val="single" w:sz="18" w:space="0" w:color="E6E6E1" w:themeColor="accent5"/>
          <w:right w:val="single" w:sz="8" w:space="0" w:color="E6E6E1" w:themeColor="accent5"/>
          <w:insideH w:val="nil"/>
          <w:insideV w:val="single" w:sz="8" w:space="0" w:color="E6E6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insideH w:val="nil"/>
          <w:insideV w:val="single" w:sz="8" w:space="0" w:color="E6E6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shd w:val="clear" w:color="auto" w:fill="F8F8F7" w:themeFill="accent5" w:themeFillTint="3F"/>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insideV w:val="single" w:sz="8" w:space="0" w:color="E6E6E1" w:themeColor="accent5"/>
        </w:tcBorders>
        <w:shd w:val="clear" w:color="auto" w:fill="F8F8F7" w:themeFill="accent5" w:themeFillTint="3F"/>
      </w:tcPr>
    </w:tblStylePr>
    <w:tblStylePr w:type="band2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insideV w:val="single" w:sz="8" w:space="0" w:color="E6E6E1" w:themeColor="accent5"/>
        </w:tcBorders>
      </w:tcPr>
    </w:tblStylePr>
  </w:style>
  <w:style w:type="table" w:styleId="LightList-Accent5">
    <w:name w:val="Light List Accent 5"/>
    <w:basedOn w:val="TableNormal"/>
    <w:uiPriority w:val="61"/>
    <w:rsid w:val="005B2B97"/>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tblBorders>
    </w:tblPr>
    <w:tblStylePr w:type="firstRow">
      <w:pPr>
        <w:spacing w:before="0" w:after="0" w:line="240" w:lineRule="auto"/>
      </w:pPr>
      <w:rPr>
        <w:b/>
        <w:bCs/>
        <w:color w:val="FFFFFF" w:themeColor="background1"/>
      </w:rPr>
      <w:tblPr/>
      <w:tcPr>
        <w:shd w:val="clear" w:color="auto" w:fill="E6E6E1" w:themeFill="accent5"/>
      </w:tcPr>
    </w:tblStylePr>
    <w:tblStylePr w:type="lastRow">
      <w:pPr>
        <w:spacing w:before="0" w:after="0" w:line="240" w:lineRule="auto"/>
      </w:pPr>
      <w:rPr>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tcBorders>
      </w:tcPr>
    </w:tblStylePr>
    <w:tblStylePr w:type="firstCol">
      <w:rPr>
        <w:b/>
        <w:bCs/>
      </w:rPr>
    </w:tblStylePr>
    <w:tblStylePr w:type="lastCol">
      <w:rPr>
        <w:b/>
        <w:bCs/>
      </w:r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style>
  <w:style w:type="table" w:styleId="MediumShading1-Accent5">
    <w:name w:val="Medium Shading 1 Accent 5"/>
    <w:basedOn w:val="TableNormal"/>
    <w:uiPriority w:val="63"/>
    <w:rsid w:val="005B2B97"/>
    <w:pPr>
      <w:spacing w:after="0" w:line="240" w:lineRule="auto"/>
    </w:pPr>
    <w:tblPr>
      <w:tblStyleRowBandSize w:val="1"/>
      <w:tblStyleColBandSize w:val="1"/>
      <w:tbl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single" w:sz="8" w:space="0" w:color="ECECE8" w:themeColor="accent5" w:themeTint="BF"/>
      </w:tblBorders>
    </w:tblPr>
    <w:tblStylePr w:type="firstRow">
      <w:pPr>
        <w:spacing w:before="0" w:after="0" w:line="240" w:lineRule="auto"/>
      </w:pPr>
      <w:rPr>
        <w:b/>
        <w:bCs/>
        <w:color w:val="FFFFFF" w:themeColor="background1"/>
      </w:rPr>
      <w:tblPr/>
      <w:tcPr>
        <w:tc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shd w:val="clear" w:color="auto" w:fill="E6E6E1" w:themeFill="accent5"/>
      </w:tcPr>
    </w:tblStylePr>
    <w:tblStylePr w:type="lastRow">
      <w:pPr>
        <w:spacing w:before="0" w:after="0" w:line="240" w:lineRule="auto"/>
      </w:pPr>
      <w:rPr>
        <w:b/>
        <w:bCs/>
      </w:rPr>
      <w:tblPr/>
      <w:tcPr>
        <w:tcBorders>
          <w:top w:val="double" w:sz="6"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8F7" w:themeFill="accent5" w:themeFillTint="3F"/>
      </w:tcPr>
    </w:tblStylePr>
    <w:tblStylePr w:type="band1Horz">
      <w:tblPr/>
      <w:tcPr>
        <w:tcBorders>
          <w:insideH w:val="nil"/>
          <w:insideV w:val="nil"/>
        </w:tcBorders>
        <w:shd w:val="clear" w:color="auto" w:fill="F8F8F7" w:themeFill="accent5" w:themeFillTint="3F"/>
      </w:tcPr>
    </w:tblStylePr>
    <w:tblStylePr w:type="band2Horz">
      <w:tblPr/>
      <w:tcPr>
        <w:tcBorders>
          <w:insideH w:val="nil"/>
          <w:insideV w:val="nil"/>
        </w:tcBorders>
      </w:tcPr>
    </w:tblStylePr>
  </w:style>
  <w:style w:type="character" w:customStyle="1" w:styleId="TableNBulletChar">
    <w:name w:val="Table N Bullet Char"/>
    <w:basedOn w:val="DefaultParagraphFont"/>
    <w:link w:val="TableNBullet"/>
    <w:uiPriority w:val="2"/>
    <w:rsid w:val="005B2B97"/>
    <w:rPr>
      <w:rFonts w:ascii="Segoe UI" w:eastAsia="Times New Roman" w:hAnsi="Segoe UI" w:cs="Times New Roman"/>
      <w:sz w:val="17"/>
      <w:szCs w:val="19"/>
      <w:lang w:val="en-AU" w:eastAsia="en-AU"/>
    </w:rPr>
  </w:style>
  <w:style w:type="table" w:customStyle="1" w:styleId="NOUSSideHeader">
    <w:name w:val="NOUS Side Header"/>
    <w:basedOn w:val="TableNormal"/>
    <w:uiPriority w:val="99"/>
    <w:rsid w:val="000D4C32"/>
    <w:pPr>
      <w:spacing w:after="0" w:line="240" w:lineRule="auto"/>
      <w:ind w:left="57"/>
    </w:pPr>
    <w:rPr>
      <w:rFonts w:ascii="Segoe UI" w:hAnsi="Segoe UI"/>
      <w:sz w:val="17"/>
    </w:rPr>
    <w:tblPr>
      <w:tblBorders>
        <w:insideH w:val="single" w:sz="8" w:space="0" w:color="E6E6E1" w:themeColor="accent5"/>
      </w:tblBorders>
      <w:tblCellMar>
        <w:top w:w="57" w:type="dxa"/>
        <w:left w:w="85" w:type="dxa"/>
        <w:bottom w:w="57" w:type="dxa"/>
        <w:right w:w="85" w:type="dxa"/>
      </w:tblCellMar>
    </w:tblPr>
    <w:tblStylePr w:type="firstCol">
      <w:pPr>
        <w:wordWrap/>
        <w:jc w:val="center"/>
      </w:pPr>
      <w:rPr>
        <w:rFonts w:ascii="Yu Mincho" w:hAnsi="Yu Mincho"/>
        <w:b w:val="0"/>
        <w:color w:val="00264D" w:themeColor="background2"/>
        <w:sz w:val="18"/>
      </w:rPr>
      <w:tblPr/>
      <w:tcPr>
        <w:tcBorders>
          <w:top w:val="nil"/>
          <w:left w:val="single" w:sz="24" w:space="0" w:color="F8981D" w:themeColor="accent3"/>
          <w:bottom w:val="nil"/>
          <w:right w:val="nil"/>
          <w:insideH w:val="nil"/>
          <w:insideV w:val="nil"/>
          <w:tl2br w:val="nil"/>
          <w:tr2bl w:val="nil"/>
        </w:tcBorders>
        <w:shd w:val="clear" w:color="auto" w:fill="E6E6E1" w:themeFill="accent5"/>
      </w:tcPr>
    </w:tblStylePr>
  </w:style>
  <w:style w:type="table" w:customStyle="1" w:styleId="NOUS">
    <w:name w:val="NOUS"/>
    <w:basedOn w:val="TableNormal"/>
    <w:uiPriority w:val="99"/>
    <w:rsid w:val="00A47232"/>
    <w:pPr>
      <w:spacing w:after="0" w:line="240" w:lineRule="auto"/>
    </w:pPr>
    <w:rPr>
      <w:rFonts w:ascii="Segoe UI" w:hAnsi="Segoe UI"/>
      <w:sz w:val="17"/>
    </w:rPr>
    <w:tblPr>
      <w:tblBorders>
        <w:bottom w:val="single" w:sz="8" w:space="0" w:color="E6E6E1" w:themeColor="accent5"/>
        <w:insideH w:val="single" w:sz="8" w:space="0" w:color="E6E6E1" w:themeColor="accent5"/>
      </w:tblBorders>
      <w:tblCellMar>
        <w:top w:w="57" w:type="dxa"/>
        <w:left w:w="85" w:type="dxa"/>
        <w:bottom w:w="57" w:type="dxa"/>
        <w:right w:w="85" w:type="dxa"/>
      </w:tblCellMar>
    </w:tblPr>
    <w:tblStylePr w:type="firstRow">
      <w:rPr>
        <w:rFonts w:ascii="Yu Mincho" w:hAnsi="Yu Mincho"/>
        <w:b w:val="0"/>
        <w:color w:val="00264D" w:themeColor="background2"/>
        <w:sz w:val="18"/>
      </w:rPr>
      <w:tblPr/>
      <w:trPr>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style>
  <w:style w:type="character" w:customStyle="1" w:styleId="Heading8Char">
    <w:name w:val="Heading 8 Char"/>
    <w:basedOn w:val="DefaultParagraphFont"/>
    <w:link w:val="Heading8"/>
    <w:uiPriority w:val="19"/>
    <w:semiHidden/>
    <w:rsid w:val="005B2B97"/>
    <w:rPr>
      <w:rFonts w:ascii="Segoe UI" w:eastAsiaTheme="majorEastAsia" w:hAnsi="Segoe UI" w:cstheme="majorBidi"/>
      <w:color w:val="404040" w:themeColor="text1" w:themeTint="BF"/>
      <w:sz w:val="20"/>
      <w:szCs w:val="20"/>
      <w:lang w:val="en-AU"/>
    </w:rPr>
  </w:style>
  <w:style w:type="paragraph" w:customStyle="1" w:styleId="Covertitle">
    <w:name w:val="Cover title"/>
    <w:basedOn w:val="Normal"/>
    <w:link w:val="CovertitleChar"/>
    <w:uiPriority w:val="99"/>
    <w:semiHidden/>
    <w:rsid w:val="005B2B97"/>
    <w:pPr>
      <w:suppressAutoHyphens/>
      <w:spacing w:after="0" w:line="720" w:lineRule="exact"/>
    </w:pPr>
    <w:rPr>
      <w:rFonts w:eastAsia="Times New Roman" w:cs="Times New Roman"/>
      <w:color w:val="2E368F" w:themeColor="text2"/>
      <w:sz w:val="84"/>
      <w:szCs w:val="19"/>
      <w:lang w:eastAsia="en-AU"/>
    </w:rPr>
  </w:style>
  <w:style w:type="character" w:customStyle="1" w:styleId="CovertitleChar">
    <w:name w:val="Cover title Char"/>
    <w:basedOn w:val="DefaultParagraphFont"/>
    <w:link w:val="Covertitle"/>
    <w:uiPriority w:val="99"/>
    <w:semiHidden/>
    <w:rsid w:val="005B2B97"/>
    <w:rPr>
      <w:rFonts w:ascii="Segoe UI" w:eastAsia="Times New Roman" w:hAnsi="Segoe UI" w:cs="Times New Roman"/>
      <w:color w:val="2E368F" w:themeColor="text2"/>
      <w:sz w:val="84"/>
      <w:szCs w:val="19"/>
      <w:lang w:val="en-AU" w:eastAsia="en-AU"/>
    </w:rPr>
  </w:style>
  <w:style w:type="paragraph" w:customStyle="1" w:styleId="CoverPage-Client">
    <w:name w:val="Cover Page - Client"/>
    <w:basedOn w:val="Normal"/>
    <w:link w:val="CoverPage-ClientChar"/>
    <w:uiPriority w:val="99"/>
    <w:semiHidden/>
    <w:rsid w:val="005B2B97"/>
    <w:pPr>
      <w:suppressAutoHyphens/>
      <w:spacing w:before="480" w:after="0" w:line="380" w:lineRule="exact"/>
    </w:pPr>
    <w:rPr>
      <w:rFonts w:eastAsia="Times New Roman" w:cs="Times New Roman"/>
      <w:color w:val="2E368F" w:themeColor="text2"/>
      <w:sz w:val="36"/>
      <w:szCs w:val="19"/>
      <w:lang w:eastAsia="en-AU"/>
    </w:rPr>
  </w:style>
  <w:style w:type="character" w:customStyle="1" w:styleId="CoverPage-ClientChar">
    <w:name w:val="Cover Page - Client Char"/>
    <w:basedOn w:val="DefaultParagraphFont"/>
    <w:link w:val="CoverPage-Client"/>
    <w:uiPriority w:val="99"/>
    <w:semiHidden/>
    <w:rsid w:val="005B2B97"/>
    <w:rPr>
      <w:rFonts w:ascii="Segoe UI" w:eastAsia="Times New Roman" w:hAnsi="Segoe UI" w:cs="Times New Roman"/>
      <w:color w:val="2E368F" w:themeColor="text2"/>
      <w:sz w:val="36"/>
      <w:szCs w:val="19"/>
      <w:lang w:val="en-AU" w:eastAsia="en-AU"/>
    </w:rPr>
  </w:style>
  <w:style w:type="paragraph" w:customStyle="1" w:styleId="CoverPage-Date">
    <w:name w:val="Cover Page - Date"/>
    <w:basedOn w:val="Normal"/>
    <w:link w:val="CoverPage-DateChar"/>
    <w:uiPriority w:val="99"/>
    <w:semiHidden/>
    <w:rsid w:val="005B2B97"/>
    <w:pPr>
      <w:suppressAutoHyphens/>
      <w:spacing w:before="320" w:after="0" w:line="280" w:lineRule="exact"/>
    </w:pPr>
    <w:rPr>
      <w:rFonts w:eastAsia="Times New Roman" w:cs="Times New Roman"/>
      <w:color w:val="00264D" w:themeColor="background2"/>
      <w:sz w:val="24"/>
      <w:szCs w:val="19"/>
      <w:lang w:eastAsia="en-AU"/>
    </w:rPr>
  </w:style>
  <w:style w:type="character" w:customStyle="1" w:styleId="CoverPage-DateChar">
    <w:name w:val="Cover Page - Date Char"/>
    <w:basedOn w:val="DefaultParagraphFont"/>
    <w:link w:val="CoverPage-Date"/>
    <w:uiPriority w:val="99"/>
    <w:semiHidden/>
    <w:rsid w:val="005B2B97"/>
    <w:rPr>
      <w:rFonts w:ascii="Segoe UI" w:eastAsia="Times New Roman" w:hAnsi="Segoe UI" w:cs="Times New Roman"/>
      <w:color w:val="00264D" w:themeColor="background2"/>
      <w:sz w:val="24"/>
      <w:szCs w:val="19"/>
      <w:lang w:val="en-AU" w:eastAsia="en-AU"/>
    </w:rPr>
  </w:style>
  <w:style w:type="character" w:styleId="PlaceholderText">
    <w:name w:val="Placeholder Text"/>
    <w:basedOn w:val="DefaultParagraphFont"/>
    <w:uiPriority w:val="99"/>
    <w:semiHidden/>
    <w:rsid w:val="005B2B97"/>
    <w:rPr>
      <w:color w:val="808080"/>
    </w:rPr>
  </w:style>
  <w:style w:type="paragraph" w:customStyle="1" w:styleId="BioHeading">
    <w:name w:val="Bio Heading"/>
    <w:basedOn w:val="TableNText"/>
    <w:uiPriority w:val="97"/>
    <w:rsid w:val="005B2B97"/>
    <w:pPr>
      <w:spacing w:before="240" w:after="120" w:line="240" w:lineRule="auto"/>
    </w:pPr>
    <w:rPr>
      <w:color w:val="00264D" w:themeColor="background2"/>
      <w:sz w:val="19"/>
      <w:szCs w:val="19"/>
    </w:rPr>
  </w:style>
  <w:style w:type="paragraph" w:styleId="Header">
    <w:name w:val="header"/>
    <w:basedOn w:val="Normal"/>
    <w:link w:val="HeaderChar"/>
    <w:uiPriority w:val="99"/>
    <w:unhideWhenUsed/>
    <w:rsid w:val="005B2B97"/>
    <w:pPr>
      <w:tabs>
        <w:tab w:val="center" w:pos="4513"/>
        <w:tab w:val="right" w:pos="9026"/>
      </w:tabs>
      <w:spacing w:after="0"/>
    </w:pPr>
  </w:style>
  <w:style w:type="character" w:customStyle="1" w:styleId="HeaderChar">
    <w:name w:val="Header Char"/>
    <w:basedOn w:val="DefaultParagraphFont"/>
    <w:link w:val="Header"/>
    <w:uiPriority w:val="99"/>
    <w:rsid w:val="005B2B97"/>
    <w:rPr>
      <w:rFonts w:ascii="Segoe UI" w:hAnsi="Segoe UI"/>
      <w:sz w:val="19"/>
      <w:lang w:val="en-AU"/>
    </w:rPr>
  </w:style>
  <w:style w:type="character" w:styleId="CommentReference">
    <w:name w:val="annotation reference"/>
    <w:basedOn w:val="DefaultParagraphFont"/>
    <w:uiPriority w:val="99"/>
    <w:semiHidden/>
    <w:unhideWhenUsed/>
    <w:rsid w:val="005B2B97"/>
    <w:rPr>
      <w:sz w:val="16"/>
      <w:szCs w:val="16"/>
    </w:rPr>
  </w:style>
  <w:style w:type="paragraph" w:styleId="CommentText">
    <w:name w:val="annotation text"/>
    <w:basedOn w:val="Normal"/>
    <w:link w:val="CommentTextChar"/>
    <w:uiPriority w:val="99"/>
    <w:unhideWhenUsed/>
    <w:rsid w:val="005B2B97"/>
    <w:pPr>
      <w:spacing w:line="240" w:lineRule="auto"/>
    </w:pPr>
    <w:rPr>
      <w:sz w:val="20"/>
      <w:szCs w:val="20"/>
    </w:rPr>
  </w:style>
  <w:style w:type="character" w:customStyle="1" w:styleId="CommentTextChar">
    <w:name w:val="Comment Text Char"/>
    <w:basedOn w:val="DefaultParagraphFont"/>
    <w:link w:val="CommentText"/>
    <w:uiPriority w:val="99"/>
    <w:rsid w:val="005B2B97"/>
    <w:rPr>
      <w:rFonts w:ascii="Segoe UI" w:hAnsi="Segoe UI"/>
      <w:sz w:val="20"/>
      <w:szCs w:val="20"/>
      <w:lang w:val="en-AU"/>
    </w:rPr>
  </w:style>
  <w:style w:type="numbering" w:customStyle="1" w:styleId="Listnumberedmultilevel">
    <w:name w:val="List (numbered)_multilevel"/>
    <w:uiPriority w:val="99"/>
    <w:rsid w:val="005B2B97"/>
    <w:pPr>
      <w:numPr>
        <w:numId w:val="4"/>
      </w:numPr>
    </w:pPr>
  </w:style>
  <w:style w:type="table" w:customStyle="1" w:styleId="NousTableStyle1">
    <w:name w:val="Nous Table Style1"/>
    <w:basedOn w:val="TableNormal"/>
    <w:next w:val="TableGrid"/>
    <w:uiPriority w:val="39"/>
    <w:rsid w:val="00E72395"/>
    <w:pPr>
      <w:spacing w:after="0" w:line="240" w:lineRule="auto"/>
    </w:pPr>
    <w:rPr>
      <w:rFonts w:ascii="Segoe UI" w:hAnsi="Segoe UI"/>
      <w:sz w:val="17"/>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Yu Mincho" w:hAnsi="Yu Mincho"/>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Yu Mincho" w:hAnsi="Yu Mincho"/>
        <w:sz w:val="17"/>
      </w:rPr>
    </w:tblStylePr>
    <w:tblStylePr w:type="band2Horz">
      <w:rPr>
        <w:rFonts w:ascii="Yu Mincho" w:hAnsi="Yu Mincho"/>
        <w:sz w:val="17"/>
      </w:rPr>
    </w:tblStylePr>
  </w:style>
  <w:style w:type="paragraph" w:customStyle="1" w:styleId="introductionlist">
    <w:name w:val="introduction list"/>
    <w:basedOn w:val="Sectionintroduction"/>
    <w:uiPriority w:val="21"/>
    <w:qFormat/>
    <w:rsid w:val="005B2B97"/>
    <w:pPr>
      <w:numPr>
        <w:numId w:val="11"/>
      </w:numPr>
      <w:spacing w:before="60"/>
    </w:pPr>
  </w:style>
  <w:style w:type="character" w:customStyle="1" w:styleId="CaptionChar">
    <w:name w:val="Caption Char"/>
    <w:link w:val="Caption"/>
    <w:uiPriority w:val="35"/>
    <w:locked/>
    <w:rsid w:val="00E72395"/>
    <w:rPr>
      <w:rFonts w:ascii="Segoe UI Semibold" w:hAnsi="Segoe UI Semibold"/>
      <w:bCs/>
      <w:color w:val="00264D" w:themeColor="background2"/>
      <w:sz w:val="19"/>
      <w:szCs w:val="18"/>
      <w:lang w:val="en-AU"/>
    </w:rPr>
  </w:style>
  <w:style w:type="paragraph" w:styleId="TOC3">
    <w:name w:val="toc 3"/>
    <w:basedOn w:val="Normal"/>
    <w:next w:val="Normal"/>
    <w:autoRedefine/>
    <w:uiPriority w:val="39"/>
    <w:unhideWhenUsed/>
    <w:rsid w:val="009272AA"/>
    <w:pPr>
      <w:tabs>
        <w:tab w:val="right" w:leader="dot" w:pos="9175"/>
      </w:tabs>
      <w:spacing w:after="100"/>
      <w:ind w:left="851" w:hanging="471"/>
    </w:pPr>
  </w:style>
  <w:style w:type="paragraph" w:styleId="ListParagraph">
    <w:name w:val="List Paragraph"/>
    <w:basedOn w:val="Normal"/>
    <w:uiPriority w:val="34"/>
    <w:qFormat/>
    <w:rsid w:val="00766252"/>
    <w:pPr>
      <w:ind w:left="720"/>
      <w:contextualSpacing/>
    </w:pPr>
  </w:style>
  <w:style w:type="paragraph" w:styleId="CommentSubject">
    <w:name w:val="annotation subject"/>
    <w:basedOn w:val="CommentText"/>
    <w:next w:val="CommentText"/>
    <w:link w:val="CommentSubjectChar"/>
    <w:uiPriority w:val="99"/>
    <w:semiHidden/>
    <w:unhideWhenUsed/>
    <w:rsid w:val="00045CE6"/>
    <w:rPr>
      <w:b/>
      <w:bCs/>
    </w:rPr>
  </w:style>
  <w:style w:type="character" w:customStyle="1" w:styleId="CommentSubjectChar">
    <w:name w:val="Comment Subject Char"/>
    <w:basedOn w:val="CommentTextChar"/>
    <w:link w:val="CommentSubject"/>
    <w:uiPriority w:val="99"/>
    <w:semiHidden/>
    <w:rsid w:val="00045CE6"/>
    <w:rPr>
      <w:rFonts w:ascii="Segoe UI" w:hAnsi="Segoe UI"/>
      <w:b/>
      <w:bCs/>
      <w:sz w:val="20"/>
      <w:szCs w:val="20"/>
      <w:lang w:val="en-AU"/>
    </w:rPr>
  </w:style>
  <w:style w:type="character" w:styleId="Mention">
    <w:name w:val="Mention"/>
    <w:basedOn w:val="DefaultParagraphFont"/>
    <w:uiPriority w:val="99"/>
    <w:unhideWhenUsed/>
    <w:rsid w:val="00B82C96"/>
    <w:rPr>
      <w:color w:val="2B579A"/>
      <w:shd w:val="clear" w:color="auto" w:fill="E1DFDD"/>
    </w:rPr>
  </w:style>
  <w:style w:type="paragraph" w:styleId="Revision">
    <w:name w:val="Revision"/>
    <w:hidden/>
    <w:uiPriority w:val="99"/>
    <w:semiHidden/>
    <w:rsid w:val="00341052"/>
    <w:pPr>
      <w:spacing w:after="0" w:line="240" w:lineRule="auto"/>
    </w:pPr>
    <w:rPr>
      <w:rFonts w:ascii="Segoe UI" w:hAnsi="Segoe UI"/>
      <w:sz w:val="19"/>
      <w:lang w:val="en-AU"/>
    </w:rPr>
  </w:style>
  <w:style w:type="table" w:customStyle="1" w:styleId="NOUSSideHeader1">
    <w:name w:val="NOUS Side Header1"/>
    <w:basedOn w:val="TableNormal"/>
    <w:next w:val="TableGrid"/>
    <w:uiPriority w:val="39"/>
    <w:rsid w:val="005B2B97"/>
    <w:pPr>
      <w:spacing w:after="0" w:line="240" w:lineRule="auto"/>
    </w:pPr>
    <w:rPr>
      <w:rFonts w:ascii="Segoe UI" w:hAnsi="Segoe UI"/>
      <w:sz w:val="17"/>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Yu Mincho" w:hAnsi="Yu Mincho"/>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Yu Mincho" w:hAnsi="Yu Mincho"/>
        <w:sz w:val="17"/>
      </w:rPr>
    </w:tblStylePr>
    <w:tblStylePr w:type="band2Horz">
      <w:rPr>
        <w:rFonts w:ascii="Yu Mincho" w:hAnsi="Yu Mincho"/>
        <w:sz w:val="17"/>
      </w:rPr>
    </w:tblStylePr>
  </w:style>
  <w:style w:type="paragraph" w:styleId="FootnoteText">
    <w:name w:val="footnote text"/>
    <w:basedOn w:val="Normal"/>
    <w:link w:val="FootnoteTextChar"/>
    <w:uiPriority w:val="99"/>
    <w:unhideWhenUsed/>
    <w:rsid w:val="005B2B97"/>
    <w:pPr>
      <w:spacing w:after="0" w:line="240" w:lineRule="auto"/>
    </w:pPr>
    <w:rPr>
      <w:sz w:val="15"/>
      <w:szCs w:val="20"/>
    </w:rPr>
  </w:style>
  <w:style w:type="character" w:customStyle="1" w:styleId="FootnoteTextChar">
    <w:name w:val="Footnote Text Char"/>
    <w:basedOn w:val="DefaultParagraphFont"/>
    <w:link w:val="FootnoteText"/>
    <w:uiPriority w:val="99"/>
    <w:rsid w:val="005B2B97"/>
    <w:rPr>
      <w:rFonts w:ascii="Segoe UI" w:hAnsi="Segoe UI"/>
      <w:sz w:val="15"/>
      <w:szCs w:val="20"/>
      <w:lang w:val="en-AU"/>
    </w:rPr>
  </w:style>
  <w:style w:type="character" w:styleId="FootnoteReference">
    <w:name w:val="footnote reference"/>
    <w:basedOn w:val="DefaultParagraphFont"/>
    <w:uiPriority w:val="99"/>
    <w:unhideWhenUsed/>
    <w:qFormat/>
    <w:rsid w:val="00862536"/>
    <w:rPr>
      <w:vertAlign w:val="superscript"/>
    </w:rPr>
  </w:style>
  <w:style w:type="character" w:styleId="UnresolvedMention">
    <w:name w:val="Unresolved Mention"/>
    <w:basedOn w:val="DefaultParagraphFont"/>
    <w:uiPriority w:val="99"/>
    <w:semiHidden/>
    <w:unhideWhenUsed/>
    <w:rsid w:val="00862536"/>
    <w:rPr>
      <w:color w:val="605E5C"/>
      <w:shd w:val="clear" w:color="auto" w:fill="E1DFDD"/>
    </w:rPr>
  </w:style>
  <w:style w:type="table" w:customStyle="1" w:styleId="NOUSSideHeader11">
    <w:name w:val="NOUS Side Header11"/>
    <w:basedOn w:val="TableNormal"/>
    <w:next w:val="TableGrid"/>
    <w:uiPriority w:val="39"/>
    <w:rsid w:val="00A54016"/>
    <w:pPr>
      <w:spacing w:after="0" w:line="240" w:lineRule="auto"/>
    </w:pPr>
    <w:rPr>
      <w:rFonts w:ascii="Segoe UI" w:hAnsi="Segoe UI"/>
      <w:kern w:val="2"/>
      <w:sz w:val="17"/>
      <w14:ligatures w14:val="standardContextual"/>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Yu Mincho" w:hAnsi="Yu Mincho"/>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Yu Mincho" w:hAnsi="Yu Mincho"/>
        <w:sz w:val="17"/>
      </w:rPr>
    </w:tblStylePr>
    <w:tblStylePr w:type="band2Horz">
      <w:rPr>
        <w:rFonts w:ascii="Yu Mincho" w:hAnsi="Yu Mincho"/>
        <w:sz w:val="17"/>
      </w:rPr>
    </w:tblStylePr>
  </w:style>
  <w:style w:type="character" w:styleId="FollowedHyperlink">
    <w:name w:val="FollowedHyperlink"/>
    <w:basedOn w:val="DefaultParagraphFont"/>
    <w:uiPriority w:val="99"/>
    <w:semiHidden/>
    <w:unhideWhenUsed/>
    <w:rsid w:val="005B2B97"/>
    <w:rPr>
      <w:color w:val="0048C7" w:themeColor="followedHyperlink"/>
      <w:u w:val="single"/>
    </w:rPr>
  </w:style>
  <w:style w:type="table" w:customStyle="1" w:styleId="NousTableTopandside5">
    <w:name w:val="Nous Table_Top and side5"/>
    <w:basedOn w:val="TableNormal"/>
    <w:uiPriority w:val="99"/>
    <w:rsid w:val="00406636"/>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Yu Mincho" w:hAnsi="Yu Mincho"/>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vAlign w:val="center"/>
      </w:tcPr>
    </w:tblStylePr>
    <w:tblStylePr w:type="firstCol">
      <w:pPr>
        <w:jc w:val="left"/>
      </w:pPr>
      <w:rPr>
        <w:rFonts w:ascii="Yu Mincho" w:hAnsi="Yu Mincho"/>
        <w:b w:val="0"/>
        <w:color w:val="00264D" w:themeColor="background2"/>
        <w:sz w:val="18"/>
      </w:rPr>
      <w:tblPr/>
      <w:tcPr>
        <w:tcBorders>
          <w:left w:val="nil"/>
        </w:tcBorders>
        <w:shd w:val="clear" w:color="auto" w:fill="E6E6E1" w:themeFill="accent5"/>
      </w:tcPr>
    </w:tblStylePr>
  </w:style>
  <w:style w:type="paragraph" w:customStyle="1" w:styleId="Longformcallout">
    <w:name w:val="Long form callout"/>
    <w:basedOn w:val="Normal"/>
    <w:uiPriority w:val="20"/>
    <w:qFormat/>
    <w:rsid w:val="005B2B97"/>
    <w:pPr>
      <w:spacing w:before="60" w:after="60" w:line="240" w:lineRule="auto"/>
    </w:pPr>
    <w:rPr>
      <w:color w:val="00264D" w:themeColor="background2"/>
      <w:szCs w:val="19"/>
      <w:lang w:eastAsia="en-AU"/>
    </w:rPr>
  </w:style>
  <w:style w:type="paragraph" w:customStyle="1" w:styleId="longformcalloutbullet">
    <w:name w:val="long form call out bullet"/>
    <w:basedOn w:val="Longformcallout"/>
    <w:uiPriority w:val="20"/>
    <w:qFormat/>
    <w:rsid w:val="005B2B97"/>
    <w:pPr>
      <w:numPr>
        <w:numId w:val="12"/>
      </w:numPr>
    </w:pPr>
  </w:style>
  <w:style w:type="paragraph" w:customStyle="1" w:styleId="longformcalloutnumber">
    <w:name w:val="long form callout number"/>
    <w:basedOn w:val="longformcalloutbullet"/>
    <w:uiPriority w:val="20"/>
    <w:qFormat/>
    <w:rsid w:val="005B2B97"/>
    <w:pPr>
      <w:numPr>
        <w:numId w:val="13"/>
      </w:numPr>
    </w:pPr>
  </w:style>
  <w:style w:type="table" w:customStyle="1" w:styleId="NousLongformcallout">
    <w:name w:val="Nous_Long form call out"/>
    <w:basedOn w:val="TableNormal"/>
    <w:uiPriority w:val="99"/>
    <w:rsid w:val="005B2B97"/>
    <w:pPr>
      <w:spacing w:after="0" w:line="240" w:lineRule="auto"/>
    </w:pPr>
    <w:rPr>
      <w:color w:val="00264D" w:themeColor="background2"/>
    </w:rPr>
    <w:tblPr>
      <w:tblBorders>
        <w:left w:val="single" w:sz="18" w:space="0" w:color="F8981D" w:themeColor="accent3"/>
      </w:tblBorders>
      <w:tblCellMar>
        <w:top w:w="113" w:type="dxa"/>
        <w:bottom w:w="113" w:type="dxa"/>
      </w:tblCellMar>
    </w:tblPr>
    <w:tcPr>
      <w:shd w:val="clear" w:color="auto" w:fill="E6E6E1" w:themeFill="accent5"/>
    </w:tcPr>
  </w:style>
  <w:style w:type="paragraph" w:customStyle="1" w:styleId="TableExpbullet">
    <w:name w:val="Table Exp bullet"/>
    <w:basedOn w:val="Normal"/>
    <w:uiPriority w:val="3"/>
    <w:qFormat/>
    <w:rsid w:val="005B2B97"/>
    <w:pPr>
      <w:numPr>
        <w:numId w:val="14"/>
      </w:numPr>
      <w:spacing w:before="60" w:after="60"/>
    </w:pPr>
    <w:rPr>
      <w:sz w:val="16"/>
    </w:rPr>
  </w:style>
  <w:style w:type="numbering" w:customStyle="1" w:styleId="TableNListnumberedmultilevel">
    <w:name w:val="Table N List (numbered) multilevel"/>
    <w:uiPriority w:val="99"/>
    <w:rsid w:val="005B2B97"/>
    <w:pPr>
      <w:numPr>
        <w:numId w:val="17"/>
      </w:numPr>
    </w:pPr>
  </w:style>
  <w:style w:type="character" w:customStyle="1" w:styleId="TableNTextChar">
    <w:name w:val="Table N Text Char"/>
    <w:basedOn w:val="DefaultParagraphFont"/>
    <w:link w:val="TableNText"/>
    <w:uiPriority w:val="2"/>
    <w:rsid w:val="005B2B97"/>
    <w:rPr>
      <w:rFonts w:ascii="Segoe UI" w:hAnsi="Segoe UI"/>
      <w:sz w:val="17"/>
      <w:lang w:val="en-AU"/>
    </w:rPr>
  </w:style>
  <w:style w:type="table" w:customStyle="1" w:styleId="NOUS1">
    <w:name w:val="NOUS1"/>
    <w:basedOn w:val="TableNormal"/>
    <w:uiPriority w:val="99"/>
    <w:rsid w:val="00BF30E7"/>
    <w:pPr>
      <w:spacing w:after="0" w:line="240" w:lineRule="auto"/>
    </w:pPr>
    <w:rPr>
      <w:rFonts w:ascii="Segoe UI" w:hAnsi="Segoe UI"/>
      <w:sz w:val="17"/>
    </w:rPr>
    <w:tblPr>
      <w:tblBorders>
        <w:bottom w:val="single" w:sz="8" w:space="0" w:color="E6E6E1" w:themeColor="accent5"/>
        <w:insideH w:val="single" w:sz="8" w:space="0" w:color="E6E6E1" w:themeColor="accent5"/>
      </w:tblBorders>
      <w:tblCellMar>
        <w:top w:w="57" w:type="dxa"/>
        <w:left w:w="85" w:type="dxa"/>
        <w:bottom w:w="57" w:type="dxa"/>
        <w:right w:w="85" w:type="dxa"/>
      </w:tblCellMar>
    </w:tblPr>
    <w:tblStylePr w:type="firstRow">
      <w:rPr>
        <w:rFonts w:ascii="Yu Mincho" w:hAnsi="Yu Mincho"/>
        <w:b w:val="0"/>
        <w:color w:val="00264D" w:themeColor="background2"/>
        <w:sz w:val="18"/>
      </w:rPr>
      <w:tblPr/>
      <w:trPr>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style>
  <w:style w:type="paragraph" w:customStyle="1" w:styleId="BIOsubheadingnew">
    <w:name w:val="BIO sub heading_new"/>
    <w:basedOn w:val="Normal"/>
    <w:rsid w:val="005B2B97"/>
    <w:pPr>
      <w:spacing w:before="180" w:after="60" w:line="257" w:lineRule="auto"/>
      <w:jc w:val="right"/>
    </w:pPr>
    <w:rPr>
      <w:rFonts w:asciiTheme="majorHAnsi" w:hAnsiTheme="majorHAnsi" w:cstheme="majorHAnsi"/>
      <w:noProof/>
      <w:color w:val="00264D" w:themeColor="background2"/>
      <w:sz w:val="20"/>
      <w:szCs w:val="24"/>
    </w:rPr>
  </w:style>
  <w:style w:type="paragraph" w:customStyle="1" w:styleId="Callout">
    <w:name w:val="Call out"/>
    <w:basedOn w:val="Normal"/>
    <w:uiPriority w:val="98"/>
    <w:qFormat/>
    <w:rsid w:val="005B2B97"/>
    <w:pPr>
      <w:pBdr>
        <w:top w:val="single" w:sz="18" w:space="4" w:color="E6E6E1" w:themeColor="accent5"/>
      </w:pBdr>
    </w:pPr>
    <w:rPr>
      <w:rFonts w:ascii="Segoe UI Semilight" w:hAnsi="Segoe UI Semilight"/>
      <w:color w:val="F8981D" w:themeColor="accent3"/>
      <w:kern w:val="24"/>
      <w:sz w:val="22"/>
    </w:rPr>
  </w:style>
  <w:style w:type="paragraph" w:customStyle="1" w:styleId="CaseStudytitle">
    <w:name w:val="Case Study title"/>
    <w:basedOn w:val="Normal"/>
    <w:rsid w:val="005B2B97"/>
    <w:pPr>
      <w:spacing w:line="240" w:lineRule="auto"/>
    </w:pPr>
    <w:rPr>
      <w:rFonts w:asciiTheme="majorHAnsi" w:hAnsiTheme="majorHAnsi"/>
      <w:caps/>
      <w:color w:val="F25E21" w:themeColor="accent2"/>
      <w:sz w:val="24"/>
    </w:rPr>
  </w:style>
  <w:style w:type="paragraph" w:customStyle="1" w:styleId="Sectionintroduction">
    <w:name w:val="Section introduction"/>
    <w:uiPriority w:val="21"/>
    <w:qFormat/>
    <w:rsid w:val="005B2B97"/>
    <w:pPr>
      <w:spacing w:before="120" w:after="120"/>
    </w:pPr>
    <w:rPr>
      <w:rFonts w:ascii="Segoe UI Semilight" w:hAnsi="Segoe UI Semilight"/>
      <w:color w:val="00264D" w:themeColor="background2"/>
      <w:sz w:val="21"/>
      <w:szCs w:val="21"/>
      <w:lang w:val="en-AU"/>
    </w:rPr>
  </w:style>
  <w:style w:type="paragraph" w:customStyle="1" w:styleId="intoductionbullet">
    <w:name w:val="intoduction bullet"/>
    <w:basedOn w:val="Sectionintroduction"/>
    <w:uiPriority w:val="21"/>
    <w:qFormat/>
    <w:rsid w:val="005B2B97"/>
    <w:pPr>
      <w:numPr>
        <w:numId w:val="10"/>
      </w:numPr>
    </w:pPr>
  </w:style>
  <w:style w:type="paragraph" w:customStyle="1" w:styleId="NousFooter">
    <w:name w:val="Nous Footer"/>
    <w:basedOn w:val="Normal"/>
    <w:uiPriority w:val="96"/>
    <w:qFormat/>
    <w:rsid w:val="005B2B97"/>
    <w:pPr>
      <w:spacing w:after="0"/>
    </w:pPr>
    <w:rPr>
      <w:color w:val="808080" w:themeColor="background1" w:themeShade="80"/>
      <w:sz w:val="15"/>
      <w:szCs w:val="15"/>
      <w:lang w:eastAsia="en-AU"/>
    </w:rPr>
  </w:style>
  <w:style w:type="table" w:customStyle="1" w:styleId="NousTableSide">
    <w:name w:val="Nous Table_Side"/>
    <w:basedOn w:val="TableNormal"/>
    <w:uiPriority w:val="99"/>
    <w:rsid w:val="005B2B97"/>
    <w:pPr>
      <w:spacing w:after="0" w:line="240" w:lineRule="auto"/>
    </w:pPr>
    <w:rPr>
      <w:rFonts w:ascii="Segoe UI" w:hAnsi="Segoe UI"/>
      <w:sz w:val="17"/>
    </w:rPr>
    <w:tblPr>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blStylePr w:type="firstCol">
      <w:pPr>
        <w:jc w:val="left"/>
      </w:pPr>
      <w:rPr>
        <w:rFonts w:ascii="Yu Mincho" w:hAnsi="Yu Mincho"/>
        <w:b w:val="0"/>
        <w:color w:val="00264D" w:themeColor="background2"/>
        <w:sz w:val="17"/>
      </w:rPr>
      <w:tblPr/>
      <w:tcPr>
        <w:tcBorders>
          <w:top w:val="single" w:sz="12" w:space="0" w:color="FFFFFF" w:themeColor="background1"/>
          <w:left w:val="single" w:sz="18" w:space="0" w:color="F8981D" w:themeColor="accent3"/>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E6E6E1" w:themeFill="accent5"/>
      </w:tcPr>
    </w:tblStylePr>
  </w:style>
  <w:style w:type="table" w:customStyle="1" w:styleId="NousTableTopandside">
    <w:name w:val="Nous Table_Top and side"/>
    <w:basedOn w:val="TableNormal"/>
    <w:uiPriority w:val="99"/>
    <w:rsid w:val="005B2B97"/>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Yu Mincho" w:hAnsi="Yu Mincho"/>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vAlign w:val="center"/>
      </w:tcPr>
    </w:tblStylePr>
    <w:tblStylePr w:type="firstCol">
      <w:pPr>
        <w:jc w:val="left"/>
      </w:pPr>
      <w:rPr>
        <w:rFonts w:ascii="Yu Mincho" w:hAnsi="Yu Mincho"/>
        <w:b w:val="0"/>
        <w:color w:val="00264D" w:themeColor="background2"/>
        <w:sz w:val="18"/>
      </w:rPr>
      <w:tblPr/>
      <w:tcPr>
        <w:tcBorders>
          <w:left w:val="nil"/>
        </w:tcBorders>
        <w:shd w:val="clear" w:color="auto" w:fill="E6E6E1" w:themeFill="accent5"/>
      </w:tcPr>
    </w:tblStylePr>
  </w:style>
  <w:style w:type="table" w:customStyle="1" w:styleId="Sectionintroductiontable">
    <w:name w:val="Section introduction table"/>
    <w:basedOn w:val="TableNormal"/>
    <w:uiPriority w:val="99"/>
    <w:rsid w:val="005B2B97"/>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Yu Mincho" w:hAnsi="Yu Mincho"/>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numbering" w:customStyle="1" w:styleId="TableexpListnumberedmultilevel">
    <w:name w:val="Table exp List (numbered) multilevel"/>
    <w:uiPriority w:val="99"/>
    <w:rsid w:val="005B2B97"/>
    <w:pPr>
      <w:numPr>
        <w:numId w:val="7"/>
      </w:numPr>
    </w:pPr>
  </w:style>
  <w:style w:type="paragraph" w:customStyle="1" w:styleId="TableNbiophoto">
    <w:name w:val="Table N bio photo"/>
    <w:basedOn w:val="TableNText"/>
    <w:qFormat/>
    <w:rsid w:val="005B2B97"/>
    <w:pPr>
      <w:spacing w:after="0" w:line="257" w:lineRule="auto"/>
    </w:pPr>
  </w:style>
  <w:style w:type="paragraph" w:styleId="Bibliography">
    <w:name w:val="Bibliography"/>
    <w:basedOn w:val="Normal"/>
    <w:next w:val="Normal"/>
    <w:uiPriority w:val="37"/>
    <w:semiHidden/>
    <w:unhideWhenUsed/>
    <w:rsid w:val="002B29BE"/>
  </w:style>
  <w:style w:type="paragraph" w:styleId="BlockText">
    <w:name w:val="Block Text"/>
    <w:basedOn w:val="Normal"/>
    <w:uiPriority w:val="99"/>
    <w:semiHidden/>
    <w:unhideWhenUsed/>
    <w:rsid w:val="002B29BE"/>
    <w:pPr>
      <w:pBdr>
        <w:top w:val="single" w:sz="2" w:space="10" w:color="FF3A40" w:themeColor="accent1"/>
        <w:left w:val="single" w:sz="2" w:space="10" w:color="FF3A40" w:themeColor="accent1"/>
        <w:bottom w:val="single" w:sz="2" w:space="10" w:color="FF3A40" w:themeColor="accent1"/>
        <w:right w:val="single" w:sz="2" w:space="10" w:color="FF3A40" w:themeColor="accent1"/>
      </w:pBdr>
      <w:ind w:left="1152" w:right="1152"/>
    </w:pPr>
    <w:rPr>
      <w:rFonts w:asciiTheme="minorHAnsi" w:eastAsiaTheme="minorEastAsia" w:hAnsiTheme="minorHAnsi"/>
      <w:i/>
      <w:iCs/>
      <w:color w:val="FF3A40" w:themeColor="accent1"/>
    </w:rPr>
  </w:style>
  <w:style w:type="paragraph" w:styleId="BodyText">
    <w:name w:val="Body Text"/>
    <w:basedOn w:val="Normal"/>
    <w:link w:val="BodyTextChar"/>
    <w:uiPriority w:val="1"/>
    <w:semiHidden/>
    <w:unhideWhenUsed/>
    <w:rsid w:val="002B29BE"/>
  </w:style>
  <w:style w:type="character" w:customStyle="1" w:styleId="BodyTextChar">
    <w:name w:val="Body Text Char"/>
    <w:basedOn w:val="DefaultParagraphFont"/>
    <w:link w:val="BodyText"/>
    <w:uiPriority w:val="1"/>
    <w:semiHidden/>
    <w:rsid w:val="002B29BE"/>
    <w:rPr>
      <w:rFonts w:ascii="Segoe UI" w:hAnsi="Segoe UI"/>
      <w:sz w:val="19"/>
      <w:lang w:val="en-AU"/>
    </w:rPr>
  </w:style>
  <w:style w:type="paragraph" w:styleId="BodyText2">
    <w:name w:val="Body Text 2"/>
    <w:basedOn w:val="Normal"/>
    <w:link w:val="BodyText2Char"/>
    <w:uiPriority w:val="99"/>
    <w:semiHidden/>
    <w:unhideWhenUsed/>
    <w:rsid w:val="002B29BE"/>
    <w:pPr>
      <w:spacing w:line="480" w:lineRule="auto"/>
    </w:pPr>
  </w:style>
  <w:style w:type="character" w:customStyle="1" w:styleId="BodyText2Char">
    <w:name w:val="Body Text 2 Char"/>
    <w:basedOn w:val="DefaultParagraphFont"/>
    <w:link w:val="BodyText2"/>
    <w:uiPriority w:val="99"/>
    <w:semiHidden/>
    <w:rsid w:val="002B29BE"/>
    <w:rPr>
      <w:rFonts w:ascii="Segoe UI" w:hAnsi="Segoe UI"/>
      <w:sz w:val="19"/>
      <w:lang w:val="en-AU"/>
    </w:rPr>
  </w:style>
  <w:style w:type="paragraph" w:styleId="BodyText3">
    <w:name w:val="Body Text 3"/>
    <w:basedOn w:val="Normal"/>
    <w:link w:val="BodyText3Char"/>
    <w:uiPriority w:val="99"/>
    <w:semiHidden/>
    <w:unhideWhenUsed/>
    <w:rsid w:val="002B29BE"/>
    <w:rPr>
      <w:sz w:val="16"/>
      <w:szCs w:val="16"/>
    </w:rPr>
  </w:style>
  <w:style w:type="character" w:customStyle="1" w:styleId="BodyText3Char">
    <w:name w:val="Body Text 3 Char"/>
    <w:basedOn w:val="DefaultParagraphFont"/>
    <w:link w:val="BodyText3"/>
    <w:uiPriority w:val="99"/>
    <w:semiHidden/>
    <w:rsid w:val="002B29BE"/>
    <w:rPr>
      <w:rFonts w:ascii="Segoe UI" w:hAnsi="Segoe UI"/>
      <w:sz w:val="16"/>
      <w:szCs w:val="16"/>
      <w:lang w:val="en-AU"/>
    </w:rPr>
  </w:style>
  <w:style w:type="paragraph" w:styleId="BodyTextFirstIndent">
    <w:name w:val="Body Text First Indent"/>
    <w:basedOn w:val="BodyText"/>
    <w:link w:val="BodyTextFirstIndentChar"/>
    <w:uiPriority w:val="99"/>
    <w:semiHidden/>
    <w:unhideWhenUsed/>
    <w:rsid w:val="002B29BE"/>
    <w:pPr>
      <w:ind w:firstLine="360"/>
    </w:pPr>
  </w:style>
  <w:style w:type="character" w:customStyle="1" w:styleId="BodyTextFirstIndentChar">
    <w:name w:val="Body Text First Indent Char"/>
    <w:basedOn w:val="BodyTextChar"/>
    <w:link w:val="BodyTextFirstIndent"/>
    <w:uiPriority w:val="99"/>
    <w:semiHidden/>
    <w:rsid w:val="002B29BE"/>
    <w:rPr>
      <w:rFonts w:ascii="Segoe UI" w:hAnsi="Segoe UI"/>
      <w:sz w:val="19"/>
      <w:lang w:val="en-AU"/>
    </w:rPr>
  </w:style>
  <w:style w:type="paragraph" w:styleId="BodyTextIndent">
    <w:name w:val="Body Text Indent"/>
    <w:basedOn w:val="Normal"/>
    <w:link w:val="BodyTextIndentChar"/>
    <w:uiPriority w:val="99"/>
    <w:semiHidden/>
    <w:unhideWhenUsed/>
    <w:rsid w:val="002B29BE"/>
    <w:pPr>
      <w:ind w:left="283"/>
    </w:pPr>
  </w:style>
  <w:style w:type="character" w:customStyle="1" w:styleId="BodyTextIndentChar">
    <w:name w:val="Body Text Indent Char"/>
    <w:basedOn w:val="DefaultParagraphFont"/>
    <w:link w:val="BodyTextIndent"/>
    <w:uiPriority w:val="99"/>
    <w:semiHidden/>
    <w:rsid w:val="002B29BE"/>
    <w:rPr>
      <w:rFonts w:ascii="Segoe UI" w:hAnsi="Segoe UI"/>
      <w:sz w:val="19"/>
      <w:lang w:val="en-AU"/>
    </w:rPr>
  </w:style>
  <w:style w:type="paragraph" w:styleId="BodyTextFirstIndent2">
    <w:name w:val="Body Text First Indent 2"/>
    <w:basedOn w:val="BodyTextIndent"/>
    <w:link w:val="BodyTextFirstIndent2Char"/>
    <w:uiPriority w:val="99"/>
    <w:semiHidden/>
    <w:unhideWhenUsed/>
    <w:rsid w:val="002B29BE"/>
    <w:pPr>
      <w:ind w:left="360" w:firstLine="360"/>
    </w:pPr>
  </w:style>
  <w:style w:type="character" w:customStyle="1" w:styleId="BodyTextFirstIndent2Char">
    <w:name w:val="Body Text First Indent 2 Char"/>
    <w:basedOn w:val="BodyTextIndentChar"/>
    <w:link w:val="BodyTextFirstIndent2"/>
    <w:uiPriority w:val="99"/>
    <w:semiHidden/>
    <w:rsid w:val="002B29BE"/>
    <w:rPr>
      <w:rFonts w:ascii="Segoe UI" w:hAnsi="Segoe UI"/>
      <w:sz w:val="19"/>
      <w:lang w:val="en-AU"/>
    </w:rPr>
  </w:style>
  <w:style w:type="paragraph" w:styleId="BodyTextIndent2">
    <w:name w:val="Body Text Indent 2"/>
    <w:basedOn w:val="Normal"/>
    <w:link w:val="BodyTextIndent2Char"/>
    <w:uiPriority w:val="99"/>
    <w:semiHidden/>
    <w:unhideWhenUsed/>
    <w:rsid w:val="002B29BE"/>
    <w:pPr>
      <w:spacing w:line="480" w:lineRule="auto"/>
      <w:ind w:left="283"/>
    </w:pPr>
  </w:style>
  <w:style w:type="character" w:customStyle="1" w:styleId="BodyTextIndent2Char">
    <w:name w:val="Body Text Indent 2 Char"/>
    <w:basedOn w:val="DefaultParagraphFont"/>
    <w:link w:val="BodyTextIndent2"/>
    <w:uiPriority w:val="99"/>
    <w:semiHidden/>
    <w:rsid w:val="002B29BE"/>
    <w:rPr>
      <w:rFonts w:ascii="Segoe UI" w:hAnsi="Segoe UI"/>
      <w:sz w:val="19"/>
      <w:lang w:val="en-AU"/>
    </w:rPr>
  </w:style>
  <w:style w:type="paragraph" w:styleId="BodyTextIndent3">
    <w:name w:val="Body Text Indent 3"/>
    <w:basedOn w:val="Normal"/>
    <w:link w:val="BodyTextIndent3Char"/>
    <w:uiPriority w:val="99"/>
    <w:semiHidden/>
    <w:unhideWhenUsed/>
    <w:rsid w:val="002B29BE"/>
    <w:pPr>
      <w:ind w:left="283"/>
    </w:pPr>
    <w:rPr>
      <w:sz w:val="16"/>
      <w:szCs w:val="16"/>
    </w:rPr>
  </w:style>
  <w:style w:type="character" w:customStyle="1" w:styleId="BodyTextIndent3Char">
    <w:name w:val="Body Text Indent 3 Char"/>
    <w:basedOn w:val="DefaultParagraphFont"/>
    <w:link w:val="BodyTextIndent3"/>
    <w:uiPriority w:val="99"/>
    <w:semiHidden/>
    <w:rsid w:val="002B29BE"/>
    <w:rPr>
      <w:rFonts w:ascii="Segoe UI" w:hAnsi="Segoe UI"/>
      <w:sz w:val="16"/>
      <w:szCs w:val="16"/>
      <w:lang w:val="en-AU"/>
    </w:rPr>
  </w:style>
  <w:style w:type="paragraph" w:styleId="Closing">
    <w:name w:val="Closing"/>
    <w:basedOn w:val="Normal"/>
    <w:link w:val="ClosingChar"/>
    <w:uiPriority w:val="99"/>
    <w:semiHidden/>
    <w:unhideWhenUsed/>
    <w:rsid w:val="002B29BE"/>
    <w:pPr>
      <w:spacing w:after="0" w:line="240" w:lineRule="auto"/>
      <w:ind w:left="4252"/>
    </w:pPr>
  </w:style>
  <w:style w:type="character" w:customStyle="1" w:styleId="ClosingChar">
    <w:name w:val="Closing Char"/>
    <w:basedOn w:val="DefaultParagraphFont"/>
    <w:link w:val="Closing"/>
    <w:uiPriority w:val="99"/>
    <w:semiHidden/>
    <w:rsid w:val="002B29BE"/>
    <w:rPr>
      <w:rFonts w:ascii="Segoe UI" w:hAnsi="Segoe UI"/>
      <w:sz w:val="19"/>
      <w:lang w:val="en-AU"/>
    </w:rPr>
  </w:style>
  <w:style w:type="paragraph" w:styleId="Date">
    <w:name w:val="Date"/>
    <w:basedOn w:val="Normal"/>
    <w:next w:val="Normal"/>
    <w:link w:val="DateChar"/>
    <w:uiPriority w:val="99"/>
    <w:semiHidden/>
    <w:unhideWhenUsed/>
    <w:rsid w:val="002B29BE"/>
  </w:style>
  <w:style w:type="character" w:customStyle="1" w:styleId="DateChar">
    <w:name w:val="Date Char"/>
    <w:basedOn w:val="DefaultParagraphFont"/>
    <w:link w:val="Date"/>
    <w:uiPriority w:val="99"/>
    <w:semiHidden/>
    <w:rsid w:val="002B29BE"/>
    <w:rPr>
      <w:rFonts w:ascii="Segoe UI" w:hAnsi="Segoe UI"/>
      <w:sz w:val="19"/>
      <w:lang w:val="en-AU"/>
    </w:rPr>
  </w:style>
  <w:style w:type="paragraph" w:styleId="DocumentMap">
    <w:name w:val="Document Map"/>
    <w:basedOn w:val="Normal"/>
    <w:link w:val="DocumentMapChar"/>
    <w:uiPriority w:val="99"/>
    <w:semiHidden/>
    <w:unhideWhenUsed/>
    <w:rsid w:val="002B29BE"/>
    <w:pPr>
      <w:spacing w:after="0" w:line="240" w:lineRule="auto"/>
    </w:pPr>
    <w:rPr>
      <w:rFonts w:cs="Segoe UI"/>
      <w:sz w:val="16"/>
      <w:szCs w:val="16"/>
    </w:rPr>
  </w:style>
  <w:style w:type="character" w:customStyle="1" w:styleId="DocumentMapChar">
    <w:name w:val="Document Map Char"/>
    <w:basedOn w:val="DefaultParagraphFont"/>
    <w:link w:val="DocumentMap"/>
    <w:uiPriority w:val="99"/>
    <w:semiHidden/>
    <w:rsid w:val="002B29BE"/>
    <w:rPr>
      <w:rFonts w:ascii="Segoe UI" w:hAnsi="Segoe UI" w:cs="Segoe UI"/>
      <w:sz w:val="16"/>
      <w:szCs w:val="16"/>
      <w:lang w:val="en-AU"/>
    </w:rPr>
  </w:style>
  <w:style w:type="paragraph" w:styleId="E-mailSignature">
    <w:name w:val="E-mail Signature"/>
    <w:basedOn w:val="Normal"/>
    <w:link w:val="E-mailSignatureChar"/>
    <w:uiPriority w:val="99"/>
    <w:semiHidden/>
    <w:unhideWhenUsed/>
    <w:rsid w:val="002B29BE"/>
    <w:pPr>
      <w:spacing w:after="0" w:line="240" w:lineRule="auto"/>
    </w:pPr>
  </w:style>
  <w:style w:type="character" w:customStyle="1" w:styleId="E-mailSignatureChar">
    <w:name w:val="E-mail Signature Char"/>
    <w:basedOn w:val="DefaultParagraphFont"/>
    <w:link w:val="E-mailSignature"/>
    <w:uiPriority w:val="99"/>
    <w:semiHidden/>
    <w:rsid w:val="002B29BE"/>
    <w:rPr>
      <w:rFonts w:ascii="Segoe UI" w:hAnsi="Segoe UI"/>
      <w:sz w:val="19"/>
      <w:lang w:val="en-AU"/>
    </w:rPr>
  </w:style>
  <w:style w:type="paragraph" w:styleId="EndnoteText">
    <w:name w:val="endnote text"/>
    <w:basedOn w:val="Normal"/>
    <w:link w:val="EndnoteTextChar"/>
    <w:uiPriority w:val="99"/>
    <w:semiHidden/>
    <w:unhideWhenUsed/>
    <w:rsid w:val="002B29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29BE"/>
    <w:rPr>
      <w:rFonts w:ascii="Segoe UI" w:hAnsi="Segoe UI"/>
      <w:sz w:val="20"/>
      <w:szCs w:val="20"/>
      <w:lang w:val="en-AU"/>
    </w:rPr>
  </w:style>
  <w:style w:type="paragraph" w:styleId="EnvelopeAddress">
    <w:name w:val="envelope address"/>
    <w:basedOn w:val="Normal"/>
    <w:uiPriority w:val="99"/>
    <w:semiHidden/>
    <w:unhideWhenUsed/>
    <w:rsid w:val="002B29B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29BE"/>
    <w:pPr>
      <w:spacing w:after="0" w:line="240" w:lineRule="auto"/>
    </w:pPr>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19"/>
    <w:semiHidden/>
    <w:rsid w:val="002B29BE"/>
    <w:rPr>
      <w:rFonts w:asciiTheme="majorHAnsi" w:eastAsiaTheme="majorEastAsia" w:hAnsiTheme="majorHAnsi" w:cstheme="majorBidi"/>
      <w:i/>
      <w:iCs/>
      <w:color w:val="272727" w:themeColor="text1" w:themeTint="D8"/>
      <w:sz w:val="21"/>
      <w:szCs w:val="21"/>
      <w:lang w:val="en-AU"/>
    </w:rPr>
  </w:style>
  <w:style w:type="paragraph" w:styleId="HTMLAddress">
    <w:name w:val="HTML Address"/>
    <w:basedOn w:val="Normal"/>
    <w:link w:val="HTMLAddressChar"/>
    <w:uiPriority w:val="99"/>
    <w:semiHidden/>
    <w:unhideWhenUsed/>
    <w:rsid w:val="002B29BE"/>
    <w:pPr>
      <w:spacing w:after="0" w:line="240" w:lineRule="auto"/>
    </w:pPr>
    <w:rPr>
      <w:i/>
      <w:iCs/>
    </w:rPr>
  </w:style>
  <w:style w:type="character" w:customStyle="1" w:styleId="HTMLAddressChar">
    <w:name w:val="HTML Address Char"/>
    <w:basedOn w:val="DefaultParagraphFont"/>
    <w:link w:val="HTMLAddress"/>
    <w:uiPriority w:val="99"/>
    <w:semiHidden/>
    <w:rsid w:val="002B29BE"/>
    <w:rPr>
      <w:rFonts w:ascii="Segoe UI" w:hAnsi="Segoe UI"/>
      <w:i/>
      <w:iCs/>
      <w:sz w:val="19"/>
      <w:lang w:val="en-AU"/>
    </w:rPr>
  </w:style>
  <w:style w:type="paragraph" w:styleId="HTMLPreformatted">
    <w:name w:val="HTML Preformatted"/>
    <w:basedOn w:val="Normal"/>
    <w:link w:val="HTMLPreformattedChar"/>
    <w:uiPriority w:val="99"/>
    <w:semiHidden/>
    <w:unhideWhenUsed/>
    <w:rsid w:val="002B29B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29BE"/>
    <w:rPr>
      <w:rFonts w:ascii="Consolas" w:hAnsi="Consolas"/>
      <w:sz w:val="20"/>
      <w:szCs w:val="20"/>
      <w:lang w:val="en-AU"/>
    </w:rPr>
  </w:style>
  <w:style w:type="paragraph" w:styleId="Index1">
    <w:name w:val="index 1"/>
    <w:basedOn w:val="Normal"/>
    <w:next w:val="Normal"/>
    <w:autoRedefine/>
    <w:uiPriority w:val="99"/>
    <w:semiHidden/>
    <w:unhideWhenUsed/>
    <w:rsid w:val="002B29BE"/>
    <w:pPr>
      <w:spacing w:after="0" w:line="240" w:lineRule="auto"/>
      <w:ind w:left="190" w:hanging="190"/>
    </w:pPr>
  </w:style>
  <w:style w:type="paragraph" w:styleId="Index2">
    <w:name w:val="index 2"/>
    <w:basedOn w:val="Normal"/>
    <w:next w:val="Normal"/>
    <w:autoRedefine/>
    <w:uiPriority w:val="99"/>
    <w:semiHidden/>
    <w:unhideWhenUsed/>
    <w:rsid w:val="002B29BE"/>
    <w:pPr>
      <w:spacing w:after="0" w:line="240" w:lineRule="auto"/>
      <w:ind w:left="380" w:hanging="190"/>
    </w:pPr>
  </w:style>
  <w:style w:type="paragraph" w:styleId="Index3">
    <w:name w:val="index 3"/>
    <w:basedOn w:val="Normal"/>
    <w:next w:val="Normal"/>
    <w:autoRedefine/>
    <w:uiPriority w:val="99"/>
    <w:semiHidden/>
    <w:unhideWhenUsed/>
    <w:rsid w:val="002B29BE"/>
    <w:pPr>
      <w:spacing w:after="0" w:line="240" w:lineRule="auto"/>
      <w:ind w:left="570" w:hanging="190"/>
    </w:pPr>
  </w:style>
  <w:style w:type="paragraph" w:styleId="Index4">
    <w:name w:val="index 4"/>
    <w:basedOn w:val="Normal"/>
    <w:next w:val="Normal"/>
    <w:autoRedefine/>
    <w:uiPriority w:val="99"/>
    <w:semiHidden/>
    <w:unhideWhenUsed/>
    <w:rsid w:val="002B29BE"/>
    <w:pPr>
      <w:spacing w:after="0" w:line="240" w:lineRule="auto"/>
      <w:ind w:left="760" w:hanging="190"/>
    </w:pPr>
  </w:style>
  <w:style w:type="paragraph" w:styleId="Index5">
    <w:name w:val="index 5"/>
    <w:basedOn w:val="Normal"/>
    <w:next w:val="Normal"/>
    <w:autoRedefine/>
    <w:uiPriority w:val="99"/>
    <w:semiHidden/>
    <w:unhideWhenUsed/>
    <w:rsid w:val="002B29BE"/>
    <w:pPr>
      <w:spacing w:after="0" w:line="240" w:lineRule="auto"/>
      <w:ind w:left="950" w:hanging="190"/>
    </w:pPr>
  </w:style>
  <w:style w:type="paragraph" w:styleId="Index6">
    <w:name w:val="index 6"/>
    <w:basedOn w:val="Normal"/>
    <w:next w:val="Normal"/>
    <w:autoRedefine/>
    <w:uiPriority w:val="99"/>
    <w:semiHidden/>
    <w:unhideWhenUsed/>
    <w:rsid w:val="002B29BE"/>
    <w:pPr>
      <w:spacing w:after="0" w:line="240" w:lineRule="auto"/>
      <w:ind w:left="1140" w:hanging="190"/>
    </w:pPr>
  </w:style>
  <w:style w:type="paragraph" w:styleId="Index7">
    <w:name w:val="index 7"/>
    <w:basedOn w:val="Normal"/>
    <w:next w:val="Normal"/>
    <w:autoRedefine/>
    <w:uiPriority w:val="99"/>
    <w:semiHidden/>
    <w:unhideWhenUsed/>
    <w:rsid w:val="002B29BE"/>
    <w:pPr>
      <w:spacing w:after="0" w:line="240" w:lineRule="auto"/>
      <w:ind w:left="1330" w:hanging="190"/>
    </w:pPr>
  </w:style>
  <w:style w:type="paragraph" w:styleId="Index8">
    <w:name w:val="index 8"/>
    <w:basedOn w:val="Normal"/>
    <w:next w:val="Normal"/>
    <w:autoRedefine/>
    <w:uiPriority w:val="99"/>
    <w:semiHidden/>
    <w:unhideWhenUsed/>
    <w:rsid w:val="002B29BE"/>
    <w:pPr>
      <w:spacing w:after="0" w:line="240" w:lineRule="auto"/>
      <w:ind w:left="1520" w:hanging="190"/>
    </w:pPr>
  </w:style>
  <w:style w:type="paragraph" w:styleId="Index9">
    <w:name w:val="index 9"/>
    <w:basedOn w:val="Normal"/>
    <w:next w:val="Normal"/>
    <w:autoRedefine/>
    <w:uiPriority w:val="99"/>
    <w:semiHidden/>
    <w:unhideWhenUsed/>
    <w:rsid w:val="002B29BE"/>
    <w:pPr>
      <w:spacing w:after="0" w:line="240" w:lineRule="auto"/>
      <w:ind w:left="1710" w:hanging="190"/>
    </w:pPr>
  </w:style>
  <w:style w:type="paragraph" w:styleId="IndexHeading">
    <w:name w:val="index heading"/>
    <w:basedOn w:val="Normal"/>
    <w:next w:val="Index1"/>
    <w:uiPriority w:val="99"/>
    <w:semiHidden/>
    <w:unhideWhenUsed/>
    <w:rsid w:val="002B29BE"/>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2B29BE"/>
    <w:pPr>
      <w:pBdr>
        <w:top w:val="single" w:sz="4" w:space="10" w:color="FF3A40" w:themeColor="accent1"/>
        <w:bottom w:val="single" w:sz="4" w:space="10" w:color="FF3A40" w:themeColor="accent1"/>
      </w:pBdr>
      <w:spacing w:before="360" w:after="360"/>
      <w:ind w:left="864" w:right="864"/>
      <w:jc w:val="center"/>
    </w:pPr>
    <w:rPr>
      <w:i/>
      <w:iCs/>
      <w:color w:val="FF3A40" w:themeColor="accent1"/>
    </w:rPr>
  </w:style>
  <w:style w:type="character" w:customStyle="1" w:styleId="IntenseQuoteChar">
    <w:name w:val="Intense Quote Char"/>
    <w:basedOn w:val="DefaultParagraphFont"/>
    <w:link w:val="IntenseQuote"/>
    <w:uiPriority w:val="30"/>
    <w:rsid w:val="002B29BE"/>
    <w:rPr>
      <w:rFonts w:ascii="Segoe UI" w:hAnsi="Segoe UI"/>
      <w:i/>
      <w:iCs/>
      <w:color w:val="FF3A40" w:themeColor="accent1"/>
      <w:sz w:val="19"/>
      <w:lang w:val="en-AU"/>
    </w:rPr>
  </w:style>
  <w:style w:type="paragraph" w:styleId="List">
    <w:name w:val="List"/>
    <w:basedOn w:val="Normal"/>
    <w:uiPriority w:val="99"/>
    <w:semiHidden/>
    <w:unhideWhenUsed/>
    <w:rsid w:val="002B29BE"/>
    <w:pPr>
      <w:ind w:left="283" w:hanging="283"/>
      <w:contextualSpacing/>
    </w:pPr>
  </w:style>
  <w:style w:type="paragraph" w:styleId="List2">
    <w:name w:val="List 2"/>
    <w:basedOn w:val="Normal"/>
    <w:uiPriority w:val="99"/>
    <w:semiHidden/>
    <w:unhideWhenUsed/>
    <w:rsid w:val="002B29BE"/>
    <w:pPr>
      <w:ind w:left="566" w:hanging="283"/>
      <w:contextualSpacing/>
    </w:pPr>
  </w:style>
  <w:style w:type="paragraph" w:styleId="List3">
    <w:name w:val="List 3"/>
    <w:basedOn w:val="Normal"/>
    <w:uiPriority w:val="99"/>
    <w:semiHidden/>
    <w:unhideWhenUsed/>
    <w:rsid w:val="002B29BE"/>
    <w:pPr>
      <w:ind w:left="849" w:hanging="283"/>
      <w:contextualSpacing/>
    </w:pPr>
  </w:style>
  <w:style w:type="paragraph" w:styleId="List4">
    <w:name w:val="List 4"/>
    <w:basedOn w:val="Normal"/>
    <w:uiPriority w:val="99"/>
    <w:semiHidden/>
    <w:unhideWhenUsed/>
    <w:rsid w:val="002B29BE"/>
    <w:pPr>
      <w:ind w:left="1132" w:hanging="283"/>
      <w:contextualSpacing/>
    </w:pPr>
  </w:style>
  <w:style w:type="paragraph" w:styleId="List5">
    <w:name w:val="List 5"/>
    <w:basedOn w:val="Normal"/>
    <w:uiPriority w:val="99"/>
    <w:semiHidden/>
    <w:unhideWhenUsed/>
    <w:rsid w:val="002B29BE"/>
    <w:pPr>
      <w:ind w:left="1415" w:hanging="283"/>
      <w:contextualSpacing/>
    </w:pPr>
  </w:style>
  <w:style w:type="paragraph" w:styleId="ListBullet">
    <w:name w:val="List Bullet"/>
    <w:basedOn w:val="Normal"/>
    <w:uiPriority w:val="99"/>
    <w:semiHidden/>
    <w:unhideWhenUsed/>
    <w:rsid w:val="002B29BE"/>
    <w:pPr>
      <w:numPr>
        <w:numId w:val="29"/>
      </w:numPr>
      <w:contextualSpacing/>
    </w:pPr>
  </w:style>
  <w:style w:type="paragraph" w:styleId="ListBullet2">
    <w:name w:val="List Bullet 2"/>
    <w:basedOn w:val="Normal"/>
    <w:uiPriority w:val="99"/>
    <w:semiHidden/>
    <w:unhideWhenUsed/>
    <w:rsid w:val="002B29BE"/>
    <w:pPr>
      <w:numPr>
        <w:numId w:val="30"/>
      </w:numPr>
      <w:contextualSpacing/>
    </w:pPr>
  </w:style>
  <w:style w:type="paragraph" w:styleId="ListBullet3">
    <w:name w:val="List Bullet 3"/>
    <w:basedOn w:val="Normal"/>
    <w:uiPriority w:val="99"/>
    <w:semiHidden/>
    <w:unhideWhenUsed/>
    <w:rsid w:val="002B29BE"/>
    <w:pPr>
      <w:numPr>
        <w:numId w:val="31"/>
      </w:numPr>
      <w:contextualSpacing/>
    </w:pPr>
  </w:style>
  <w:style w:type="paragraph" w:styleId="ListBullet4">
    <w:name w:val="List Bullet 4"/>
    <w:basedOn w:val="Normal"/>
    <w:uiPriority w:val="99"/>
    <w:semiHidden/>
    <w:unhideWhenUsed/>
    <w:rsid w:val="002B29BE"/>
    <w:pPr>
      <w:numPr>
        <w:numId w:val="32"/>
      </w:numPr>
      <w:contextualSpacing/>
    </w:pPr>
  </w:style>
  <w:style w:type="paragraph" w:styleId="ListBullet5">
    <w:name w:val="List Bullet 5"/>
    <w:basedOn w:val="Normal"/>
    <w:uiPriority w:val="99"/>
    <w:semiHidden/>
    <w:unhideWhenUsed/>
    <w:rsid w:val="002B29BE"/>
    <w:pPr>
      <w:numPr>
        <w:numId w:val="33"/>
      </w:numPr>
      <w:contextualSpacing/>
    </w:pPr>
  </w:style>
  <w:style w:type="paragraph" w:styleId="ListContinue">
    <w:name w:val="List Continue"/>
    <w:basedOn w:val="Normal"/>
    <w:uiPriority w:val="99"/>
    <w:semiHidden/>
    <w:unhideWhenUsed/>
    <w:rsid w:val="002B29BE"/>
    <w:pPr>
      <w:ind w:left="283"/>
      <w:contextualSpacing/>
    </w:pPr>
  </w:style>
  <w:style w:type="paragraph" w:styleId="ListContinue2">
    <w:name w:val="List Continue 2"/>
    <w:basedOn w:val="Normal"/>
    <w:uiPriority w:val="99"/>
    <w:semiHidden/>
    <w:unhideWhenUsed/>
    <w:rsid w:val="002B29BE"/>
    <w:pPr>
      <w:ind w:left="566"/>
      <w:contextualSpacing/>
    </w:pPr>
  </w:style>
  <w:style w:type="paragraph" w:styleId="ListContinue3">
    <w:name w:val="List Continue 3"/>
    <w:basedOn w:val="Normal"/>
    <w:uiPriority w:val="99"/>
    <w:semiHidden/>
    <w:unhideWhenUsed/>
    <w:rsid w:val="002B29BE"/>
    <w:pPr>
      <w:ind w:left="849"/>
      <w:contextualSpacing/>
    </w:pPr>
  </w:style>
  <w:style w:type="paragraph" w:styleId="ListContinue4">
    <w:name w:val="List Continue 4"/>
    <w:basedOn w:val="Normal"/>
    <w:uiPriority w:val="99"/>
    <w:semiHidden/>
    <w:unhideWhenUsed/>
    <w:rsid w:val="002B29BE"/>
    <w:pPr>
      <w:ind w:left="1132"/>
      <w:contextualSpacing/>
    </w:pPr>
  </w:style>
  <w:style w:type="paragraph" w:styleId="ListContinue5">
    <w:name w:val="List Continue 5"/>
    <w:basedOn w:val="Normal"/>
    <w:uiPriority w:val="99"/>
    <w:semiHidden/>
    <w:unhideWhenUsed/>
    <w:rsid w:val="002B29BE"/>
    <w:pPr>
      <w:ind w:left="1415"/>
      <w:contextualSpacing/>
    </w:pPr>
  </w:style>
  <w:style w:type="paragraph" w:styleId="ListNumber">
    <w:name w:val="List Number"/>
    <w:basedOn w:val="Normal"/>
    <w:uiPriority w:val="99"/>
    <w:semiHidden/>
    <w:unhideWhenUsed/>
    <w:rsid w:val="002B29BE"/>
    <w:pPr>
      <w:numPr>
        <w:numId w:val="34"/>
      </w:numPr>
      <w:contextualSpacing/>
    </w:pPr>
  </w:style>
  <w:style w:type="paragraph" w:styleId="ListNumber2">
    <w:name w:val="List Number 2"/>
    <w:basedOn w:val="Normal"/>
    <w:uiPriority w:val="99"/>
    <w:semiHidden/>
    <w:unhideWhenUsed/>
    <w:rsid w:val="002B29BE"/>
    <w:pPr>
      <w:numPr>
        <w:numId w:val="35"/>
      </w:numPr>
      <w:contextualSpacing/>
    </w:pPr>
  </w:style>
  <w:style w:type="paragraph" w:styleId="ListNumber3">
    <w:name w:val="List Number 3"/>
    <w:basedOn w:val="Normal"/>
    <w:uiPriority w:val="99"/>
    <w:semiHidden/>
    <w:unhideWhenUsed/>
    <w:rsid w:val="002B29BE"/>
    <w:pPr>
      <w:numPr>
        <w:numId w:val="36"/>
      </w:numPr>
      <w:contextualSpacing/>
    </w:pPr>
  </w:style>
  <w:style w:type="paragraph" w:styleId="ListNumber4">
    <w:name w:val="List Number 4"/>
    <w:basedOn w:val="Normal"/>
    <w:uiPriority w:val="99"/>
    <w:semiHidden/>
    <w:unhideWhenUsed/>
    <w:rsid w:val="002B29BE"/>
    <w:pPr>
      <w:numPr>
        <w:numId w:val="37"/>
      </w:numPr>
      <w:contextualSpacing/>
    </w:pPr>
  </w:style>
  <w:style w:type="paragraph" w:styleId="ListNumber5">
    <w:name w:val="List Number 5"/>
    <w:basedOn w:val="Normal"/>
    <w:uiPriority w:val="99"/>
    <w:semiHidden/>
    <w:unhideWhenUsed/>
    <w:rsid w:val="002B29BE"/>
    <w:pPr>
      <w:numPr>
        <w:numId w:val="38"/>
      </w:numPr>
      <w:contextualSpacing/>
    </w:pPr>
  </w:style>
  <w:style w:type="paragraph" w:styleId="MacroText">
    <w:name w:val="macro"/>
    <w:link w:val="MacroTextChar"/>
    <w:uiPriority w:val="99"/>
    <w:semiHidden/>
    <w:unhideWhenUsed/>
    <w:rsid w:val="002B29B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AU"/>
    </w:rPr>
  </w:style>
  <w:style w:type="character" w:customStyle="1" w:styleId="MacroTextChar">
    <w:name w:val="Macro Text Char"/>
    <w:basedOn w:val="DefaultParagraphFont"/>
    <w:link w:val="MacroText"/>
    <w:uiPriority w:val="99"/>
    <w:semiHidden/>
    <w:rsid w:val="002B29BE"/>
    <w:rPr>
      <w:rFonts w:ascii="Consolas" w:hAnsi="Consolas"/>
      <w:sz w:val="20"/>
      <w:szCs w:val="20"/>
      <w:lang w:val="en-AU"/>
    </w:rPr>
  </w:style>
  <w:style w:type="paragraph" w:styleId="MessageHeader">
    <w:name w:val="Message Header"/>
    <w:basedOn w:val="Normal"/>
    <w:link w:val="MessageHeaderChar"/>
    <w:uiPriority w:val="99"/>
    <w:semiHidden/>
    <w:unhideWhenUsed/>
    <w:rsid w:val="002B29B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29BE"/>
    <w:rPr>
      <w:rFonts w:asciiTheme="majorHAnsi" w:eastAsiaTheme="majorEastAsia" w:hAnsiTheme="majorHAnsi" w:cstheme="majorBidi"/>
      <w:sz w:val="24"/>
      <w:szCs w:val="24"/>
      <w:shd w:val="pct20" w:color="auto" w:fill="auto"/>
      <w:lang w:val="en-AU"/>
    </w:rPr>
  </w:style>
  <w:style w:type="paragraph" w:styleId="NoSpacing">
    <w:name w:val="No Spacing"/>
    <w:uiPriority w:val="1"/>
    <w:rsid w:val="002B29BE"/>
    <w:pPr>
      <w:spacing w:after="0" w:line="240" w:lineRule="auto"/>
    </w:pPr>
    <w:rPr>
      <w:rFonts w:ascii="Segoe UI" w:hAnsi="Segoe UI"/>
      <w:sz w:val="19"/>
      <w:lang w:val="en-AU"/>
    </w:rPr>
  </w:style>
  <w:style w:type="paragraph" w:styleId="NormalWeb">
    <w:name w:val="Normal (Web)"/>
    <w:basedOn w:val="Normal"/>
    <w:uiPriority w:val="99"/>
    <w:semiHidden/>
    <w:unhideWhenUsed/>
    <w:rsid w:val="002B29BE"/>
    <w:rPr>
      <w:rFonts w:ascii="Times New Roman" w:hAnsi="Times New Roman" w:cs="Times New Roman"/>
      <w:sz w:val="24"/>
      <w:szCs w:val="24"/>
    </w:rPr>
  </w:style>
  <w:style w:type="paragraph" w:styleId="NormalIndent">
    <w:name w:val="Normal Indent"/>
    <w:basedOn w:val="Normal"/>
    <w:uiPriority w:val="99"/>
    <w:semiHidden/>
    <w:unhideWhenUsed/>
    <w:rsid w:val="002B29BE"/>
    <w:pPr>
      <w:ind w:left="720"/>
    </w:pPr>
  </w:style>
  <w:style w:type="paragraph" w:styleId="NoteHeading">
    <w:name w:val="Note Heading"/>
    <w:basedOn w:val="Normal"/>
    <w:next w:val="Normal"/>
    <w:link w:val="NoteHeadingChar"/>
    <w:uiPriority w:val="99"/>
    <w:semiHidden/>
    <w:unhideWhenUsed/>
    <w:rsid w:val="002B29BE"/>
    <w:pPr>
      <w:spacing w:after="0" w:line="240" w:lineRule="auto"/>
    </w:pPr>
  </w:style>
  <w:style w:type="character" w:customStyle="1" w:styleId="NoteHeadingChar">
    <w:name w:val="Note Heading Char"/>
    <w:basedOn w:val="DefaultParagraphFont"/>
    <w:link w:val="NoteHeading"/>
    <w:uiPriority w:val="99"/>
    <w:semiHidden/>
    <w:rsid w:val="002B29BE"/>
    <w:rPr>
      <w:rFonts w:ascii="Segoe UI" w:hAnsi="Segoe UI"/>
      <w:sz w:val="19"/>
      <w:lang w:val="en-AU"/>
    </w:rPr>
  </w:style>
  <w:style w:type="paragraph" w:styleId="PlainText">
    <w:name w:val="Plain Text"/>
    <w:basedOn w:val="Normal"/>
    <w:link w:val="PlainTextChar"/>
    <w:uiPriority w:val="99"/>
    <w:semiHidden/>
    <w:unhideWhenUsed/>
    <w:rsid w:val="002B29B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B29BE"/>
    <w:rPr>
      <w:rFonts w:ascii="Consolas" w:hAnsi="Consolas"/>
      <w:sz w:val="21"/>
      <w:szCs w:val="21"/>
      <w:lang w:val="en-AU"/>
    </w:rPr>
  </w:style>
  <w:style w:type="paragraph" w:styleId="Quote">
    <w:name w:val="Quote"/>
    <w:basedOn w:val="Normal"/>
    <w:next w:val="Normal"/>
    <w:link w:val="QuoteChar"/>
    <w:uiPriority w:val="29"/>
    <w:rsid w:val="002B29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29BE"/>
    <w:rPr>
      <w:rFonts w:ascii="Segoe UI" w:hAnsi="Segoe UI"/>
      <w:i/>
      <w:iCs/>
      <w:color w:val="404040" w:themeColor="text1" w:themeTint="BF"/>
      <w:sz w:val="19"/>
      <w:lang w:val="en-AU"/>
    </w:rPr>
  </w:style>
  <w:style w:type="paragraph" w:styleId="Salutation">
    <w:name w:val="Salutation"/>
    <w:basedOn w:val="Normal"/>
    <w:next w:val="Normal"/>
    <w:link w:val="SalutationChar"/>
    <w:uiPriority w:val="99"/>
    <w:semiHidden/>
    <w:unhideWhenUsed/>
    <w:rsid w:val="002B29BE"/>
  </w:style>
  <w:style w:type="character" w:customStyle="1" w:styleId="SalutationChar">
    <w:name w:val="Salutation Char"/>
    <w:basedOn w:val="DefaultParagraphFont"/>
    <w:link w:val="Salutation"/>
    <w:uiPriority w:val="99"/>
    <w:semiHidden/>
    <w:rsid w:val="002B29BE"/>
    <w:rPr>
      <w:rFonts w:ascii="Segoe UI" w:hAnsi="Segoe UI"/>
      <w:sz w:val="19"/>
      <w:lang w:val="en-AU"/>
    </w:rPr>
  </w:style>
  <w:style w:type="paragraph" w:styleId="Signature">
    <w:name w:val="Signature"/>
    <w:basedOn w:val="Normal"/>
    <w:link w:val="SignatureChar"/>
    <w:uiPriority w:val="99"/>
    <w:semiHidden/>
    <w:unhideWhenUsed/>
    <w:rsid w:val="002B29BE"/>
    <w:pPr>
      <w:spacing w:after="0" w:line="240" w:lineRule="auto"/>
      <w:ind w:left="4252"/>
    </w:pPr>
  </w:style>
  <w:style w:type="character" w:customStyle="1" w:styleId="SignatureChar">
    <w:name w:val="Signature Char"/>
    <w:basedOn w:val="DefaultParagraphFont"/>
    <w:link w:val="Signature"/>
    <w:uiPriority w:val="99"/>
    <w:semiHidden/>
    <w:rsid w:val="002B29BE"/>
    <w:rPr>
      <w:rFonts w:ascii="Segoe UI" w:hAnsi="Segoe UI"/>
      <w:sz w:val="19"/>
      <w:lang w:val="en-AU"/>
    </w:rPr>
  </w:style>
  <w:style w:type="paragraph" w:styleId="Subtitle">
    <w:name w:val="Subtitle"/>
    <w:basedOn w:val="Normal"/>
    <w:next w:val="Normal"/>
    <w:link w:val="SubtitleChar"/>
    <w:uiPriority w:val="11"/>
    <w:rsid w:val="002B29BE"/>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2B29BE"/>
    <w:rPr>
      <w:rFonts w:eastAsiaTheme="minorEastAsia"/>
      <w:color w:val="5A5A5A" w:themeColor="text1" w:themeTint="A5"/>
      <w:spacing w:val="15"/>
      <w:lang w:val="en-AU"/>
    </w:rPr>
  </w:style>
  <w:style w:type="paragraph" w:styleId="TableofAuthorities">
    <w:name w:val="table of authorities"/>
    <w:basedOn w:val="Normal"/>
    <w:next w:val="Normal"/>
    <w:uiPriority w:val="99"/>
    <w:semiHidden/>
    <w:unhideWhenUsed/>
    <w:rsid w:val="002B29BE"/>
    <w:pPr>
      <w:spacing w:after="0"/>
      <w:ind w:left="190" w:hanging="190"/>
    </w:pPr>
  </w:style>
  <w:style w:type="paragraph" w:styleId="TableofFigures">
    <w:name w:val="table of figures"/>
    <w:basedOn w:val="Normal"/>
    <w:next w:val="Normal"/>
    <w:uiPriority w:val="99"/>
    <w:semiHidden/>
    <w:unhideWhenUsed/>
    <w:rsid w:val="002B29BE"/>
    <w:pPr>
      <w:spacing w:after="0"/>
    </w:pPr>
  </w:style>
  <w:style w:type="paragraph" w:styleId="Title">
    <w:name w:val="Title"/>
    <w:basedOn w:val="Normal"/>
    <w:next w:val="Normal"/>
    <w:link w:val="TitleChar"/>
    <w:uiPriority w:val="10"/>
    <w:rsid w:val="002B29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9BE"/>
    <w:rPr>
      <w:rFonts w:asciiTheme="majorHAnsi" w:eastAsiaTheme="majorEastAsia" w:hAnsiTheme="majorHAnsi" w:cstheme="majorBidi"/>
      <w:spacing w:val="-10"/>
      <w:kern w:val="28"/>
      <w:sz w:val="56"/>
      <w:szCs w:val="56"/>
      <w:lang w:val="en-AU"/>
    </w:rPr>
  </w:style>
  <w:style w:type="paragraph" w:styleId="TOAHeading">
    <w:name w:val="toa heading"/>
    <w:basedOn w:val="Normal"/>
    <w:next w:val="Normal"/>
    <w:uiPriority w:val="99"/>
    <w:semiHidden/>
    <w:unhideWhenUsed/>
    <w:rsid w:val="002B29BE"/>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2B29BE"/>
    <w:pPr>
      <w:spacing w:after="100"/>
      <w:ind w:left="570"/>
    </w:pPr>
  </w:style>
  <w:style w:type="paragraph" w:styleId="TOC5">
    <w:name w:val="toc 5"/>
    <w:basedOn w:val="Normal"/>
    <w:next w:val="Normal"/>
    <w:autoRedefine/>
    <w:uiPriority w:val="39"/>
    <w:semiHidden/>
    <w:unhideWhenUsed/>
    <w:rsid w:val="002B29BE"/>
    <w:pPr>
      <w:spacing w:after="100"/>
      <w:ind w:left="760"/>
    </w:pPr>
  </w:style>
  <w:style w:type="paragraph" w:styleId="TOC6">
    <w:name w:val="toc 6"/>
    <w:basedOn w:val="Normal"/>
    <w:next w:val="Normal"/>
    <w:autoRedefine/>
    <w:uiPriority w:val="39"/>
    <w:semiHidden/>
    <w:unhideWhenUsed/>
    <w:rsid w:val="002B29BE"/>
    <w:pPr>
      <w:spacing w:after="100"/>
      <w:ind w:left="950"/>
    </w:pPr>
  </w:style>
  <w:style w:type="paragraph" w:styleId="TOC7">
    <w:name w:val="toc 7"/>
    <w:basedOn w:val="Normal"/>
    <w:next w:val="Normal"/>
    <w:autoRedefine/>
    <w:uiPriority w:val="39"/>
    <w:semiHidden/>
    <w:unhideWhenUsed/>
    <w:rsid w:val="002B29BE"/>
    <w:pPr>
      <w:spacing w:after="100"/>
      <w:ind w:left="1140"/>
    </w:pPr>
  </w:style>
  <w:style w:type="paragraph" w:styleId="TOC8">
    <w:name w:val="toc 8"/>
    <w:basedOn w:val="Normal"/>
    <w:next w:val="Normal"/>
    <w:autoRedefine/>
    <w:uiPriority w:val="39"/>
    <w:semiHidden/>
    <w:unhideWhenUsed/>
    <w:rsid w:val="002B29BE"/>
    <w:pPr>
      <w:spacing w:after="100"/>
      <w:ind w:left="1330"/>
    </w:pPr>
  </w:style>
  <w:style w:type="paragraph" w:styleId="TOC9">
    <w:name w:val="toc 9"/>
    <w:basedOn w:val="Normal"/>
    <w:next w:val="Normal"/>
    <w:autoRedefine/>
    <w:uiPriority w:val="39"/>
    <w:semiHidden/>
    <w:unhideWhenUsed/>
    <w:rsid w:val="002B29BE"/>
    <w:pPr>
      <w:spacing w:after="100"/>
      <w:ind w:left="1520"/>
    </w:pPr>
  </w:style>
  <w:style w:type="paragraph" w:styleId="TOCHeading">
    <w:name w:val="TOC Heading"/>
    <w:basedOn w:val="Heading1"/>
    <w:next w:val="Normal"/>
    <w:uiPriority w:val="39"/>
    <w:semiHidden/>
    <w:unhideWhenUsed/>
    <w:qFormat/>
    <w:rsid w:val="002B29BE"/>
    <w:pPr>
      <w:keepLines/>
      <w:pageBreakBefore w:val="0"/>
      <w:numPr>
        <w:numId w:val="0"/>
      </w:numPr>
      <w:spacing w:before="240" w:after="0" w:line="259" w:lineRule="auto"/>
      <w:outlineLvl w:val="9"/>
    </w:pPr>
    <w:rPr>
      <w:rFonts w:asciiTheme="majorHAnsi" w:eastAsiaTheme="majorEastAsia" w:hAnsiTheme="majorHAnsi" w:cstheme="majorBidi"/>
      <w:b w:val="0"/>
      <w:color w:val="EA000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0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3.png"/><Relationship Id="rId50" Type="http://schemas.openxmlformats.org/officeDocument/2006/relationships/image" Target="media/image36.svg"/><Relationship Id="rId55" Type="http://schemas.openxmlformats.org/officeDocument/2006/relationships/image" Target="media/image41.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sv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footer" Target="footer4.xml"/><Relationship Id="rId53" Type="http://schemas.openxmlformats.org/officeDocument/2006/relationships/image" Target="media/image39.png"/><Relationship Id="rId5" Type="http://schemas.openxmlformats.org/officeDocument/2006/relationships/settings" Target="settings.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10.svg"/><Relationship Id="rId27" Type="http://schemas.openxmlformats.org/officeDocument/2006/relationships/image" Target="media/image14.sv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svg"/><Relationship Id="rId48" Type="http://schemas.openxmlformats.org/officeDocument/2006/relationships/image" Target="media/image34.sv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7.pn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5.svg"/><Relationship Id="rId25" Type="http://schemas.openxmlformats.org/officeDocument/2006/relationships/footer" Target="footer3.xml"/><Relationship Id="rId33" Type="http://schemas.openxmlformats.org/officeDocument/2006/relationships/image" Target="media/image20.svg"/><Relationship Id="rId38" Type="http://schemas.openxmlformats.org/officeDocument/2006/relationships/image" Target="media/image25.png"/><Relationship Id="rId46" Type="http://schemas.openxmlformats.org/officeDocument/2006/relationships/image" Target="media/image32.png"/><Relationship Id="rId20" Type="http://schemas.openxmlformats.org/officeDocument/2006/relationships/image" Target="media/image8.svg"/><Relationship Id="rId41" Type="http://schemas.openxmlformats.org/officeDocument/2006/relationships/image" Target="media/image28.png"/><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18.svg"/><Relationship Id="rId44" Type="http://schemas.openxmlformats.org/officeDocument/2006/relationships/image" Target="media/image31.png"/><Relationship Id="rId52" Type="http://schemas.openxmlformats.org/officeDocument/2006/relationships/image" Target="media/image38.png"/></Relationships>
</file>

<file path=word/_rels/footnotes.xml.rels><?xml version="1.0" encoding="UTF-8" standalone="yes"?>
<Relationships xmlns="http://schemas.openxmlformats.org/package/2006/relationships"><Relationship Id="rId26" Type="http://schemas.openxmlformats.org/officeDocument/2006/relationships/hyperlink" Target="https://treasury.gov.au/sites/default/files/2025-07/reconnect-operational-guidelines-2023-2026.pdf" TargetMode="External"/><Relationship Id="rId21" Type="http://schemas.openxmlformats.org/officeDocument/2006/relationships/hyperlink" Target="https://www.ceiglobal.org/sites/default/files/uploads/files/Evaluation%20of%20the%20Homeless%20Youth%20Assistance%20Program.pdf" TargetMode="External"/><Relationship Id="rId42" Type="http://schemas.openxmlformats.org/officeDocument/2006/relationships/hyperlink" Target="https://dx.doi.org/10.1353/cpr.2011.0005" TargetMode="External"/><Relationship Id="rId47" Type="http://schemas.openxmlformats.org/officeDocument/2006/relationships/hyperlink" Target="https://engage.dss.gov.au/wp-content/uploads/2024/05/summary-reportfinal23-april-2024.pdf" TargetMode="External"/><Relationship Id="rId63" Type="http://schemas.openxmlformats.org/officeDocument/2006/relationships/hyperlink" Target="https://apo.org.au/node/319836" TargetMode="External"/><Relationship Id="rId68" Type="http://schemas.openxmlformats.org/officeDocument/2006/relationships/hyperlink" Target="https://doi.org/10.1080/19439342.2016.1206607" TargetMode="External"/><Relationship Id="rId2" Type="http://schemas.openxmlformats.org/officeDocument/2006/relationships/hyperlink" Target="https://www.legislation.gov.au/F2024L00854/latest/downloads" TargetMode="External"/><Relationship Id="rId16" Type="http://schemas.openxmlformats.org/officeDocument/2006/relationships/hyperlink" Target="https://doi.org/10.1093/polsoc/puae018" TargetMode="External"/><Relationship Id="rId29" Type="http://schemas.openxmlformats.org/officeDocument/2006/relationships/hyperlink" Target="https://www.health.gov.au/sites/default/files/2025-07/ilc-outcomes-framework_0.pdf" TargetMode="External"/><Relationship Id="rId11" Type="http://schemas.openxmlformats.org/officeDocument/2006/relationships/hyperlink" Target="https://doi.org/10.1016/j.healthplace.2023.103026" TargetMode="External"/><Relationship Id="rId24" Type="http://schemas.openxmlformats.org/officeDocument/2006/relationships/hyperlink" Target="https://alt-qed.qed.qld.gov.au/our-publications/reports/Documents/evaluation/evaluation-skilling-queenslanders-work.pdf" TargetMode="External"/><Relationship Id="rId32" Type="http://schemas.openxmlformats.org/officeDocument/2006/relationships/hyperlink" Target="https://www.dewr.gov.au/skills-education-and-employment/resources/see-discussion-paper-2023" TargetMode="External"/><Relationship Id="rId37" Type="http://schemas.openxmlformats.org/officeDocument/2006/relationships/hyperlink" Target="https://www.greatermelbournefoundation.org.au/strategy-2030/initiatives/work-integration-social-enterprise-wise" TargetMode="External"/><Relationship Id="rId40" Type="http://schemas.openxmlformats.org/officeDocument/2006/relationships/hyperlink" Target="https://aifs.gov.au/sites/default/files/publication-documents/rr32_0.pdf" TargetMode="External"/><Relationship Id="rId45" Type="http://schemas.openxmlformats.org/officeDocument/2006/relationships/hyperlink" Target="https://treasury.gov.au/programs-initiatives-consumers-community/social-impact-investing/australian-government-principles-for-social-impact-investing" TargetMode="External"/><Relationship Id="rId53" Type="http://schemas.openxmlformats.org/officeDocument/2006/relationships/hyperlink" Target="https://doi.org/10.1093/polsoc/puae018" TargetMode="External"/><Relationship Id="rId58" Type="http://schemas.openxmlformats.org/officeDocument/2006/relationships/hyperlink" Target="https://www.dss.gov.au/social-impact-investing/commonwealth-outcomes-fund" TargetMode="External"/><Relationship Id="rId66" Type="http://schemas.openxmlformats.org/officeDocument/2006/relationships/hyperlink" Target="https://www.cgdev.org/sites/default/files/social-safety-nets-womens-economic-achievements-and-agency-systematic-review-and-meta.pdf" TargetMode="External"/><Relationship Id="rId74" Type="http://schemas.openxmlformats.org/officeDocument/2006/relationships/hyperlink" Target="https://www.atworkaustralia.com.au/wp-content/uploads/2021/08/atWork-Australia-LTU-Barriers-and-strategies-Final.pdf" TargetMode="External"/><Relationship Id="rId5" Type="http://schemas.openxmlformats.org/officeDocument/2006/relationships/hyperlink" Target="https://aifs.gov.au/sites/default/files/publication-documents/rr32_0.pdf" TargetMode="External"/><Relationship Id="rId61" Type="http://schemas.openxmlformats.org/officeDocument/2006/relationships/hyperlink" Target="https://doi.org/10.1002/ajs4.354" TargetMode="External"/><Relationship Id="rId19" Type="http://schemas.openxmlformats.org/officeDocument/2006/relationships/hyperlink" Target="https://treasury.gov.au/sites/default/files/2021-05/171663_ending_loneliness_together.pdf" TargetMode="External"/><Relationship Id="rId14" Type="http://schemas.openxmlformats.org/officeDocument/2006/relationships/hyperlink" Target="https://engage.dss.gov.au/wp-content/uploads/2025/11/discussion-paper-1.pdf" TargetMode="External"/><Relationship Id="rId22" Type="http://schemas.openxmlformats.org/officeDocument/2006/relationships/hyperlink" Target="https://www.dewr.gov.au/download/7096/see-programme-evaluation-report/11100/see-programme-evaluation-report/pdf" TargetMode="External"/><Relationship Id="rId27" Type="http://schemas.openxmlformats.org/officeDocument/2006/relationships/hyperlink" Target="https://www.dewr.gov.au/download/6263/transition-work-fact-sheet/37679/transition-work-fact-sheet/pdf" TargetMode="External"/><Relationship Id="rId30" Type="http://schemas.openxmlformats.org/officeDocument/2006/relationships/hyperlink" Target="https://archive.budget.gov.au/2021-22/womens-statement/download/womens_budget_statement_2021-22.pdf" TargetMode="External"/><Relationship Id="rId35" Type="http://schemas.openxmlformats.org/officeDocument/2006/relationships/hyperlink" Target="https://www.dss.gov.au/social-impact-investing/commonwealth-outcomes-fund" TargetMode="External"/><Relationship Id="rId43" Type="http://schemas.openxmlformats.org/officeDocument/2006/relationships/hyperlink" Target="https://doi.org/10.1016/j.healthplace.2023.103026" TargetMode="External"/><Relationship Id="rId48" Type="http://schemas.openxmlformats.org/officeDocument/2006/relationships/hyperlink" Target="https://doi.org/10.1016/j.healthplace.2023.103026" TargetMode="External"/><Relationship Id="rId56" Type="http://schemas.openxmlformats.org/officeDocument/2006/relationships/hyperlink" Target="https://treasury.gov.au/sites/default/files/2023-12/p2023-391009-taskforce-final-report-2020.pdf" TargetMode="External"/><Relationship Id="rId64" Type="http://schemas.openxmlformats.org/officeDocument/2006/relationships/hyperlink" Target="https://doi.org/10.34068/joe.50.05.04" TargetMode="External"/><Relationship Id="rId69" Type="http://schemas.openxmlformats.org/officeDocument/2006/relationships/hyperlink" Target="https://pubmed.ncbi.nlm.nih.gov/17444433/" TargetMode="External"/><Relationship Id="rId8" Type="http://schemas.openxmlformats.org/officeDocument/2006/relationships/hyperlink" Target="https://engage.dss.gov.au/wp-content/uploads/2024/05/summary-reportfinal23-april-2024.pdf" TargetMode="External"/><Relationship Id="rId51" Type="http://schemas.openxmlformats.org/officeDocument/2006/relationships/hyperlink" Target="https://www.acoss.org.au/wp-content/uploads/2021/06/ACSS-2021_better-contracting-report.pdf" TargetMode="External"/><Relationship Id="rId72" Type="http://schemas.openxmlformats.org/officeDocument/2006/relationships/hyperlink" Target="https://www.atworkaustralia.com.au/wp-content/uploads/2021/08/atWork-Australia-LTU-Barriers-and-strategies-Final.pdf" TargetMode="External"/><Relationship Id="rId3" Type="http://schemas.openxmlformats.org/officeDocument/2006/relationships/hyperlink" Target="https://assets.pc.gov.au/inquiries/completed/mental-health/report/mental-health-volume2.pdf" TargetMode="External"/><Relationship Id="rId12" Type="http://schemas.openxmlformats.org/officeDocument/2006/relationships/hyperlink" Target="https://doi.org/10.1016/j.healthplace.2023.103026" TargetMode="External"/><Relationship Id="rId17" Type="http://schemas.openxmlformats.org/officeDocument/2006/relationships/hyperlink" Target="https://www.dss.gov.au/system/files/documents/2025-08/dss-corporate-plan-2025-26.pdf" TargetMode="External"/><Relationship Id="rId25" Type="http://schemas.openxmlformats.org/officeDocument/2006/relationships/hyperlink" Target="https://www.grants.gov.au/Ga/DownloadResult?Type=Ga&amp;AgencyStatus=-1&amp;Keyword=strong+and+resilient+communities&amp;KeywordTypeSearch=AllWord&amp;DateType=Publish+Date&amp;page=13" TargetMode="External"/><Relationship Id="rId33" Type="http://schemas.openxmlformats.org/officeDocument/2006/relationships/hyperlink" Target="https://www.dewr.gov.au/newsroom/articles/expanding-language-literacy-numeracy-and-digital-skills-training-opportunities-0" TargetMode="External"/><Relationship Id="rId38" Type="http://schemas.openxmlformats.org/officeDocument/2006/relationships/hyperlink" Target="https://static1.squarespace.com/static/5b2b4577b10598b2166a065f/t/68a513558da0a82c77028484/1755648853734/MEDIA+RELEASE+-+Strive+for+Success+Shows+a+New+Way+to+Solve+Youth+Unemployment+-+August+2025.pdf" TargetMode="External"/><Relationship Id="rId46" Type="http://schemas.openxmlformats.org/officeDocument/2006/relationships/hyperlink" Target="https://evaluation.treasury.gov.au/sites/evaluation.treasury.gov.au/files/2025-07/guide-evaluating-pilot-programs.pdf" TargetMode="External"/><Relationship Id="rId59" Type="http://schemas.openxmlformats.org/officeDocument/2006/relationships/hyperlink" Target="https://www.dss.gov.au/try-test-and-learn" TargetMode="External"/><Relationship Id="rId67" Type="http://schemas.openxmlformats.org/officeDocument/2006/relationships/hyperlink" Target="https://doi.org/10.1093/wbro/lkac001" TargetMode="External"/><Relationship Id="rId20" Type="http://schemas.openxmlformats.org/officeDocument/2006/relationships/hyperlink" Target="https://www.dss.gov.au/social-impact-investing/commonwealth-outcomes-fund" TargetMode="External"/><Relationship Id="rId41" Type="http://schemas.openxmlformats.org/officeDocument/2006/relationships/hyperlink" Target="https://doi.org/10.1093/polsoc/puae018" TargetMode="External"/><Relationship Id="rId54" Type="http://schemas.openxmlformats.org/officeDocument/2006/relationships/hyperlink" Target="https://doi.org/10.1111/spol.13089" TargetMode="External"/><Relationship Id="rId62" Type="http://schemas.openxmlformats.org/officeDocument/2006/relationships/hyperlink" Target="https://doi.org/10.1177/0308518X20941522" TargetMode="External"/><Relationship Id="rId70" Type="http://schemas.openxmlformats.org/officeDocument/2006/relationships/hyperlink" Target="https://mrhresearchgroup.com.au/wp-content/uploads/2022/06/Public-Report_Pathways-to-Employment-for-Social-Inclusion-Health-Wellbeing-for-Women-from-Refugee-Backgrounds_2022.pdf" TargetMode="External"/><Relationship Id="rId1" Type="http://schemas.openxmlformats.org/officeDocument/2006/relationships/hyperlink" Target="https://engage.dss.gov.au/wp-content/uploads/2024/05/summary-reportfinal23-april-2024.pdf" TargetMode="External"/><Relationship Id="rId6" Type="http://schemas.openxmlformats.org/officeDocument/2006/relationships/hyperlink" Target="https://www.dss.gov.au/stronger-places-stronger-people" TargetMode="External"/><Relationship Id="rId15" Type="http://schemas.openxmlformats.org/officeDocument/2006/relationships/hyperlink" Target="https://doi.org/10.1016/j.healthplace.2023.103026" TargetMode="External"/><Relationship Id="rId23" Type="http://schemas.openxmlformats.org/officeDocument/2006/relationships/hyperlink" Target="https://treasury.gov.au/sites/default/files/2025-07/review-reconnect-program-final-report.pdf" TargetMode="External"/><Relationship Id="rId28" Type="http://schemas.openxmlformats.org/officeDocument/2006/relationships/hyperlink" Target="https://www.health.gov.au/our-work/information-linkages-and-capacity-building?language=en" TargetMode="External"/><Relationship Id="rId36" Type="http://schemas.openxmlformats.org/officeDocument/2006/relationships/hyperlink" Target="https://dtet.qld.gov.au/__data/assets/pdf_file/0021/7833/sqw-fact-sheet.pdf" TargetMode="External"/><Relationship Id="rId49" Type="http://schemas.openxmlformats.org/officeDocument/2006/relationships/hyperlink" Target="https://doi.org/10.1016/j.healthplace.2023.103026" TargetMode="External"/><Relationship Id="rId57" Type="http://schemas.openxmlformats.org/officeDocument/2006/relationships/hyperlink" Target="https://fhrifund.health.wa.gov.au/~/media/FHRI/Documents/Innovation-Seed-Fund-24-25/Innovation-Seed-Fund-2024-25---Guidelines-and-Conditions.pdf" TargetMode="External"/><Relationship Id="rId10" Type="http://schemas.openxmlformats.org/officeDocument/2006/relationships/hyperlink" Target="https://engage.dss.gov.au/wp-content/uploads/2025/11/discussion-paper-1.pdf" TargetMode="External"/><Relationship Id="rId31" Type="http://schemas.openxmlformats.org/officeDocument/2006/relationships/hyperlink" Target="https://www.communitygrants.gov.au/grants/womens-leadership-development" TargetMode="External"/><Relationship Id="rId44" Type="http://schemas.openxmlformats.org/officeDocument/2006/relationships/hyperlink" Target="https://doi.org/10.1093/polsoc/puae018" TargetMode="External"/><Relationship Id="rId52" Type="http://schemas.openxmlformats.org/officeDocument/2006/relationships/hyperlink" Target="https://engage.dss.gov.au/wp-content/uploads/2024/05/summary-reportfinal23-april-2024.pdf" TargetMode="External"/><Relationship Id="rId60" Type="http://schemas.openxmlformats.org/officeDocument/2006/relationships/hyperlink" Target="https://doi.org/10.1080/10967494.2023.2170504" TargetMode="External"/><Relationship Id="rId65" Type="http://schemas.openxmlformats.org/officeDocument/2006/relationships/hyperlink" Target="https://www.worldpolicycenter.org/sites/default/files/2022-07/Women_Economic_Participation_Systematic_Review.pdf" TargetMode="External"/><Relationship Id="rId73" Type="http://schemas.openxmlformats.org/officeDocument/2006/relationships/hyperlink" Target="https://www.atworkaustralia.com.au/wp-content/uploads/2021/08/atWork-Australia-LTU-Barriers-and-strategies-Final.pdf" TargetMode="External"/><Relationship Id="rId4" Type="http://schemas.openxmlformats.org/officeDocument/2006/relationships/hyperlink" Target="https://www.deloitte.com/content/dam/assets-zone1/au/en/docs/services/economics/deloitte-au-economics-benefits-improving-social-inclusion-181119.pdf" TargetMode="External"/><Relationship Id="rId9" Type="http://schemas.openxmlformats.org/officeDocument/2006/relationships/hyperlink" Target="https://www.legislation.gov.au/F2024L00854/latest/downloads" TargetMode="External"/><Relationship Id="rId13" Type="http://schemas.openxmlformats.org/officeDocument/2006/relationships/hyperlink" Target="https://doi.org/10.1016/j.healthplace.2023.103026" TargetMode="External"/><Relationship Id="rId18" Type="http://schemas.openxmlformats.org/officeDocument/2006/relationships/hyperlink" Target="https://www.dss.gov.au/committees/economic-inclusion-advisory-committee" TargetMode="External"/><Relationship Id="rId39" Type="http://schemas.openxmlformats.org/officeDocument/2006/relationships/hyperlink" Target="https://treasury.gov.au/programs-initiatives-consumers-community/social-impact-investing/australian-government-principles-for-social-impact-investing" TargetMode="External"/><Relationship Id="rId34" Type="http://schemas.openxmlformats.org/officeDocument/2006/relationships/hyperlink" Target="https://www.dewr.gov.au/skills-education-and-employment/resources/see-program-factsheet" TargetMode="External"/><Relationship Id="rId50" Type="http://schemas.openxmlformats.org/officeDocument/2006/relationships/hyperlink" Target="https://doi.org/10.1016/j.healthplace.2023.103026" TargetMode="External"/><Relationship Id="rId55" Type="http://schemas.openxmlformats.org/officeDocument/2006/relationships/hyperlink" Target="https://assets.publishing.service.gov.uk/media/5b87ce4440f0b63cacd32743/evaluation-of-the-innovation-fund-pilot-quantitative-assessment-of-impact-and-social-return-on-investment.pdf" TargetMode="External"/><Relationship Id="rId7" Type="http://schemas.openxmlformats.org/officeDocument/2006/relationships/hyperlink" Target="https://www.dss.gov.au/supporting-community-change/partnerships-local-action-and-community-empowerment" TargetMode="External"/><Relationship Id="rId71" Type="http://schemas.openxmlformats.org/officeDocument/2006/relationships/hyperlink" Target="https://economia.lse.ac.uk/articles/10.31389/eco.4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fault Theme">
  <a:themeElements>
    <a:clrScheme name="New Brand">
      <a:dk1>
        <a:sysClr val="windowText" lastClr="000000"/>
      </a:dk1>
      <a:lt1>
        <a:sysClr val="window" lastClr="FFFFFF"/>
      </a:lt1>
      <a:dk2>
        <a:srgbClr val="2E368F"/>
      </a:dk2>
      <a:lt2>
        <a:srgbClr val="00264D"/>
      </a:lt2>
      <a:accent1>
        <a:srgbClr val="FF3A40"/>
      </a:accent1>
      <a:accent2>
        <a:srgbClr val="F25E21"/>
      </a:accent2>
      <a:accent3>
        <a:srgbClr val="F8981D"/>
      </a:accent3>
      <a:accent4>
        <a:srgbClr val="FED13B"/>
      </a:accent4>
      <a:accent5>
        <a:srgbClr val="E6E6E1"/>
      </a:accent5>
      <a:accent6>
        <a:srgbClr val="25B3E0"/>
      </a:accent6>
      <a:hlink>
        <a:srgbClr val="0048C7"/>
      </a:hlink>
      <a:folHlink>
        <a:srgbClr val="0048C7"/>
      </a:folHlink>
    </a:clrScheme>
    <a:fontScheme name="Nous Font">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accent3"/>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cap="rnd">
          <a:solidFill>
            <a:schemeClr val="accent3"/>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75B17F-0DB6-4FF5-A0B5-36D245B95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26073</Words>
  <Characters>148621</Characters>
  <Application>Microsoft Office Word</Application>
  <DocSecurity>0</DocSecurity>
  <Lines>2972</Lines>
  <Paragraphs>1188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173506</CharactersWithSpaces>
  <SharedDoc>false</SharedDoc>
  <HLinks>
    <vt:vector size="726" baseType="variant">
      <vt:variant>
        <vt:i4>1245239</vt:i4>
      </vt:variant>
      <vt:variant>
        <vt:i4>278</vt:i4>
      </vt:variant>
      <vt:variant>
        <vt:i4>0</vt:i4>
      </vt:variant>
      <vt:variant>
        <vt:i4>5</vt:i4>
      </vt:variant>
      <vt:variant>
        <vt:lpwstr/>
      </vt:variant>
      <vt:variant>
        <vt:lpwstr>_Toc223100670</vt:lpwstr>
      </vt:variant>
      <vt:variant>
        <vt:i4>1179703</vt:i4>
      </vt:variant>
      <vt:variant>
        <vt:i4>272</vt:i4>
      </vt:variant>
      <vt:variant>
        <vt:i4>0</vt:i4>
      </vt:variant>
      <vt:variant>
        <vt:i4>5</vt:i4>
      </vt:variant>
      <vt:variant>
        <vt:lpwstr/>
      </vt:variant>
      <vt:variant>
        <vt:lpwstr>_Toc223100669</vt:lpwstr>
      </vt:variant>
      <vt:variant>
        <vt:i4>1179703</vt:i4>
      </vt:variant>
      <vt:variant>
        <vt:i4>266</vt:i4>
      </vt:variant>
      <vt:variant>
        <vt:i4>0</vt:i4>
      </vt:variant>
      <vt:variant>
        <vt:i4>5</vt:i4>
      </vt:variant>
      <vt:variant>
        <vt:lpwstr/>
      </vt:variant>
      <vt:variant>
        <vt:lpwstr>_Toc223100668</vt:lpwstr>
      </vt:variant>
      <vt:variant>
        <vt:i4>1179703</vt:i4>
      </vt:variant>
      <vt:variant>
        <vt:i4>260</vt:i4>
      </vt:variant>
      <vt:variant>
        <vt:i4>0</vt:i4>
      </vt:variant>
      <vt:variant>
        <vt:i4>5</vt:i4>
      </vt:variant>
      <vt:variant>
        <vt:lpwstr/>
      </vt:variant>
      <vt:variant>
        <vt:lpwstr>_Toc223100667</vt:lpwstr>
      </vt:variant>
      <vt:variant>
        <vt:i4>1179703</vt:i4>
      </vt:variant>
      <vt:variant>
        <vt:i4>254</vt:i4>
      </vt:variant>
      <vt:variant>
        <vt:i4>0</vt:i4>
      </vt:variant>
      <vt:variant>
        <vt:i4>5</vt:i4>
      </vt:variant>
      <vt:variant>
        <vt:lpwstr/>
      </vt:variant>
      <vt:variant>
        <vt:lpwstr>_Toc223100666</vt:lpwstr>
      </vt:variant>
      <vt:variant>
        <vt:i4>1179703</vt:i4>
      </vt:variant>
      <vt:variant>
        <vt:i4>248</vt:i4>
      </vt:variant>
      <vt:variant>
        <vt:i4>0</vt:i4>
      </vt:variant>
      <vt:variant>
        <vt:i4>5</vt:i4>
      </vt:variant>
      <vt:variant>
        <vt:lpwstr/>
      </vt:variant>
      <vt:variant>
        <vt:lpwstr>_Toc223100665</vt:lpwstr>
      </vt:variant>
      <vt:variant>
        <vt:i4>1179703</vt:i4>
      </vt:variant>
      <vt:variant>
        <vt:i4>242</vt:i4>
      </vt:variant>
      <vt:variant>
        <vt:i4>0</vt:i4>
      </vt:variant>
      <vt:variant>
        <vt:i4>5</vt:i4>
      </vt:variant>
      <vt:variant>
        <vt:lpwstr/>
      </vt:variant>
      <vt:variant>
        <vt:lpwstr>_Toc223100664</vt:lpwstr>
      </vt:variant>
      <vt:variant>
        <vt:i4>1179703</vt:i4>
      </vt:variant>
      <vt:variant>
        <vt:i4>236</vt:i4>
      </vt:variant>
      <vt:variant>
        <vt:i4>0</vt:i4>
      </vt:variant>
      <vt:variant>
        <vt:i4>5</vt:i4>
      </vt:variant>
      <vt:variant>
        <vt:lpwstr/>
      </vt:variant>
      <vt:variant>
        <vt:lpwstr>_Toc223100663</vt:lpwstr>
      </vt:variant>
      <vt:variant>
        <vt:i4>1179703</vt:i4>
      </vt:variant>
      <vt:variant>
        <vt:i4>230</vt:i4>
      </vt:variant>
      <vt:variant>
        <vt:i4>0</vt:i4>
      </vt:variant>
      <vt:variant>
        <vt:i4>5</vt:i4>
      </vt:variant>
      <vt:variant>
        <vt:lpwstr/>
      </vt:variant>
      <vt:variant>
        <vt:lpwstr>_Toc223100662</vt:lpwstr>
      </vt:variant>
      <vt:variant>
        <vt:i4>1179703</vt:i4>
      </vt:variant>
      <vt:variant>
        <vt:i4>224</vt:i4>
      </vt:variant>
      <vt:variant>
        <vt:i4>0</vt:i4>
      </vt:variant>
      <vt:variant>
        <vt:i4>5</vt:i4>
      </vt:variant>
      <vt:variant>
        <vt:lpwstr/>
      </vt:variant>
      <vt:variant>
        <vt:lpwstr>_Toc223100661</vt:lpwstr>
      </vt:variant>
      <vt:variant>
        <vt:i4>1179703</vt:i4>
      </vt:variant>
      <vt:variant>
        <vt:i4>218</vt:i4>
      </vt:variant>
      <vt:variant>
        <vt:i4>0</vt:i4>
      </vt:variant>
      <vt:variant>
        <vt:i4>5</vt:i4>
      </vt:variant>
      <vt:variant>
        <vt:lpwstr/>
      </vt:variant>
      <vt:variant>
        <vt:lpwstr>_Toc223100660</vt:lpwstr>
      </vt:variant>
      <vt:variant>
        <vt:i4>1114167</vt:i4>
      </vt:variant>
      <vt:variant>
        <vt:i4>212</vt:i4>
      </vt:variant>
      <vt:variant>
        <vt:i4>0</vt:i4>
      </vt:variant>
      <vt:variant>
        <vt:i4>5</vt:i4>
      </vt:variant>
      <vt:variant>
        <vt:lpwstr/>
      </vt:variant>
      <vt:variant>
        <vt:lpwstr>_Toc223100659</vt:lpwstr>
      </vt:variant>
      <vt:variant>
        <vt:i4>1114167</vt:i4>
      </vt:variant>
      <vt:variant>
        <vt:i4>206</vt:i4>
      </vt:variant>
      <vt:variant>
        <vt:i4>0</vt:i4>
      </vt:variant>
      <vt:variant>
        <vt:i4>5</vt:i4>
      </vt:variant>
      <vt:variant>
        <vt:lpwstr/>
      </vt:variant>
      <vt:variant>
        <vt:lpwstr>_Toc223100658</vt:lpwstr>
      </vt:variant>
      <vt:variant>
        <vt:i4>1114167</vt:i4>
      </vt:variant>
      <vt:variant>
        <vt:i4>200</vt:i4>
      </vt:variant>
      <vt:variant>
        <vt:i4>0</vt:i4>
      </vt:variant>
      <vt:variant>
        <vt:i4>5</vt:i4>
      </vt:variant>
      <vt:variant>
        <vt:lpwstr/>
      </vt:variant>
      <vt:variant>
        <vt:lpwstr>_Toc223100657</vt:lpwstr>
      </vt:variant>
      <vt:variant>
        <vt:i4>1114167</vt:i4>
      </vt:variant>
      <vt:variant>
        <vt:i4>194</vt:i4>
      </vt:variant>
      <vt:variant>
        <vt:i4>0</vt:i4>
      </vt:variant>
      <vt:variant>
        <vt:i4>5</vt:i4>
      </vt:variant>
      <vt:variant>
        <vt:lpwstr/>
      </vt:variant>
      <vt:variant>
        <vt:lpwstr>_Toc223100656</vt:lpwstr>
      </vt:variant>
      <vt:variant>
        <vt:i4>1114167</vt:i4>
      </vt:variant>
      <vt:variant>
        <vt:i4>188</vt:i4>
      </vt:variant>
      <vt:variant>
        <vt:i4>0</vt:i4>
      </vt:variant>
      <vt:variant>
        <vt:i4>5</vt:i4>
      </vt:variant>
      <vt:variant>
        <vt:lpwstr/>
      </vt:variant>
      <vt:variant>
        <vt:lpwstr>_Toc223100655</vt:lpwstr>
      </vt:variant>
      <vt:variant>
        <vt:i4>1114167</vt:i4>
      </vt:variant>
      <vt:variant>
        <vt:i4>182</vt:i4>
      </vt:variant>
      <vt:variant>
        <vt:i4>0</vt:i4>
      </vt:variant>
      <vt:variant>
        <vt:i4>5</vt:i4>
      </vt:variant>
      <vt:variant>
        <vt:lpwstr/>
      </vt:variant>
      <vt:variant>
        <vt:lpwstr>_Toc223100654</vt:lpwstr>
      </vt:variant>
      <vt:variant>
        <vt:i4>1114167</vt:i4>
      </vt:variant>
      <vt:variant>
        <vt:i4>176</vt:i4>
      </vt:variant>
      <vt:variant>
        <vt:i4>0</vt:i4>
      </vt:variant>
      <vt:variant>
        <vt:i4>5</vt:i4>
      </vt:variant>
      <vt:variant>
        <vt:lpwstr/>
      </vt:variant>
      <vt:variant>
        <vt:lpwstr>_Toc223100653</vt:lpwstr>
      </vt:variant>
      <vt:variant>
        <vt:i4>1114167</vt:i4>
      </vt:variant>
      <vt:variant>
        <vt:i4>170</vt:i4>
      </vt:variant>
      <vt:variant>
        <vt:i4>0</vt:i4>
      </vt:variant>
      <vt:variant>
        <vt:i4>5</vt:i4>
      </vt:variant>
      <vt:variant>
        <vt:lpwstr/>
      </vt:variant>
      <vt:variant>
        <vt:lpwstr>_Toc223100652</vt:lpwstr>
      </vt:variant>
      <vt:variant>
        <vt:i4>1114167</vt:i4>
      </vt:variant>
      <vt:variant>
        <vt:i4>164</vt:i4>
      </vt:variant>
      <vt:variant>
        <vt:i4>0</vt:i4>
      </vt:variant>
      <vt:variant>
        <vt:i4>5</vt:i4>
      </vt:variant>
      <vt:variant>
        <vt:lpwstr/>
      </vt:variant>
      <vt:variant>
        <vt:lpwstr>_Toc223100651</vt:lpwstr>
      </vt:variant>
      <vt:variant>
        <vt:i4>1114167</vt:i4>
      </vt:variant>
      <vt:variant>
        <vt:i4>158</vt:i4>
      </vt:variant>
      <vt:variant>
        <vt:i4>0</vt:i4>
      </vt:variant>
      <vt:variant>
        <vt:i4>5</vt:i4>
      </vt:variant>
      <vt:variant>
        <vt:lpwstr/>
      </vt:variant>
      <vt:variant>
        <vt:lpwstr>_Toc223100650</vt:lpwstr>
      </vt:variant>
      <vt:variant>
        <vt:i4>1048631</vt:i4>
      </vt:variant>
      <vt:variant>
        <vt:i4>152</vt:i4>
      </vt:variant>
      <vt:variant>
        <vt:i4>0</vt:i4>
      </vt:variant>
      <vt:variant>
        <vt:i4>5</vt:i4>
      </vt:variant>
      <vt:variant>
        <vt:lpwstr/>
      </vt:variant>
      <vt:variant>
        <vt:lpwstr>_Toc223100649</vt:lpwstr>
      </vt:variant>
      <vt:variant>
        <vt:i4>1048631</vt:i4>
      </vt:variant>
      <vt:variant>
        <vt:i4>146</vt:i4>
      </vt:variant>
      <vt:variant>
        <vt:i4>0</vt:i4>
      </vt:variant>
      <vt:variant>
        <vt:i4>5</vt:i4>
      </vt:variant>
      <vt:variant>
        <vt:lpwstr/>
      </vt:variant>
      <vt:variant>
        <vt:lpwstr>_Toc223100648</vt:lpwstr>
      </vt:variant>
      <vt:variant>
        <vt:i4>1048631</vt:i4>
      </vt:variant>
      <vt:variant>
        <vt:i4>140</vt:i4>
      </vt:variant>
      <vt:variant>
        <vt:i4>0</vt:i4>
      </vt:variant>
      <vt:variant>
        <vt:i4>5</vt:i4>
      </vt:variant>
      <vt:variant>
        <vt:lpwstr/>
      </vt:variant>
      <vt:variant>
        <vt:lpwstr>_Toc223100647</vt:lpwstr>
      </vt:variant>
      <vt:variant>
        <vt:i4>1048631</vt:i4>
      </vt:variant>
      <vt:variant>
        <vt:i4>134</vt:i4>
      </vt:variant>
      <vt:variant>
        <vt:i4>0</vt:i4>
      </vt:variant>
      <vt:variant>
        <vt:i4>5</vt:i4>
      </vt:variant>
      <vt:variant>
        <vt:lpwstr/>
      </vt:variant>
      <vt:variant>
        <vt:lpwstr>_Toc223100646</vt:lpwstr>
      </vt:variant>
      <vt:variant>
        <vt:i4>1048631</vt:i4>
      </vt:variant>
      <vt:variant>
        <vt:i4>128</vt:i4>
      </vt:variant>
      <vt:variant>
        <vt:i4>0</vt:i4>
      </vt:variant>
      <vt:variant>
        <vt:i4>5</vt:i4>
      </vt:variant>
      <vt:variant>
        <vt:lpwstr/>
      </vt:variant>
      <vt:variant>
        <vt:lpwstr>_Toc223100645</vt:lpwstr>
      </vt:variant>
      <vt:variant>
        <vt:i4>1048631</vt:i4>
      </vt:variant>
      <vt:variant>
        <vt:i4>122</vt:i4>
      </vt:variant>
      <vt:variant>
        <vt:i4>0</vt:i4>
      </vt:variant>
      <vt:variant>
        <vt:i4>5</vt:i4>
      </vt:variant>
      <vt:variant>
        <vt:lpwstr/>
      </vt:variant>
      <vt:variant>
        <vt:lpwstr>_Toc223100644</vt:lpwstr>
      </vt:variant>
      <vt:variant>
        <vt:i4>1048631</vt:i4>
      </vt:variant>
      <vt:variant>
        <vt:i4>116</vt:i4>
      </vt:variant>
      <vt:variant>
        <vt:i4>0</vt:i4>
      </vt:variant>
      <vt:variant>
        <vt:i4>5</vt:i4>
      </vt:variant>
      <vt:variant>
        <vt:lpwstr/>
      </vt:variant>
      <vt:variant>
        <vt:lpwstr>_Toc223100643</vt:lpwstr>
      </vt:variant>
      <vt:variant>
        <vt:i4>1048631</vt:i4>
      </vt:variant>
      <vt:variant>
        <vt:i4>110</vt:i4>
      </vt:variant>
      <vt:variant>
        <vt:i4>0</vt:i4>
      </vt:variant>
      <vt:variant>
        <vt:i4>5</vt:i4>
      </vt:variant>
      <vt:variant>
        <vt:lpwstr/>
      </vt:variant>
      <vt:variant>
        <vt:lpwstr>_Toc223100642</vt:lpwstr>
      </vt:variant>
      <vt:variant>
        <vt:i4>1048631</vt:i4>
      </vt:variant>
      <vt:variant>
        <vt:i4>104</vt:i4>
      </vt:variant>
      <vt:variant>
        <vt:i4>0</vt:i4>
      </vt:variant>
      <vt:variant>
        <vt:i4>5</vt:i4>
      </vt:variant>
      <vt:variant>
        <vt:lpwstr/>
      </vt:variant>
      <vt:variant>
        <vt:lpwstr>_Toc223100641</vt:lpwstr>
      </vt:variant>
      <vt:variant>
        <vt:i4>1048631</vt:i4>
      </vt:variant>
      <vt:variant>
        <vt:i4>98</vt:i4>
      </vt:variant>
      <vt:variant>
        <vt:i4>0</vt:i4>
      </vt:variant>
      <vt:variant>
        <vt:i4>5</vt:i4>
      </vt:variant>
      <vt:variant>
        <vt:lpwstr/>
      </vt:variant>
      <vt:variant>
        <vt:lpwstr>_Toc223100640</vt:lpwstr>
      </vt:variant>
      <vt:variant>
        <vt:i4>1507383</vt:i4>
      </vt:variant>
      <vt:variant>
        <vt:i4>92</vt:i4>
      </vt:variant>
      <vt:variant>
        <vt:i4>0</vt:i4>
      </vt:variant>
      <vt:variant>
        <vt:i4>5</vt:i4>
      </vt:variant>
      <vt:variant>
        <vt:lpwstr/>
      </vt:variant>
      <vt:variant>
        <vt:lpwstr>_Toc223100639</vt:lpwstr>
      </vt:variant>
      <vt:variant>
        <vt:i4>1507383</vt:i4>
      </vt:variant>
      <vt:variant>
        <vt:i4>86</vt:i4>
      </vt:variant>
      <vt:variant>
        <vt:i4>0</vt:i4>
      </vt:variant>
      <vt:variant>
        <vt:i4>5</vt:i4>
      </vt:variant>
      <vt:variant>
        <vt:lpwstr/>
      </vt:variant>
      <vt:variant>
        <vt:lpwstr>_Toc223100638</vt:lpwstr>
      </vt:variant>
      <vt:variant>
        <vt:i4>1507383</vt:i4>
      </vt:variant>
      <vt:variant>
        <vt:i4>80</vt:i4>
      </vt:variant>
      <vt:variant>
        <vt:i4>0</vt:i4>
      </vt:variant>
      <vt:variant>
        <vt:i4>5</vt:i4>
      </vt:variant>
      <vt:variant>
        <vt:lpwstr/>
      </vt:variant>
      <vt:variant>
        <vt:lpwstr>_Toc223100637</vt:lpwstr>
      </vt:variant>
      <vt:variant>
        <vt:i4>1507383</vt:i4>
      </vt:variant>
      <vt:variant>
        <vt:i4>74</vt:i4>
      </vt:variant>
      <vt:variant>
        <vt:i4>0</vt:i4>
      </vt:variant>
      <vt:variant>
        <vt:i4>5</vt:i4>
      </vt:variant>
      <vt:variant>
        <vt:lpwstr/>
      </vt:variant>
      <vt:variant>
        <vt:lpwstr>_Toc223100636</vt:lpwstr>
      </vt:variant>
      <vt:variant>
        <vt:i4>1507383</vt:i4>
      </vt:variant>
      <vt:variant>
        <vt:i4>68</vt:i4>
      </vt:variant>
      <vt:variant>
        <vt:i4>0</vt:i4>
      </vt:variant>
      <vt:variant>
        <vt:i4>5</vt:i4>
      </vt:variant>
      <vt:variant>
        <vt:lpwstr/>
      </vt:variant>
      <vt:variant>
        <vt:lpwstr>_Toc223100635</vt:lpwstr>
      </vt:variant>
      <vt:variant>
        <vt:i4>1507383</vt:i4>
      </vt:variant>
      <vt:variant>
        <vt:i4>62</vt:i4>
      </vt:variant>
      <vt:variant>
        <vt:i4>0</vt:i4>
      </vt:variant>
      <vt:variant>
        <vt:i4>5</vt:i4>
      </vt:variant>
      <vt:variant>
        <vt:lpwstr/>
      </vt:variant>
      <vt:variant>
        <vt:lpwstr>_Toc223100634</vt:lpwstr>
      </vt:variant>
      <vt:variant>
        <vt:i4>1507383</vt:i4>
      </vt:variant>
      <vt:variant>
        <vt:i4>56</vt:i4>
      </vt:variant>
      <vt:variant>
        <vt:i4>0</vt:i4>
      </vt:variant>
      <vt:variant>
        <vt:i4>5</vt:i4>
      </vt:variant>
      <vt:variant>
        <vt:lpwstr/>
      </vt:variant>
      <vt:variant>
        <vt:lpwstr>_Toc223100633</vt:lpwstr>
      </vt:variant>
      <vt:variant>
        <vt:i4>1507383</vt:i4>
      </vt:variant>
      <vt:variant>
        <vt:i4>50</vt:i4>
      </vt:variant>
      <vt:variant>
        <vt:i4>0</vt:i4>
      </vt:variant>
      <vt:variant>
        <vt:i4>5</vt:i4>
      </vt:variant>
      <vt:variant>
        <vt:lpwstr/>
      </vt:variant>
      <vt:variant>
        <vt:lpwstr>_Toc223100632</vt:lpwstr>
      </vt:variant>
      <vt:variant>
        <vt:i4>1507383</vt:i4>
      </vt:variant>
      <vt:variant>
        <vt:i4>44</vt:i4>
      </vt:variant>
      <vt:variant>
        <vt:i4>0</vt:i4>
      </vt:variant>
      <vt:variant>
        <vt:i4>5</vt:i4>
      </vt:variant>
      <vt:variant>
        <vt:lpwstr/>
      </vt:variant>
      <vt:variant>
        <vt:lpwstr>_Toc223100631</vt:lpwstr>
      </vt:variant>
      <vt:variant>
        <vt:i4>1507383</vt:i4>
      </vt:variant>
      <vt:variant>
        <vt:i4>38</vt:i4>
      </vt:variant>
      <vt:variant>
        <vt:i4>0</vt:i4>
      </vt:variant>
      <vt:variant>
        <vt:i4>5</vt:i4>
      </vt:variant>
      <vt:variant>
        <vt:lpwstr/>
      </vt:variant>
      <vt:variant>
        <vt:lpwstr>_Toc223100630</vt:lpwstr>
      </vt:variant>
      <vt:variant>
        <vt:i4>1441847</vt:i4>
      </vt:variant>
      <vt:variant>
        <vt:i4>32</vt:i4>
      </vt:variant>
      <vt:variant>
        <vt:i4>0</vt:i4>
      </vt:variant>
      <vt:variant>
        <vt:i4>5</vt:i4>
      </vt:variant>
      <vt:variant>
        <vt:lpwstr/>
      </vt:variant>
      <vt:variant>
        <vt:lpwstr>_Toc223100629</vt:lpwstr>
      </vt:variant>
      <vt:variant>
        <vt:i4>1441847</vt:i4>
      </vt:variant>
      <vt:variant>
        <vt:i4>26</vt:i4>
      </vt:variant>
      <vt:variant>
        <vt:i4>0</vt:i4>
      </vt:variant>
      <vt:variant>
        <vt:i4>5</vt:i4>
      </vt:variant>
      <vt:variant>
        <vt:lpwstr/>
      </vt:variant>
      <vt:variant>
        <vt:lpwstr>_Toc223100628</vt:lpwstr>
      </vt:variant>
      <vt:variant>
        <vt:i4>1441847</vt:i4>
      </vt:variant>
      <vt:variant>
        <vt:i4>20</vt:i4>
      </vt:variant>
      <vt:variant>
        <vt:i4>0</vt:i4>
      </vt:variant>
      <vt:variant>
        <vt:i4>5</vt:i4>
      </vt:variant>
      <vt:variant>
        <vt:lpwstr/>
      </vt:variant>
      <vt:variant>
        <vt:lpwstr>_Toc223100627</vt:lpwstr>
      </vt:variant>
      <vt:variant>
        <vt:i4>1441847</vt:i4>
      </vt:variant>
      <vt:variant>
        <vt:i4>14</vt:i4>
      </vt:variant>
      <vt:variant>
        <vt:i4>0</vt:i4>
      </vt:variant>
      <vt:variant>
        <vt:i4>5</vt:i4>
      </vt:variant>
      <vt:variant>
        <vt:lpwstr/>
      </vt:variant>
      <vt:variant>
        <vt:lpwstr>_Toc223100626</vt:lpwstr>
      </vt:variant>
      <vt:variant>
        <vt:i4>1441847</vt:i4>
      </vt:variant>
      <vt:variant>
        <vt:i4>8</vt:i4>
      </vt:variant>
      <vt:variant>
        <vt:i4>0</vt:i4>
      </vt:variant>
      <vt:variant>
        <vt:i4>5</vt:i4>
      </vt:variant>
      <vt:variant>
        <vt:lpwstr/>
      </vt:variant>
      <vt:variant>
        <vt:lpwstr>_Toc223100625</vt:lpwstr>
      </vt:variant>
      <vt:variant>
        <vt:i4>1441847</vt:i4>
      </vt:variant>
      <vt:variant>
        <vt:i4>2</vt:i4>
      </vt:variant>
      <vt:variant>
        <vt:i4>0</vt:i4>
      </vt:variant>
      <vt:variant>
        <vt:i4>5</vt:i4>
      </vt:variant>
      <vt:variant>
        <vt:lpwstr/>
      </vt:variant>
      <vt:variant>
        <vt:lpwstr>_Toc223100624</vt:lpwstr>
      </vt:variant>
      <vt:variant>
        <vt:i4>1572949</vt:i4>
      </vt:variant>
      <vt:variant>
        <vt:i4>219</vt:i4>
      </vt:variant>
      <vt:variant>
        <vt:i4>0</vt:i4>
      </vt:variant>
      <vt:variant>
        <vt:i4>5</vt:i4>
      </vt:variant>
      <vt:variant>
        <vt:lpwstr>https://www.atworkaustralia.com.au/wp-content/uploads/2021/08/atWork-Australia-LTU-Barriers-and-strategies-Final.pdf</vt:lpwstr>
      </vt:variant>
      <vt:variant>
        <vt:lpwstr/>
      </vt:variant>
      <vt:variant>
        <vt:i4>1572949</vt:i4>
      </vt:variant>
      <vt:variant>
        <vt:i4>216</vt:i4>
      </vt:variant>
      <vt:variant>
        <vt:i4>0</vt:i4>
      </vt:variant>
      <vt:variant>
        <vt:i4>5</vt:i4>
      </vt:variant>
      <vt:variant>
        <vt:lpwstr>https://www.atworkaustralia.com.au/wp-content/uploads/2021/08/atWork-Australia-LTU-Barriers-and-strategies-Final.pdf</vt:lpwstr>
      </vt:variant>
      <vt:variant>
        <vt:lpwstr/>
      </vt:variant>
      <vt:variant>
        <vt:i4>1572949</vt:i4>
      </vt:variant>
      <vt:variant>
        <vt:i4>213</vt:i4>
      </vt:variant>
      <vt:variant>
        <vt:i4>0</vt:i4>
      </vt:variant>
      <vt:variant>
        <vt:i4>5</vt:i4>
      </vt:variant>
      <vt:variant>
        <vt:lpwstr>https://www.atworkaustralia.com.au/wp-content/uploads/2021/08/atWork-Australia-LTU-Barriers-and-strategies-Final.pdf</vt:lpwstr>
      </vt:variant>
      <vt:variant>
        <vt:lpwstr/>
      </vt:variant>
      <vt:variant>
        <vt:i4>393283</vt:i4>
      </vt:variant>
      <vt:variant>
        <vt:i4>210</vt:i4>
      </vt:variant>
      <vt:variant>
        <vt:i4>0</vt:i4>
      </vt:variant>
      <vt:variant>
        <vt:i4>5</vt:i4>
      </vt:variant>
      <vt:variant>
        <vt:lpwstr>https://economia.lse.ac.uk/articles/10.31389/eco.450</vt:lpwstr>
      </vt:variant>
      <vt:variant>
        <vt:lpwstr/>
      </vt:variant>
      <vt:variant>
        <vt:i4>983104</vt:i4>
      </vt:variant>
      <vt:variant>
        <vt:i4>207</vt:i4>
      </vt:variant>
      <vt:variant>
        <vt:i4>0</vt:i4>
      </vt:variant>
      <vt:variant>
        <vt:i4>5</vt:i4>
      </vt:variant>
      <vt:variant>
        <vt:lpwstr>https://mrhresearchgroup.com.au/wp-content/uploads/2022/06/Public-Report_Pathways-to-Employment-for-Social-Inclusion-Health-Wellbeing-for-Women-from-Refugee-Backgrounds_2022.pdf</vt:lpwstr>
      </vt:variant>
      <vt:variant>
        <vt:lpwstr/>
      </vt:variant>
      <vt:variant>
        <vt:i4>917509</vt:i4>
      </vt:variant>
      <vt:variant>
        <vt:i4>204</vt:i4>
      </vt:variant>
      <vt:variant>
        <vt:i4>0</vt:i4>
      </vt:variant>
      <vt:variant>
        <vt:i4>5</vt:i4>
      </vt:variant>
      <vt:variant>
        <vt:lpwstr>https://pubmed.ncbi.nlm.nih.gov/17444433/</vt:lpwstr>
      </vt:variant>
      <vt:variant>
        <vt:lpwstr/>
      </vt:variant>
      <vt:variant>
        <vt:i4>589901</vt:i4>
      </vt:variant>
      <vt:variant>
        <vt:i4>201</vt:i4>
      </vt:variant>
      <vt:variant>
        <vt:i4>0</vt:i4>
      </vt:variant>
      <vt:variant>
        <vt:i4>5</vt:i4>
      </vt:variant>
      <vt:variant>
        <vt:lpwstr>https://doi.org/10.1080/19439342.2016.1206607</vt:lpwstr>
      </vt:variant>
      <vt:variant>
        <vt:lpwstr/>
      </vt:variant>
      <vt:variant>
        <vt:i4>1769547</vt:i4>
      </vt:variant>
      <vt:variant>
        <vt:i4>198</vt:i4>
      </vt:variant>
      <vt:variant>
        <vt:i4>0</vt:i4>
      </vt:variant>
      <vt:variant>
        <vt:i4>5</vt:i4>
      </vt:variant>
      <vt:variant>
        <vt:lpwstr>https://doi.org/10.1093/wbro/lkac001</vt:lpwstr>
      </vt:variant>
      <vt:variant>
        <vt:lpwstr/>
      </vt:variant>
      <vt:variant>
        <vt:i4>8323126</vt:i4>
      </vt:variant>
      <vt:variant>
        <vt:i4>195</vt:i4>
      </vt:variant>
      <vt:variant>
        <vt:i4>0</vt:i4>
      </vt:variant>
      <vt:variant>
        <vt:i4>5</vt:i4>
      </vt:variant>
      <vt:variant>
        <vt:lpwstr>https://www.cgdev.org/sites/default/files/social-safety-nets-womens-economic-achievements-and-agency-systematic-review-and-meta.pdf</vt:lpwstr>
      </vt:variant>
      <vt:variant>
        <vt:lpwstr/>
      </vt:variant>
      <vt:variant>
        <vt:i4>1572888</vt:i4>
      </vt:variant>
      <vt:variant>
        <vt:i4>192</vt:i4>
      </vt:variant>
      <vt:variant>
        <vt:i4>0</vt:i4>
      </vt:variant>
      <vt:variant>
        <vt:i4>5</vt:i4>
      </vt:variant>
      <vt:variant>
        <vt:lpwstr>https://www.worldpolicycenter.org/sites/default/files/2022-07/Women_Economic_Participation_Systematic_Review.pdf</vt:lpwstr>
      </vt:variant>
      <vt:variant>
        <vt:lpwstr/>
      </vt:variant>
      <vt:variant>
        <vt:i4>1507352</vt:i4>
      </vt:variant>
      <vt:variant>
        <vt:i4>189</vt:i4>
      </vt:variant>
      <vt:variant>
        <vt:i4>0</vt:i4>
      </vt:variant>
      <vt:variant>
        <vt:i4>5</vt:i4>
      </vt:variant>
      <vt:variant>
        <vt:lpwstr>https://doi.org/10.34068/joe.50.05.04</vt:lpwstr>
      </vt:variant>
      <vt:variant>
        <vt:lpwstr/>
      </vt:variant>
      <vt:variant>
        <vt:i4>8126523</vt:i4>
      </vt:variant>
      <vt:variant>
        <vt:i4>186</vt:i4>
      </vt:variant>
      <vt:variant>
        <vt:i4>0</vt:i4>
      </vt:variant>
      <vt:variant>
        <vt:i4>5</vt:i4>
      </vt:variant>
      <vt:variant>
        <vt:lpwstr>https://apo.org.au/node/319836</vt:lpwstr>
      </vt:variant>
      <vt:variant>
        <vt:lpwstr/>
      </vt:variant>
      <vt:variant>
        <vt:i4>5570649</vt:i4>
      </vt:variant>
      <vt:variant>
        <vt:i4>183</vt:i4>
      </vt:variant>
      <vt:variant>
        <vt:i4>0</vt:i4>
      </vt:variant>
      <vt:variant>
        <vt:i4>5</vt:i4>
      </vt:variant>
      <vt:variant>
        <vt:lpwstr>https://doi.org/10.1177/0308518X20941522</vt:lpwstr>
      </vt:variant>
      <vt:variant>
        <vt:lpwstr/>
      </vt:variant>
      <vt:variant>
        <vt:i4>4849745</vt:i4>
      </vt:variant>
      <vt:variant>
        <vt:i4>180</vt:i4>
      </vt:variant>
      <vt:variant>
        <vt:i4>0</vt:i4>
      </vt:variant>
      <vt:variant>
        <vt:i4>5</vt:i4>
      </vt:variant>
      <vt:variant>
        <vt:lpwstr>https://doi.org/10.1002/ajs4.354</vt:lpwstr>
      </vt:variant>
      <vt:variant>
        <vt:lpwstr/>
      </vt:variant>
      <vt:variant>
        <vt:i4>131137</vt:i4>
      </vt:variant>
      <vt:variant>
        <vt:i4>177</vt:i4>
      </vt:variant>
      <vt:variant>
        <vt:i4>0</vt:i4>
      </vt:variant>
      <vt:variant>
        <vt:i4>5</vt:i4>
      </vt:variant>
      <vt:variant>
        <vt:lpwstr>https://doi.org/10.1080/10967494.2023.2170504</vt:lpwstr>
      </vt:variant>
      <vt:variant>
        <vt:lpwstr/>
      </vt:variant>
      <vt:variant>
        <vt:i4>5374030</vt:i4>
      </vt:variant>
      <vt:variant>
        <vt:i4>174</vt:i4>
      </vt:variant>
      <vt:variant>
        <vt:i4>0</vt:i4>
      </vt:variant>
      <vt:variant>
        <vt:i4>5</vt:i4>
      </vt:variant>
      <vt:variant>
        <vt:lpwstr>https://www.dss.gov.au/try-test-and-learn</vt:lpwstr>
      </vt:variant>
      <vt:variant>
        <vt:lpwstr/>
      </vt:variant>
      <vt:variant>
        <vt:i4>4784207</vt:i4>
      </vt:variant>
      <vt:variant>
        <vt:i4>171</vt:i4>
      </vt:variant>
      <vt:variant>
        <vt:i4>0</vt:i4>
      </vt:variant>
      <vt:variant>
        <vt:i4>5</vt:i4>
      </vt:variant>
      <vt:variant>
        <vt:lpwstr>https://www.dss.gov.au/social-impact-investing/commonwealth-outcomes-fund</vt:lpwstr>
      </vt:variant>
      <vt:variant>
        <vt:lpwstr/>
      </vt:variant>
      <vt:variant>
        <vt:i4>5767177</vt:i4>
      </vt:variant>
      <vt:variant>
        <vt:i4>168</vt:i4>
      </vt:variant>
      <vt:variant>
        <vt:i4>0</vt:i4>
      </vt:variant>
      <vt:variant>
        <vt:i4>5</vt:i4>
      </vt:variant>
      <vt:variant>
        <vt:lpwstr>https://fhrifund.health.wa.gov.au/~/media/FHRI/Documents/Innovation-Seed-Fund-24-25/Innovation-Seed-Fund-2024-25---Guidelines-and-Conditions.pdf</vt:lpwstr>
      </vt:variant>
      <vt:variant>
        <vt:lpwstr/>
      </vt:variant>
      <vt:variant>
        <vt:i4>5177357</vt:i4>
      </vt:variant>
      <vt:variant>
        <vt:i4>165</vt:i4>
      </vt:variant>
      <vt:variant>
        <vt:i4>0</vt:i4>
      </vt:variant>
      <vt:variant>
        <vt:i4>5</vt:i4>
      </vt:variant>
      <vt:variant>
        <vt:lpwstr>https://treasury.gov.au/sites/default/files/2023-12/p2023-391009-taskforce-final-report-2020.pdf</vt:lpwstr>
      </vt:variant>
      <vt:variant>
        <vt:lpwstr/>
      </vt:variant>
      <vt:variant>
        <vt:i4>393224</vt:i4>
      </vt:variant>
      <vt:variant>
        <vt:i4>162</vt:i4>
      </vt:variant>
      <vt:variant>
        <vt:i4>0</vt:i4>
      </vt:variant>
      <vt:variant>
        <vt:i4>5</vt:i4>
      </vt:variant>
      <vt:variant>
        <vt:lpwstr>https://assets.publishing.service.gov.uk/media/5b87ce4440f0b63cacd32743/evaluation-of-the-innovation-fund-pilot-quantitative-assessment-of-impact-and-social-return-on-investment.pdf</vt:lpwstr>
      </vt:variant>
      <vt:variant>
        <vt:lpwstr/>
      </vt:variant>
      <vt:variant>
        <vt:i4>3539043</vt:i4>
      </vt:variant>
      <vt:variant>
        <vt:i4>159</vt:i4>
      </vt:variant>
      <vt:variant>
        <vt:i4>0</vt:i4>
      </vt:variant>
      <vt:variant>
        <vt:i4>5</vt:i4>
      </vt:variant>
      <vt:variant>
        <vt:lpwstr>https://doi.org/10.1111/spol.13089</vt:lpwstr>
      </vt:variant>
      <vt:variant>
        <vt:lpwstr/>
      </vt:variant>
      <vt:variant>
        <vt:i4>8126500</vt:i4>
      </vt:variant>
      <vt:variant>
        <vt:i4>156</vt:i4>
      </vt:variant>
      <vt:variant>
        <vt:i4>0</vt:i4>
      </vt:variant>
      <vt:variant>
        <vt:i4>5</vt:i4>
      </vt:variant>
      <vt:variant>
        <vt:lpwstr>https://doi.org/10.1093/polsoc/puae018</vt:lpwstr>
      </vt:variant>
      <vt:variant>
        <vt:lpwstr/>
      </vt:variant>
      <vt:variant>
        <vt:i4>5898307</vt:i4>
      </vt:variant>
      <vt:variant>
        <vt:i4>153</vt:i4>
      </vt:variant>
      <vt:variant>
        <vt:i4>0</vt:i4>
      </vt:variant>
      <vt:variant>
        <vt:i4>5</vt:i4>
      </vt:variant>
      <vt:variant>
        <vt:lpwstr>https://engage.dss.gov.au/wp-content/uploads/2024/05/summary-reportfinal23-april-2024.pdf</vt:lpwstr>
      </vt:variant>
      <vt:variant>
        <vt:lpwstr/>
      </vt:variant>
      <vt:variant>
        <vt:i4>1114150</vt:i4>
      </vt:variant>
      <vt:variant>
        <vt:i4>150</vt:i4>
      </vt:variant>
      <vt:variant>
        <vt:i4>0</vt:i4>
      </vt:variant>
      <vt:variant>
        <vt:i4>5</vt:i4>
      </vt:variant>
      <vt:variant>
        <vt:lpwstr>https://www.acoss.org.au/wp-content/uploads/2021/06/ACSS-2021_better-contracting-report.pdf</vt:lpwstr>
      </vt:variant>
      <vt:variant>
        <vt:lpwstr/>
      </vt:variant>
      <vt:variant>
        <vt:i4>5177361</vt:i4>
      </vt:variant>
      <vt:variant>
        <vt:i4>147</vt:i4>
      </vt:variant>
      <vt:variant>
        <vt:i4>0</vt:i4>
      </vt:variant>
      <vt:variant>
        <vt:i4>5</vt:i4>
      </vt:variant>
      <vt:variant>
        <vt:lpwstr>https://doi.org/10.1016/j.healthplace.2023.103026</vt:lpwstr>
      </vt:variant>
      <vt:variant>
        <vt:lpwstr/>
      </vt:variant>
      <vt:variant>
        <vt:i4>5177361</vt:i4>
      </vt:variant>
      <vt:variant>
        <vt:i4>144</vt:i4>
      </vt:variant>
      <vt:variant>
        <vt:i4>0</vt:i4>
      </vt:variant>
      <vt:variant>
        <vt:i4>5</vt:i4>
      </vt:variant>
      <vt:variant>
        <vt:lpwstr>https://doi.org/10.1016/j.healthplace.2023.103026</vt:lpwstr>
      </vt:variant>
      <vt:variant>
        <vt:lpwstr/>
      </vt:variant>
      <vt:variant>
        <vt:i4>5177361</vt:i4>
      </vt:variant>
      <vt:variant>
        <vt:i4>141</vt:i4>
      </vt:variant>
      <vt:variant>
        <vt:i4>0</vt:i4>
      </vt:variant>
      <vt:variant>
        <vt:i4>5</vt:i4>
      </vt:variant>
      <vt:variant>
        <vt:lpwstr>https://doi.org/10.1016/j.healthplace.2023.103026</vt:lpwstr>
      </vt:variant>
      <vt:variant>
        <vt:lpwstr/>
      </vt:variant>
      <vt:variant>
        <vt:i4>5898307</vt:i4>
      </vt:variant>
      <vt:variant>
        <vt:i4>138</vt:i4>
      </vt:variant>
      <vt:variant>
        <vt:i4>0</vt:i4>
      </vt:variant>
      <vt:variant>
        <vt:i4>5</vt:i4>
      </vt:variant>
      <vt:variant>
        <vt:lpwstr>https://engage.dss.gov.au/wp-content/uploads/2024/05/summary-reportfinal23-april-2024.pdf</vt:lpwstr>
      </vt:variant>
      <vt:variant>
        <vt:lpwstr/>
      </vt:variant>
      <vt:variant>
        <vt:i4>4521987</vt:i4>
      </vt:variant>
      <vt:variant>
        <vt:i4>135</vt:i4>
      </vt:variant>
      <vt:variant>
        <vt:i4>0</vt:i4>
      </vt:variant>
      <vt:variant>
        <vt:i4>5</vt:i4>
      </vt:variant>
      <vt:variant>
        <vt:lpwstr>https://evaluation.treasury.gov.au/sites/evaluation.treasury.gov.au/files/2025-07/guide-evaluating-pilot-programs.pdf</vt:lpwstr>
      </vt:variant>
      <vt:variant>
        <vt:lpwstr/>
      </vt:variant>
      <vt:variant>
        <vt:i4>1310802</vt:i4>
      </vt:variant>
      <vt:variant>
        <vt:i4>132</vt:i4>
      </vt:variant>
      <vt:variant>
        <vt:i4>0</vt:i4>
      </vt:variant>
      <vt:variant>
        <vt:i4>5</vt:i4>
      </vt:variant>
      <vt:variant>
        <vt:lpwstr>https://treasury.gov.au/programs-initiatives-consumers-community/social-impact-investing/australian-government-principles-for-social-impact-investing</vt:lpwstr>
      </vt:variant>
      <vt:variant>
        <vt:lpwstr/>
      </vt:variant>
      <vt:variant>
        <vt:i4>8126500</vt:i4>
      </vt:variant>
      <vt:variant>
        <vt:i4>129</vt:i4>
      </vt:variant>
      <vt:variant>
        <vt:i4>0</vt:i4>
      </vt:variant>
      <vt:variant>
        <vt:i4>5</vt:i4>
      </vt:variant>
      <vt:variant>
        <vt:lpwstr>https://doi.org/10.1093/polsoc/puae018</vt:lpwstr>
      </vt:variant>
      <vt:variant>
        <vt:lpwstr/>
      </vt:variant>
      <vt:variant>
        <vt:i4>5177361</vt:i4>
      </vt:variant>
      <vt:variant>
        <vt:i4>126</vt:i4>
      </vt:variant>
      <vt:variant>
        <vt:i4>0</vt:i4>
      </vt:variant>
      <vt:variant>
        <vt:i4>5</vt:i4>
      </vt:variant>
      <vt:variant>
        <vt:lpwstr>https://doi.org/10.1016/j.healthplace.2023.103026</vt:lpwstr>
      </vt:variant>
      <vt:variant>
        <vt:lpwstr/>
      </vt:variant>
      <vt:variant>
        <vt:i4>4849746</vt:i4>
      </vt:variant>
      <vt:variant>
        <vt:i4>123</vt:i4>
      </vt:variant>
      <vt:variant>
        <vt:i4>0</vt:i4>
      </vt:variant>
      <vt:variant>
        <vt:i4>5</vt:i4>
      </vt:variant>
      <vt:variant>
        <vt:lpwstr>https://dx.doi.org/10.1353/cpr.2011.0005</vt:lpwstr>
      </vt:variant>
      <vt:variant>
        <vt:lpwstr/>
      </vt:variant>
      <vt:variant>
        <vt:i4>8126500</vt:i4>
      </vt:variant>
      <vt:variant>
        <vt:i4>120</vt:i4>
      </vt:variant>
      <vt:variant>
        <vt:i4>0</vt:i4>
      </vt:variant>
      <vt:variant>
        <vt:i4>5</vt:i4>
      </vt:variant>
      <vt:variant>
        <vt:lpwstr>https://doi.org/10.1093/polsoc/puae018</vt:lpwstr>
      </vt:variant>
      <vt:variant>
        <vt:lpwstr/>
      </vt:variant>
      <vt:variant>
        <vt:i4>1900653</vt:i4>
      </vt:variant>
      <vt:variant>
        <vt:i4>117</vt:i4>
      </vt:variant>
      <vt:variant>
        <vt:i4>0</vt:i4>
      </vt:variant>
      <vt:variant>
        <vt:i4>5</vt:i4>
      </vt:variant>
      <vt:variant>
        <vt:lpwstr>https://aifs.gov.au/sites/default/files/publication-documents/rr32_0.pdf</vt:lpwstr>
      </vt:variant>
      <vt:variant>
        <vt:lpwstr/>
      </vt:variant>
      <vt:variant>
        <vt:i4>1310802</vt:i4>
      </vt:variant>
      <vt:variant>
        <vt:i4>114</vt:i4>
      </vt:variant>
      <vt:variant>
        <vt:i4>0</vt:i4>
      </vt:variant>
      <vt:variant>
        <vt:i4>5</vt:i4>
      </vt:variant>
      <vt:variant>
        <vt:lpwstr>https://treasury.gov.au/programs-initiatives-consumers-community/social-impact-investing/australian-government-principles-for-social-impact-investing</vt:lpwstr>
      </vt:variant>
      <vt:variant>
        <vt:lpwstr/>
      </vt:variant>
      <vt:variant>
        <vt:i4>5505031</vt:i4>
      </vt:variant>
      <vt:variant>
        <vt:i4>111</vt:i4>
      </vt:variant>
      <vt:variant>
        <vt:i4>0</vt:i4>
      </vt:variant>
      <vt:variant>
        <vt:i4>5</vt:i4>
      </vt:variant>
      <vt:variant>
        <vt:lpwstr>https://static1.squarespace.com/static/5b2b4577b10598b2166a065f/t/68a513558da0a82c77028484/1755648853734/MEDIA+RELEASE+-+Strive+for+Success+Shows+a+New+Way+to+Solve+Youth+Unemployment+-+August+2025.pdf</vt:lpwstr>
      </vt:variant>
      <vt:variant>
        <vt:lpwstr/>
      </vt:variant>
      <vt:variant>
        <vt:i4>3014719</vt:i4>
      </vt:variant>
      <vt:variant>
        <vt:i4>108</vt:i4>
      </vt:variant>
      <vt:variant>
        <vt:i4>0</vt:i4>
      </vt:variant>
      <vt:variant>
        <vt:i4>5</vt:i4>
      </vt:variant>
      <vt:variant>
        <vt:lpwstr>https://www.greatermelbournefoundation.org.au/strategy-2030/initiatives/work-integration-social-enterprise-wise</vt:lpwstr>
      </vt:variant>
      <vt:variant>
        <vt:lpwstr/>
      </vt:variant>
      <vt:variant>
        <vt:i4>3604574</vt:i4>
      </vt:variant>
      <vt:variant>
        <vt:i4>105</vt:i4>
      </vt:variant>
      <vt:variant>
        <vt:i4>0</vt:i4>
      </vt:variant>
      <vt:variant>
        <vt:i4>5</vt:i4>
      </vt:variant>
      <vt:variant>
        <vt:lpwstr>https://dtet.qld.gov.au/__data/assets/pdf_file/0021/7833/sqw-fact-sheet.pdf</vt:lpwstr>
      </vt:variant>
      <vt:variant>
        <vt:lpwstr/>
      </vt:variant>
      <vt:variant>
        <vt:i4>4784207</vt:i4>
      </vt:variant>
      <vt:variant>
        <vt:i4>102</vt:i4>
      </vt:variant>
      <vt:variant>
        <vt:i4>0</vt:i4>
      </vt:variant>
      <vt:variant>
        <vt:i4>5</vt:i4>
      </vt:variant>
      <vt:variant>
        <vt:lpwstr>https://www.dss.gov.au/social-impact-investing/commonwealth-outcomes-fund</vt:lpwstr>
      </vt:variant>
      <vt:variant>
        <vt:lpwstr/>
      </vt:variant>
      <vt:variant>
        <vt:i4>6946920</vt:i4>
      </vt:variant>
      <vt:variant>
        <vt:i4>99</vt:i4>
      </vt:variant>
      <vt:variant>
        <vt:i4>0</vt:i4>
      </vt:variant>
      <vt:variant>
        <vt:i4>5</vt:i4>
      </vt:variant>
      <vt:variant>
        <vt:lpwstr>https://www.dewr.gov.au/skills-education-and-employment/resources/see-program-factsheet</vt:lpwstr>
      </vt:variant>
      <vt:variant>
        <vt:lpwstr/>
      </vt:variant>
      <vt:variant>
        <vt:i4>3342463</vt:i4>
      </vt:variant>
      <vt:variant>
        <vt:i4>96</vt:i4>
      </vt:variant>
      <vt:variant>
        <vt:i4>0</vt:i4>
      </vt:variant>
      <vt:variant>
        <vt:i4>5</vt:i4>
      </vt:variant>
      <vt:variant>
        <vt:lpwstr>https://www.dewr.gov.au/newsroom/articles/expanding-language-literacy-numeracy-and-digital-skills-training-opportunities-0</vt:lpwstr>
      </vt:variant>
      <vt:variant>
        <vt:lpwstr/>
      </vt:variant>
      <vt:variant>
        <vt:i4>2555953</vt:i4>
      </vt:variant>
      <vt:variant>
        <vt:i4>93</vt:i4>
      </vt:variant>
      <vt:variant>
        <vt:i4>0</vt:i4>
      </vt:variant>
      <vt:variant>
        <vt:i4>5</vt:i4>
      </vt:variant>
      <vt:variant>
        <vt:lpwstr>https://www.dewr.gov.au/skills-education-and-employment/resources/see-discussion-paper-2023</vt:lpwstr>
      </vt:variant>
      <vt:variant>
        <vt:lpwstr/>
      </vt:variant>
      <vt:variant>
        <vt:i4>3080237</vt:i4>
      </vt:variant>
      <vt:variant>
        <vt:i4>90</vt:i4>
      </vt:variant>
      <vt:variant>
        <vt:i4>0</vt:i4>
      </vt:variant>
      <vt:variant>
        <vt:i4>5</vt:i4>
      </vt:variant>
      <vt:variant>
        <vt:lpwstr>https://www.communitygrants.gov.au/grants/womens-leadership-development</vt:lpwstr>
      </vt:variant>
      <vt:variant>
        <vt:lpwstr/>
      </vt:variant>
      <vt:variant>
        <vt:i4>3670035</vt:i4>
      </vt:variant>
      <vt:variant>
        <vt:i4>87</vt:i4>
      </vt:variant>
      <vt:variant>
        <vt:i4>0</vt:i4>
      </vt:variant>
      <vt:variant>
        <vt:i4>5</vt:i4>
      </vt:variant>
      <vt:variant>
        <vt:lpwstr>https://archive.budget.gov.au/2021-22/womens-statement/download/womens_budget_statement_2021-22.pdf</vt:lpwstr>
      </vt:variant>
      <vt:variant>
        <vt:lpwstr/>
      </vt:variant>
      <vt:variant>
        <vt:i4>2228234</vt:i4>
      </vt:variant>
      <vt:variant>
        <vt:i4>84</vt:i4>
      </vt:variant>
      <vt:variant>
        <vt:i4>0</vt:i4>
      </vt:variant>
      <vt:variant>
        <vt:i4>5</vt:i4>
      </vt:variant>
      <vt:variant>
        <vt:lpwstr>https://www.health.gov.au/sites/default/files/2025-07/ilc-outcomes-framework_0.pdf</vt:lpwstr>
      </vt:variant>
      <vt:variant>
        <vt:lpwstr/>
      </vt:variant>
      <vt:variant>
        <vt:i4>1048650</vt:i4>
      </vt:variant>
      <vt:variant>
        <vt:i4>81</vt:i4>
      </vt:variant>
      <vt:variant>
        <vt:i4>0</vt:i4>
      </vt:variant>
      <vt:variant>
        <vt:i4>5</vt:i4>
      </vt:variant>
      <vt:variant>
        <vt:lpwstr>https://www.health.gov.au/our-work/information-linkages-and-capacity-building?language=en</vt:lpwstr>
      </vt:variant>
      <vt:variant>
        <vt:lpwstr/>
      </vt:variant>
      <vt:variant>
        <vt:i4>917589</vt:i4>
      </vt:variant>
      <vt:variant>
        <vt:i4>78</vt:i4>
      </vt:variant>
      <vt:variant>
        <vt:i4>0</vt:i4>
      </vt:variant>
      <vt:variant>
        <vt:i4>5</vt:i4>
      </vt:variant>
      <vt:variant>
        <vt:lpwstr>https://www.dewr.gov.au/download/6263/transition-work-fact-sheet/37679/transition-work-fact-sheet/pdf</vt:lpwstr>
      </vt:variant>
      <vt:variant>
        <vt:lpwstr/>
      </vt:variant>
      <vt:variant>
        <vt:i4>3014707</vt:i4>
      </vt:variant>
      <vt:variant>
        <vt:i4>75</vt:i4>
      </vt:variant>
      <vt:variant>
        <vt:i4>0</vt:i4>
      </vt:variant>
      <vt:variant>
        <vt:i4>5</vt:i4>
      </vt:variant>
      <vt:variant>
        <vt:lpwstr>https://treasury.gov.au/sites/default/files/2025-07/reconnect-operational-guidelines-2023-2026.pdf</vt:lpwstr>
      </vt:variant>
      <vt:variant>
        <vt:lpwstr/>
      </vt:variant>
      <vt:variant>
        <vt:i4>5832790</vt:i4>
      </vt:variant>
      <vt:variant>
        <vt:i4>72</vt:i4>
      </vt:variant>
      <vt:variant>
        <vt:i4>0</vt:i4>
      </vt:variant>
      <vt:variant>
        <vt:i4>5</vt:i4>
      </vt:variant>
      <vt:variant>
        <vt:lpwstr>https://www.grants.gov.au/Ga/DownloadResult?Type=Ga&amp;AgencyStatus=-1&amp;Keyword=strong+and+resilient+communities&amp;KeywordTypeSearch=AllWord&amp;DateType=Publish+Date&amp;page=13</vt:lpwstr>
      </vt:variant>
      <vt:variant>
        <vt:lpwstr/>
      </vt:variant>
      <vt:variant>
        <vt:i4>7274592</vt:i4>
      </vt:variant>
      <vt:variant>
        <vt:i4>69</vt:i4>
      </vt:variant>
      <vt:variant>
        <vt:i4>0</vt:i4>
      </vt:variant>
      <vt:variant>
        <vt:i4>5</vt:i4>
      </vt:variant>
      <vt:variant>
        <vt:lpwstr>https://alt-qed.qed.qld.gov.au/our-publications/reports/Documents/evaluation/evaluation-skilling-queenslanders-work.pdf</vt:lpwstr>
      </vt:variant>
      <vt:variant>
        <vt:lpwstr/>
      </vt:variant>
      <vt:variant>
        <vt:i4>4653130</vt:i4>
      </vt:variant>
      <vt:variant>
        <vt:i4>66</vt:i4>
      </vt:variant>
      <vt:variant>
        <vt:i4>0</vt:i4>
      </vt:variant>
      <vt:variant>
        <vt:i4>5</vt:i4>
      </vt:variant>
      <vt:variant>
        <vt:lpwstr>https://treasury.gov.au/sites/default/files/2025-07/review-reconnect-program-final-report.pdf</vt:lpwstr>
      </vt:variant>
      <vt:variant>
        <vt:lpwstr/>
      </vt:variant>
      <vt:variant>
        <vt:i4>6357054</vt:i4>
      </vt:variant>
      <vt:variant>
        <vt:i4>63</vt:i4>
      </vt:variant>
      <vt:variant>
        <vt:i4>0</vt:i4>
      </vt:variant>
      <vt:variant>
        <vt:i4>5</vt:i4>
      </vt:variant>
      <vt:variant>
        <vt:lpwstr>https://www.dewr.gov.au/download/7096/see-programme-evaluation-report/11100/see-programme-evaluation-report/pdf</vt:lpwstr>
      </vt:variant>
      <vt:variant>
        <vt:lpwstr/>
      </vt:variant>
      <vt:variant>
        <vt:i4>7929973</vt:i4>
      </vt:variant>
      <vt:variant>
        <vt:i4>60</vt:i4>
      </vt:variant>
      <vt:variant>
        <vt:i4>0</vt:i4>
      </vt:variant>
      <vt:variant>
        <vt:i4>5</vt:i4>
      </vt:variant>
      <vt:variant>
        <vt:lpwstr>https://www.ceiglobal.org/sites/default/files/uploads/files/Evaluation of the Homeless Youth Assistance Program.pdf</vt:lpwstr>
      </vt:variant>
      <vt:variant>
        <vt:lpwstr/>
      </vt:variant>
      <vt:variant>
        <vt:i4>4784207</vt:i4>
      </vt:variant>
      <vt:variant>
        <vt:i4>57</vt:i4>
      </vt:variant>
      <vt:variant>
        <vt:i4>0</vt:i4>
      </vt:variant>
      <vt:variant>
        <vt:i4>5</vt:i4>
      </vt:variant>
      <vt:variant>
        <vt:lpwstr>https://www.dss.gov.au/social-impact-investing/commonwealth-outcomes-fund</vt:lpwstr>
      </vt:variant>
      <vt:variant>
        <vt:lpwstr/>
      </vt:variant>
      <vt:variant>
        <vt:i4>3604505</vt:i4>
      </vt:variant>
      <vt:variant>
        <vt:i4>54</vt:i4>
      </vt:variant>
      <vt:variant>
        <vt:i4>0</vt:i4>
      </vt:variant>
      <vt:variant>
        <vt:i4>5</vt:i4>
      </vt:variant>
      <vt:variant>
        <vt:lpwstr>https://treasury.gov.au/sites/default/files/2021-05/171663_ending_loneliness_together.pdf</vt:lpwstr>
      </vt:variant>
      <vt:variant>
        <vt:lpwstr/>
      </vt:variant>
      <vt:variant>
        <vt:i4>2818162</vt:i4>
      </vt:variant>
      <vt:variant>
        <vt:i4>51</vt:i4>
      </vt:variant>
      <vt:variant>
        <vt:i4>0</vt:i4>
      </vt:variant>
      <vt:variant>
        <vt:i4>5</vt:i4>
      </vt:variant>
      <vt:variant>
        <vt:lpwstr>https://www.dss.gov.au/committees/economic-inclusion-advisory-committee</vt:lpwstr>
      </vt:variant>
      <vt:variant>
        <vt:lpwstr/>
      </vt:variant>
      <vt:variant>
        <vt:i4>1245279</vt:i4>
      </vt:variant>
      <vt:variant>
        <vt:i4>48</vt:i4>
      </vt:variant>
      <vt:variant>
        <vt:i4>0</vt:i4>
      </vt:variant>
      <vt:variant>
        <vt:i4>5</vt:i4>
      </vt:variant>
      <vt:variant>
        <vt:lpwstr>https://www.dss.gov.au/system/files/documents/2025-08/dss-corporate-plan-2025-26.pdf</vt:lpwstr>
      </vt:variant>
      <vt:variant>
        <vt:lpwstr/>
      </vt:variant>
      <vt:variant>
        <vt:i4>8126500</vt:i4>
      </vt:variant>
      <vt:variant>
        <vt:i4>45</vt:i4>
      </vt:variant>
      <vt:variant>
        <vt:i4>0</vt:i4>
      </vt:variant>
      <vt:variant>
        <vt:i4>5</vt:i4>
      </vt:variant>
      <vt:variant>
        <vt:lpwstr>https://doi.org/10.1093/polsoc/puae018</vt:lpwstr>
      </vt:variant>
      <vt:variant>
        <vt:lpwstr/>
      </vt:variant>
      <vt:variant>
        <vt:i4>5177361</vt:i4>
      </vt:variant>
      <vt:variant>
        <vt:i4>42</vt:i4>
      </vt:variant>
      <vt:variant>
        <vt:i4>0</vt:i4>
      </vt:variant>
      <vt:variant>
        <vt:i4>5</vt:i4>
      </vt:variant>
      <vt:variant>
        <vt:lpwstr>https://doi.org/10.1016/j.healthplace.2023.103026</vt:lpwstr>
      </vt:variant>
      <vt:variant>
        <vt:lpwstr/>
      </vt:variant>
      <vt:variant>
        <vt:i4>7995488</vt:i4>
      </vt:variant>
      <vt:variant>
        <vt:i4>39</vt:i4>
      </vt:variant>
      <vt:variant>
        <vt:i4>0</vt:i4>
      </vt:variant>
      <vt:variant>
        <vt:i4>5</vt:i4>
      </vt:variant>
      <vt:variant>
        <vt:lpwstr>https://engage.dss.gov.au/wp-content/uploads/2025/11/discussion-paper-1.pdf</vt:lpwstr>
      </vt:variant>
      <vt:variant>
        <vt:lpwstr/>
      </vt:variant>
      <vt:variant>
        <vt:i4>5177361</vt:i4>
      </vt:variant>
      <vt:variant>
        <vt:i4>36</vt:i4>
      </vt:variant>
      <vt:variant>
        <vt:i4>0</vt:i4>
      </vt:variant>
      <vt:variant>
        <vt:i4>5</vt:i4>
      </vt:variant>
      <vt:variant>
        <vt:lpwstr>https://doi.org/10.1016/j.healthplace.2023.103026</vt:lpwstr>
      </vt:variant>
      <vt:variant>
        <vt:lpwstr/>
      </vt:variant>
      <vt:variant>
        <vt:i4>5177361</vt:i4>
      </vt:variant>
      <vt:variant>
        <vt:i4>33</vt:i4>
      </vt:variant>
      <vt:variant>
        <vt:i4>0</vt:i4>
      </vt:variant>
      <vt:variant>
        <vt:i4>5</vt:i4>
      </vt:variant>
      <vt:variant>
        <vt:lpwstr>https://doi.org/10.1016/j.healthplace.2023.103026</vt:lpwstr>
      </vt:variant>
      <vt:variant>
        <vt:lpwstr/>
      </vt:variant>
      <vt:variant>
        <vt:i4>5177361</vt:i4>
      </vt:variant>
      <vt:variant>
        <vt:i4>30</vt:i4>
      </vt:variant>
      <vt:variant>
        <vt:i4>0</vt:i4>
      </vt:variant>
      <vt:variant>
        <vt:i4>5</vt:i4>
      </vt:variant>
      <vt:variant>
        <vt:lpwstr>https://doi.org/10.1016/j.healthplace.2023.103026</vt:lpwstr>
      </vt:variant>
      <vt:variant>
        <vt:lpwstr/>
      </vt:variant>
      <vt:variant>
        <vt:i4>7995488</vt:i4>
      </vt:variant>
      <vt:variant>
        <vt:i4>27</vt:i4>
      </vt:variant>
      <vt:variant>
        <vt:i4>0</vt:i4>
      </vt:variant>
      <vt:variant>
        <vt:i4>5</vt:i4>
      </vt:variant>
      <vt:variant>
        <vt:lpwstr>https://engage.dss.gov.au/wp-content/uploads/2025/11/discussion-paper-1.pdf</vt:lpwstr>
      </vt:variant>
      <vt:variant>
        <vt:lpwstr/>
      </vt:variant>
      <vt:variant>
        <vt:i4>3735593</vt:i4>
      </vt:variant>
      <vt:variant>
        <vt:i4>24</vt:i4>
      </vt:variant>
      <vt:variant>
        <vt:i4>0</vt:i4>
      </vt:variant>
      <vt:variant>
        <vt:i4>5</vt:i4>
      </vt:variant>
      <vt:variant>
        <vt:lpwstr>https://www.legislation.gov.au/F2024L00854/latest/downloads</vt:lpwstr>
      </vt:variant>
      <vt:variant>
        <vt:lpwstr/>
      </vt:variant>
      <vt:variant>
        <vt:i4>5898307</vt:i4>
      </vt:variant>
      <vt:variant>
        <vt:i4>21</vt:i4>
      </vt:variant>
      <vt:variant>
        <vt:i4>0</vt:i4>
      </vt:variant>
      <vt:variant>
        <vt:i4>5</vt:i4>
      </vt:variant>
      <vt:variant>
        <vt:lpwstr>https://engage.dss.gov.au/wp-content/uploads/2024/05/summary-reportfinal23-april-2024.pdf</vt:lpwstr>
      </vt:variant>
      <vt:variant>
        <vt:lpwstr/>
      </vt:variant>
      <vt:variant>
        <vt:i4>3080303</vt:i4>
      </vt:variant>
      <vt:variant>
        <vt:i4>18</vt:i4>
      </vt:variant>
      <vt:variant>
        <vt:i4>0</vt:i4>
      </vt:variant>
      <vt:variant>
        <vt:i4>5</vt:i4>
      </vt:variant>
      <vt:variant>
        <vt:lpwstr>https://www.dss.gov.au/supporting-community-change/partnerships-local-action-and-community-empowerment</vt:lpwstr>
      </vt:variant>
      <vt:variant>
        <vt:lpwstr/>
      </vt:variant>
      <vt:variant>
        <vt:i4>2949154</vt:i4>
      </vt:variant>
      <vt:variant>
        <vt:i4>15</vt:i4>
      </vt:variant>
      <vt:variant>
        <vt:i4>0</vt:i4>
      </vt:variant>
      <vt:variant>
        <vt:i4>5</vt:i4>
      </vt:variant>
      <vt:variant>
        <vt:lpwstr>https://www.dss.gov.au/stronger-places-stronger-people</vt:lpwstr>
      </vt:variant>
      <vt:variant>
        <vt:lpwstr/>
      </vt:variant>
      <vt:variant>
        <vt:i4>1900653</vt:i4>
      </vt:variant>
      <vt:variant>
        <vt:i4>12</vt:i4>
      </vt:variant>
      <vt:variant>
        <vt:i4>0</vt:i4>
      </vt:variant>
      <vt:variant>
        <vt:i4>5</vt:i4>
      </vt:variant>
      <vt:variant>
        <vt:lpwstr>https://aifs.gov.au/sites/default/files/publication-documents/rr32_0.pdf</vt:lpwstr>
      </vt:variant>
      <vt:variant>
        <vt:lpwstr/>
      </vt:variant>
      <vt:variant>
        <vt:i4>5832793</vt:i4>
      </vt:variant>
      <vt:variant>
        <vt:i4>9</vt:i4>
      </vt:variant>
      <vt:variant>
        <vt:i4>0</vt:i4>
      </vt:variant>
      <vt:variant>
        <vt:i4>5</vt:i4>
      </vt:variant>
      <vt:variant>
        <vt:lpwstr>https://www.deloitte.com/content/dam/assets-zone1/au/en/docs/services/economics/deloitte-au-economics-benefits-improving-social-inclusion-181119.pdf</vt:lpwstr>
      </vt:variant>
      <vt:variant>
        <vt:lpwstr/>
      </vt:variant>
      <vt:variant>
        <vt:i4>7209069</vt:i4>
      </vt:variant>
      <vt:variant>
        <vt:i4>6</vt:i4>
      </vt:variant>
      <vt:variant>
        <vt:i4>0</vt:i4>
      </vt:variant>
      <vt:variant>
        <vt:i4>5</vt:i4>
      </vt:variant>
      <vt:variant>
        <vt:lpwstr>https://assets.pc.gov.au/inquiries/completed/mental-health/report/mental-health-volume2.pdf</vt:lpwstr>
      </vt:variant>
      <vt:variant>
        <vt:lpwstr/>
      </vt:variant>
      <vt:variant>
        <vt:i4>3735593</vt:i4>
      </vt:variant>
      <vt:variant>
        <vt:i4>3</vt:i4>
      </vt:variant>
      <vt:variant>
        <vt:i4>0</vt:i4>
      </vt:variant>
      <vt:variant>
        <vt:i4>5</vt:i4>
      </vt:variant>
      <vt:variant>
        <vt:lpwstr>https://www.legislation.gov.au/F2024L00854/latest/downloads</vt:lpwstr>
      </vt:variant>
      <vt:variant>
        <vt:lpwstr/>
      </vt:variant>
      <vt:variant>
        <vt:i4>5898307</vt:i4>
      </vt:variant>
      <vt:variant>
        <vt:i4>0</vt:i4>
      </vt:variant>
      <vt:variant>
        <vt:i4>0</vt:i4>
      </vt:variant>
      <vt:variant>
        <vt:i4>5</vt:i4>
      </vt:variant>
      <vt:variant>
        <vt:lpwstr>https://engage.dss.gov.au/wp-content/uploads/2024/05/summary-reportfinal23-april-2024.pdf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 and Resilient Communities – Inclusive Communities Grant Evaluation | Final Report</dc:title>
  <dc:subject/>
  <dc:creator/>
  <cp:keywords>[SEC=OFFICIAL]</cp:keywords>
  <cp:lastModifiedBy/>
  <cp:revision>1</cp:revision>
  <dcterms:created xsi:type="dcterms:W3CDTF">2026-09-23T22:39:00Z</dcterms:created>
  <dcterms:modified xsi:type="dcterms:W3CDTF">2026-09-23T22:39:00Z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ote">
    <vt:lpwstr/>
  </property>
  <property fmtid="{D5CDD505-2E9C-101B-9397-08002B2CF9AE}" pid="3" name="MSIP_Label_eb34d90b-fc41-464d-af60-f74d721d0790_Name">
    <vt:lpwstr>OFFICIAL</vt:lpwstr>
  </property>
  <property fmtid="{D5CDD505-2E9C-101B-9397-08002B2CF9AE}" pid="4" name="PM_OriginationTimeStamp">
    <vt:lpwstr>2025-12-21T21:15:02Z</vt:lpwstr>
  </property>
  <property fmtid="{D5CDD505-2E9C-101B-9397-08002B2CF9AE}" pid="5" name="PM_ProtectiveMarkingValue_Header">
    <vt:lpwstr>OFFICIAL</vt:lpwstr>
  </property>
  <property fmtid="{D5CDD505-2E9C-101B-9397-08002B2CF9AE}" pid="6" name="PM_Expires">
    <vt:lpwstr/>
  </property>
  <property fmtid="{D5CDD505-2E9C-101B-9397-08002B2CF9AE}" pid="7" name="PM_DisplayValueSecClassificationWithQualifier">
    <vt:lpwstr>OFFICIAL</vt:lpwstr>
  </property>
  <property fmtid="{D5CDD505-2E9C-101B-9397-08002B2CF9AE}" pid="8" name="PM_DowngradeTo">
    <vt:lpwstr/>
  </property>
  <property fmtid="{D5CDD505-2E9C-101B-9397-08002B2CF9AE}" pid="9" name="PM_InsertionValue">
    <vt:lpwstr>OFFICIAL</vt:lpwstr>
  </property>
  <property fmtid="{D5CDD505-2E9C-101B-9397-08002B2CF9AE}" pid="10" name="MSIP_Label_eb34d90b-fc41-464d-af60-f74d721d0790_SiteId">
    <vt:lpwstr>61e36dd1-ca6e-4d61-aa0a-2b4eb88317a3</vt:lpwstr>
  </property>
  <property fmtid="{D5CDD505-2E9C-101B-9397-08002B2CF9AE}" pid="11" name="MSIP_Label_eb34d90b-fc41-464d-af60-f74d721d0790_Enabled">
    <vt:lpwstr>true</vt:lpwstr>
  </property>
  <property fmtid="{D5CDD505-2E9C-101B-9397-08002B2CF9AE}" pid="12" name="MSIP_Label_eb34d90b-fc41-464d-af60-f74d721d0790_ContentBits">
    <vt:lpwstr>3</vt:lpwstr>
  </property>
  <property fmtid="{D5CDD505-2E9C-101B-9397-08002B2CF9AE}" pid="13" name="MSIP_Label_eb34d90b-fc41-464d-af60-f74d721d0790_SetDate">
    <vt:lpwstr>2025-12-21T21:15:02Z</vt:lpwstr>
  </property>
  <property fmtid="{D5CDD505-2E9C-101B-9397-08002B2CF9AE}" pid="14" name="MSIP_Label_eb34d90b-fc41-464d-af60-f74d721d0790_Method">
    <vt:lpwstr>Privileged</vt:lpwstr>
  </property>
  <property fmtid="{D5CDD505-2E9C-101B-9397-08002B2CF9AE}" pid="15" name="PM_ProtectiveMarkingValue_Footer">
    <vt:lpwstr>OFFICIAL</vt:lpwstr>
  </property>
  <property fmtid="{D5CDD505-2E9C-101B-9397-08002B2CF9AE}" pid="16" name="PM_Originating_FileId">
    <vt:lpwstr>71346375BCE5415193580BF312847EB2</vt:lpwstr>
  </property>
  <property fmtid="{D5CDD505-2E9C-101B-9397-08002B2CF9AE}" pid="17" name="PM_Display">
    <vt:lpwstr>OFFICIAL</vt:lpwstr>
  </property>
  <property fmtid="{D5CDD505-2E9C-101B-9397-08002B2CF9AE}" pid="18" name="PM_OriginatorDomainName_SHA256">
    <vt:lpwstr>E83A2A66C4061446A7E3732E8D44762184B6B377D962B96C83DC624302585857</vt:lpwstr>
  </property>
  <property fmtid="{D5CDD505-2E9C-101B-9397-08002B2CF9AE}" pid="19" name="PMUuid">
    <vt:lpwstr>v=2022.2;d=gov.au;g=46DD6D7C-8107-577B-BC6E-F348953B2E44</vt:lpwstr>
  </property>
  <property fmtid="{D5CDD505-2E9C-101B-9397-08002B2CF9AE}" pid="20" name="PM_Hash_Version">
    <vt:lpwstr>2024.1</vt:lpwstr>
  </property>
  <property fmtid="{D5CDD505-2E9C-101B-9397-08002B2CF9AE}" pid="21" name="PM_SecurityClassification_Prev">
    <vt:lpwstr>OFFICIAL</vt:lpwstr>
  </property>
  <property fmtid="{D5CDD505-2E9C-101B-9397-08002B2CF9AE}" pid="22" name="PM_Qualifier_Prev">
    <vt:lpwstr/>
  </property>
  <property fmtid="{D5CDD505-2E9C-101B-9397-08002B2CF9AE}" pid="23" name="PM_Originator_Hash_SHA1">
    <vt:lpwstr>EF3B9B4EBA12F846AE32F1483CEE000D35A0C8C5</vt:lpwstr>
  </property>
  <property fmtid="{D5CDD505-2E9C-101B-9397-08002B2CF9AE}" pid="24" name="PM_OriginatorUserAccountName_SHA256">
    <vt:lpwstr>52B97822998D45A5FE76FBF575035034760AD13EE13D3825DB38D567D3AEDC5E</vt:lpwstr>
  </property>
  <property fmtid="{D5CDD505-2E9C-101B-9397-08002B2CF9AE}" pid="25" name="MSIP_Label_eb34d90b-fc41-464d-af60-f74d721d0790_ActionId">
    <vt:lpwstr>cfaa206849104a2684f4d9cdeeab8fe8</vt:lpwstr>
  </property>
  <property fmtid="{D5CDD505-2E9C-101B-9397-08002B2CF9AE}" pid="26" name="PM_Hash_Salt_Prev">
    <vt:lpwstr>1EE9FADB2442C56D90900F1A2FDB7265</vt:lpwstr>
  </property>
  <property fmtid="{D5CDD505-2E9C-101B-9397-08002B2CF9AE}" pid="27" name="PM_Hash_Salt">
    <vt:lpwstr>B76E92A443EA2BD4ADFC3824A429A6CD</vt:lpwstr>
  </property>
  <property fmtid="{D5CDD505-2E9C-101B-9397-08002B2CF9AE}" pid="28" name="PM_Hash_SHA1">
    <vt:lpwstr>4699C9C734011BF566E43CF00F555F51818DD521</vt:lpwstr>
  </property>
  <property fmtid="{D5CDD505-2E9C-101B-9397-08002B2CF9AE}" pid="29" name="PM_Namespace">
    <vt:lpwstr>gov.au</vt:lpwstr>
  </property>
  <property fmtid="{D5CDD505-2E9C-101B-9397-08002B2CF9AE}" pid="30" name="PM_Version">
    <vt:lpwstr>2018.4</vt:lpwstr>
  </property>
  <property fmtid="{D5CDD505-2E9C-101B-9397-08002B2CF9AE}" pid="31" name="PM_SecurityClassification">
    <vt:lpwstr>OFFICIAL</vt:lpwstr>
  </property>
  <property fmtid="{D5CDD505-2E9C-101B-9397-08002B2CF9AE}" pid="32" name="PMHMAC">
    <vt:lpwstr>v=2024.1;a=SHA256;h=B1374BA567F79CB87484620F60B46E78A8D1D6E4B5DB14AC43BBF57CA3F5872D</vt:lpwstr>
  </property>
  <property fmtid="{D5CDD505-2E9C-101B-9397-08002B2CF9AE}" pid="33" name="PM_Qualifier">
    <vt:lpwstr/>
  </property>
  <property fmtid="{D5CDD505-2E9C-101B-9397-08002B2CF9AE}" pid="34" name="PM_Markers">
    <vt:lpwstr/>
  </property>
  <property fmtid="{D5CDD505-2E9C-101B-9397-08002B2CF9AE}" pid="35" name="PM_Caveats_Count">
    <vt:lpwstr>0</vt:lpwstr>
  </property>
  <property fmtid="{D5CDD505-2E9C-101B-9397-08002B2CF9AE}" pid="36" name="PM_DownTo">
    <vt:lpwstr/>
  </property>
</Properties>
</file>