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0BD58" w14:textId="77777777" w:rsidR="00B86EE7" w:rsidRDefault="00B86EE7" w:rsidP="00B86EE7">
      <w:pPr>
        <w:pStyle w:val="Crestwithrule"/>
      </w:pPr>
      <w:r>
        <w:rPr>
          <w:lang w:eastAsia="en-AU"/>
        </w:rPr>
        <w:drawing>
          <wp:inline distT="0" distB="0" distL="0" distR="0" wp14:anchorId="0A220297" wp14:editId="55CA0F61">
            <wp:extent cx="3235960" cy="768868"/>
            <wp:effectExtent l="0" t="0" r="2540" b="0"/>
            <wp:docPr id="1027828241" name="Picture 1027828241"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1" cstate="print">
                      <a:extLst>
                        <a:ext uri="{28A0092B-C50C-407E-A947-70E740481C1C}">
                          <a14:useLocalDpi xmlns:a14="http://schemas.microsoft.com/office/drawing/2010/main" val="0"/>
                        </a:ext>
                      </a:extLst>
                    </a:blip>
                    <a:srcRect t="17845"/>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51CC9536" w14:textId="77777777" w:rsidR="00B86EE7" w:rsidRDefault="00B86EE7" w:rsidP="00B86EE7">
      <w:pPr>
        <w:pStyle w:val="Crestwithrule"/>
      </w:pPr>
    </w:p>
    <w:p w14:paraId="308513F5" w14:textId="77777777" w:rsidR="00B86EE7" w:rsidRDefault="00B86EE7" w:rsidP="00B86EE7">
      <w:pPr>
        <w:pStyle w:val="Crestwithrule"/>
        <w:sectPr w:rsidR="00B86EE7" w:rsidSect="00B86EE7">
          <w:headerReference w:type="default" r:id="rId12"/>
          <w:headerReference w:type="first" r:id="rId13"/>
          <w:footerReference w:type="first" r:id="rId14"/>
          <w:pgSz w:w="11906" w:h="16838"/>
          <w:pgMar w:top="851" w:right="851" w:bottom="1134" w:left="851" w:header="0" w:footer="0" w:gutter="0"/>
          <w:pgNumType w:start="2"/>
          <w:cols w:space="708"/>
          <w:titlePg/>
          <w:docGrid w:linePitch="360"/>
        </w:sectPr>
      </w:pPr>
    </w:p>
    <w:p w14:paraId="7C5B6196" w14:textId="57A66020" w:rsidR="00B86EE7" w:rsidRPr="00090B04" w:rsidRDefault="00B86EE7" w:rsidP="00C3691A">
      <w:pPr>
        <w:pStyle w:val="Heading1withsubtitle"/>
      </w:pPr>
      <w:r w:rsidRPr="00090B04">
        <w:t>Outcomes-</w:t>
      </w:r>
      <w:r w:rsidR="00FC3B25">
        <w:t>b</w:t>
      </w:r>
      <w:r w:rsidRPr="00090B04">
        <w:t xml:space="preserve">ased </w:t>
      </w:r>
      <w:r w:rsidR="00FC3B25">
        <w:t>c</w:t>
      </w:r>
      <w:r w:rsidRPr="00090B04">
        <w:t xml:space="preserve">ontracting </w:t>
      </w:r>
    </w:p>
    <w:p w14:paraId="58BBB18D" w14:textId="21883F40" w:rsidR="00B86EE7" w:rsidRPr="00090B04" w:rsidRDefault="00B86EE7" w:rsidP="00B86EE7">
      <w:pPr>
        <w:pStyle w:val="Heading1"/>
      </w:pPr>
      <w:r w:rsidRPr="00090B04">
        <w:t xml:space="preserve">Understanding </w:t>
      </w:r>
      <w:r w:rsidR="00FC3B25">
        <w:t>o</w:t>
      </w:r>
      <w:r w:rsidRPr="00090B04">
        <w:t xml:space="preserve">utcome </w:t>
      </w:r>
      <w:r w:rsidR="00FC3B25">
        <w:t>m</w:t>
      </w:r>
      <w:r w:rsidRPr="00090B04">
        <w:t xml:space="preserve">easurement </w:t>
      </w:r>
    </w:p>
    <w:p w14:paraId="33974404" w14:textId="77777777" w:rsidR="00B86EE7" w:rsidRDefault="00B86EE7" w:rsidP="00B86EE7">
      <w:pPr>
        <w:pStyle w:val="IntroductionQuote"/>
        <w:sectPr w:rsidR="00B86EE7" w:rsidSect="00B86EE7">
          <w:type w:val="continuous"/>
          <w:pgSz w:w="11906" w:h="16838"/>
          <w:pgMar w:top="851" w:right="851" w:bottom="851" w:left="851" w:header="0" w:footer="0" w:gutter="0"/>
          <w:pgNumType w:start="2"/>
          <w:cols w:space="708"/>
          <w:titlePg/>
          <w:docGrid w:linePitch="360"/>
        </w:sectPr>
      </w:pPr>
    </w:p>
    <w:p w14:paraId="4D192678" w14:textId="77777777" w:rsidR="00B86EE7" w:rsidRPr="001D222B" w:rsidRDefault="00B86EE7" w:rsidP="00B86EE7">
      <w:pPr>
        <w:pStyle w:val="IntroductionQuote"/>
      </w:pPr>
      <w:r w:rsidRPr="001D222B">
        <w:t xml:space="preserve">Outcome measurement is the process of assessing whether meaningful changes have occurred for an individual that received a service. </w:t>
      </w:r>
    </w:p>
    <w:p w14:paraId="58E59B57" w14:textId="77777777" w:rsidR="00B86EE7" w:rsidRPr="00D05BD7" w:rsidRDefault="00B86EE7" w:rsidP="00B86EE7">
      <w:pPr>
        <w:pStyle w:val="Heading2"/>
      </w:pPr>
      <w:r w:rsidRPr="00D05BD7">
        <w:t>The importance of measurement</w:t>
      </w:r>
    </w:p>
    <w:p w14:paraId="7B8538F6" w14:textId="77777777" w:rsidR="00B86EE7" w:rsidRDefault="00B86EE7" w:rsidP="00B86EE7">
      <w:r>
        <w:t xml:space="preserve">Outcome measurement is important to different stakeholders – such as service providers, communities and commissioners – for a variety of reasons. In the context of outcomes-based contracting, outcome measurement is central to determining whether the commissioner’s policy objectives have been achieved. </w:t>
      </w:r>
    </w:p>
    <w:p w14:paraId="40E725D6" w14:textId="77777777" w:rsidR="00B86EE7" w:rsidRDefault="00B86EE7" w:rsidP="00B86EE7">
      <w:r>
        <w:t>It’s important because it:</w:t>
      </w:r>
    </w:p>
    <w:p w14:paraId="7EA34EF1" w14:textId="77777777" w:rsidR="00B86EE7" w:rsidRPr="00E05BFA" w:rsidRDefault="00B86EE7" w:rsidP="00B86EE7">
      <w:pPr>
        <w:pStyle w:val="ListParagraph"/>
      </w:pPr>
      <w:r>
        <w:t>a</w:t>
      </w:r>
      <w:r w:rsidRPr="00E05BFA">
        <w:t>ssesses impact, by determining whether targeted outcomes and policy objectives have been achieved</w:t>
      </w:r>
    </w:p>
    <w:p w14:paraId="5A186956" w14:textId="77777777" w:rsidR="00B86EE7" w:rsidRPr="00E05BFA" w:rsidRDefault="00B86EE7" w:rsidP="00B86EE7">
      <w:pPr>
        <w:pStyle w:val="ListParagraph"/>
      </w:pPr>
      <w:r>
        <w:t>i</w:t>
      </w:r>
      <w:r w:rsidRPr="00E05BFA">
        <w:t>nforms payments, so funding to service providers is linked to improvements in agreed outcome metrics</w:t>
      </w:r>
    </w:p>
    <w:p w14:paraId="758DF6C2" w14:textId="77777777" w:rsidR="00B86EE7" w:rsidRPr="00E05BFA" w:rsidRDefault="00B86EE7" w:rsidP="00B86EE7">
      <w:pPr>
        <w:pStyle w:val="ListParagraph"/>
      </w:pPr>
      <w:r>
        <w:t>s</w:t>
      </w:r>
      <w:r w:rsidRPr="00E05BFA">
        <w:t>upports adaptive service delivery, by providing feedback to adapt services to meet users’ needs over time</w:t>
      </w:r>
    </w:p>
    <w:p w14:paraId="62406D9B" w14:textId="77777777" w:rsidR="00B86EE7" w:rsidRPr="00E05BFA" w:rsidRDefault="00B86EE7" w:rsidP="00B86EE7">
      <w:pPr>
        <w:pStyle w:val="ListParagraph"/>
      </w:pPr>
      <w:r>
        <w:t>p</w:t>
      </w:r>
      <w:r w:rsidRPr="00E05BFA">
        <w:t>rovides deeper insight, by generating insight into what services are effective, and the value generated to support further investment</w:t>
      </w:r>
      <w:r>
        <w:t>.</w:t>
      </w:r>
    </w:p>
    <w:p w14:paraId="5CB9BA55" w14:textId="77777777" w:rsidR="00B86EE7" w:rsidRPr="00BB288D" w:rsidRDefault="00B86EE7" w:rsidP="00B86EE7">
      <w:pPr>
        <w:pStyle w:val="Heading2"/>
      </w:pPr>
      <w:r>
        <w:br w:type="column"/>
      </w:r>
      <w:r>
        <w:t>Key concepts related to outcome measurement</w:t>
      </w:r>
    </w:p>
    <w:p w14:paraId="5C2E45B7" w14:textId="77777777" w:rsidR="00B86EE7" w:rsidRPr="00A87A18" w:rsidRDefault="00B86EE7" w:rsidP="00B86EE7">
      <w:pPr>
        <w:pStyle w:val="Heading3"/>
      </w:pPr>
      <w:r w:rsidRPr="00A87A18">
        <w:t>Attribution</w:t>
      </w:r>
    </w:p>
    <w:p w14:paraId="76355A77" w14:textId="77777777" w:rsidR="00B86EE7" w:rsidRDefault="00B86EE7" w:rsidP="00B86EE7">
      <w:r w:rsidRPr="00673516">
        <w:rPr>
          <w:b/>
          <w:bCs/>
        </w:rPr>
        <w:t>Attribution</w:t>
      </w:r>
      <w:r>
        <w:t xml:space="preserve"> is about proving the </w:t>
      </w:r>
      <w:r w:rsidRPr="57A79880">
        <w:rPr>
          <w:i/>
          <w:iCs/>
        </w:rPr>
        <w:t>additional impact</w:t>
      </w:r>
      <w:r>
        <w:t xml:space="preserve"> of a service – i.e., the outcomes that can reasonably be credited to a service over and above what would have happened anyway. </w:t>
      </w:r>
    </w:p>
    <w:p w14:paraId="77DC7107" w14:textId="77777777" w:rsidR="00B86EE7" w:rsidRDefault="00B86EE7" w:rsidP="00B86EE7">
      <w:r>
        <w:t xml:space="preserve">A </w:t>
      </w:r>
      <w:r w:rsidRPr="57A79880">
        <w:rPr>
          <w:b/>
          <w:bCs/>
        </w:rPr>
        <w:t>counterfactual</w:t>
      </w:r>
      <w:r>
        <w:t xml:space="preserve"> is an estimate of what would have happened anyway. There are a range of approaches to estimating a counterfactual. Each has different benefits and limitations. Cost, complexity, robustness and ethics need to be considered with selecting an approach. </w:t>
      </w:r>
    </w:p>
    <w:tbl>
      <w:tblPr>
        <w:tblStyle w:val="TableGrid"/>
        <w:tblW w:w="4810"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1975"/>
        <w:gridCol w:w="2835"/>
      </w:tblGrid>
      <w:tr w:rsidR="00B86EE7" w:rsidRPr="00587A7B" w14:paraId="71A8CC02" w14:textId="77777777">
        <w:trPr>
          <w:trHeight w:val="225"/>
          <w:tblHeader/>
        </w:trPr>
        <w:tc>
          <w:tcPr>
            <w:tcW w:w="1975" w:type="dxa"/>
            <w:shd w:val="clear" w:color="auto" w:fill="005A70" w:themeFill="accent1"/>
            <w:hideMark/>
          </w:tcPr>
          <w:p w14:paraId="5EE905AA" w14:textId="77777777" w:rsidR="00B86EE7" w:rsidRPr="00587A7B" w:rsidRDefault="00B86EE7">
            <w:pPr>
              <w:spacing w:before="60" w:after="60" w:line="278" w:lineRule="auto"/>
              <w:rPr>
                <w:color w:val="FFFFFF" w:themeColor="background1"/>
                <w:szCs w:val="22"/>
                <w:lang w:val="en-US"/>
              </w:rPr>
            </w:pPr>
            <w:r w:rsidRPr="00587A7B">
              <w:rPr>
                <w:b/>
                <w:color w:val="FFFFFF" w:themeColor="background1"/>
                <w:szCs w:val="22"/>
                <w:lang w:val="en-US"/>
              </w:rPr>
              <w:t>Approach</w:t>
            </w:r>
          </w:p>
        </w:tc>
        <w:tc>
          <w:tcPr>
            <w:tcW w:w="2835" w:type="dxa"/>
            <w:shd w:val="clear" w:color="auto" w:fill="005A70" w:themeFill="accent1"/>
            <w:hideMark/>
          </w:tcPr>
          <w:p w14:paraId="2C8B28CB" w14:textId="77777777" w:rsidR="00B86EE7" w:rsidRPr="00587A7B" w:rsidRDefault="00B86EE7">
            <w:pPr>
              <w:spacing w:before="60" w:after="60" w:line="278" w:lineRule="auto"/>
              <w:rPr>
                <w:color w:val="FFFFFF" w:themeColor="background1"/>
                <w:szCs w:val="22"/>
                <w:lang w:val="en-US"/>
              </w:rPr>
            </w:pPr>
            <w:r w:rsidRPr="00587A7B">
              <w:rPr>
                <w:b/>
                <w:color w:val="FFFFFF" w:themeColor="background1"/>
                <w:szCs w:val="22"/>
                <w:lang w:val="en-US"/>
              </w:rPr>
              <w:t>Overview</w:t>
            </w:r>
          </w:p>
        </w:tc>
      </w:tr>
      <w:tr w:rsidR="00B86EE7" w:rsidRPr="00587A7B" w14:paraId="2478BB38" w14:textId="77777777">
        <w:trPr>
          <w:trHeight w:val="680"/>
        </w:trPr>
        <w:tc>
          <w:tcPr>
            <w:tcW w:w="1975" w:type="dxa"/>
            <w:shd w:val="clear" w:color="auto" w:fill="C1E4F5"/>
            <w:vAlign w:val="center"/>
            <w:hideMark/>
          </w:tcPr>
          <w:p w14:paraId="73A767E1" w14:textId="77777777" w:rsidR="00B86EE7" w:rsidRPr="00587A7B" w:rsidRDefault="00B86EE7">
            <w:pPr>
              <w:spacing w:before="60" w:after="60" w:line="278" w:lineRule="auto"/>
              <w:rPr>
                <w:b/>
                <w:bCs/>
                <w:color w:val="005A70" w:themeColor="accent1"/>
                <w:szCs w:val="22"/>
                <w:lang w:val="en-US"/>
              </w:rPr>
            </w:pPr>
            <w:r w:rsidRPr="00587A7B">
              <w:rPr>
                <w:b/>
                <w:bCs/>
                <w:color w:val="005A70" w:themeColor="accent1"/>
                <w:szCs w:val="22"/>
                <w:lang w:val="en-US"/>
              </w:rPr>
              <w:t>Assumption-based estimate</w:t>
            </w:r>
          </w:p>
        </w:tc>
        <w:tc>
          <w:tcPr>
            <w:tcW w:w="2835" w:type="dxa"/>
            <w:hideMark/>
          </w:tcPr>
          <w:p w14:paraId="78490604" w14:textId="77777777" w:rsidR="00B86EE7" w:rsidRPr="00587A7B" w:rsidRDefault="00B86EE7">
            <w:pPr>
              <w:spacing w:before="60" w:after="60" w:line="278" w:lineRule="auto"/>
              <w:rPr>
                <w:szCs w:val="22"/>
                <w:lang w:val="en-US"/>
              </w:rPr>
            </w:pPr>
            <w:r w:rsidRPr="00587A7B">
              <w:rPr>
                <w:szCs w:val="22"/>
                <w:lang w:val="en-US"/>
              </w:rPr>
              <w:t>Using available data to inform assumptions about what would have happened anyway.</w:t>
            </w:r>
          </w:p>
        </w:tc>
      </w:tr>
      <w:tr w:rsidR="00B86EE7" w:rsidRPr="00587A7B" w14:paraId="22C6CA1D" w14:textId="77777777">
        <w:trPr>
          <w:trHeight w:val="70"/>
        </w:trPr>
        <w:tc>
          <w:tcPr>
            <w:tcW w:w="1975" w:type="dxa"/>
            <w:shd w:val="clear" w:color="auto" w:fill="C1E4F5"/>
            <w:vAlign w:val="center"/>
            <w:hideMark/>
          </w:tcPr>
          <w:p w14:paraId="46B31F3F" w14:textId="77777777" w:rsidR="00B86EE7" w:rsidRPr="00587A7B" w:rsidRDefault="00B86EE7">
            <w:pPr>
              <w:spacing w:before="60" w:after="60" w:line="278" w:lineRule="auto"/>
              <w:rPr>
                <w:b/>
                <w:bCs/>
                <w:color w:val="005A70" w:themeColor="accent1"/>
                <w:szCs w:val="22"/>
                <w:lang w:val="en-US"/>
              </w:rPr>
            </w:pPr>
            <w:r w:rsidRPr="00587A7B">
              <w:rPr>
                <w:b/>
                <w:bCs/>
                <w:color w:val="005A70" w:themeColor="accent1"/>
                <w:szCs w:val="22"/>
                <w:lang w:val="en-US"/>
              </w:rPr>
              <w:t>Individual’s pre-service experience</w:t>
            </w:r>
          </w:p>
        </w:tc>
        <w:tc>
          <w:tcPr>
            <w:tcW w:w="2835" w:type="dxa"/>
            <w:hideMark/>
          </w:tcPr>
          <w:p w14:paraId="60C28DCD" w14:textId="77777777" w:rsidR="00B86EE7" w:rsidRPr="00587A7B" w:rsidRDefault="00B86EE7">
            <w:pPr>
              <w:spacing w:before="60" w:after="60" w:line="278" w:lineRule="auto"/>
              <w:rPr>
                <w:szCs w:val="22"/>
                <w:lang w:val="en-US"/>
              </w:rPr>
            </w:pPr>
            <w:proofErr w:type="gramStart"/>
            <w:r w:rsidRPr="00587A7B">
              <w:rPr>
                <w:szCs w:val="22"/>
                <w:lang w:val="en-US"/>
              </w:rPr>
              <w:t>Each individual’s</w:t>
            </w:r>
            <w:proofErr w:type="gramEnd"/>
            <w:r w:rsidRPr="00587A7B">
              <w:rPr>
                <w:szCs w:val="22"/>
                <w:lang w:val="en-US"/>
              </w:rPr>
              <w:t xml:space="preserve"> experience before participating in the service forms their own historic baseline.</w:t>
            </w:r>
          </w:p>
        </w:tc>
      </w:tr>
      <w:tr w:rsidR="00B86EE7" w:rsidRPr="00587A7B" w14:paraId="7110B0EA" w14:textId="77777777">
        <w:trPr>
          <w:trHeight w:val="534"/>
        </w:trPr>
        <w:tc>
          <w:tcPr>
            <w:tcW w:w="1975" w:type="dxa"/>
            <w:shd w:val="clear" w:color="auto" w:fill="C1E4F5"/>
            <w:vAlign w:val="center"/>
            <w:hideMark/>
          </w:tcPr>
          <w:p w14:paraId="3F448FCE" w14:textId="77777777" w:rsidR="00B86EE7" w:rsidRPr="00587A7B" w:rsidRDefault="00B86EE7">
            <w:pPr>
              <w:spacing w:before="60" w:after="60" w:line="278" w:lineRule="auto"/>
              <w:rPr>
                <w:b/>
                <w:bCs/>
                <w:color w:val="005A70" w:themeColor="accent1"/>
                <w:szCs w:val="22"/>
                <w:lang w:val="en-US"/>
              </w:rPr>
            </w:pPr>
            <w:r w:rsidRPr="00587A7B">
              <w:rPr>
                <w:b/>
                <w:bCs/>
                <w:color w:val="005A70" w:themeColor="accent1"/>
                <w:szCs w:val="22"/>
                <w:lang w:val="en-US"/>
              </w:rPr>
              <w:t>Historical baseline for target cohort</w:t>
            </w:r>
          </w:p>
        </w:tc>
        <w:tc>
          <w:tcPr>
            <w:tcW w:w="2835" w:type="dxa"/>
            <w:hideMark/>
          </w:tcPr>
          <w:p w14:paraId="444DA070" w14:textId="77777777" w:rsidR="00B86EE7" w:rsidRPr="00587A7B" w:rsidRDefault="00B86EE7">
            <w:pPr>
              <w:spacing w:before="60" w:after="60" w:line="278" w:lineRule="auto"/>
              <w:rPr>
                <w:szCs w:val="22"/>
                <w:lang w:val="en-US"/>
              </w:rPr>
            </w:pPr>
            <w:r w:rsidRPr="00587A7B">
              <w:rPr>
                <w:szCs w:val="22"/>
                <w:lang w:val="en-US"/>
              </w:rPr>
              <w:t xml:space="preserve">Past outcomes for a similar population using historical data are </w:t>
            </w:r>
            <w:proofErr w:type="spellStart"/>
            <w:r w:rsidRPr="00587A7B">
              <w:rPr>
                <w:szCs w:val="22"/>
                <w:lang w:val="en-US"/>
              </w:rPr>
              <w:t>analysed</w:t>
            </w:r>
            <w:proofErr w:type="spellEnd"/>
            <w:r w:rsidRPr="00587A7B">
              <w:rPr>
                <w:szCs w:val="22"/>
                <w:lang w:val="en-US"/>
              </w:rPr>
              <w:t xml:space="preserve"> to set a baseline.</w:t>
            </w:r>
          </w:p>
        </w:tc>
      </w:tr>
      <w:tr w:rsidR="00B86EE7" w:rsidRPr="00587A7B" w14:paraId="45B4C075" w14:textId="77777777">
        <w:trPr>
          <w:trHeight w:val="70"/>
        </w:trPr>
        <w:tc>
          <w:tcPr>
            <w:tcW w:w="1975" w:type="dxa"/>
            <w:shd w:val="clear" w:color="auto" w:fill="C1E4F5"/>
            <w:vAlign w:val="center"/>
            <w:hideMark/>
          </w:tcPr>
          <w:p w14:paraId="2860051C" w14:textId="77777777" w:rsidR="00B86EE7" w:rsidRPr="00587A7B" w:rsidRDefault="00B86EE7">
            <w:pPr>
              <w:spacing w:before="60" w:after="60" w:line="278" w:lineRule="auto"/>
              <w:rPr>
                <w:b/>
                <w:bCs/>
                <w:color w:val="005A70" w:themeColor="accent1"/>
                <w:szCs w:val="22"/>
                <w:lang w:val="en-US"/>
              </w:rPr>
            </w:pPr>
            <w:r w:rsidRPr="00587A7B">
              <w:rPr>
                <w:b/>
                <w:bCs/>
                <w:color w:val="005A70" w:themeColor="accent1"/>
                <w:szCs w:val="22"/>
                <w:lang w:val="en-US"/>
              </w:rPr>
              <w:lastRenderedPageBreak/>
              <w:t>Matched control group</w:t>
            </w:r>
          </w:p>
        </w:tc>
        <w:tc>
          <w:tcPr>
            <w:tcW w:w="2835" w:type="dxa"/>
            <w:hideMark/>
          </w:tcPr>
          <w:p w14:paraId="06B0BFA5" w14:textId="77777777" w:rsidR="00B86EE7" w:rsidRPr="00587A7B" w:rsidRDefault="00B86EE7">
            <w:pPr>
              <w:spacing w:before="60" w:after="60" w:line="278" w:lineRule="auto"/>
              <w:rPr>
                <w:szCs w:val="22"/>
                <w:lang w:val="en-US"/>
              </w:rPr>
            </w:pPr>
            <w:r w:rsidRPr="00587A7B">
              <w:rPr>
                <w:szCs w:val="22"/>
                <w:lang w:val="en-US"/>
              </w:rPr>
              <w:t>A comparison group is constructed based on the attributes of the individuals participating in the service.</w:t>
            </w:r>
          </w:p>
        </w:tc>
      </w:tr>
      <w:tr w:rsidR="00B86EE7" w:rsidRPr="00587A7B" w14:paraId="033B2A81" w14:textId="77777777">
        <w:trPr>
          <w:trHeight w:val="70"/>
        </w:trPr>
        <w:tc>
          <w:tcPr>
            <w:tcW w:w="1975" w:type="dxa"/>
            <w:shd w:val="clear" w:color="auto" w:fill="C1E4F5"/>
            <w:vAlign w:val="center"/>
            <w:hideMark/>
          </w:tcPr>
          <w:p w14:paraId="42482617" w14:textId="77777777" w:rsidR="00B86EE7" w:rsidRPr="00587A7B" w:rsidRDefault="00B86EE7">
            <w:pPr>
              <w:spacing w:before="60" w:after="60" w:line="278" w:lineRule="auto"/>
              <w:rPr>
                <w:b/>
                <w:bCs/>
                <w:color w:val="005A70" w:themeColor="accent1"/>
                <w:szCs w:val="22"/>
                <w:lang w:val="en-US"/>
              </w:rPr>
            </w:pPr>
            <w:proofErr w:type="spellStart"/>
            <w:r w:rsidRPr="00587A7B">
              <w:rPr>
                <w:b/>
                <w:bCs/>
                <w:color w:val="005A70" w:themeColor="accent1"/>
                <w:szCs w:val="22"/>
                <w:lang w:val="en-US"/>
              </w:rPr>
              <w:t>Randomised</w:t>
            </w:r>
            <w:proofErr w:type="spellEnd"/>
            <w:r w:rsidRPr="00587A7B">
              <w:rPr>
                <w:b/>
                <w:bCs/>
                <w:color w:val="005A70" w:themeColor="accent1"/>
                <w:szCs w:val="22"/>
                <w:lang w:val="en-US"/>
              </w:rPr>
              <w:t xml:space="preserve"> control trial</w:t>
            </w:r>
          </w:p>
        </w:tc>
        <w:tc>
          <w:tcPr>
            <w:tcW w:w="2835" w:type="dxa"/>
            <w:hideMark/>
          </w:tcPr>
          <w:p w14:paraId="64EA152C" w14:textId="77777777" w:rsidR="00B86EE7" w:rsidRPr="00587A7B" w:rsidRDefault="00B86EE7">
            <w:pPr>
              <w:spacing w:before="60" w:after="60" w:line="278" w:lineRule="auto"/>
              <w:rPr>
                <w:szCs w:val="22"/>
                <w:lang w:val="en-US"/>
              </w:rPr>
            </w:pPr>
            <w:r w:rsidRPr="00587A7B">
              <w:rPr>
                <w:szCs w:val="22"/>
                <w:lang w:val="en-US"/>
              </w:rPr>
              <w:t>Individuals are randomly allocated to participate in the service or to receive other services as usual.</w:t>
            </w:r>
          </w:p>
        </w:tc>
      </w:tr>
    </w:tbl>
    <w:p w14:paraId="0FDA5176" w14:textId="77777777" w:rsidR="00B86EE7" w:rsidRDefault="00B86EE7" w:rsidP="00B86EE7">
      <w:pPr>
        <w:spacing w:before="200"/>
      </w:pPr>
      <w:r>
        <w:t xml:space="preserve">Randomised control trials are considered the most reliable way to estimate the counterfactual. </w:t>
      </w:r>
    </w:p>
    <w:p w14:paraId="4573D0FE" w14:textId="77777777" w:rsidR="00B86EE7" w:rsidRDefault="00B86EE7" w:rsidP="00B86EE7">
      <w:r>
        <w:t xml:space="preserve">Alternative approaches – like using an individual’s service experience or historical data for the target population – while not always as accurate, can offer a simpler and more cost-effective way to estimate what would have happened anyway. </w:t>
      </w:r>
    </w:p>
    <w:p w14:paraId="072588CD" w14:textId="77777777" w:rsidR="00B86EE7" w:rsidRDefault="00B86EE7" w:rsidP="00B86EE7">
      <w:pPr>
        <w:spacing w:before="160"/>
        <w:contextualSpacing/>
        <w:rPr>
          <w:sz w:val="16"/>
          <w:szCs w:val="16"/>
        </w:rPr>
      </w:pPr>
      <w:r>
        <w:t xml:space="preserve">When designing a contract, commissioners need to weigh up the benefits and limitations of each approach, to select the most appropriate. </w:t>
      </w:r>
    </w:p>
    <w:p w14:paraId="45FDE2DC" w14:textId="77777777" w:rsidR="00B86EE7" w:rsidRDefault="00B86EE7" w:rsidP="00B86EE7">
      <w:pPr>
        <w:pStyle w:val="Heading3"/>
      </w:pPr>
      <w:r>
        <w:t>I</w:t>
      </w:r>
      <w:r w:rsidRPr="00BB288D">
        <w:t xml:space="preserve">ndividual </w:t>
      </w:r>
      <w:r>
        <w:t>and</w:t>
      </w:r>
      <w:r w:rsidRPr="00BB288D">
        <w:t xml:space="preserve"> cohort measurement</w:t>
      </w:r>
    </w:p>
    <w:p w14:paraId="37F4E937" w14:textId="77777777" w:rsidR="00B86EE7" w:rsidRDefault="00B86EE7" w:rsidP="00B86EE7">
      <w:r>
        <w:t xml:space="preserve">Outcomes can be assessed at an </w:t>
      </w:r>
      <w:r w:rsidRPr="0A18C774">
        <w:rPr>
          <w:b/>
          <w:bCs/>
        </w:rPr>
        <w:t>individual level</w:t>
      </w:r>
      <w:r>
        <w:t xml:space="preserve">, where each service user is assessed separately to determine whether they achieved an outcome (e.g., whether a child reunified with their parents after participating in the service for 18 months). </w:t>
      </w:r>
    </w:p>
    <w:p w14:paraId="49A3ADE9" w14:textId="77777777" w:rsidR="00B86EE7" w:rsidRDefault="00B86EE7" w:rsidP="00B86EE7">
      <w:r>
        <w:t xml:space="preserve">Outcomes at an individual level are typically then aggregated across all service users to assess the impact of the service (e.g., the number or proportion of children that are reunified with their families). This will inform the data sources that are used for measurement (see ‘Defining Outcome Metrics’ for more information). </w:t>
      </w:r>
    </w:p>
    <w:p w14:paraId="27538FB3" w14:textId="77777777" w:rsidR="00B86EE7" w:rsidRDefault="00B86EE7" w:rsidP="00B86EE7">
      <w:r>
        <w:t xml:space="preserve">Outcomes do not need to be assessed at an individual level and can instead be aggregated for all service users at a </w:t>
      </w:r>
      <w:r w:rsidRPr="48982624">
        <w:rPr>
          <w:b/>
          <w:bCs/>
        </w:rPr>
        <w:t>cohort level</w:t>
      </w:r>
      <w:r>
        <w:t xml:space="preserve"> (e.g. the total number of presentations to specialist homelessness services by all service users).</w:t>
      </w:r>
    </w:p>
    <w:p w14:paraId="4BBC8784" w14:textId="77777777" w:rsidR="00B86EE7" w:rsidRDefault="00B86EE7" w:rsidP="00B86EE7">
      <w:r>
        <w:t>For each metric, it is important to distinguish between measuring outcomes at an individual level and at a cohort level because it impacts how success is defined, what data needs to be collected and how payments are calculated.</w:t>
      </w:r>
    </w:p>
    <w:p w14:paraId="1AA7A35B" w14:textId="77777777" w:rsidR="00B86EE7" w:rsidRDefault="00B86EE7" w:rsidP="00B86EE7">
      <w:pPr>
        <w:pStyle w:val="Heading3"/>
      </w:pPr>
      <w:r>
        <w:t>Outcome verification</w:t>
      </w:r>
    </w:p>
    <w:p w14:paraId="2C3289B7" w14:textId="77777777" w:rsidR="00B86EE7" w:rsidRDefault="00B86EE7" w:rsidP="00B86EE7">
      <w:r>
        <w:t>Outcome metrics linked to payments are typically verified to ensure credibility and transparency in measured outcomes. There are three options for verifying outcomes:</w:t>
      </w:r>
    </w:p>
    <w:p w14:paraId="29D9F90A" w14:textId="77777777" w:rsidR="00B86EE7" w:rsidRPr="00E05BFA" w:rsidRDefault="00B86EE7" w:rsidP="00B86EE7">
      <w:pPr>
        <w:pStyle w:val="ListNumber"/>
      </w:pPr>
      <w:r>
        <w:t>Engaging an external organisation to independently review and certify measured outcomes and calculate payments. This is an additional cost for the commissioner but can provide greater confidence in the results</w:t>
      </w:r>
    </w:p>
    <w:p w14:paraId="2A33BA05" w14:textId="77777777" w:rsidR="00B86EE7" w:rsidRPr="00E05BFA" w:rsidRDefault="00B86EE7" w:rsidP="00B86EE7">
      <w:pPr>
        <w:pStyle w:val="ListNumber"/>
      </w:pPr>
      <w:r w:rsidRPr="00E05BFA">
        <w:t>Appointing the commissioner’s contract manager to review and verify measured outcomes and calculate payments in accordance with the outcomes-based contract</w:t>
      </w:r>
    </w:p>
    <w:p w14:paraId="1D740CF0" w14:textId="77777777" w:rsidR="00B86EE7" w:rsidRPr="00E05BFA" w:rsidRDefault="00B86EE7" w:rsidP="00B86EE7">
      <w:pPr>
        <w:pStyle w:val="ListNumber"/>
      </w:pPr>
      <w:r>
        <w:t>Setting up the service provider to self-report measured outcomes and claim payments from the commissioner. This is less costly for the commissioner but can lead to lower confidence in the results.</w:t>
      </w:r>
    </w:p>
    <w:p w14:paraId="082112BB" w14:textId="77777777" w:rsidR="00B86EE7" w:rsidRDefault="00B86EE7" w:rsidP="00B86EE7">
      <w:pPr>
        <w:pStyle w:val="IntroductionQuote"/>
        <w:sectPr w:rsidR="00B86EE7" w:rsidSect="00B86EE7">
          <w:type w:val="continuous"/>
          <w:pgSz w:w="11906" w:h="16838"/>
          <w:pgMar w:top="851" w:right="851" w:bottom="851" w:left="851" w:header="0" w:footer="0" w:gutter="0"/>
          <w:pgNumType w:start="2"/>
          <w:cols w:num="2" w:space="708"/>
          <w:titlePg/>
          <w:docGrid w:linePitch="360"/>
        </w:sectPr>
      </w:pPr>
    </w:p>
    <w:p w14:paraId="526657A3" w14:textId="77777777" w:rsidR="00B86EE7" w:rsidRPr="00A0608D" w:rsidRDefault="00B86EE7" w:rsidP="00B86EE7">
      <w:pPr>
        <w:pStyle w:val="Heading2"/>
        <w:rPr>
          <w:b/>
          <w:bCs w:val="0"/>
        </w:rPr>
      </w:pPr>
      <w:r w:rsidRPr="00A0608D">
        <w:rPr>
          <w:b/>
          <w:bCs w:val="0"/>
        </w:rPr>
        <w:lastRenderedPageBreak/>
        <w:t xml:space="preserve">Case study 1: Aspire Social Impact Bond </w:t>
      </w:r>
    </w:p>
    <w:p w14:paraId="3B3CE01B" w14:textId="77777777" w:rsidR="00B86EE7" w:rsidRDefault="00B86EE7" w:rsidP="00B86EE7">
      <w:pPr>
        <w:pStyle w:val="Heading3"/>
      </w:pPr>
      <w:r>
        <w:t>Overview</w:t>
      </w:r>
    </w:p>
    <w:p w14:paraId="296E481F" w14:textId="77777777" w:rsidR="00B86EE7" w:rsidRDefault="00B86EE7" w:rsidP="00B86EE7">
      <w:pPr>
        <w:spacing w:after="160" w:line="278" w:lineRule="auto"/>
      </w:pPr>
      <w:r>
        <w:t xml:space="preserve">The Aspire Social Impact Bond aimed to provide people experiencing chronic homelessness in Adelaide with assistance with securing stable accommodation, job readiness training, and pathways to training, employment and life skills development. </w:t>
      </w:r>
    </w:p>
    <w:p w14:paraId="06D19EB6" w14:textId="77777777" w:rsidR="00B86EE7" w:rsidRDefault="00B86EE7" w:rsidP="00B86EE7">
      <w:pPr>
        <w:spacing w:after="160" w:line="278" w:lineRule="auto"/>
      </w:pPr>
      <w:r>
        <w:t>The commissioner (the Government of South Australia) sought to explore a range of initiatives to promote innovation in the delivery of social and community services.</w:t>
      </w:r>
    </w:p>
    <w:p w14:paraId="32C2709A" w14:textId="77777777" w:rsidR="00B86EE7" w:rsidRDefault="00B86EE7" w:rsidP="00B86EE7">
      <w:pPr>
        <w:pStyle w:val="Heading3"/>
      </w:pPr>
      <w:r>
        <w:t>Outcome measurement</w:t>
      </w:r>
    </w:p>
    <w:p w14:paraId="68669E88" w14:textId="77777777" w:rsidR="00B86EE7" w:rsidRDefault="00B86EE7" w:rsidP="00B86EE7">
      <w:pPr>
        <w:spacing w:after="160" w:line="278" w:lineRule="auto"/>
      </w:pPr>
      <w:r>
        <w:t>There were three outcome metrics linked to payments:</w:t>
      </w:r>
    </w:p>
    <w:p w14:paraId="43DCB866" w14:textId="77777777" w:rsidR="00B86EE7" w:rsidRPr="00E05BFA" w:rsidRDefault="00B86EE7" w:rsidP="00B86EE7">
      <w:pPr>
        <w:pStyle w:val="ListNumber"/>
        <w:numPr>
          <w:ilvl w:val="0"/>
          <w:numId w:val="20"/>
        </w:numPr>
      </w:pPr>
      <w:r w:rsidRPr="00E05BFA">
        <w:t>Hospital bed days: the number of days spent in hospital bed over a three-year period</w:t>
      </w:r>
    </w:p>
    <w:p w14:paraId="059AF79A" w14:textId="77777777" w:rsidR="00B86EE7" w:rsidRPr="00E05BFA" w:rsidRDefault="00B86EE7" w:rsidP="00B86EE7">
      <w:pPr>
        <w:pStyle w:val="ListNumber"/>
      </w:pPr>
      <w:r w:rsidRPr="00E05BFA">
        <w:t>Convictions: the number of convictions recorded in respect of offences over a three-year period</w:t>
      </w:r>
    </w:p>
    <w:p w14:paraId="25197A8E" w14:textId="77777777" w:rsidR="00B86EE7" w:rsidRPr="00E05BFA" w:rsidRDefault="00B86EE7" w:rsidP="00B86EE7">
      <w:pPr>
        <w:pStyle w:val="ListNumber"/>
      </w:pPr>
      <w:r w:rsidRPr="00E05BFA">
        <w:t>Accommodation periods: the number of emergency accommodation periods accessed over a three-year period</w:t>
      </w:r>
      <w:r>
        <w:t>.</w:t>
      </w:r>
    </w:p>
    <w:p w14:paraId="5D7F687C" w14:textId="77777777" w:rsidR="00B86EE7" w:rsidRDefault="00B86EE7" w:rsidP="00B86EE7">
      <w:pPr>
        <w:spacing w:after="160" w:line="278" w:lineRule="auto"/>
      </w:pPr>
      <w:r>
        <w:t xml:space="preserve">Each outcome metric was measured relative to a counterfactual. The counterfactual was initially determined using analysis of service usage rates for a historic group of people experiencing homelessness in metropolitan Adelaide. The counterfactual was subsequently updated during the life of the program to more fairly </w:t>
      </w:r>
      <w:r w:rsidRPr="0009122E">
        <w:t xml:space="preserve">reflect the complexity and characteristics of the individuals entering </w:t>
      </w:r>
      <w:r>
        <w:t>the Aspire p</w:t>
      </w:r>
      <w:r w:rsidRPr="0009122E">
        <w:t>rogram</w:t>
      </w:r>
      <w:r>
        <w:t xml:space="preserve">. The revised counterfactual </w:t>
      </w:r>
      <w:r w:rsidRPr="000B5F86">
        <w:t>reflect</w:t>
      </w:r>
      <w:r>
        <w:t>ed</w:t>
      </w:r>
      <w:r w:rsidRPr="000B5F86">
        <w:t xml:space="preserve"> Aspire participants’ average service usage over the two-year period prior to </w:t>
      </w:r>
      <w:r>
        <w:t xml:space="preserve">commencing the program. </w:t>
      </w:r>
    </w:p>
    <w:tbl>
      <w:tblPr>
        <w:tblStyle w:val="TableGrid"/>
        <w:tblW w:w="0" w:type="auto"/>
        <w:tblBorders>
          <w:top w:val="single" w:sz="8" w:space="0" w:color="005A70" w:themeColor="accent1"/>
          <w:left w:val="single" w:sz="8" w:space="0" w:color="005A70" w:themeColor="accent1"/>
          <w:bottom w:val="single" w:sz="8" w:space="0" w:color="005A70" w:themeColor="accent1"/>
          <w:right w:val="single" w:sz="8" w:space="0" w:color="005A70" w:themeColor="accent1"/>
          <w:insideH w:val="single" w:sz="8" w:space="0" w:color="005A70" w:themeColor="accent1"/>
          <w:insideV w:val="single" w:sz="8" w:space="0" w:color="005A70" w:themeColor="accent1"/>
        </w:tblBorders>
        <w:tblLook w:val="04A0" w:firstRow="1" w:lastRow="0" w:firstColumn="1" w:lastColumn="0" w:noHBand="0" w:noVBand="1"/>
      </w:tblPr>
      <w:tblGrid>
        <w:gridCol w:w="2038"/>
        <w:gridCol w:w="2038"/>
        <w:gridCol w:w="2036"/>
        <w:gridCol w:w="2036"/>
        <w:gridCol w:w="2036"/>
      </w:tblGrid>
      <w:tr w:rsidR="00B86EE7" w:rsidRPr="00E05BFA" w14:paraId="0025978C" w14:textId="77777777">
        <w:trPr>
          <w:tblHeader/>
        </w:trPr>
        <w:tc>
          <w:tcPr>
            <w:tcW w:w="2038" w:type="dxa"/>
            <w:shd w:val="clear" w:color="auto" w:fill="005A70" w:themeFill="accent1"/>
          </w:tcPr>
          <w:p w14:paraId="7BD84126" w14:textId="77777777" w:rsidR="00B86EE7" w:rsidRPr="00DB26B9" w:rsidRDefault="00B86EE7">
            <w:pPr>
              <w:spacing w:after="160" w:line="278" w:lineRule="auto"/>
              <w:rPr>
                <w:b/>
                <w:bCs/>
                <w:color w:val="FFFFFF" w:themeColor="background1"/>
              </w:rPr>
            </w:pPr>
            <w:r w:rsidRPr="00DB26B9">
              <w:rPr>
                <w:b/>
                <w:bCs/>
                <w:color w:val="FFFFFF" w:themeColor="background1"/>
              </w:rPr>
              <w:t>Outcome metric</w:t>
            </w:r>
          </w:p>
        </w:tc>
        <w:tc>
          <w:tcPr>
            <w:tcW w:w="2039" w:type="dxa"/>
            <w:shd w:val="clear" w:color="auto" w:fill="005A70" w:themeFill="accent1"/>
          </w:tcPr>
          <w:p w14:paraId="3248426C" w14:textId="77777777" w:rsidR="00B86EE7" w:rsidRPr="00DB26B9" w:rsidRDefault="00B86EE7">
            <w:pPr>
              <w:spacing w:after="160" w:line="278" w:lineRule="auto"/>
              <w:rPr>
                <w:b/>
                <w:bCs/>
                <w:color w:val="FFFFFF" w:themeColor="background1"/>
              </w:rPr>
            </w:pPr>
            <w:r w:rsidRPr="00DB26B9">
              <w:rPr>
                <w:b/>
                <w:bCs/>
                <w:color w:val="FFFFFF" w:themeColor="background1"/>
              </w:rPr>
              <w:t>Counterfactual rate per person per year</w:t>
            </w:r>
          </w:p>
        </w:tc>
        <w:tc>
          <w:tcPr>
            <w:tcW w:w="2039" w:type="dxa"/>
            <w:shd w:val="clear" w:color="auto" w:fill="005A70" w:themeFill="accent1"/>
          </w:tcPr>
          <w:p w14:paraId="1928E734" w14:textId="77777777" w:rsidR="00B86EE7" w:rsidRPr="00DB26B9" w:rsidRDefault="00B86EE7">
            <w:pPr>
              <w:spacing w:after="160" w:line="278" w:lineRule="auto"/>
              <w:rPr>
                <w:b/>
                <w:bCs/>
                <w:color w:val="FFFFFF" w:themeColor="background1"/>
              </w:rPr>
            </w:pPr>
            <w:r w:rsidRPr="00DB26B9">
              <w:rPr>
                <w:b/>
                <w:bCs/>
                <w:color w:val="FFFFFF" w:themeColor="background1"/>
              </w:rPr>
              <w:t>Recorded rate per person per year</w:t>
            </w:r>
          </w:p>
        </w:tc>
        <w:tc>
          <w:tcPr>
            <w:tcW w:w="2039" w:type="dxa"/>
            <w:shd w:val="clear" w:color="auto" w:fill="005A70" w:themeFill="accent1"/>
          </w:tcPr>
          <w:p w14:paraId="513A71AF" w14:textId="77777777" w:rsidR="00B86EE7" w:rsidRPr="00DB26B9" w:rsidRDefault="00B86EE7">
            <w:pPr>
              <w:spacing w:after="160" w:line="278" w:lineRule="auto"/>
              <w:rPr>
                <w:b/>
                <w:bCs/>
                <w:color w:val="FFFFFF" w:themeColor="background1"/>
              </w:rPr>
            </w:pPr>
            <w:r w:rsidRPr="00DB26B9">
              <w:rPr>
                <w:b/>
                <w:bCs/>
                <w:color w:val="FFFFFF" w:themeColor="background1"/>
              </w:rPr>
              <w:t>Initial target reduction</w:t>
            </w:r>
          </w:p>
        </w:tc>
        <w:tc>
          <w:tcPr>
            <w:tcW w:w="2039" w:type="dxa"/>
            <w:shd w:val="clear" w:color="auto" w:fill="005A70" w:themeFill="accent1"/>
          </w:tcPr>
          <w:p w14:paraId="4A281E77" w14:textId="77777777" w:rsidR="00B86EE7" w:rsidRPr="00DB26B9" w:rsidRDefault="00B86EE7">
            <w:pPr>
              <w:spacing w:after="160" w:line="278" w:lineRule="auto"/>
              <w:rPr>
                <w:b/>
                <w:bCs/>
                <w:color w:val="FFFFFF" w:themeColor="background1"/>
              </w:rPr>
            </w:pPr>
            <w:r w:rsidRPr="00DB26B9">
              <w:rPr>
                <w:b/>
                <w:bCs/>
                <w:color w:val="FFFFFF" w:themeColor="background1"/>
              </w:rPr>
              <w:t xml:space="preserve">Actual reduction </w:t>
            </w:r>
          </w:p>
        </w:tc>
      </w:tr>
      <w:tr w:rsidR="00B86EE7" w:rsidRPr="00E05BFA" w14:paraId="48268CEC" w14:textId="77777777">
        <w:tc>
          <w:tcPr>
            <w:tcW w:w="2038" w:type="dxa"/>
          </w:tcPr>
          <w:p w14:paraId="3D3380F2" w14:textId="77777777" w:rsidR="00B86EE7" w:rsidRPr="00DB26B9" w:rsidRDefault="00B86EE7">
            <w:pPr>
              <w:spacing w:after="160" w:line="278" w:lineRule="auto"/>
            </w:pPr>
            <w:r w:rsidRPr="00DB26B9">
              <w:t>Hospital bed days</w:t>
            </w:r>
          </w:p>
        </w:tc>
        <w:tc>
          <w:tcPr>
            <w:tcW w:w="2039" w:type="dxa"/>
          </w:tcPr>
          <w:p w14:paraId="7BE68866" w14:textId="77777777" w:rsidR="00B86EE7" w:rsidRPr="00DB26B9" w:rsidRDefault="00B86EE7">
            <w:pPr>
              <w:spacing w:after="160" w:line="278" w:lineRule="auto"/>
            </w:pPr>
            <w:r w:rsidRPr="00DB26B9">
              <w:t>5.9</w:t>
            </w:r>
          </w:p>
        </w:tc>
        <w:tc>
          <w:tcPr>
            <w:tcW w:w="2039" w:type="dxa"/>
          </w:tcPr>
          <w:p w14:paraId="560B9A07" w14:textId="77777777" w:rsidR="00B86EE7" w:rsidRPr="00DB26B9" w:rsidRDefault="00B86EE7">
            <w:pPr>
              <w:spacing w:after="160" w:line="278" w:lineRule="auto"/>
            </w:pPr>
            <w:r w:rsidRPr="00DB26B9">
              <w:t>4.2</w:t>
            </w:r>
          </w:p>
        </w:tc>
        <w:tc>
          <w:tcPr>
            <w:tcW w:w="2039" w:type="dxa"/>
          </w:tcPr>
          <w:p w14:paraId="1620EAD1" w14:textId="77777777" w:rsidR="00B86EE7" w:rsidRPr="00DB26B9" w:rsidRDefault="00B86EE7">
            <w:pPr>
              <w:spacing w:after="160" w:line="278" w:lineRule="auto"/>
            </w:pPr>
            <w:r w:rsidRPr="00DB26B9">
              <w:t>15 per cent</w:t>
            </w:r>
          </w:p>
        </w:tc>
        <w:tc>
          <w:tcPr>
            <w:tcW w:w="2039" w:type="dxa"/>
          </w:tcPr>
          <w:p w14:paraId="07DD1977" w14:textId="77777777" w:rsidR="00B86EE7" w:rsidRPr="00DB26B9" w:rsidRDefault="00B86EE7">
            <w:pPr>
              <w:spacing w:after="160" w:line="278" w:lineRule="auto"/>
            </w:pPr>
            <w:r w:rsidRPr="00DB26B9">
              <w:t>29 per cent</w:t>
            </w:r>
          </w:p>
        </w:tc>
      </w:tr>
      <w:tr w:rsidR="00B86EE7" w:rsidRPr="00E05BFA" w14:paraId="109F3C32" w14:textId="77777777">
        <w:tc>
          <w:tcPr>
            <w:tcW w:w="2038" w:type="dxa"/>
          </w:tcPr>
          <w:p w14:paraId="09F91766" w14:textId="77777777" w:rsidR="00B86EE7" w:rsidRPr="00DB26B9" w:rsidRDefault="00B86EE7">
            <w:pPr>
              <w:spacing w:after="160" w:line="278" w:lineRule="auto"/>
            </w:pPr>
            <w:r w:rsidRPr="00DB26B9">
              <w:t>Convictions</w:t>
            </w:r>
          </w:p>
        </w:tc>
        <w:tc>
          <w:tcPr>
            <w:tcW w:w="2039" w:type="dxa"/>
          </w:tcPr>
          <w:p w14:paraId="3403597B" w14:textId="77777777" w:rsidR="00B86EE7" w:rsidRPr="00DB26B9" w:rsidRDefault="00B86EE7">
            <w:pPr>
              <w:spacing w:after="160" w:line="278" w:lineRule="auto"/>
            </w:pPr>
            <w:r w:rsidRPr="00DB26B9">
              <w:t>1.2</w:t>
            </w:r>
          </w:p>
        </w:tc>
        <w:tc>
          <w:tcPr>
            <w:tcW w:w="2039" w:type="dxa"/>
          </w:tcPr>
          <w:p w14:paraId="7F8C8AB6" w14:textId="77777777" w:rsidR="00B86EE7" w:rsidRPr="00DB26B9" w:rsidRDefault="00B86EE7">
            <w:pPr>
              <w:spacing w:after="160" w:line="278" w:lineRule="auto"/>
            </w:pPr>
            <w:r w:rsidRPr="00DB26B9">
              <w:t>0.8</w:t>
            </w:r>
          </w:p>
        </w:tc>
        <w:tc>
          <w:tcPr>
            <w:tcW w:w="2039" w:type="dxa"/>
          </w:tcPr>
          <w:p w14:paraId="4DB26FD0" w14:textId="77777777" w:rsidR="00B86EE7" w:rsidRPr="00DB26B9" w:rsidRDefault="00B86EE7">
            <w:pPr>
              <w:spacing w:after="160" w:line="278" w:lineRule="auto"/>
            </w:pPr>
            <w:r w:rsidRPr="00DB26B9">
              <w:t>15 per cent</w:t>
            </w:r>
          </w:p>
        </w:tc>
        <w:tc>
          <w:tcPr>
            <w:tcW w:w="2039" w:type="dxa"/>
          </w:tcPr>
          <w:p w14:paraId="5178569A" w14:textId="77777777" w:rsidR="00B86EE7" w:rsidRPr="00DB26B9" w:rsidRDefault="00B86EE7">
            <w:pPr>
              <w:spacing w:after="160" w:line="278" w:lineRule="auto"/>
            </w:pPr>
            <w:r w:rsidRPr="00DB26B9">
              <w:t xml:space="preserve">33 per cent </w:t>
            </w:r>
          </w:p>
        </w:tc>
      </w:tr>
      <w:tr w:rsidR="00B86EE7" w:rsidRPr="00E05BFA" w14:paraId="551F00B3" w14:textId="77777777">
        <w:tc>
          <w:tcPr>
            <w:tcW w:w="2038" w:type="dxa"/>
          </w:tcPr>
          <w:p w14:paraId="47D5135E" w14:textId="77777777" w:rsidR="00B86EE7" w:rsidRPr="00DB26B9" w:rsidRDefault="00B86EE7">
            <w:pPr>
              <w:spacing w:after="160" w:line="278" w:lineRule="auto"/>
            </w:pPr>
            <w:r w:rsidRPr="00DB26B9">
              <w:t>Accommodation periods</w:t>
            </w:r>
          </w:p>
        </w:tc>
        <w:tc>
          <w:tcPr>
            <w:tcW w:w="2039" w:type="dxa"/>
          </w:tcPr>
          <w:p w14:paraId="5454E8BF" w14:textId="77777777" w:rsidR="00B86EE7" w:rsidRPr="00DB26B9" w:rsidRDefault="00B86EE7">
            <w:pPr>
              <w:spacing w:after="160" w:line="278" w:lineRule="auto"/>
            </w:pPr>
            <w:r w:rsidRPr="00DB26B9">
              <w:t>1.1</w:t>
            </w:r>
          </w:p>
        </w:tc>
        <w:tc>
          <w:tcPr>
            <w:tcW w:w="2039" w:type="dxa"/>
          </w:tcPr>
          <w:p w14:paraId="5871BAEE" w14:textId="77777777" w:rsidR="00B86EE7" w:rsidRPr="00DB26B9" w:rsidRDefault="00B86EE7">
            <w:pPr>
              <w:spacing w:after="160" w:line="278" w:lineRule="auto"/>
            </w:pPr>
            <w:r w:rsidRPr="00DB26B9">
              <w:t>0.3</w:t>
            </w:r>
          </w:p>
        </w:tc>
        <w:tc>
          <w:tcPr>
            <w:tcW w:w="2039" w:type="dxa"/>
          </w:tcPr>
          <w:p w14:paraId="1E1D2A9C" w14:textId="77777777" w:rsidR="00B86EE7" w:rsidRPr="00DB26B9" w:rsidRDefault="00B86EE7">
            <w:pPr>
              <w:spacing w:after="160" w:line="278" w:lineRule="auto"/>
            </w:pPr>
            <w:r w:rsidRPr="00DB26B9">
              <w:t>50 per cent</w:t>
            </w:r>
          </w:p>
        </w:tc>
        <w:tc>
          <w:tcPr>
            <w:tcW w:w="2039" w:type="dxa"/>
          </w:tcPr>
          <w:p w14:paraId="5FF85698" w14:textId="77777777" w:rsidR="00B86EE7" w:rsidRPr="00DB26B9" w:rsidRDefault="00B86EE7">
            <w:pPr>
              <w:spacing w:after="160" w:line="278" w:lineRule="auto"/>
            </w:pPr>
            <w:r w:rsidRPr="00DB26B9">
              <w:t xml:space="preserve">73 per cent </w:t>
            </w:r>
          </w:p>
        </w:tc>
      </w:tr>
    </w:tbl>
    <w:p w14:paraId="216ABA0E" w14:textId="77777777" w:rsidR="00B86EE7" w:rsidRDefault="00B86EE7" w:rsidP="00B86EE7">
      <w:pPr>
        <w:spacing w:before="200"/>
      </w:pPr>
      <w:r>
        <w:t xml:space="preserve">Other metrics used to inform ongoing service delivery were the number of participants housed, the number of participants maintaining their housing and the number of job placements. An </w:t>
      </w:r>
      <w:hyperlink r:id="rId15">
        <w:r w:rsidRPr="57A79880">
          <w:rPr>
            <w:rStyle w:val="Hyperlink"/>
          </w:rPr>
          <w:t>evaluation</w:t>
        </w:r>
      </w:hyperlink>
      <w:r>
        <w:t xml:space="preserve"> was commissioned separately which measured a broad range of outcomes to better understand the effectiveness of the Aspire program and why it was effective.</w:t>
      </w:r>
    </w:p>
    <w:p w14:paraId="16707B90" w14:textId="77777777" w:rsidR="00B86EE7" w:rsidRDefault="00B86EE7" w:rsidP="00B86EE7">
      <w:pPr>
        <w:pStyle w:val="IntroductionQuote"/>
      </w:pPr>
    </w:p>
    <w:p w14:paraId="7440F9EF" w14:textId="77777777" w:rsidR="00B86EE7" w:rsidRDefault="00B86EE7" w:rsidP="00B86EE7">
      <w:pPr>
        <w:spacing w:after="240"/>
        <w:rPr>
          <w:rFonts w:asciiTheme="majorHAnsi" w:eastAsiaTheme="majorEastAsia" w:hAnsiTheme="majorHAnsi" w:cstheme="majorBidi"/>
          <w:bCs/>
          <w:color w:val="005A70" w:themeColor="accent1"/>
          <w:sz w:val="40"/>
          <w:szCs w:val="26"/>
        </w:rPr>
      </w:pPr>
      <w:r>
        <w:br w:type="page"/>
      </w:r>
    </w:p>
    <w:p w14:paraId="7BC12F9F" w14:textId="77777777" w:rsidR="00B86EE7" w:rsidRPr="00A0608D" w:rsidRDefault="00B86EE7" w:rsidP="00B86EE7">
      <w:pPr>
        <w:pStyle w:val="Heading2"/>
        <w:rPr>
          <w:b/>
          <w:bCs w:val="0"/>
        </w:rPr>
      </w:pPr>
      <w:r w:rsidRPr="00A0608D">
        <w:rPr>
          <w:b/>
          <w:bCs w:val="0"/>
        </w:rPr>
        <w:lastRenderedPageBreak/>
        <w:t xml:space="preserve">Case study 2: Greater Manchester Refugee Integration Partnership </w:t>
      </w:r>
    </w:p>
    <w:p w14:paraId="3D4CD2E2" w14:textId="77777777" w:rsidR="00B86EE7" w:rsidRDefault="00B86EE7" w:rsidP="00B86EE7">
      <w:pPr>
        <w:pStyle w:val="Heading3"/>
      </w:pPr>
      <w:r>
        <w:t>Overview</w:t>
      </w:r>
    </w:p>
    <w:p w14:paraId="47430623" w14:textId="77777777" w:rsidR="00B86EE7" w:rsidRDefault="00B86EE7" w:rsidP="00B86EE7">
      <w:pPr>
        <w:spacing w:after="160" w:line="278" w:lineRule="auto"/>
      </w:pPr>
      <w:r>
        <w:t xml:space="preserve">The </w:t>
      </w:r>
      <w:r w:rsidRPr="007D7DD8">
        <w:t>Greater Manchester Refugee Integration Partnership</w:t>
      </w:r>
      <w:r>
        <w:t xml:space="preserve"> aims to </w:t>
      </w:r>
      <w:r w:rsidRPr="0068067D">
        <w:t xml:space="preserve">increase the self-sufficiency and integration of newly granted refugees, helping them to move into work, learn English, access housing and build links in their local communities. </w:t>
      </w:r>
    </w:p>
    <w:p w14:paraId="714F44FA" w14:textId="77777777" w:rsidR="00B86EE7" w:rsidRDefault="00B86EE7" w:rsidP="00B86EE7">
      <w:pPr>
        <w:spacing w:after="160" w:line="278" w:lineRule="auto"/>
      </w:pPr>
      <w:r>
        <w:t>The commissioner</w:t>
      </w:r>
      <w:r w:rsidRPr="0068067D">
        <w:t xml:space="preserve"> </w:t>
      </w:r>
      <w:r>
        <w:t>(the UK Home Office), through the Refugee Transitions Outcomes Fund, is seeking to</w:t>
      </w:r>
      <w:r w:rsidRPr="0068067D">
        <w:t xml:space="preserve"> encourage new partnerships and evaluate activities to better understand what works for refugees</w:t>
      </w:r>
      <w:r>
        <w:t>.</w:t>
      </w:r>
    </w:p>
    <w:p w14:paraId="091629FA" w14:textId="77777777" w:rsidR="00B86EE7" w:rsidRDefault="00B86EE7" w:rsidP="00B86EE7">
      <w:pPr>
        <w:pStyle w:val="Heading3"/>
      </w:pPr>
      <w:r>
        <w:t>Outcome measurement</w:t>
      </w:r>
    </w:p>
    <w:p w14:paraId="325518BD" w14:textId="77777777" w:rsidR="00B86EE7" w:rsidRDefault="00B86EE7" w:rsidP="00B86EE7">
      <w:pPr>
        <w:spacing w:after="160" w:line="278" w:lineRule="auto"/>
      </w:pPr>
      <w:r>
        <w:t>There were eight outcome metrics linked to payments:</w:t>
      </w:r>
    </w:p>
    <w:p w14:paraId="05A2D7FD" w14:textId="77777777" w:rsidR="00B86EE7" w:rsidRPr="00E05BFA" w:rsidRDefault="00B86EE7" w:rsidP="00B86EE7">
      <w:pPr>
        <w:pStyle w:val="ListNumber"/>
        <w:numPr>
          <w:ilvl w:val="0"/>
          <w:numId w:val="21"/>
        </w:numPr>
      </w:pPr>
      <w:r w:rsidRPr="00E05BFA">
        <w:t>Intermediate employability outcome: undertaking volunteering or work experience alongside improvements on two further individualised employability targets</w:t>
      </w:r>
    </w:p>
    <w:p w14:paraId="5344C9C5" w14:textId="77777777" w:rsidR="00B86EE7" w:rsidRPr="00E05BFA" w:rsidRDefault="00B86EE7" w:rsidP="00B86EE7">
      <w:pPr>
        <w:pStyle w:val="ListNumber"/>
        <w:numPr>
          <w:ilvl w:val="0"/>
          <w:numId w:val="21"/>
        </w:numPr>
      </w:pPr>
      <w:r w:rsidRPr="00E05BFA">
        <w:t>Employment entry: entering employment or self-employment</w:t>
      </w:r>
    </w:p>
    <w:p w14:paraId="10FD61A3" w14:textId="77777777" w:rsidR="00B86EE7" w:rsidRPr="00E05BFA" w:rsidRDefault="00B86EE7" w:rsidP="00B86EE7">
      <w:pPr>
        <w:pStyle w:val="ListNumber"/>
        <w:numPr>
          <w:ilvl w:val="0"/>
          <w:numId w:val="21"/>
        </w:numPr>
      </w:pPr>
      <w:r w:rsidRPr="00E05BFA">
        <w:t>Employment sustained: sustaining employment or self-employment for three months</w:t>
      </w:r>
    </w:p>
    <w:p w14:paraId="6397603C" w14:textId="77777777" w:rsidR="00B86EE7" w:rsidRPr="00E05BFA" w:rsidRDefault="00B86EE7" w:rsidP="00B86EE7">
      <w:pPr>
        <w:pStyle w:val="ListNumber"/>
        <w:numPr>
          <w:ilvl w:val="0"/>
          <w:numId w:val="21"/>
        </w:numPr>
      </w:pPr>
      <w:r w:rsidRPr="00E05BFA">
        <w:t>Housing entry: entering safe and secure accommodation</w:t>
      </w:r>
    </w:p>
    <w:p w14:paraId="4153DC93" w14:textId="77777777" w:rsidR="00B86EE7" w:rsidRPr="00E05BFA" w:rsidRDefault="00B86EE7" w:rsidP="00B86EE7">
      <w:pPr>
        <w:pStyle w:val="ListNumber"/>
        <w:numPr>
          <w:ilvl w:val="0"/>
          <w:numId w:val="21"/>
        </w:numPr>
      </w:pPr>
      <w:r w:rsidRPr="00E05BFA">
        <w:t>Housing sustained: sustaining housing for three months</w:t>
      </w:r>
    </w:p>
    <w:p w14:paraId="4941DA21" w14:textId="77777777" w:rsidR="00B86EE7" w:rsidRPr="00E05BFA" w:rsidRDefault="00B86EE7" w:rsidP="00B86EE7">
      <w:pPr>
        <w:pStyle w:val="ListNumber"/>
        <w:numPr>
          <w:ilvl w:val="0"/>
          <w:numId w:val="21"/>
        </w:numPr>
      </w:pPr>
      <w:r w:rsidRPr="00E05BFA">
        <w:t>Integration plan: completing a person-centred individualised integration plan covering all areas relevant to their integration journey</w:t>
      </w:r>
    </w:p>
    <w:p w14:paraId="7E59FEF3" w14:textId="77777777" w:rsidR="00B86EE7" w:rsidRPr="00E05BFA" w:rsidRDefault="00B86EE7" w:rsidP="00B86EE7">
      <w:pPr>
        <w:pStyle w:val="ListNumber"/>
        <w:numPr>
          <w:ilvl w:val="0"/>
          <w:numId w:val="21"/>
        </w:numPr>
      </w:pPr>
      <w:r w:rsidRPr="00E05BFA">
        <w:t>Six-month integration improvement: completed individualised integration plan, with improvement on two or more six-month progress targets</w:t>
      </w:r>
    </w:p>
    <w:p w14:paraId="5D969DBF" w14:textId="77777777" w:rsidR="00B86EE7" w:rsidRPr="00E05BFA" w:rsidRDefault="00B86EE7" w:rsidP="00B86EE7">
      <w:pPr>
        <w:pStyle w:val="ListNumber"/>
        <w:numPr>
          <w:ilvl w:val="0"/>
          <w:numId w:val="21"/>
        </w:numPr>
      </w:pPr>
      <w:r w:rsidRPr="00E05BFA">
        <w:t>Twelve-month integration improvement: completed individualised integration plan, with improvement on two or more 12-month progress targets</w:t>
      </w:r>
      <w:r>
        <w:t>.</w:t>
      </w:r>
    </w:p>
    <w:p w14:paraId="762E90C2" w14:textId="77777777" w:rsidR="00B86EE7" w:rsidRDefault="00B86EE7" w:rsidP="00B86EE7">
      <w:r>
        <w:t xml:space="preserve">These outcome metrics were not measured relative to a counterfactual for the purpose of determining payments. </w:t>
      </w:r>
    </w:p>
    <w:p w14:paraId="737463A6" w14:textId="77777777" w:rsidR="00B86EE7" w:rsidRDefault="00B86EE7" w:rsidP="00B86EE7">
      <w:r>
        <w:t xml:space="preserve">The </w:t>
      </w:r>
      <w:hyperlink r:id="rId16" w:anchor="social-impact-bond-design-and-effects">
        <w:r w:rsidRPr="57A79880">
          <w:rPr>
            <w:rStyle w:val="Hyperlink"/>
          </w:rPr>
          <w:t>evaluation</w:t>
        </w:r>
      </w:hyperlink>
      <w:r>
        <w:t xml:space="preserve"> of the Refugee Transitions Outcomes Fund considers the impact of the initiative relative to a matched control group.</w:t>
      </w:r>
    </w:p>
    <w:p w14:paraId="531FDD33" w14:textId="77777777" w:rsidR="00B86EE7" w:rsidRPr="00D05BD7" w:rsidRDefault="00B86EE7" w:rsidP="00B86EE7">
      <w:pPr>
        <w:pStyle w:val="Heading2"/>
        <w:rPr>
          <w:b/>
          <w:bCs w:val="0"/>
        </w:rPr>
      </w:pPr>
      <w:r w:rsidRPr="00D05BD7">
        <w:rPr>
          <w:b/>
          <w:bCs w:val="0"/>
        </w:rPr>
        <w:t>Learn more</w:t>
      </w:r>
    </w:p>
    <w:p w14:paraId="0875DE26" w14:textId="77777777" w:rsidR="00B86EE7" w:rsidRPr="00942526" w:rsidRDefault="00B86EE7" w:rsidP="00B86EE7">
      <w:pPr>
        <w:pStyle w:val="ListParagraph"/>
        <w:pBdr>
          <w:top w:val="single" w:sz="36" w:space="1" w:color="C1E4F5"/>
          <w:left w:val="single" w:sz="36" w:space="4" w:color="C1E4F5"/>
          <w:bottom w:val="single" w:sz="36" w:space="1" w:color="C1E4F5"/>
          <w:right w:val="single" w:sz="36" w:space="4" w:color="C1E4F5"/>
        </w:pBdr>
        <w:rPr>
          <w:b/>
          <w:bCs/>
        </w:rPr>
      </w:pPr>
      <w:r w:rsidRPr="00942526">
        <w:t xml:space="preserve">Understand the basics of outcomes-based contracting in </w:t>
      </w:r>
      <w:r w:rsidRPr="00942526">
        <w:rPr>
          <w:b/>
          <w:bCs/>
        </w:rPr>
        <w:t>Introduction to outcomes-based contracting</w:t>
      </w:r>
    </w:p>
    <w:p w14:paraId="2CD80B82" w14:textId="77777777" w:rsidR="00B86EE7" w:rsidRPr="00942526" w:rsidRDefault="00B86EE7" w:rsidP="00B86EE7">
      <w:pPr>
        <w:pStyle w:val="ListParagraph"/>
        <w:pBdr>
          <w:top w:val="single" w:sz="36" w:space="1" w:color="C1E4F5"/>
          <w:left w:val="single" w:sz="36" w:space="4" w:color="C1E4F5"/>
          <w:bottom w:val="single" w:sz="36" w:space="1" w:color="C1E4F5"/>
          <w:right w:val="single" w:sz="36" w:space="4" w:color="C1E4F5"/>
        </w:pBdr>
      </w:pPr>
      <w:r w:rsidRPr="00942526">
        <w:t xml:space="preserve">Define who a service is for in </w:t>
      </w:r>
      <w:r w:rsidRPr="00942526">
        <w:rPr>
          <w:b/>
          <w:bCs/>
        </w:rPr>
        <w:t>Identifying a Target Cohort</w:t>
      </w:r>
    </w:p>
    <w:p w14:paraId="773E3A70" w14:textId="77777777" w:rsidR="00B86EE7" w:rsidRPr="00942526" w:rsidRDefault="00B86EE7" w:rsidP="00B86EE7">
      <w:pPr>
        <w:pStyle w:val="ListParagraph"/>
        <w:pBdr>
          <w:top w:val="single" w:sz="36" w:space="1" w:color="C1E4F5"/>
          <w:left w:val="single" w:sz="36" w:space="4" w:color="C1E4F5"/>
          <w:bottom w:val="single" w:sz="36" w:space="1" w:color="C1E4F5"/>
          <w:right w:val="single" w:sz="36" w:space="4" w:color="C1E4F5"/>
        </w:pBdr>
      </w:pPr>
      <w:r w:rsidRPr="00942526">
        <w:t xml:space="preserve">Identify indicators of real-world changes that align with your policy objectives in </w:t>
      </w:r>
      <w:r w:rsidRPr="00942526">
        <w:rPr>
          <w:b/>
          <w:bCs/>
        </w:rPr>
        <w:t>Defining Outcome Metrics</w:t>
      </w:r>
    </w:p>
    <w:p w14:paraId="2954CE14" w14:textId="77777777" w:rsidR="00B86EE7" w:rsidRPr="00942526" w:rsidRDefault="00B86EE7" w:rsidP="00B86EE7">
      <w:pPr>
        <w:pStyle w:val="ListParagraph"/>
        <w:pBdr>
          <w:top w:val="single" w:sz="36" w:space="1" w:color="C1E4F5"/>
          <w:left w:val="single" w:sz="36" w:space="4" w:color="C1E4F5"/>
          <w:bottom w:val="single" w:sz="36" w:space="1" w:color="C1E4F5"/>
          <w:right w:val="single" w:sz="36" w:space="4" w:color="C1E4F5"/>
        </w:pBdr>
      </w:pPr>
      <w:r>
        <w:t>D</w:t>
      </w:r>
      <w:r w:rsidRPr="00942526">
        <w:t xml:space="preserve">etermine how much to pay for an outcome in </w:t>
      </w:r>
      <w:r w:rsidRPr="00942526">
        <w:rPr>
          <w:b/>
          <w:bCs/>
        </w:rPr>
        <w:t>Pricing Outcomes</w:t>
      </w:r>
    </w:p>
    <w:p w14:paraId="7D316FDA" w14:textId="70B17CB2" w:rsidR="00B86EE7" w:rsidRPr="00C3691A" w:rsidRDefault="00B86EE7" w:rsidP="00C3691A">
      <w:pPr>
        <w:pStyle w:val="ListParagraph"/>
        <w:pBdr>
          <w:top w:val="single" w:sz="36" w:space="1" w:color="C1E4F5"/>
          <w:left w:val="single" w:sz="36" w:space="4" w:color="C1E4F5"/>
          <w:bottom w:val="single" w:sz="36" w:space="1" w:color="C1E4F5"/>
          <w:right w:val="single" w:sz="36" w:space="4" w:color="C1E4F5"/>
        </w:pBdr>
      </w:pPr>
      <w:r w:rsidRPr="00942526">
        <w:t xml:space="preserve">Self-assess your readiness for outcomes-based contracting in the </w:t>
      </w:r>
      <w:r w:rsidRPr="00942526">
        <w:rPr>
          <w:b/>
          <w:bCs/>
        </w:rPr>
        <w:t>Readiness Checklist</w:t>
      </w:r>
    </w:p>
    <w:p w14:paraId="1DDB7F18" w14:textId="77777777" w:rsidR="002A4D16" w:rsidRPr="00ED1335" w:rsidRDefault="002A4D16" w:rsidP="00C3691A"/>
    <w:sectPr w:rsidR="002A4D16" w:rsidRPr="00ED1335" w:rsidSect="00D55FB9">
      <w:headerReference w:type="default" r:id="rId17"/>
      <w:headerReference w:type="first" r:id="rId18"/>
      <w:footerReference w:type="first" r:id="rId19"/>
      <w:pgSz w:w="11906" w:h="16838"/>
      <w:pgMar w:top="851" w:right="851" w:bottom="851" w:left="851" w:header="0" w:footer="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78E1" w14:textId="77777777" w:rsidR="00591991" w:rsidRDefault="00591991" w:rsidP="008F3023">
      <w:pPr>
        <w:spacing w:after="0" w:line="240" w:lineRule="auto"/>
      </w:pPr>
      <w:r>
        <w:separator/>
      </w:r>
    </w:p>
  </w:endnote>
  <w:endnote w:type="continuationSeparator" w:id="0">
    <w:p w14:paraId="19698E66" w14:textId="77777777" w:rsidR="00591991" w:rsidRDefault="00591991" w:rsidP="008F3023">
      <w:pPr>
        <w:spacing w:after="0" w:line="240" w:lineRule="auto"/>
      </w:pPr>
      <w:r>
        <w:continuationSeparator/>
      </w:r>
    </w:p>
  </w:endnote>
  <w:endnote w:type="continuationNotice" w:id="1">
    <w:p w14:paraId="70EB6BBF" w14:textId="77777777" w:rsidR="00591991" w:rsidRDefault="005919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64BA" w14:textId="77777777" w:rsidR="00B86EE7" w:rsidRDefault="00B86EE7" w:rsidP="00D86E50">
    <w:pPr>
      <w:tabs>
        <w:tab w:val="left" w:pos="3040"/>
      </w:tabs>
      <w:jc w:val="center"/>
    </w:pPr>
    <w:r>
      <w:rPr>
        <w:noProof/>
        <w:color w:val="2B579A"/>
        <w:shd w:val="clear" w:color="auto" w:fill="E6E6E6"/>
        <w:lang w:eastAsia="en-AU"/>
      </w:rPr>
      <w:drawing>
        <wp:anchor distT="0" distB="0" distL="114300" distR="114300" simplePos="0" relativeHeight="251658250" behindDoc="1" locked="0" layoutInCell="1" allowOverlap="1" wp14:anchorId="57219BA8" wp14:editId="3F5D5AE4">
          <wp:simplePos x="0" y="0"/>
          <wp:positionH relativeFrom="page">
            <wp:posOffset>34945</wp:posOffset>
          </wp:positionH>
          <wp:positionV relativeFrom="page">
            <wp:align>bottom</wp:align>
          </wp:positionV>
          <wp:extent cx="7574400" cy="1184400"/>
          <wp:effectExtent l="0" t="0" r="7620" b="0"/>
          <wp:wrapNone/>
          <wp:docPr id="1217396851" name="Picture 121739685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083569074"/>
        <w:docPartObj>
          <w:docPartGallery w:val="Page Numbers (Bottom of Page)"/>
          <w:docPartUnique/>
        </w:docPartObj>
      </w:sdtPr>
      <w:sdtEndPr>
        <w:rPr>
          <w:noProof/>
          <w:color w:val="auto"/>
          <w:shd w:val="clear" w:color="auto" w:fill="auto"/>
        </w:rPr>
      </w:sdtEndPr>
      <w:sdtContent/>
    </w:sdt>
  </w:p>
  <w:p w14:paraId="45B10910" w14:textId="77777777" w:rsidR="00B86EE7" w:rsidRDefault="00B86EE7" w:rsidP="00B10EB1">
    <w:pPr>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B036" w14:textId="77777777" w:rsidR="00D55FB9" w:rsidRDefault="00D55FB9" w:rsidP="00D86E50">
    <w:pPr>
      <w:tabs>
        <w:tab w:val="left" w:pos="3040"/>
      </w:tabs>
      <w:jc w:val="center"/>
    </w:pPr>
    <w:r>
      <w:rPr>
        <w:noProof/>
        <w:color w:val="2B579A"/>
        <w:shd w:val="clear" w:color="auto" w:fill="E6E6E6"/>
        <w:lang w:eastAsia="en-AU"/>
      </w:rPr>
      <w:drawing>
        <wp:anchor distT="0" distB="0" distL="114300" distR="114300" simplePos="0" relativeHeight="251658246" behindDoc="1" locked="0" layoutInCell="1" allowOverlap="1" wp14:anchorId="26B740BF" wp14:editId="5F3BB5C7">
          <wp:simplePos x="0" y="0"/>
          <wp:positionH relativeFrom="page">
            <wp:posOffset>34945</wp:posOffset>
          </wp:positionH>
          <wp:positionV relativeFrom="page">
            <wp:align>bottom</wp:align>
          </wp:positionV>
          <wp:extent cx="7574400" cy="1184400"/>
          <wp:effectExtent l="0" t="0" r="7620" b="0"/>
          <wp:wrapNone/>
          <wp:docPr id="1562187584" name="Picture 156218758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650632416"/>
        <w:docPartObj>
          <w:docPartGallery w:val="Page Numbers (Bottom of Page)"/>
          <w:docPartUnique/>
        </w:docPartObj>
      </w:sdtPr>
      <w:sdtEndPr>
        <w:rPr>
          <w:noProof/>
          <w:color w:val="auto"/>
          <w:shd w:val="clear" w:color="auto" w:fill="auto"/>
        </w:rPr>
      </w:sdtEndPr>
      <w:sdtContent/>
    </w:sdt>
  </w:p>
  <w:p w14:paraId="3901D3BF" w14:textId="77777777" w:rsidR="00D55FB9" w:rsidRDefault="00D55FB9"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3CF84" w14:textId="77777777" w:rsidR="00591991" w:rsidRDefault="00591991" w:rsidP="008F3023">
      <w:pPr>
        <w:spacing w:after="0" w:line="240" w:lineRule="auto"/>
      </w:pPr>
      <w:r>
        <w:separator/>
      </w:r>
    </w:p>
  </w:footnote>
  <w:footnote w:type="continuationSeparator" w:id="0">
    <w:p w14:paraId="2A5253EF" w14:textId="77777777" w:rsidR="00591991" w:rsidRDefault="00591991" w:rsidP="008F3023">
      <w:pPr>
        <w:spacing w:after="0" w:line="240" w:lineRule="auto"/>
      </w:pPr>
      <w:r>
        <w:continuationSeparator/>
      </w:r>
    </w:p>
  </w:footnote>
  <w:footnote w:type="continuationNotice" w:id="1">
    <w:p w14:paraId="1EEF9280" w14:textId="77777777" w:rsidR="00591991" w:rsidRDefault="005919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CE2BE" w14:textId="77777777" w:rsidR="00B86EE7" w:rsidRDefault="00B86EE7" w:rsidP="000E29D7">
    <w:pPr>
      <w:pStyle w:val="Header"/>
    </w:pPr>
    <w:r>
      <w:rPr>
        <w:noProof/>
        <w:shd w:val="clear" w:color="auto" w:fill="E6E6E6"/>
        <w:lang w:eastAsia="en-AU"/>
      </w:rPr>
      <w:drawing>
        <wp:anchor distT="0" distB="0" distL="114300" distR="114300" simplePos="0" relativeHeight="251658249" behindDoc="1" locked="0" layoutInCell="1" allowOverlap="1" wp14:anchorId="588D4E19" wp14:editId="3FF9FC42">
          <wp:simplePos x="0" y="0"/>
          <wp:positionH relativeFrom="page">
            <wp:align>left</wp:align>
          </wp:positionH>
          <wp:positionV relativeFrom="page">
            <wp:align>bottom</wp:align>
          </wp:positionV>
          <wp:extent cx="7563600" cy="1184400"/>
          <wp:effectExtent l="0" t="0" r="0" b="0"/>
          <wp:wrapNone/>
          <wp:docPr id="1516942768" name="Picture 151694276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4E62" w14:textId="77777777" w:rsidR="00B86EE7" w:rsidRDefault="00B86EE7" w:rsidP="000E2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4478" w14:textId="77777777" w:rsidR="00D55FB9" w:rsidRDefault="00D55FB9" w:rsidP="000E29D7">
    <w:pPr>
      <w:pStyle w:val="Header"/>
    </w:pPr>
    <w:r>
      <w:rPr>
        <w:noProof/>
        <w:shd w:val="clear" w:color="auto" w:fill="E6E6E6"/>
        <w:lang w:eastAsia="en-AU"/>
      </w:rPr>
      <w:drawing>
        <wp:anchor distT="0" distB="0" distL="114300" distR="114300" simplePos="0" relativeHeight="251658245" behindDoc="1" locked="0" layoutInCell="1" allowOverlap="1" wp14:anchorId="2061FBE6" wp14:editId="6A09796C">
          <wp:simplePos x="0" y="0"/>
          <wp:positionH relativeFrom="page">
            <wp:align>left</wp:align>
          </wp:positionH>
          <wp:positionV relativeFrom="page">
            <wp:align>bottom</wp:align>
          </wp:positionV>
          <wp:extent cx="7563600" cy="1184400"/>
          <wp:effectExtent l="0" t="0" r="0" b="0"/>
          <wp:wrapNone/>
          <wp:docPr id="237759878" name="Picture 23775987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2065" w14:textId="77777777" w:rsidR="00D55FB9" w:rsidRDefault="00D55FB9" w:rsidP="000E2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81B2546"/>
    <w:multiLevelType w:val="hybridMultilevel"/>
    <w:tmpl w:val="6DE2E4BA"/>
    <w:lvl w:ilvl="0" w:tplc="7450AB30">
      <w:start w:val="1"/>
      <w:numFmt w:val="bullet"/>
      <w:pStyle w:val="ListParagraph"/>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0DF057C3"/>
    <w:multiLevelType w:val="multilevel"/>
    <w:tmpl w:val="9FDEB948"/>
    <w:numStyleLink w:val="DSSBulletList"/>
  </w:abstractNum>
  <w:abstractNum w:abstractNumId="4"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223805"/>
    <w:multiLevelType w:val="multilevel"/>
    <w:tmpl w:val="9FDEB948"/>
    <w:numStyleLink w:val="DSSBulletList"/>
  </w:abstractNum>
  <w:abstractNum w:abstractNumId="11" w15:restartNumberingAfterBreak="0">
    <w:nsid w:val="49824738"/>
    <w:multiLevelType w:val="multilevel"/>
    <w:tmpl w:val="9FDEB948"/>
    <w:numStyleLink w:val="DSSBulletList"/>
  </w:abstractNum>
  <w:abstractNum w:abstractNumId="12" w15:restartNumberingAfterBreak="0">
    <w:nsid w:val="49CC697D"/>
    <w:multiLevelType w:val="hybridMultilevel"/>
    <w:tmpl w:val="5498A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6" w15:restartNumberingAfterBreak="0">
    <w:nsid w:val="76074ECA"/>
    <w:multiLevelType w:val="multilevel"/>
    <w:tmpl w:val="9FDEB948"/>
    <w:numStyleLink w:val="DSSBulletList"/>
  </w:abstractNum>
  <w:abstractNum w:abstractNumId="17"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2047410955">
    <w:abstractNumId w:val="17"/>
  </w:num>
  <w:num w:numId="2" w16cid:durableId="603616384">
    <w:abstractNumId w:val="15"/>
  </w:num>
  <w:num w:numId="3" w16cid:durableId="1776898335">
    <w:abstractNumId w:val="1"/>
  </w:num>
  <w:num w:numId="4" w16cid:durableId="2095198095">
    <w:abstractNumId w:val="8"/>
  </w:num>
  <w:num w:numId="5" w16cid:durableId="1272399657">
    <w:abstractNumId w:val="14"/>
  </w:num>
  <w:num w:numId="6" w16cid:durableId="49574427">
    <w:abstractNumId w:val="7"/>
  </w:num>
  <w:num w:numId="7" w16cid:durableId="1516722866">
    <w:abstractNumId w:val="4"/>
  </w:num>
  <w:num w:numId="8" w16cid:durableId="164823704">
    <w:abstractNumId w:val="6"/>
  </w:num>
  <w:num w:numId="9" w16cid:durableId="1422482963">
    <w:abstractNumId w:val="13"/>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1"/>
  </w:num>
  <w:num w:numId="13" w16cid:durableId="1936858350">
    <w:abstractNumId w:val="5"/>
  </w:num>
  <w:num w:numId="14" w16cid:durableId="1314525174">
    <w:abstractNumId w:val="9"/>
  </w:num>
  <w:num w:numId="15" w16cid:durableId="843473068">
    <w:abstractNumId w:val="16"/>
  </w:num>
  <w:num w:numId="16" w16cid:durableId="287008484">
    <w:abstractNumId w:val="3"/>
  </w:num>
  <w:num w:numId="17" w16cid:durableId="2046100428">
    <w:abstractNumId w:val="10"/>
  </w:num>
  <w:num w:numId="18" w16cid:durableId="1585528455">
    <w:abstractNumId w:val="2"/>
  </w:num>
  <w:num w:numId="19" w16cid:durableId="1475247350">
    <w:abstractNumId w:val="12"/>
  </w:num>
  <w:num w:numId="20" w16cid:durableId="1760132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3006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2A4"/>
    <w:rsid w:val="00000825"/>
    <w:rsid w:val="00000AB1"/>
    <w:rsid w:val="00002557"/>
    <w:rsid w:val="00003F94"/>
    <w:rsid w:val="000058F1"/>
    <w:rsid w:val="000140B8"/>
    <w:rsid w:val="00014BD3"/>
    <w:rsid w:val="00022D58"/>
    <w:rsid w:val="000317E3"/>
    <w:rsid w:val="000318B7"/>
    <w:rsid w:val="00033C4F"/>
    <w:rsid w:val="000378C4"/>
    <w:rsid w:val="00037D97"/>
    <w:rsid w:val="00037E3E"/>
    <w:rsid w:val="0004140D"/>
    <w:rsid w:val="00044684"/>
    <w:rsid w:val="00046C31"/>
    <w:rsid w:val="00054F5F"/>
    <w:rsid w:val="00056709"/>
    <w:rsid w:val="00060714"/>
    <w:rsid w:val="00064140"/>
    <w:rsid w:val="00065A13"/>
    <w:rsid w:val="00065DCF"/>
    <w:rsid w:val="00071364"/>
    <w:rsid w:val="0007287E"/>
    <w:rsid w:val="00074080"/>
    <w:rsid w:val="00074AED"/>
    <w:rsid w:val="000750D2"/>
    <w:rsid w:val="00076284"/>
    <w:rsid w:val="00076901"/>
    <w:rsid w:val="00076F36"/>
    <w:rsid w:val="00081610"/>
    <w:rsid w:val="00083939"/>
    <w:rsid w:val="00091ABE"/>
    <w:rsid w:val="000A0235"/>
    <w:rsid w:val="000A4799"/>
    <w:rsid w:val="000B5EF5"/>
    <w:rsid w:val="000B6BDD"/>
    <w:rsid w:val="000B7635"/>
    <w:rsid w:val="000B7D80"/>
    <w:rsid w:val="000C2499"/>
    <w:rsid w:val="000C35D0"/>
    <w:rsid w:val="000C4A0F"/>
    <w:rsid w:val="000D0755"/>
    <w:rsid w:val="000D10E7"/>
    <w:rsid w:val="000D1B63"/>
    <w:rsid w:val="000D5965"/>
    <w:rsid w:val="000E28C0"/>
    <w:rsid w:val="000E29D7"/>
    <w:rsid w:val="000E6227"/>
    <w:rsid w:val="000F2B5A"/>
    <w:rsid w:val="000F5B57"/>
    <w:rsid w:val="000F7266"/>
    <w:rsid w:val="000F75FC"/>
    <w:rsid w:val="00130233"/>
    <w:rsid w:val="001510D7"/>
    <w:rsid w:val="0015124A"/>
    <w:rsid w:val="001573F3"/>
    <w:rsid w:val="00157A93"/>
    <w:rsid w:val="00161696"/>
    <w:rsid w:val="00173731"/>
    <w:rsid w:val="001803F7"/>
    <w:rsid w:val="001843EB"/>
    <w:rsid w:val="001856A3"/>
    <w:rsid w:val="00186709"/>
    <w:rsid w:val="001900B2"/>
    <w:rsid w:val="00192AB5"/>
    <w:rsid w:val="001A3D35"/>
    <w:rsid w:val="001A4AF9"/>
    <w:rsid w:val="001A7461"/>
    <w:rsid w:val="001B2BF6"/>
    <w:rsid w:val="001B4C2A"/>
    <w:rsid w:val="001C422E"/>
    <w:rsid w:val="001C4603"/>
    <w:rsid w:val="001C64F8"/>
    <w:rsid w:val="001D0F6D"/>
    <w:rsid w:val="001E39FC"/>
    <w:rsid w:val="001E60D6"/>
    <w:rsid w:val="001E630D"/>
    <w:rsid w:val="001F5ED6"/>
    <w:rsid w:val="001F5EF5"/>
    <w:rsid w:val="001F6546"/>
    <w:rsid w:val="002011E5"/>
    <w:rsid w:val="00201C6D"/>
    <w:rsid w:val="002141E1"/>
    <w:rsid w:val="00214210"/>
    <w:rsid w:val="00214738"/>
    <w:rsid w:val="002172D9"/>
    <w:rsid w:val="002203A1"/>
    <w:rsid w:val="0022162B"/>
    <w:rsid w:val="002226D0"/>
    <w:rsid w:val="00223FA8"/>
    <w:rsid w:val="00225112"/>
    <w:rsid w:val="002346B5"/>
    <w:rsid w:val="00235DB6"/>
    <w:rsid w:val="002408DC"/>
    <w:rsid w:val="00240A6E"/>
    <w:rsid w:val="00240F02"/>
    <w:rsid w:val="00242D59"/>
    <w:rsid w:val="0024524B"/>
    <w:rsid w:val="00247CA9"/>
    <w:rsid w:val="002532C0"/>
    <w:rsid w:val="00254A70"/>
    <w:rsid w:val="00261DE6"/>
    <w:rsid w:val="00262CDD"/>
    <w:rsid w:val="002642B1"/>
    <w:rsid w:val="00265257"/>
    <w:rsid w:val="00266145"/>
    <w:rsid w:val="00266B26"/>
    <w:rsid w:val="00266B95"/>
    <w:rsid w:val="00267A25"/>
    <w:rsid w:val="002700BB"/>
    <w:rsid w:val="0027075A"/>
    <w:rsid w:val="002707B6"/>
    <w:rsid w:val="002755A4"/>
    <w:rsid w:val="00275EA9"/>
    <w:rsid w:val="00281C99"/>
    <w:rsid w:val="00281DFB"/>
    <w:rsid w:val="00282835"/>
    <w:rsid w:val="00295471"/>
    <w:rsid w:val="00295934"/>
    <w:rsid w:val="00297FC8"/>
    <w:rsid w:val="002A40F5"/>
    <w:rsid w:val="002A4D16"/>
    <w:rsid w:val="002A6F61"/>
    <w:rsid w:val="002A75DF"/>
    <w:rsid w:val="002B3CC6"/>
    <w:rsid w:val="002B58B9"/>
    <w:rsid w:val="002B626A"/>
    <w:rsid w:val="002B7002"/>
    <w:rsid w:val="002D32AA"/>
    <w:rsid w:val="002E0DD3"/>
    <w:rsid w:val="002E17BD"/>
    <w:rsid w:val="002E4F38"/>
    <w:rsid w:val="002F2AD3"/>
    <w:rsid w:val="002F4CF8"/>
    <w:rsid w:val="002F667C"/>
    <w:rsid w:val="003021F2"/>
    <w:rsid w:val="00303B38"/>
    <w:rsid w:val="003042A4"/>
    <w:rsid w:val="003100E1"/>
    <w:rsid w:val="00311FC7"/>
    <w:rsid w:val="00314451"/>
    <w:rsid w:val="003166E0"/>
    <w:rsid w:val="00317169"/>
    <w:rsid w:val="00317746"/>
    <w:rsid w:val="003212D9"/>
    <w:rsid w:val="00323667"/>
    <w:rsid w:val="003271F0"/>
    <w:rsid w:val="00330E3E"/>
    <w:rsid w:val="00331639"/>
    <w:rsid w:val="00331DEA"/>
    <w:rsid w:val="00335A14"/>
    <w:rsid w:val="00337926"/>
    <w:rsid w:val="003420D0"/>
    <w:rsid w:val="003443F5"/>
    <w:rsid w:val="00347279"/>
    <w:rsid w:val="003475B6"/>
    <w:rsid w:val="00347FE0"/>
    <w:rsid w:val="0035380D"/>
    <w:rsid w:val="00353E11"/>
    <w:rsid w:val="00355D7B"/>
    <w:rsid w:val="00360364"/>
    <w:rsid w:val="0036088A"/>
    <w:rsid w:val="003616E2"/>
    <w:rsid w:val="00363FD6"/>
    <w:rsid w:val="00364F48"/>
    <w:rsid w:val="0037774B"/>
    <w:rsid w:val="0038044C"/>
    <w:rsid w:val="003978F7"/>
    <w:rsid w:val="003A2512"/>
    <w:rsid w:val="003A3A9A"/>
    <w:rsid w:val="003A70C3"/>
    <w:rsid w:val="003A7612"/>
    <w:rsid w:val="003B0678"/>
    <w:rsid w:val="003B0D19"/>
    <w:rsid w:val="003B2BB8"/>
    <w:rsid w:val="003B4AE0"/>
    <w:rsid w:val="003B6F90"/>
    <w:rsid w:val="003B6FAF"/>
    <w:rsid w:val="003B7424"/>
    <w:rsid w:val="003C1645"/>
    <w:rsid w:val="003C2331"/>
    <w:rsid w:val="003C7303"/>
    <w:rsid w:val="003D34FF"/>
    <w:rsid w:val="003D62C8"/>
    <w:rsid w:val="003E03F8"/>
    <w:rsid w:val="003E0A57"/>
    <w:rsid w:val="003E0CA7"/>
    <w:rsid w:val="003E10A6"/>
    <w:rsid w:val="003E2B62"/>
    <w:rsid w:val="003E7673"/>
    <w:rsid w:val="003E7EEE"/>
    <w:rsid w:val="003F0661"/>
    <w:rsid w:val="003F112C"/>
    <w:rsid w:val="0040002F"/>
    <w:rsid w:val="00403055"/>
    <w:rsid w:val="00405B20"/>
    <w:rsid w:val="00415340"/>
    <w:rsid w:val="00415B6C"/>
    <w:rsid w:val="004220FC"/>
    <w:rsid w:val="004243F2"/>
    <w:rsid w:val="004262FC"/>
    <w:rsid w:val="0043026A"/>
    <w:rsid w:val="00431278"/>
    <w:rsid w:val="00433480"/>
    <w:rsid w:val="004354C2"/>
    <w:rsid w:val="004354E6"/>
    <w:rsid w:val="00437B00"/>
    <w:rsid w:val="00440CB8"/>
    <w:rsid w:val="00441FD7"/>
    <w:rsid w:val="00443697"/>
    <w:rsid w:val="0044466B"/>
    <w:rsid w:val="00451C7E"/>
    <w:rsid w:val="0045365D"/>
    <w:rsid w:val="004555D5"/>
    <w:rsid w:val="00461033"/>
    <w:rsid w:val="00466DDB"/>
    <w:rsid w:val="0047044E"/>
    <w:rsid w:val="00471275"/>
    <w:rsid w:val="00471456"/>
    <w:rsid w:val="0047261D"/>
    <w:rsid w:val="00480D3E"/>
    <w:rsid w:val="00481EAA"/>
    <w:rsid w:val="004837A4"/>
    <w:rsid w:val="00486EC0"/>
    <w:rsid w:val="00490516"/>
    <w:rsid w:val="00490F3B"/>
    <w:rsid w:val="00491310"/>
    <w:rsid w:val="004950F6"/>
    <w:rsid w:val="00496E3D"/>
    <w:rsid w:val="004A2151"/>
    <w:rsid w:val="004B0B76"/>
    <w:rsid w:val="004B0B9F"/>
    <w:rsid w:val="004B2E9B"/>
    <w:rsid w:val="004B5025"/>
    <w:rsid w:val="004B54CA"/>
    <w:rsid w:val="004B653B"/>
    <w:rsid w:val="004B668F"/>
    <w:rsid w:val="004D1314"/>
    <w:rsid w:val="004D3573"/>
    <w:rsid w:val="004D7310"/>
    <w:rsid w:val="004E047A"/>
    <w:rsid w:val="004E11B4"/>
    <w:rsid w:val="004E356E"/>
    <w:rsid w:val="004E5CBF"/>
    <w:rsid w:val="004E6837"/>
    <w:rsid w:val="004E7A2C"/>
    <w:rsid w:val="004F2660"/>
    <w:rsid w:val="004F77F4"/>
    <w:rsid w:val="0050098E"/>
    <w:rsid w:val="0050168B"/>
    <w:rsid w:val="00504273"/>
    <w:rsid w:val="00504EB8"/>
    <w:rsid w:val="00506976"/>
    <w:rsid w:val="005072B0"/>
    <w:rsid w:val="00510D2D"/>
    <w:rsid w:val="00515ED5"/>
    <w:rsid w:val="0051729F"/>
    <w:rsid w:val="005175B2"/>
    <w:rsid w:val="00517AE4"/>
    <w:rsid w:val="00522101"/>
    <w:rsid w:val="005312DA"/>
    <w:rsid w:val="0053302E"/>
    <w:rsid w:val="00542B4F"/>
    <w:rsid w:val="005434F8"/>
    <w:rsid w:val="0054621C"/>
    <w:rsid w:val="0054713E"/>
    <w:rsid w:val="0055103D"/>
    <w:rsid w:val="005543A8"/>
    <w:rsid w:val="00560CBA"/>
    <w:rsid w:val="00563A40"/>
    <w:rsid w:val="0056473D"/>
    <w:rsid w:val="00567053"/>
    <w:rsid w:val="0057132D"/>
    <w:rsid w:val="0057328C"/>
    <w:rsid w:val="005806F6"/>
    <w:rsid w:val="005812D4"/>
    <w:rsid w:val="00581BB7"/>
    <w:rsid w:val="00584048"/>
    <w:rsid w:val="00584763"/>
    <w:rsid w:val="00584FC1"/>
    <w:rsid w:val="00586246"/>
    <w:rsid w:val="005877DC"/>
    <w:rsid w:val="0059023E"/>
    <w:rsid w:val="00591991"/>
    <w:rsid w:val="005957FF"/>
    <w:rsid w:val="00597852"/>
    <w:rsid w:val="005A344F"/>
    <w:rsid w:val="005A425A"/>
    <w:rsid w:val="005A5C09"/>
    <w:rsid w:val="005A7503"/>
    <w:rsid w:val="005A7CD2"/>
    <w:rsid w:val="005B06DE"/>
    <w:rsid w:val="005B2DCB"/>
    <w:rsid w:val="005B40DC"/>
    <w:rsid w:val="005C3275"/>
    <w:rsid w:val="005C3AA9"/>
    <w:rsid w:val="005C5644"/>
    <w:rsid w:val="005C76C7"/>
    <w:rsid w:val="005C77C4"/>
    <w:rsid w:val="005D1F2B"/>
    <w:rsid w:val="005D6069"/>
    <w:rsid w:val="005E4AD4"/>
    <w:rsid w:val="005E4DAE"/>
    <w:rsid w:val="005E6F55"/>
    <w:rsid w:val="005F2041"/>
    <w:rsid w:val="005F5EEF"/>
    <w:rsid w:val="005F6612"/>
    <w:rsid w:val="00605D02"/>
    <w:rsid w:val="006074EA"/>
    <w:rsid w:val="00613437"/>
    <w:rsid w:val="0061442B"/>
    <w:rsid w:val="0061493E"/>
    <w:rsid w:val="00620AB0"/>
    <w:rsid w:val="00623095"/>
    <w:rsid w:val="00624250"/>
    <w:rsid w:val="00626821"/>
    <w:rsid w:val="00631A2C"/>
    <w:rsid w:val="0063297E"/>
    <w:rsid w:val="00633A89"/>
    <w:rsid w:val="00633DF9"/>
    <w:rsid w:val="006345EC"/>
    <w:rsid w:val="00637929"/>
    <w:rsid w:val="00643CDC"/>
    <w:rsid w:val="006443A1"/>
    <w:rsid w:val="006516C1"/>
    <w:rsid w:val="00653C0D"/>
    <w:rsid w:val="006550CC"/>
    <w:rsid w:val="006555B8"/>
    <w:rsid w:val="00655B3F"/>
    <w:rsid w:val="00656AC7"/>
    <w:rsid w:val="00672307"/>
    <w:rsid w:val="00672E73"/>
    <w:rsid w:val="00682546"/>
    <w:rsid w:val="00683BC0"/>
    <w:rsid w:val="00686716"/>
    <w:rsid w:val="00687921"/>
    <w:rsid w:val="00693D27"/>
    <w:rsid w:val="00696CFE"/>
    <w:rsid w:val="006A0A46"/>
    <w:rsid w:val="006A0E3C"/>
    <w:rsid w:val="006A30E8"/>
    <w:rsid w:val="006A3896"/>
    <w:rsid w:val="006A4CE7"/>
    <w:rsid w:val="006A7DD3"/>
    <w:rsid w:val="006B2D84"/>
    <w:rsid w:val="006B4B38"/>
    <w:rsid w:val="006B6B62"/>
    <w:rsid w:val="006C3D8F"/>
    <w:rsid w:val="006C4EE3"/>
    <w:rsid w:val="006C574D"/>
    <w:rsid w:val="006D161A"/>
    <w:rsid w:val="006D2DA3"/>
    <w:rsid w:val="006D3A23"/>
    <w:rsid w:val="006D622A"/>
    <w:rsid w:val="006E2FE7"/>
    <w:rsid w:val="006E6CA9"/>
    <w:rsid w:val="006E6DFC"/>
    <w:rsid w:val="006F0354"/>
    <w:rsid w:val="006F1FBB"/>
    <w:rsid w:val="006F3D9C"/>
    <w:rsid w:val="00701BB6"/>
    <w:rsid w:val="007041A6"/>
    <w:rsid w:val="007065F3"/>
    <w:rsid w:val="007260C3"/>
    <w:rsid w:val="0072678E"/>
    <w:rsid w:val="0073320E"/>
    <w:rsid w:val="0074190C"/>
    <w:rsid w:val="00743028"/>
    <w:rsid w:val="00746215"/>
    <w:rsid w:val="0074698A"/>
    <w:rsid w:val="00746E03"/>
    <w:rsid w:val="007519B0"/>
    <w:rsid w:val="00752533"/>
    <w:rsid w:val="00753F03"/>
    <w:rsid w:val="00755DA3"/>
    <w:rsid w:val="007626E6"/>
    <w:rsid w:val="00765A7C"/>
    <w:rsid w:val="00772E81"/>
    <w:rsid w:val="00782AFF"/>
    <w:rsid w:val="00785261"/>
    <w:rsid w:val="007929FE"/>
    <w:rsid w:val="00794157"/>
    <w:rsid w:val="00795CEA"/>
    <w:rsid w:val="00796D42"/>
    <w:rsid w:val="007A291F"/>
    <w:rsid w:val="007A4309"/>
    <w:rsid w:val="007B0256"/>
    <w:rsid w:val="007B11F7"/>
    <w:rsid w:val="007C366C"/>
    <w:rsid w:val="007C3D2E"/>
    <w:rsid w:val="007D052A"/>
    <w:rsid w:val="007D08AA"/>
    <w:rsid w:val="007D1091"/>
    <w:rsid w:val="007D1C2F"/>
    <w:rsid w:val="007D30A2"/>
    <w:rsid w:val="007E007C"/>
    <w:rsid w:val="007E05B4"/>
    <w:rsid w:val="007E24B1"/>
    <w:rsid w:val="007E3959"/>
    <w:rsid w:val="007E3B8B"/>
    <w:rsid w:val="007F1F66"/>
    <w:rsid w:val="008006FC"/>
    <w:rsid w:val="008009CA"/>
    <w:rsid w:val="00802C26"/>
    <w:rsid w:val="0080363D"/>
    <w:rsid w:val="008063AF"/>
    <w:rsid w:val="00807463"/>
    <w:rsid w:val="00813D63"/>
    <w:rsid w:val="00815A31"/>
    <w:rsid w:val="0082068B"/>
    <w:rsid w:val="0082155A"/>
    <w:rsid w:val="00831FDD"/>
    <w:rsid w:val="00833F75"/>
    <w:rsid w:val="00837F4E"/>
    <w:rsid w:val="0084227C"/>
    <w:rsid w:val="0084343F"/>
    <w:rsid w:val="00846A82"/>
    <w:rsid w:val="0084725D"/>
    <w:rsid w:val="0085088E"/>
    <w:rsid w:val="00850C04"/>
    <w:rsid w:val="00850D92"/>
    <w:rsid w:val="008565DF"/>
    <w:rsid w:val="0085710F"/>
    <w:rsid w:val="008607EC"/>
    <w:rsid w:val="00862EAA"/>
    <w:rsid w:val="00862F90"/>
    <w:rsid w:val="00863E37"/>
    <w:rsid w:val="0086610A"/>
    <w:rsid w:val="00871AEF"/>
    <w:rsid w:val="00874643"/>
    <w:rsid w:val="0087623E"/>
    <w:rsid w:val="00876CA6"/>
    <w:rsid w:val="00877018"/>
    <w:rsid w:val="008800E4"/>
    <w:rsid w:val="008905FD"/>
    <w:rsid w:val="008916D6"/>
    <w:rsid w:val="00891E2F"/>
    <w:rsid w:val="008978D2"/>
    <w:rsid w:val="008A371C"/>
    <w:rsid w:val="008B0DF4"/>
    <w:rsid w:val="008B210B"/>
    <w:rsid w:val="008C3726"/>
    <w:rsid w:val="008C4502"/>
    <w:rsid w:val="008C4CC4"/>
    <w:rsid w:val="008D251A"/>
    <w:rsid w:val="008D3758"/>
    <w:rsid w:val="008D64FA"/>
    <w:rsid w:val="008E0C72"/>
    <w:rsid w:val="008E0EB6"/>
    <w:rsid w:val="008E4D22"/>
    <w:rsid w:val="008E6DCA"/>
    <w:rsid w:val="008F1038"/>
    <w:rsid w:val="008F3023"/>
    <w:rsid w:val="008F43DF"/>
    <w:rsid w:val="008F64D8"/>
    <w:rsid w:val="009017CE"/>
    <w:rsid w:val="009225F0"/>
    <w:rsid w:val="009243E7"/>
    <w:rsid w:val="0093440B"/>
    <w:rsid w:val="00942FBB"/>
    <w:rsid w:val="0094563F"/>
    <w:rsid w:val="00946B15"/>
    <w:rsid w:val="009537D0"/>
    <w:rsid w:val="00964F9F"/>
    <w:rsid w:val="00965A72"/>
    <w:rsid w:val="009708AC"/>
    <w:rsid w:val="0097193C"/>
    <w:rsid w:val="00972BF1"/>
    <w:rsid w:val="00974CB2"/>
    <w:rsid w:val="00980419"/>
    <w:rsid w:val="00983F8D"/>
    <w:rsid w:val="00986A3A"/>
    <w:rsid w:val="00987714"/>
    <w:rsid w:val="0099173B"/>
    <w:rsid w:val="00996415"/>
    <w:rsid w:val="009A69F9"/>
    <w:rsid w:val="009B26D3"/>
    <w:rsid w:val="009B53F5"/>
    <w:rsid w:val="009B5AB3"/>
    <w:rsid w:val="009B678B"/>
    <w:rsid w:val="009B717B"/>
    <w:rsid w:val="009C061B"/>
    <w:rsid w:val="009C1CCA"/>
    <w:rsid w:val="009D1D5F"/>
    <w:rsid w:val="009D2616"/>
    <w:rsid w:val="009D2DF8"/>
    <w:rsid w:val="009D3CCB"/>
    <w:rsid w:val="009D4AC2"/>
    <w:rsid w:val="009E4E3C"/>
    <w:rsid w:val="009E60C1"/>
    <w:rsid w:val="009E716D"/>
    <w:rsid w:val="009F2BBA"/>
    <w:rsid w:val="009F6D01"/>
    <w:rsid w:val="00A007BA"/>
    <w:rsid w:val="00A00F5B"/>
    <w:rsid w:val="00A0183C"/>
    <w:rsid w:val="00A03850"/>
    <w:rsid w:val="00A10431"/>
    <w:rsid w:val="00A13549"/>
    <w:rsid w:val="00A17555"/>
    <w:rsid w:val="00A2362A"/>
    <w:rsid w:val="00A2568C"/>
    <w:rsid w:val="00A27493"/>
    <w:rsid w:val="00A32CF0"/>
    <w:rsid w:val="00A33761"/>
    <w:rsid w:val="00A40E7B"/>
    <w:rsid w:val="00A4334C"/>
    <w:rsid w:val="00A43B99"/>
    <w:rsid w:val="00A43E66"/>
    <w:rsid w:val="00A4462B"/>
    <w:rsid w:val="00A51123"/>
    <w:rsid w:val="00A536F0"/>
    <w:rsid w:val="00A5538B"/>
    <w:rsid w:val="00A6075B"/>
    <w:rsid w:val="00A6317F"/>
    <w:rsid w:val="00A64212"/>
    <w:rsid w:val="00A646C7"/>
    <w:rsid w:val="00A70393"/>
    <w:rsid w:val="00A74769"/>
    <w:rsid w:val="00A77A75"/>
    <w:rsid w:val="00A80DE0"/>
    <w:rsid w:val="00A80F37"/>
    <w:rsid w:val="00A82B75"/>
    <w:rsid w:val="00A85365"/>
    <w:rsid w:val="00A8695E"/>
    <w:rsid w:val="00A87353"/>
    <w:rsid w:val="00A96A71"/>
    <w:rsid w:val="00AA7226"/>
    <w:rsid w:val="00AB1B09"/>
    <w:rsid w:val="00AB62CC"/>
    <w:rsid w:val="00AB7A99"/>
    <w:rsid w:val="00AC3B9D"/>
    <w:rsid w:val="00AD01EF"/>
    <w:rsid w:val="00AD40D3"/>
    <w:rsid w:val="00AD627F"/>
    <w:rsid w:val="00AD6700"/>
    <w:rsid w:val="00AD7FE8"/>
    <w:rsid w:val="00AF3E16"/>
    <w:rsid w:val="00AF4893"/>
    <w:rsid w:val="00AF49DE"/>
    <w:rsid w:val="00AF77F3"/>
    <w:rsid w:val="00B00752"/>
    <w:rsid w:val="00B023DA"/>
    <w:rsid w:val="00B03625"/>
    <w:rsid w:val="00B07572"/>
    <w:rsid w:val="00B10EA9"/>
    <w:rsid w:val="00B10EB1"/>
    <w:rsid w:val="00B13414"/>
    <w:rsid w:val="00B20FAD"/>
    <w:rsid w:val="00B22D01"/>
    <w:rsid w:val="00B246E8"/>
    <w:rsid w:val="00B25125"/>
    <w:rsid w:val="00B27B13"/>
    <w:rsid w:val="00B31B91"/>
    <w:rsid w:val="00B31D33"/>
    <w:rsid w:val="00B33B57"/>
    <w:rsid w:val="00B3459A"/>
    <w:rsid w:val="00B346B8"/>
    <w:rsid w:val="00B36B86"/>
    <w:rsid w:val="00B37603"/>
    <w:rsid w:val="00B413E1"/>
    <w:rsid w:val="00B42C8F"/>
    <w:rsid w:val="00B44F9B"/>
    <w:rsid w:val="00B47909"/>
    <w:rsid w:val="00B53619"/>
    <w:rsid w:val="00B60557"/>
    <w:rsid w:val="00B6542A"/>
    <w:rsid w:val="00B6576E"/>
    <w:rsid w:val="00B67360"/>
    <w:rsid w:val="00B709CD"/>
    <w:rsid w:val="00B71EDF"/>
    <w:rsid w:val="00B72C3F"/>
    <w:rsid w:val="00B73DE4"/>
    <w:rsid w:val="00B760FC"/>
    <w:rsid w:val="00B772ED"/>
    <w:rsid w:val="00B77C4D"/>
    <w:rsid w:val="00B820CD"/>
    <w:rsid w:val="00B82B32"/>
    <w:rsid w:val="00B85379"/>
    <w:rsid w:val="00B854AC"/>
    <w:rsid w:val="00B8586C"/>
    <w:rsid w:val="00B86EE7"/>
    <w:rsid w:val="00B9016B"/>
    <w:rsid w:val="00B9168F"/>
    <w:rsid w:val="00B9464D"/>
    <w:rsid w:val="00BA2BCD"/>
    <w:rsid w:val="00BA2DB9"/>
    <w:rsid w:val="00BA5842"/>
    <w:rsid w:val="00BA621C"/>
    <w:rsid w:val="00BA6A09"/>
    <w:rsid w:val="00BB03A8"/>
    <w:rsid w:val="00BB16A6"/>
    <w:rsid w:val="00BB3295"/>
    <w:rsid w:val="00BC04D2"/>
    <w:rsid w:val="00BC0A30"/>
    <w:rsid w:val="00BC15CB"/>
    <w:rsid w:val="00BC5AB7"/>
    <w:rsid w:val="00BC79CD"/>
    <w:rsid w:val="00BE0F6F"/>
    <w:rsid w:val="00BE32B9"/>
    <w:rsid w:val="00BE7148"/>
    <w:rsid w:val="00BF5DFB"/>
    <w:rsid w:val="00BF63F9"/>
    <w:rsid w:val="00C01536"/>
    <w:rsid w:val="00C01A26"/>
    <w:rsid w:val="00C027B8"/>
    <w:rsid w:val="00C05BA9"/>
    <w:rsid w:val="00C12215"/>
    <w:rsid w:val="00C1717A"/>
    <w:rsid w:val="00C175D2"/>
    <w:rsid w:val="00C21EA2"/>
    <w:rsid w:val="00C24D7F"/>
    <w:rsid w:val="00C27ABB"/>
    <w:rsid w:val="00C35257"/>
    <w:rsid w:val="00C35E9A"/>
    <w:rsid w:val="00C36523"/>
    <w:rsid w:val="00C3691A"/>
    <w:rsid w:val="00C4058D"/>
    <w:rsid w:val="00C4285D"/>
    <w:rsid w:val="00C438A6"/>
    <w:rsid w:val="00C44430"/>
    <w:rsid w:val="00C44F69"/>
    <w:rsid w:val="00C513D3"/>
    <w:rsid w:val="00C53EA0"/>
    <w:rsid w:val="00C55DE7"/>
    <w:rsid w:val="00C57001"/>
    <w:rsid w:val="00C636DE"/>
    <w:rsid w:val="00C64C40"/>
    <w:rsid w:val="00C66FE4"/>
    <w:rsid w:val="00C70067"/>
    <w:rsid w:val="00C706B9"/>
    <w:rsid w:val="00C7347B"/>
    <w:rsid w:val="00C74C90"/>
    <w:rsid w:val="00C76B3D"/>
    <w:rsid w:val="00C80AD5"/>
    <w:rsid w:val="00C83B47"/>
    <w:rsid w:val="00C83C98"/>
    <w:rsid w:val="00C83E2B"/>
    <w:rsid w:val="00C93AD3"/>
    <w:rsid w:val="00C95077"/>
    <w:rsid w:val="00C95E29"/>
    <w:rsid w:val="00CA5D88"/>
    <w:rsid w:val="00CA7B5F"/>
    <w:rsid w:val="00CB4F0C"/>
    <w:rsid w:val="00CB7101"/>
    <w:rsid w:val="00CB718C"/>
    <w:rsid w:val="00CB74B3"/>
    <w:rsid w:val="00CC4E91"/>
    <w:rsid w:val="00CC58D6"/>
    <w:rsid w:val="00CD182A"/>
    <w:rsid w:val="00CE0B04"/>
    <w:rsid w:val="00CE1CB4"/>
    <w:rsid w:val="00CE381E"/>
    <w:rsid w:val="00CE4A1F"/>
    <w:rsid w:val="00CF24AA"/>
    <w:rsid w:val="00CF3D71"/>
    <w:rsid w:val="00CF77DE"/>
    <w:rsid w:val="00D004FE"/>
    <w:rsid w:val="00D00D51"/>
    <w:rsid w:val="00D04BD0"/>
    <w:rsid w:val="00D066BF"/>
    <w:rsid w:val="00D1071A"/>
    <w:rsid w:val="00D22A8A"/>
    <w:rsid w:val="00D2619A"/>
    <w:rsid w:val="00D33ED2"/>
    <w:rsid w:val="00D40593"/>
    <w:rsid w:val="00D40E65"/>
    <w:rsid w:val="00D412B9"/>
    <w:rsid w:val="00D41698"/>
    <w:rsid w:val="00D42A88"/>
    <w:rsid w:val="00D431EE"/>
    <w:rsid w:val="00D44DF6"/>
    <w:rsid w:val="00D5528C"/>
    <w:rsid w:val="00D55FB9"/>
    <w:rsid w:val="00D63D1B"/>
    <w:rsid w:val="00D666DD"/>
    <w:rsid w:val="00D67522"/>
    <w:rsid w:val="00D71C54"/>
    <w:rsid w:val="00D74ED3"/>
    <w:rsid w:val="00D83803"/>
    <w:rsid w:val="00D83A7C"/>
    <w:rsid w:val="00D86E50"/>
    <w:rsid w:val="00D90D3C"/>
    <w:rsid w:val="00D91F38"/>
    <w:rsid w:val="00D92320"/>
    <w:rsid w:val="00D971D2"/>
    <w:rsid w:val="00DA1B31"/>
    <w:rsid w:val="00DA1C73"/>
    <w:rsid w:val="00DA33DB"/>
    <w:rsid w:val="00DA66C1"/>
    <w:rsid w:val="00DA7B4A"/>
    <w:rsid w:val="00DB012A"/>
    <w:rsid w:val="00DB145C"/>
    <w:rsid w:val="00DB33E4"/>
    <w:rsid w:val="00DB5374"/>
    <w:rsid w:val="00DC61A0"/>
    <w:rsid w:val="00DD6202"/>
    <w:rsid w:val="00DD68AB"/>
    <w:rsid w:val="00DD78EE"/>
    <w:rsid w:val="00DF2A97"/>
    <w:rsid w:val="00DF32A0"/>
    <w:rsid w:val="00DF6274"/>
    <w:rsid w:val="00DF7996"/>
    <w:rsid w:val="00E14443"/>
    <w:rsid w:val="00E179DE"/>
    <w:rsid w:val="00E30C3C"/>
    <w:rsid w:val="00E312EE"/>
    <w:rsid w:val="00E3231C"/>
    <w:rsid w:val="00E51EF1"/>
    <w:rsid w:val="00E52261"/>
    <w:rsid w:val="00E57B48"/>
    <w:rsid w:val="00E62182"/>
    <w:rsid w:val="00E643E0"/>
    <w:rsid w:val="00E708BB"/>
    <w:rsid w:val="00E73015"/>
    <w:rsid w:val="00E761A2"/>
    <w:rsid w:val="00E82B90"/>
    <w:rsid w:val="00E83946"/>
    <w:rsid w:val="00E857CA"/>
    <w:rsid w:val="00E858A7"/>
    <w:rsid w:val="00E86439"/>
    <w:rsid w:val="00E922F7"/>
    <w:rsid w:val="00E9285A"/>
    <w:rsid w:val="00E943B5"/>
    <w:rsid w:val="00E956B6"/>
    <w:rsid w:val="00E96198"/>
    <w:rsid w:val="00E975C4"/>
    <w:rsid w:val="00EA2DD9"/>
    <w:rsid w:val="00EA4098"/>
    <w:rsid w:val="00EA550A"/>
    <w:rsid w:val="00EA66F0"/>
    <w:rsid w:val="00EA7E8C"/>
    <w:rsid w:val="00EB268B"/>
    <w:rsid w:val="00EB7949"/>
    <w:rsid w:val="00EC4845"/>
    <w:rsid w:val="00EC66E0"/>
    <w:rsid w:val="00EC7AD6"/>
    <w:rsid w:val="00ED1335"/>
    <w:rsid w:val="00ED3F6A"/>
    <w:rsid w:val="00ED5372"/>
    <w:rsid w:val="00EE1878"/>
    <w:rsid w:val="00EE3834"/>
    <w:rsid w:val="00EE5D6C"/>
    <w:rsid w:val="00EE67D9"/>
    <w:rsid w:val="00EE68BA"/>
    <w:rsid w:val="00EF3823"/>
    <w:rsid w:val="00EF39C1"/>
    <w:rsid w:val="00F00217"/>
    <w:rsid w:val="00F047F4"/>
    <w:rsid w:val="00F07D2D"/>
    <w:rsid w:val="00F1131E"/>
    <w:rsid w:val="00F12BA1"/>
    <w:rsid w:val="00F148C2"/>
    <w:rsid w:val="00F15211"/>
    <w:rsid w:val="00F212CF"/>
    <w:rsid w:val="00F30908"/>
    <w:rsid w:val="00F32AAD"/>
    <w:rsid w:val="00F37C38"/>
    <w:rsid w:val="00F429E8"/>
    <w:rsid w:val="00F42CAA"/>
    <w:rsid w:val="00F44F79"/>
    <w:rsid w:val="00F47F8D"/>
    <w:rsid w:val="00F510E9"/>
    <w:rsid w:val="00F54F33"/>
    <w:rsid w:val="00F67A3B"/>
    <w:rsid w:val="00F71D70"/>
    <w:rsid w:val="00F75927"/>
    <w:rsid w:val="00F76B8C"/>
    <w:rsid w:val="00F8010C"/>
    <w:rsid w:val="00F824BF"/>
    <w:rsid w:val="00F8470A"/>
    <w:rsid w:val="00F85669"/>
    <w:rsid w:val="00F8611B"/>
    <w:rsid w:val="00F90893"/>
    <w:rsid w:val="00F9442B"/>
    <w:rsid w:val="00F95B97"/>
    <w:rsid w:val="00F9682D"/>
    <w:rsid w:val="00FA1012"/>
    <w:rsid w:val="00FA3DB0"/>
    <w:rsid w:val="00FA6E65"/>
    <w:rsid w:val="00FA7485"/>
    <w:rsid w:val="00FC024E"/>
    <w:rsid w:val="00FC077A"/>
    <w:rsid w:val="00FC143A"/>
    <w:rsid w:val="00FC2061"/>
    <w:rsid w:val="00FC3918"/>
    <w:rsid w:val="00FC3B25"/>
    <w:rsid w:val="00FC63F4"/>
    <w:rsid w:val="00FD044A"/>
    <w:rsid w:val="00FD2261"/>
    <w:rsid w:val="00FD4942"/>
    <w:rsid w:val="00FE61A6"/>
    <w:rsid w:val="00FF0451"/>
    <w:rsid w:val="00FF1799"/>
    <w:rsid w:val="00FF725E"/>
    <w:rsid w:val="014FB1F8"/>
    <w:rsid w:val="068EA2F5"/>
    <w:rsid w:val="096DCFB4"/>
    <w:rsid w:val="0B59FB43"/>
    <w:rsid w:val="0C14AD34"/>
    <w:rsid w:val="0C1BFFD5"/>
    <w:rsid w:val="0E733FAA"/>
    <w:rsid w:val="10CF72F3"/>
    <w:rsid w:val="11CCDF7C"/>
    <w:rsid w:val="136FC976"/>
    <w:rsid w:val="17125896"/>
    <w:rsid w:val="174938E2"/>
    <w:rsid w:val="182A0E5E"/>
    <w:rsid w:val="189879E4"/>
    <w:rsid w:val="18E31F4A"/>
    <w:rsid w:val="1A3AE779"/>
    <w:rsid w:val="1B91FC10"/>
    <w:rsid w:val="1D9C7050"/>
    <w:rsid w:val="21464EED"/>
    <w:rsid w:val="21D5E852"/>
    <w:rsid w:val="25CCE2EA"/>
    <w:rsid w:val="290A7FDC"/>
    <w:rsid w:val="29D36F66"/>
    <w:rsid w:val="2AFEF7F5"/>
    <w:rsid w:val="2C6A3497"/>
    <w:rsid w:val="2D23EF3C"/>
    <w:rsid w:val="2E98F6AA"/>
    <w:rsid w:val="2F9E847B"/>
    <w:rsid w:val="306E402D"/>
    <w:rsid w:val="31896D02"/>
    <w:rsid w:val="3219DFA7"/>
    <w:rsid w:val="3377B29A"/>
    <w:rsid w:val="3459DF24"/>
    <w:rsid w:val="372F1835"/>
    <w:rsid w:val="3866B465"/>
    <w:rsid w:val="3A7FB428"/>
    <w:rsid w:val="3AA965EB"/>
    <w:rsid w:val="3CC0D4E7"/>
    <w:rsid w:val="3E3752C6"/>
    <w:rsid w:val="40CFA155"/>
    <w:rsid w:val="41502695"/>
    <w:rsid w:val="42225BE8"/>
    <w:rsid w:val="442674DB"/>
    <w:rsid w:val="464DBA66"/>
    <w:rsid w:val="465C3ED3"/>
    <w:rsid w:val="471ED88E"/>
    <w:rsid w:val="476B8657"/>
    <w:rsid w:val="48364D7B"/>
    <w:rsid w:val="48D7BB4B"/>
    <w:rsid w:val="4BD5BBFA"/>
    <w:rsid w:val="4DBEF9D8"/>
    <w:rsid w:val="50C0BA66"/>
    <w:rsid w:val="52FA9528"/>
    <w:rsid w:val="54427CFA"/>
    <w:rsid w:val="546CB281"/>
    <w:rsid w:val="550AD02D"/>
    <w:rsid w:val="5648A2B7"/>
    <w:rsid w:val="57043F0C"/>
    <w:rsid w:val="57300A29"/>
    <w:rsid w:val="575D09F8"/>
    <w:rsid w:val="577B1E08"/>
    <w:rsid w:val="578FF03F"/>
    <w:rsid w:val="58CA459B"/>
    <w:rsid w:val="594B4E62"/>
    <w:rsid w:val="5A938DCF"/>
    <w:rsid w:val="5B76AA6C"/>
    <w:rsid w:val="5CC604C0"/>
    <w:rsid w:val="5D72E918"/>
    <w:rsid w:val="5DF3C9BF"/>
    <w:rsid w:val="5F9C7D64"/>
    <w:rsid w:val="61D2FE1C"/>
    <w:rsid w:val="6311ECF1"/>
    <w:rsid w:val="632CD531"/>
    <w:rsid w:val="65A8ED72"/>
    <w:rsid w:val="66DE13FD"/>
    <w:rsid w:val="688A7F69"/>
    <w:rsid w:val="6AD254AA"/>
    <w:rsid w:val="6DD067B2"/>
    <w:rsid w:val="6E2985F7"/>
    <w:rsid w:val="7163C15C"/>
    <w:rsid w:val="719EED2C"/>
    <w:rsid w:val="722DEEB9"/>
    <w:rsid w:val="726DFE74"/>
    <w:rsid w:val="7419CBEA"/>
    <w:rsid w:val="74D4A23C"/>
    <w:rsid w:val="78C7853B"/>
    <w:rsid w:val="7A473925"/>
    <w:rsid w:val="7AD5B5DC"/>
    <w:rsid w:val="7C267E7C"/>
    <w:rsid w:val="7E7CAB0B"/>
    <w:rsid w:val="7F6232E3"/>
    <w:rsid w:val="7F6B5789"/>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4333D"/>
  <w15:docId w15:val="{67EAFAB2-97C0-4D50-A2D0-304D1D1D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Subtitle"/>
    <w:next w:val="Normal"/>
    <w:link w:val="Heading1Char"/>
    <w:uiPriority w:val="9"/>
    <w:qFormat/>
    <w:rsid w:val="00056709"/>
    <w:pPr>
      <w:outlineLvl w:val="0"/>
    </w:pPr>
  </w:style>
  <w:style w:type="paragraph" w:styleId="Heading2">
    <w:name w:val="heading 2"/>
    <w:basedOn w:val="Normal"/>
    <w:next w:val="Normal"/>
    <w:link w:val="Heading2Char"/>
    <w:uiPriority w:val="2"/>
    <w:qFormat/>
    <w:rsid w:val="0045365D"/>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365D"/>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709"/>
    <w:rPr>
      <w:rFonts w:asciiTheme="majorHAnsi" w:eastAsiaTheme="majorEastAsia" w:hAnsiTheme="majorHAnsi" w:cstheme="majorBidi"/>
      <w:iCs/>
      <w:color w:val="000000" w:themeColor="text1"/>
      <w:spacing w:val="6"/>
      <w:sz w:val="32"/>
    </w:rPr>
  </w:style>
  <w:style w:type="character" w:customStyle="1" w:styleId="Heading2Char">
    <w:name w:val="Heading 2 Char"/>
    <w:basedOn w:val="DefaultParagraphFont"/>
    <w:link w:val="Heading2"/>
    <w:uiPriority w:val="2"/>
    <w:rsid w:val="0045365D"/>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365D"/>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Subtitle"/>
    <w:next w:val="Subtitle"/>
    <w:uiPriority w:val="9"/>
    <w:rsid w:val="001B4C2A"/>
    <w:pPr>
      <w:spacing w:before="360" w:after="0"/>
      <w:contextualSpacing/>
      <w:outlineLvl w:val="0"/>
    </w:pPr>
    <w:rPr>
      <w:b/>
      <w:bCs/>
      <w:iCs w:val="0"/>
      <w:color w:val="005A70" w:themeColor="accent1"/>
      <w:spacing w:val="3"/>
      <w:sz w:val="60"/>
      <w:szCs w:val="28"/>
    </w:rPr>
  </w:style>
  <w:style w:type="paragraph" w:styleId="Subtitle">
    <w:name w:val="Subtitle"/>
    <w:basedOn w:val="Normal"/>
    <w:next w:val="Normal"/>
    <w:link w:val="SubtitleChar"/>
    <w:uiPriority w:val="9"/>
    <w:qFormat/>
    <w:rsid w:val="003E7673"/>
    <w:pPr>
      <w:spacing w:after="480" w:line="240" w:lineRule="auto"/>
    </w:pPr>
    <w:rPr>
      <w:rFonts w:asciiTheme="majorHAnsi" w:eastAsiaTheme="majorEastAsia" w:hAnsiTheme="majorHAnsi" w:cstheme="majorBidi"/>
      <w:iCs/>
      <w:color w:val="000000" w:themeColor="text1"/>
      <w:spacing w:val="6"/>
      <w:sz w:val="32"/>
    </w:rPr>
  </w:style>
  <w:style w:type="character" w:customStyle="1" w:styleId="SubtitleChar">
    <w:name w:val="Subtitle Char"/>
    <w:basedOn w:val="DefaultParagraphFont"/>
    <w:link w:val="Subtitle"/>
    <w:uiPriority w:val="9"/>
    <w:rsid w:val="003E7673"/>
    <w:rPr>
      <w:rFonts w:asciiTheme="majorHAnsi" w:eastAsiaTheme="majorEastAsia" w:hAnsiTheme="majorHAnsi" w:cstheme="majorBidi"/>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833F75"/>
    <w:pPr>
      <w:spacing w:after="120"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6E6CA9"/>
    <w:pPr>
      <w:numPr>
        <w:numId w:val="18"/>
      </w:numPr>
      <w:spacing w:after="160" w:line="278" w:lineRule="auto"/>
      <w:ind w:left="284" w:hanging="284"/>
      <w:contextualSpacing/>
    </w:pPr>
    <w:rPr>
      <w:szCs w:val="22"/>
    </w:r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3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Heading1withsubtitle"/>
    <w:next w:val="Normal"/>
    <w:link w:val="TitleChar"/>
    <w:uiPriority w:val="10"/>
    <w:unhideWhenUsed/>
    <w:qFormat/>
    <w:rsid w:val="00056709"/>
  </w:style>
  <w:style w:type="character" w:customStyle="1" w:styleId="TitleChar">
    <w:name w:val="Title Char"/>
    <w:basedOn w:val="DefaultParagraphFont"/>
    <w:link w:val="Title"/>
    <w:uiPriority w:val="10"/>
    <w:rsid w:val="00056709"/>
    <w:rPr>
      <w:rFonts w:asciiTheme="majorHAnsi" w:eastAsiaTheme="majorEastAsia" w:hAnsiTheme="majorHAnsi" w:cstheme="majorBidi"/>
      <w:b/>
      <w:bCs/>
      <w:color w:val="005A70" w:themeColor="accent1"/>
      <w:spacing w:val="3"/>
      <w:sz w:val="60"/>
      <w:szCs w:val="28"/>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table" w:customStyle="1" w:styleId="TableGridLight1">
    <w:name w:val="Table Grid Light1"/>
    <w:basedOn w:val="TableNormal"/>
    <w:next w:val="TableGridLight"/>
    <w:uiPriority w:val="40"/>
    <w:rsid w:val="00BB329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076284"/>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ubtleReference">
    <w:name w:val="Subtle Reference"/>
    <w:basedOn w:val="DefaultParagraphFont"/>
    <w:uiPriority w:val="31"/>
    <w:qFormat/>
    <w:rsid w:val="007E05B4"/>
    <w:rPr>
      <w:smallCaps/>
      <w:color w:val="5A5A5A" w:themeColor="text1" w:themeTint="A5"/>
    </w:rPr>
  </w:style>
  <w:style w:type="paragraph" w:customStyle="1" w:styleId="Heading3colourblock">
    <w:name w:val="Heading 3 colour block"/>
    <w:basedOn w:val="Heading3"/>
    <w:link w:val="Heading3colourblockChar"/>
    <w:qFormat/>
    <w:rsid w:val="00EC4845"/>
    <w:pPr>
      <w:pBdr>
        <w:top w:val="single" w:sz="24" w:space="1" w:color="C1E4F5"/>
        <w:left w:val="single" w:sz="24" w:space="4" w:color="C1E4F5"/>
        <w:bottom w:val="single" w:sz="24" w:space="1" w:color="C1E4F5"/>
        <w:right w:val="single" w:sz="24" w:space="4" w:color="C1E4F5"/>
      </w:pBdr>
      <w:shd w:val="clear" w:color="auto" w:fill="C1E4F5"/>
    </w:pPr>
    <w:rPr>
      <w:b/>
      <w:sz w:val="28"/>
    </w:rPr>
  </w:style>
  <w:style w:type="character" w:customStyle="1" w:styleId="Heading3colourblockChar">
    <w:name w:val="Heading 3 colour block Char"/>
    <w:basedOn w:val="Heading3Char"/>
    <w:link w:val="Heading3colourblock"/>
    <w:rsid w:val="00EC4845"/>
    <w:rPr>
      <w:rFonts w:asciiTheme="majorHAnsi" w:eastAsiaTheme="majorEastAsia" w:hAnsiTheme="majorHAnsi" w:cstheme="majorBidi"/>
      <w:b/>
      <w:bCs/>
      <w:color w:val="005A70" w:themeColor="accent1"/>
      <w:spacing w:val="3"/>
      <w:sz w:val="28"/>
      <w:shd w:val="clear" w:color="auto" w:fill="C1E4F5"/>
    </w:rPr>
  </w:style>
  <w:style w:type="table" w:customStyle="1" w:styleId="TableGridLight3">
    <w:name w:val="Table Grid Light3"/>
    <w:basedOn w:val="TableNormal"/>
    <w:next w:val="TableGridLight"/>
    <w:uiPriority w:val="40"/>
    <w:rsid w:val="00EC484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uk/government/publications/evaluation-of-the-refugee-transitions-outcomes-fund/evaluation-of-the-refugee-transitions-outcomes-fun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treasury.sa.gov.au/Growing-South-Australia/social-impact-investment/Aspire-evaluation-report-final.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2a9dd1-6f1c-42a6-8dbe-7204e5445579"/>
    <lcf76f155ced4ddcb4097134ff3c332f xmlns="ff98ff02-0ec4-48dc-8e41-3aa8d8dfdd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BA464E898B474DB77E107AC365BA45" ma:contentTypeVersion="12" ma:contentTypeDescription="Create a new document." ma:contentTypeScope="" ma:versionID="b75c11efc47f7ca398029fc2aef8373c">
  <xsd:schema xmlns:xsd="http://www.w3.org/2001/XMLSchema" xmlns:xs="http://www.w3.org/2001/XMLSchema" xmlns:p="http://schemas.microsoft.com/office/2006/metadata/properties" xmlns:ns2="ff98ff02-0ec4-48dc-8e41-3aa8d8dfdd12" xmlns:ns3="9c2a9dd1-6f1c-42a6-8dbe-7204e5445579" targetNamespace="http://schemas.microsoft.com/office/2006/metadata/properties" ma:root="true" ma:fieldsID="ab65af0e92d4db714b70b1e5a738a714" ns2:_="" ns3:_="">
    <xsd:import namespace="ff98ff02-0ec4-48dc-8e41-3aa8d8dfdd12"/>
    <xsd:import namespace="9c2a9dd1-6f1c-42a6-8dbe-7204e5445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8ff02-0ec4-48dc-8e41-3aa8d8dfd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a9dd1-6f1c-42a6-8dbe-7204e5445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c8473b-38b6-42ee-99ff-04a1143f9211}" ma:internalName="TaxCatchAll" ma:showField="CatchAllData" ma:web="9c2a9dd1-6f1c-42a6-8dbe-7204e5445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9c2a9dd1-6f1c-42a6-8dbe-7204e5445579"/>
    <ds:schemaRef ds:uri="ff98ff02-0ec4-48dc-8e41-3aa8d8dfdd12"/>
  </ds:schemaRefs>
</ds:datastoreItem>
</file>

<file path=customXml/itemProps2.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3.xml><?xml version="1.0" encoding="utf-8"?>
<ds:datastoreItem xmlns:ds="http://schemas.openxmlformats.org/officeDocument/2006/customXml" ds:itemID="{551F8FF8-95FD-4BAA-8A5B-1A9CC88EC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8ff02-0ec4-48dc-8e41-3aa8d8dfdd12"/>
    <ds:schemaRef ds:uri="9c2a9dd1-6f1c-42a6-8dbe-7204e5445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1222</Words>
  <Characters>7315</Characters>
  <Application>Microsoft Office Word</Application>
  <DocSecurity>0</DocSecurity>
  <Lines>237</Lines>
  <Paragraphs>92</Paragraphs>
  <ScaleCrop>false</ScaleCrop>
  <Company>Department of Social Services</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Contracting</dc:title>
  <dc:subject/>
  <dc:creator>WARDROP, Shaye</dc:creator>
  <cp:keywords>[SEC=OFFICIAL]</cp:keywords>
  <cp:lastModifiedBy>MILLER, Vicky</cp:lastModifiedBy>
  <cp:revision>5</cp:revision>
  <cp:lastPrinted>2026-05-12T15:44:00Z</cp:lastPrinted>
  <dcterms:created xsi:type="dcterms:W3CDTF">2026-08-21T08:26:00Z</dcterms:created>
  <dcterms:modified xsi:type="dcterms:W3CDTF">2026-08-23T22:06:00Z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B490E270DCA068469CD76B03CA441A1F</vt:lpwstr>
  </property>
  <property fmtid="{D5CDD505-2E9C-101B-9397-08002B2CF9AE}" pid="21" name="PM_Hash_Salt">
    <vt:lpwstr>88F1FD6997379F9E5D84B962DA730073</vt:lpwstr>
  </property>
  <property fmtid="{D5CDD505-2E9C-101B-9397-08002B2CF9AE}" pid="22" name="PM_Hash_SHA1">
    <vt:lpwstr>98C58F6BD07AB818BF52EC950509109476FEA06F</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0x010100C5BA464E898B474DB77E107AC365BA45</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835b65d9644d49ddbca7956e11006258</vt:lpwstr>
  </property>
  <property fmtid="{D5CDD505-2E9C-101B-9397-08002B2CF9AE}" pid="35" name="MSIP_Label_eb34d90b-fc41-464d-af60-f74d721d0790_ContentBits">
    <vt:lpwstr>3</vt:lpwstr>
  </property>
  <property fmtid="{D5CDD505-2E9C-101B-9397-08002B2CF9AE}" pid="36" name="PMHMAC">
    <vt:lpwstr>v=2024.1;a=SHA256;h=BAB6DCBBE7135544515CF02A5DD6760541CAA5739865F21BE5EB5927B7C32F5E</vt:lpwstr>
  </property>
  <property fmtid="{D5CDD505-2E9C-101B-9397-08002B2CF9AE}" pid="37" name="PMUuid">
    <vt:lpwstr>v=2022.2;d=gov.au;g=46DD6D7C-8107-577B-BC6E-F348953B2E44</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ies>
</file>