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7EB68" w14:textId="6FA1A079" w:rsidR="005C50E6" w:rsidRPr="006105DA" w:rsidRDefault="005C50E6" w:rsidP="005539B8">
      <w:pPr>
        <w:pStyle w:val="Crestwithrule"/>
        <w:jc w:val="right"/>
        <w:rPr>
          <w:rFonts w:ascii="Arial" w:hAnsi="Arial" w:cs="Arial"/>
          <w:b/>
          <w:bCs/>
          <w:sz w:val="24"/>
          <w:szCs w:val="36"/>
        </w:rPr>
      </w:pPr>
    </w:p>
    <w:p w14:paraId="4AE7EB69" w14:textId="77777777" w:rsidR="001D7516" w:rsidRDefault="005C50E6">
      <w:pPr>
        <w:pStyle w:val="Heading1"/>
      </w:pPr>
      <w:r>
        <w:t>Social Security Payment Parameters</w:t>
      </w:r>
    </w:p>
    <w:p w14:paraId="4AE7EB6A" w14:textId="77777777" w:rsidR="001D7516" w:rsidRDefault="005C50E6">
      <w:pPr>
        <w:pStyle w:val="Subtitle"/>
      </w:pPr>
      <w:r>
        <w:t>20 September 2026 indexation</w:t>
      </w:r>
    </w:p>
    <w:p w14:paraId="4AE7EB6B" w14:textId="77777777" w:rsidR="001D7516" w:rsidRDefault="005C50E6">
      <w:pPr>
        <w:pStyle w:val="Heading1"/>
      </w:pPr>
      <w:r>
        <w:t>Rates</w:t>
      </w:r>
    </w:p>
    <w:p w14:paraId="4AE7EB6C" w14:textId="77777777" w:rsidR="001D7516" w:rsidRDefault="005C50E6">
      <w:pPr>
        <w:pStyle w:val="Heading2"/>
      </w:pPr>
      <w:r>
        <w:t>Pension Rates</w:t>
      </w:r>
    </w:p>
    <w:p w14:paraId="4AE7EB6D" w14:textId="77777777" w:rsidR="001D7516" w:rsidRDefault="005C50E6">
      <w:pPr>
        <w:pStyle w:val="TableChartheading"/>
      </w:pPr>
      <w:r>
        <w:t>Pension — Single — Resident</w:t>
      </w:r>
    </w:p>
    <w:tbl>
      <w:tblPr>
        <w:tblStyle w:val="DSSDatatablestyle"/>
        <w:tblW w:w="4402" w:type="pct"/>
        <w:jc w:val="center"/>
        <w:tblLook w:val="04E0" w:firstRow="1" w:lastRow="1" w:firstColumn="1" w:lastColumn="0" w:noHBand="0" w:noVBand="1"/>
      </w:tblPr>
      <w:tblGrid>
        <w:gridCol w:w="5389"/>
        <w:gridCol w:w="1417"/>
        <w:gridCol w:w="1275"/>
        <w:gridCol w:w="1133"/>
      </w:tblGrid>
      <w:tr w:rsidR="001D7516" w14:paraId="4AE7EB72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6E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B6F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B70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B71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B77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73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B7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$1,100.30</w:t>
            </w:r>
          </w:p>
        </w:tc>
        <w:tc>
          <w:tcPr>
            <w:tcW w:w="692" w:type="pct"/>
          </w:tcPr>
          <w:p w14:paraId="4AE7EB7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$1,135.40</w:t>
            </w:r>
          </w:p>
        </w:tc>
        <w:tc>
          <w:tcPr>
            <w:tcW w:w="615" w:type="pct"/>
          </w:tcPr>
          <w:p w14:paraId="4AE7EB7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$35.10</w:t>
            </w:r>
          </w:p>
        </w:tc>
      </w:tr>
      <w:tr w:rsidR="001D7516" w14:paraId="4AE7EB7C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78" w14:textId="77777777" w:rsidR="001D7516" w:rsidRDefault="005C50E6">
            <w:r>
              <w:t>Pension Supplement</w:t>
            </w:r>
          </w:p>
        </w:tc>
        <w:tc>
          <w:tcPr>
            <w:tcW w:w="769" w:type="pct"/>
          </w:tcPr>
          <w:p w14:paraId="4AE7EB79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$86.50</w:t>
            </w:r>
          </w:p>
        </w:tc>
        <w:tc>
          <w:tcPr>
            <w:tcW w:w="692" w:type="pct"/>
          </w:tcPr>
          <w:p w14:paraId="4AE7EB7A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$88.20</w:t>
            </w:r>
          </w:p>
        </w:tc>
        <w:tc>
          <w:tcPr>
            <w:tcW w:w="615" w:type="pct"/>
          </w:tcPr>
          <w:p w14:paraId="4AE7EB7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$1.70</w:t>
            </w:r>
          </w:p>
        </w:tc>
      </w:tr>
      <w:tr w:rsidR="001D7516" w14:paraId="4AE7EB81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7D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B7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$14.10</w:t>
            </w:r>
          </w:p>
        </w:tc>
        <w:tc>
          <w:tcPr>
            <w:tcW w:w="692" w:type="pct"/>
          </w:tcPr>
          <w:p w14:paraId="4AE7EB7F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$14.10</w:t>
            </w:r>
          </w:p>
        </w:tc>
        <w:tc>
          <w:tcPr>
            <w:tcW w:w="615" w:type="pct"/>
          </w:tcPr>
          <w:p w14:paraId="4AE7EB8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B86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82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B83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$1,200.90</w:t>
            </w:r>
          </w:p>
        </w:tc>
        <w:tc>
          <w:tcPr>
            <w:tcW w:w="692" w:type="pct"/>
          </w:tcPr>
          <w:p w14:paraId="4AE7EB84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$1,237.70</w:t>
            </w:r>
          </w:p>
        </w:tc>
        <w:tc>
          <w:tcPr>
            <w:tcW w:w="615" w:type="pct"/>
          </w:tcPr>
          <w:p w14:paraId="4AE7EB85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$36.80</w:t>
            </w:r>
          </w:p>
        </w:tc>
      </w:tr>
    </w:tbl>
    <w:p w14:paraId="4AE7EB87" w14:textId="77777777" w:rsidR="001D7516" w:rsidRDefault="005C50E6">
      <w:pPr>
        <w:pStyle w:val="Tableimagenote"/>
      </w:pPr>
      <w:r>
        <w:t>Note: also applies to residents temporarily absent (weeks 1 to 6).</w:t>
      </w:r>
    </w:p>
    <w:p w14:paraId="4AE7EB88" w14:textId="77777777" w:rsidR="001D7516" w:rsidRDefault="005C50E6">
      <w:pPr>
        <w:pStyle w:val="Tableimagenote"/>
      </w:pPr>
      <w:r>
        <w:t>Note: also includes illness separated, respite care or partner in gaol.</w:t>
      </w:r>
    </w:p>
    <w:p w14:paraId="4AE7EB89" w14:textId="77777777" w:rsidR="001D7516" w:rsidRDefault="005C50E6">
      <w:pPr>
        <w:pStyle w:val="TableChartheading"/>
      </w:pPr>
      <w:r>
        <w:t>Pension — Partnered (each) — Resident</w:t>
      </w:r>
    </w:p>
    <w:tbl>
      <w:tblPr>
        <w:tblStyle w:val="DSSDatatablestyle"/>
        <w:tblW w:w="4402" w:type="pct"/>
        <w:jc w:val="center"/>
        <w:tblLook w:val="04E0" w:firstRow="1" w:lastRow="1" w:firstColumn="1" w:lastColumn="0" w:noHBand="0" w:noVBand="1"/>
      </w:tblPr>
      <w:tblGrid>
        <w:gridCol w:w="5389"/>
        <w:gridCol w:w="1417"/>
        <w:gridCol w:w="1275"/>
        <w:gridCol w:w="1133"/>
      </w:tblGrid>
      <w:tr w:rsidR="001D7516" w14:paraId="4AE7EB8E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8A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B8B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B8C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B8D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B93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8F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B9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$829.40</w:t>
            </w:r>
          </w:p>
        </w:tc>
        <w:tc>
          <w:tcPr>
            <w:tcW w:w="692" w:type="pct"/>
          </w:tcPr>
          <w:p w14:paraId="4AE7EB9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$855.90</w:t>
            </w:r>
          </w:p>
        </w:tc>
        <w:tc>
          <w:tcPr>
            <w:tcW w:w="615" w:type="pct"/>
          </w:tcPr>
          <w:p w14:paraId="4AE7EB9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$26.50</w:t>
            </w:r>
          </w:p>
        </w:tc>
      </w:tr>
      <w:tr w:rsidR="001D7516" w14:paraId="4AE7EB98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94" w14:textId="77777777" w:rsidR="001D7516" w:rsidRDefault="005C50E6">
            <w:r>
              <w:t>Pension Supplement</w:t>
            </w:r>
          </w:p>
        </w:tc>
        <w:tc>
          <w:tcPr>
            <w:tcW w:w="769" w:type="pct"/>
          </w:tcPr>
          <w:p w14:paraId="4AE7EB95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$65.20</w:t>
            </w:r>
          </w:p>
        </w:tc>
        <w:tc>
          <w:tcPr>
            <w:tcW w:w="692" w:type="pct"/>
          </w:tcPr>
          <w:p w14:paraId="4AE7EB9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$66.50</w:t>
            </w:r>
          </w:p>
        </w:tc>
        <w:tc>
          <w:tcPr>
            <w:tcW w:w="615" w:type="pct"/>
          </w:tcPr>
          <w:p w14:paraId="4AE7EB9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$1.30</w:t>
            </w:r>
          </w:p>
        </w:tc>
      </w:tr>
      <w:tr w:rsidR="001D7516" w14:paraId="4AE7EB9D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99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B9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$10.60</w:t>
            </w:r>
          </w:p>
        </w:tc>
        <w:tc>
          <w:tcPr>
            <w:tcW w:w="692" w:type="pct"/>
          </w:tcPr>
          <w:p w14:paraId="4AE7EB9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$10.60</w:t>
            </w:r>
          </w:p>
        </w:tc>
        <w:tc>
          <w:tcPr>
            <w:tcW w:w="615" w:type="pct"/>
          </w:tcPr>
          <w:p w14:paraId="4AE7EB9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BA2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9E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B9F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$905.20</w:t>
            </w:r>
          </w:p>
        </w:tc>
        <w:tc>
          <w:tcPr>
            <w:tcW w:w="692" w:type="pct"/>
          </w:tcPr>
          <w:p w14:paraId="4AE7EBA0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$933.00</w:t>
            </w:r>
          </w:p>
        </w:tc>
        <w:tc>
          <w:tcPr>
            <w:tcW w:w="615" w:type="pct"/>
          </w:tcPr>
          <w:p w14:paraId="4AE7EBA1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$27.80</w:t>
            </w:r>
          </w:p>
        </w:tc>
      </w:tr>
    </w:tbl>
    <w:p w14:paraId="4AE7EBA3" w14:textId="77777777" w:rsidR="001D7516" w:rsidRDefault="005C50E6">
      <w:pPr>
        <w:pStyle w:val="Tableimagenote"/>
      </w:pPr>
      <w:r>
        <w:t>Note: also applies to residents temporarily absent (weeks 1 to 6).</w:t>
      </w:r>
    </w:p>
    <w:p w14:paraId="4AE7EBA4" w14:textId="77777777" w:rsidR="001D7516" w:rsidRDefault="005C50E6">
      <w:pPr>
        <w:pStyle w:val="TableChartheading"/>
      </w:pPr>
      <w:r>
        <w:t>Pension — Single — Non‑resident</w:t>
      </w:r>
    </w:p>
    <w:tbl>
      <w:tblPr>
        <w:tblStyle w:val="DSSDatatablestyle"/>
        <w:tblW w:w="4402" w:type="pct"/>
        <w:jc w:val="center"/>
        <w:tblLook w:val="04E0" w:firstRow="1" w:lastRow="1" w:firstColumn="1" w:lastColumn="0" w:noHBand="0" w:noVBand="1"/>
      </w:tblPr>
      <w:tblGrid>
        <w:gridCol w:w="5389"/>
        <w:gridCol w:w="1417"/>
        <w:gridCol w:w="1275"/>
        <w:gridCol w:w="1133"/>
      </w:tblGrid>
      <w:tr w:rsidR="001D7516" w14:paraId="4AE7EBA9" w14:textId="77777777" w:rsidTr="7F68E1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A5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BA6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BA7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BA8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BAE" w14:textId="77777777" w:rsidTr="7F68E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AA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BA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$1,100.30</w:t>
            </w:r>
          </w:p>
        </w:tc>
        <w:tc>
          <w:tcPr>
            <w:tcW w:w="692" w:type="pct"/>
          </w:tcPr>
          <w:p w14:paraId="4AE7EBA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$1,135.40</w:t>
            </w:r>
          </w:p>
        </w:tc>
        <w:tc>
          <w:tcPr>
            <w:tcW w:w="615" w:type="pct"/>
          </w:tcPr>
          <w:p w14:paraId="4AE7EBAD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$35.10</w:t>
            </w:r>
          </w:p>
        </w:tc>
      </w:tr>
      <w:tr w:rsidR="001D7516" w14:paraId="4AE7EBB3" w14:textId="77777777" w:rsidTr="7F68E1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AF" w14:textId="77777777" w:rsidR="001D7516" w:rsidRDefault="005C50E6">
            <w:r>
              <w:t>Pension Supplement — Basic amount</w:t>
            </w:r>
          </w:p>
        </w:tc>
        <w:tc>
          <w:tcPr>
            <w:tcW w:w="769" w:type="pct"/>
          </w:tcPr>
          <w:p w14:paraId="4AE7EBB0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$30.10</w:t>
            </w:r>
          </w:p>
        </w:tc>
        <w:tc>
          <w:tcPr>
            <w:tcW w:w="692" w:type="pct"/>
          </w:tcPr>
          <w:p w14:paraId="4AE7EBB1" w14:textId="74EFEB31" w:rsidR="001D7516" w:rsidRDefault="37F49F45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</w:t>
            </w:r>
            <w:r w:rsidR="005C50E6">
              <w:t>0</w:t>
            </w:r>
            <w:r w:rsidR="1C95A6DE">
              <w:t>.00</w:t>
            </w:r>
          </w:p>
        </w:tc>
        <w:tc>
          <w:tcPr>
            <w:tcW w:w="615" w:type="pct"/>
          </w:tcPr>
          <w:p w14:paraId="4AE7EBB2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-$30.10</w:t>
            </w:r>
          </w:p>
        </w:tc>
      </w:tr>
      <w:tr w:rsidR="001D7516" w14:paraId="4AE7EBB8" w14:textId="77777777" w:rsidTr="7F68E14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B4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BB5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$1,130.40</w:t>
            </w:r>
          </w:p>
        </w:tc>
        <w:tc>
          <w:tcPr>
            <w:tcW w:w="692" w:type="pct"/>
          </w:tcPr>
          <w:p w14:paraId="4AE7EBB6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$1,135.40</w:t>
            </w:r>
          </w:p>
        </w:tc>
        <w:tc>
          <w:tcPr>
            <w:tcW w:w="615" w:type="pct"/>
          </w:tcPr>
          <w:p w14:paraId="4AE7EBB7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$5.00</w:t>
            </w:r>
          </w:p>
        </w:tc>
      </w:tr>
    </w:tbl>
    <w:p w14:paraId="4AE7EBB9" w14:textId="77777777" w:rsidR="001D7516" w:rsidRDefault="005C50E6">
      <w:pPr>
        <w:pStyle w:val="Tableimagenote"/>
      </w:pPr>
      <w:r>
        <w:t>Note: also applies to residents temporarily absent (over 12 weeks).</w:t>
      </w:r>
    </w:p>
    <w:p w14:paraId="4AE7EBBA" w14:textId="77777777" w:rsidR="001D7516" w:rsidRDefault="005C50E6">
      <w:pPr>
        <w:pStyle w:val="Tableimagenote"/>
      </w:pPr>
      <w:r>
        <w:t>Note: also includes illness separated, respite care or partner in gaol.</w:t>
      </w:r>
    </w:p>
    <w:p w14:paraId="4AE7EBBB" w14:textId="77777777" w:rsidR="001D7516" w:rsidRDefault="005C50E6">
      <w:pPr>
        <w:pStyle w:val="Tableimagenote"/>
      </w:pPr>
      <w:r>
        <w:t>Note: recipients in this rate category will lose access to the Pension Supplement basic amount from 20 September 2026.</w:t>
      </w:r>
    </w:p>
    <w:p w14:paraId="4AE7EBBC" w14:textId="77777777" w:rsidR="001D7516" w:rsidRDefault="005C50E6">
      <w:pPr>
        <w:pStyle w:val="TableChartheading"/>
      </w:pPr>
      <w:r>
        <w:t>Pension — Partnered (each) — Non‑resident</w:t>
      </w:r>
    </w:p>
    <w:tbl>
      <w:tblPr>
        <w:tblStyle w:val="DSSDatatablestyle"/>
        <w:tblW w:w="4402" w:type="pct"/>
        <w:jc w:val="center"/>
        <w:tblLook w:val="04E0" w:firstRow="1" w:lastRow="1" w:firstColumn="1" w:lastColumn="0" w:noHBand="0" w:noVBand="1"/>
      </w:tblPr>
      <w:tblGrid>
        <w:gridCol w:w="5389"/>
        <w:gridCol w:w="1417"/>
        <w:gridCol w:w="1275"/>
        <w:gridCol w:w="1133"/>
      </w:tblGrid>
      <w:tr w:rsidR="001D7516" w14:paraId="4AE7EBC1" w14:textId="77777777" w:rsidTr="7F68E1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BD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BBE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BBF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BC0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BC6" w14:textId="77777777" w:rsidTr="7F68E1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C2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BC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$829.40</w:t>
            </w:r>
          </w:p>
        </w:tc>
        <w:tc>
          <w:tcPr>
            <w:tcW w:w="692" w:type="pct"/>
          </w:tcPr>
          <w:p w14:paraId="4AE7EBC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$855.90</w:t>
            </w:r>
          </w:p>
        </w:tc>
        <w:tc>
          <w:tcPr>
            <w:tcW w:w="615" w:type="pct"/>
          </w:tcPr>
          <w:p w14:paraId="4AE7EBC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$26.50</w:t>
            </w:r>
          </w:p>
        </w:tc>
      </w:tr>
      <w:tr w:rsidR="001D7516" w14:paraId="4AE7EBCB" w14:textId="77777777" w:rsidTr="7F68E14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C7" w14:textId="77777777" w:rsidR="001D7516" w:rsidRDefault="005C50E6">
            <w:r>
              <w:t>Pension Supplement — Basic amount</w:t>
            </w:r>
          </w:p>
        </w:tc>
        <w:tc>
          <w:tcPr>
            <w:tcW w:w="769" w:type="pct"/>
          </w:tcPr>
          <w:p w14:paraId="4AE7EBC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$24.80</w:t>
            </w:r>
          </w:p>
        </w:tc>
        <w:tc>
          <w:tcPr>
            <w:tcW w:w="692" w:type="pct"/>
          </w:tcPr>
          <w:p w14:paraId="4AE7EBC9" w14:textId="376ED6CE" w:rsidR="001D7516" w:rsidRDefault="15990FE5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</w:t>
            </w:r>
            <w:r w:rsidR="005C50E6">
              <w:t>0</w:t>
            </w:r>
            <w:r w:rsidR="033A6E2E">
              <w:t>.00</w:t>
            </w:r>
          </w:p>
        </w:tc>
        <w:tc>
          <w:tcPr>
            <w:tcW w:w="615" w:type="pct"/>
          </w:tcPr>
          <w:p w14:paraId="4AE7EBCA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-$24.80</w:t>
            </w:r>
          </w:p>
        </w:tc>
      </w:tr>
      <w:tr w:rsidR="001D7516" w14:paraId="4AE7EBD0" w14:textId="77777777" w:rsidTr="7F68E14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CC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BCD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$854.20</w:t>
            </w:r>
          </w:p>
        </w:tc>
        <w:tc>
          <w:tcPr>
            <w:tcW w:w="692" w:type="pct"/>
          </w:tcPr>
          <w:p w14:paraId="4AE7EBCE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$855.90</w:t>
            </w:r>
          </w:p>
        </w:tc>
        <w:tc>
          <w:tcPr>
            <w:tcW w:w="615" w:type="pct"/>
          </w:tcPr>
          <w:p w14:paraId="4AE7EBCF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$1.70</w:t>
            </w:r>
          </w:p>
        </w:tc>
      </w:tr>
    </w:tbl>
    <w:p w14:paraId="4AE7EBD1" w14:textId="77777777" w:rsidR="001D7516" w:rsidRDefault="005C50E6">
      <w:pPr>
        <w:pStyle w:val="Tableimagenote"/>
      </w:pPr>
      <w:r>
        <w:t>Note: also applies to residents temporarily absent (over 12 weeks).</w:t>
      </w:r>
    </w:p>
    <w:p w14:paraId="4AE7EBD2" w14:textId="77777777" w:rsidR="001D7516" w:rsidRDefault="005C50E6">
      <w:pPr>
        <w:pStyle w:val="Tableimagenote"/>
      </w:pPr>
      <w:r>
        <w:t>Note: recipients in this rate category will lose access to the Pension Supplement basic amount from 20 September 2026.</w:t>
      </w:r>
    </w:p>
    <w:p w14:paraId="4AE7EBD3" w14:textId="77777777" w:rsidR="001D7516" w:rsidRDefault="005C50E6">
      <w:pPr>
        <w:pStyle w:val="TableChartheading"/>
      </w:pPr>
      <w:r>
        <w:t>Pension Supplement — Maximum amount</w:t>
      </w:r>
    </w:p>
    <w:tbl>
      <w:tblPr>
        <w:tblStyle w:val="DSSDatatablestyle"/>
        <w:tblW w:w="4400" w:type="pct"/>
        <w:jc w:val="center"/>
        <w:tblLook w:val="04A0" w:firstRow="1" w:lastRow="0" w:firstColumn="1" w:lastColumn="0" w:noHBand="0" w:noVBand="1"/>
      </w:tblPr>
      <w:tblGrid>
        <w:gridCol w:w="5384"/>
        <w:gridCol w:w="1416"/>
        <w:gridCol w:w="1277"/>
        <w:gridCol w:w="1133"/>
      </w:tblGrid>
      <w:tr w:rsidR="001D7516" w14:paraId="4AE7EBD8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D4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BD5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3" w:type="pct"/>
          </w:tcPr>
          <w:p w14:paraId="4AE7EBD6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6" w:type="pct"/>
          </w:tcPr>
          <w:p w14:paraId="4AE7EBD7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BDD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D9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BD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$86.50</w:t>
            </w:r>
          </w:p>
        </w:tc>
        <w:tc>
          <w:tcPr>
            <w:tcW w:w="693" w:type="pct"/>
          </w:tcPr>
          <w:p w14:paraId="4AE7EBD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$88.20</w:t>
            </w:r>
          </w:p>
        </w:tc>
        <w:tc>
          <w:tcPr>
            <w:tcW w:w="616" w:type="pct"/>
          </w:tcPr>
          <w:p w14:paraId="4AE7EBD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$1.70</w:t>
            </w:r>
          </w:p>
        </w:tc>
      </w:tr>
      <w:tr w:rsidR="001D7516" w14:paraId="4AE7EBE2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DE" w14:textId="77777777" w:rsidR="001D7516" w:rsidRDefault="005C50E6">
            <w:r>
              <w:t>Partnered — Illness separated, respite care or partner in gaol</w:t>
            </w:r>
          </w:p>
        </w:tc>
        <w:tc>
          <w:tcPr>
            <w:tcW w:w="769" w:type="pct"/>
          </w:tcPr>
          <w:p w14:paraId="4AE7EBDF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$86.50</w:t>
            </w:r>
          </w:p>
        </w:tc>
        <w:tc>
          <w:tcPr>
            <w:tcW w:w="693" w:type="pct"/>
          </w:tcPr>
          <w:p w14:paraId="4AE7EBE0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$88.20</w:t>
            </w:r>
          </w:p>
        </w:tc>
        <w:tc>
          <w:tcPr>
            <w:tcW w:w="616" w:type="pct"/>
          </w:tcPr>
          <w:p w14:paraId="4AE7EBE1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$1.70</w:t>
            </w:r>
          </w:p>
        </w:tc>
      </w:tr>
      <w:tr w:rsidR="001D7516" w14:paraId="4AE7EBE7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E3" w14:textId="77777777" w:rsidR="001D7516" w:rsidRDefault="005C50E6">
            <w:r>
              <w:t>Partnered (each)</w:t>
            </w:r>
          </w:p>
        </w:tc>
        <w:tc>
          <w:tcPr>
            <w:tcW w:w="769" w:type="pct"/>
          </w:tcPr>
          <w:p w14:paraId="4AE7EBE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$65.20</w:t>
            </w:r>
          </w:p>
        </w:tc>
        <w:tc>
          <w:tcPr>
            <w:tcW w:w="693" w:type="pct"/>
          </w:tcPr>
          <w:p w14:paraId="4AE7EBE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$66.50</w:t>
            </w:r>
          </w:p>
        </w:tc>
        <w:tc>
          <w:tcPr>
            <w:tcW w:w="616" w:type="pct"/>
          </w:tcPr>
          <w:p w14:paraId="4AE7EBE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$1.30</w:t>
            </w:r>
          </w:p>
        </w:tc>
      </w:tr>
    </w:tbl>
    <w:p w14:paraId="4AE7EBE8" w14:textId="77777777" w:rsidR="001D7516" w:rsidRDefault="005C50E6">
      <w:pPr>
        <w:pStyle w:val="TableChartheading"/>
      </w:pPr>
      <w:r>
        <w:t>Pension Supplement — Basic amount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BED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E9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BEA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BEB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BEC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BF2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EE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BEF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$30.10</w:t>
            </w:r>
          </w:p>
        </w:tc>
        <w:tc>
          <w:tcPr>
            <w:tcW w:w="692" w:type="pct"/>
          </w:tcPr>
          <w:p w14:paraId="4AE7EBF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$30.70</w:t>
            </w:r>
          </w:p>
        </w:tc>
        <w:tc>
          <w:tcPr>
            <w:tcW w:w="615" w:type="pct"/>
          </w:tcPr>
          <w:p w14:paraId="4AE7EBF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$0.60</w:t>
            </w:r>
          </w:p>
        </w:tc>
      </w:tr>
      <w:tr w:rsidR="001D7516" w14:paraId="4AE7EBF7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F3" w14:textId="77777777" w:rsidR="001D7516" w:rsidRDefault="005C50E6">
            <w:r>
              <w:t>Partnered — Illness separated, respite care or partner in gaol</w:t>
            </w:r>
          </w:p>
        </w:tc>
        <w:tc>
          <w:tcPr>
            <w:tcW w:w="769" w:type="pct"/>
          </w:tcPr>
          <w:p w14:paraId="4AE7EBF4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$30.10</w:t>
            </w:r>
          </w:p>
        </w:tc>
        <w:tc>
          <w:tcPr>
            <w:tcW w:w="692" w:type="pct"/>
          </w:tcPr>
          <w:p w14:paraId="4AE7EBF5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$30.70</w:t>
            </w:r>
          </w:p>
        </w:tc>
        <w:tc>
          <w:tcPr>
            <w:tcW w:w="615" w:type="pct"/>
          </w:tcPr>
          <w:p w14:paraId="4AE7EBF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$0.60</w:t>
            </w:r>
          </w:p>
        </w:tc>
      </w:tr>
      <w:tr w:rsidR="001D7516" w14:paraId="4AE7EBFC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F8" w14:textId="77777777" w:rsidR="001D7516" w:rsidRDefault="005C50E6">
            <w:r>
              <w:t>Partnered (each)</w:t>
            </w:r>
          </w:p>
        </w:tc>
        <w:tc>
          <w:tcPr>
            <w:tcW w:w="769" w:type="pct"/>
          </w:tcPr>
          <w:p w14:paraId="4AE7EBF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$24.80</w:t>
            </w:r>
          </w:p>
        </w:tc>
        <w:tc>
          <w:tcPr>
            <w:tcW w:w="692" w:type="pct"/>
          </w:tcPr>
          <w:p w14:paraId="4AE7EBF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$25.30</w:t>
            </w:r>
          </w:p>
        </w:tc>
        <w:tc>
          <w:tcPr>
            <w:tcW w:w="615" w:type="pct"/>
          </w:tcPr>
          <w:p w14:paraId="4AE7EBF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$0.50</w:t>
            </w:r>
          </w:p>
        </w:tc>
      </w:tr>
    </w:tbl>
    <w:p w14:paraId="3810B9C7" w14:textId="77777777" w:rsidR="006105DA" w:rsidRDefault="006105DA">
      <w:pPr>
        <w:pStyle w:val="TableChartheading"/>
      </w:pPr>
    </w:p>
    <w:p w14:paraId="3560350C" w14:textId="77777777" w:rsidR="006105DA" w:rsidRDefault="006105DA">
      <w:pPr>
        <w:spacing w:after="240"/>
        <w:rPr>
          <w:rFonts w:asciiTheme="majorHAnsi" w:hAnsiTheme="majorHAnsi"/>
          <w:b/>
          <w:bCs/>
          <w:szCs w:val="18"/>
        </w:rPr>
      </w:pPr>
      <w:r>
        <w:br w:type="page"/>
      </w:r>
    </w:p>
    <w:p w14:paraId="4AE7EBFD" w14:textId="10980984" w:rsidR="001D7516" w:rsidRDefault="005C50E6">
      <w:pPr>
        <w:pStyle w:val="TableChartheading"/>
      </w:pPr>
      <w:r>
        <w:lastRenderedPageBreak/>
        <w:t>Pension Supplement — Minimum amount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C02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BFE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BFF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C00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C01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C07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03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C0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$46.60</w:t>
            </w:r>
          </w:p>
        </w:tc>
        <w:tc>
          <w:tcPr>
            <w:tcW w:w="692" w:type="pct"/>
          </w:tcPr>
          <w:p w14:paraId="4AE7EC0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$47.50</w:t>
            </w:r>
          </w:p>
        </w:tc>
        <w:tc>
          <w:tcPr>
            <w:tcW w:w="615" w:type="pct"/>
          </w:tcPr>
          <w:p w14:paraId="4AE7EC0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$0.90</w:t>
            </w:r>
          </w:p>
        </w:tc>
      </w:tr>
      <w:tr w:rsidR="001D7516" w14:paraId="4AE7EC0C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08" w14:textId="77777777" w:rsidR="001D7516" w:rsidRDefault="005C50E6">
            <w:r>
              <w:t>Partnered — Illness separated, respite care or partner in gaol</w:t>
            </w:r>
          </w:p>
        </w:tc>
        <w:tc>
          <w:tcPr>
            <w:tcW w:w="769" w:type="pct"/>
          </w:tcPr>
          <w:p w14:paraId="4AE7EC09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$46.60</w:t>
            </w:r>
          </w:p>
        </w:tc>
        <w:tc>
          <w:tcPr>
            <w:tcW w:w="692" w:type="pct"/>
          </w:tcPr>
          <w:p w14:paraId="4AE7EC0A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$47.50</w:t>
            </w:r>
          </w:p>
        </w:tc>
        <w:tc>
          <w:tcPr>
            <w:tcW w:w="615" w:type="pct"/>
          </w:tcPr>
          <w:p w14:paraId="4AE7EC0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$0.90</w:t>
            </w:r>
          </w:p>
        </w:tc>
      </w:tr>
      <w:tr w:rsidR="001D7516" w14:paraId="4AE7EC11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0D" w14:textId="77777777" w:rsidR="001D7516" w:rsidRDefault="005C50E6">
            <w:r>
              <w:t>Partnered (each)</w:t>
            </w:r>
          </w:p>
        </w:tc>
        <w:tc>
          <w:tcPr>
            <w:tcW w:w="769" w:type="pct"/>
          </w:tcPr>
          <w:p w14:paraId="4AE7EC0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$35.10</w:t>
            </w:r>
          </w:p>
        </w:tc>
        <w:tc>
          <w:tcPr>
            <w:tcW w:w="692" w:type="pct"/>
          </w:tcPr>
          <w:p w14:paraId="4AE7EC0F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$35.80</w:t>
            </w:r>
          </w:p>
        </w:tc>
        <w:tc>
          <w:tcPr>
            <w:tcW w:w="615" w:type="pct"/>
          </w:tcPr>
          <w:p w14:paraId="4AE7EC1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$0.70</w:t>
            </w:r>
          </w:p>
        </w:tc>
      </w:tr>
    </w:tbl>
    <w:p w14:paraId="4AE7EC12" w14:textId="77777777" w:rsidR="001D7516" w:rsidRDefault="005C50E6">
      <w:pPr>
        <w:pStyle w:val="TableChartheading"/>
      </w:pPr>
      <w:r>
        <w:t>Transitional Pension — Single — Resident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C17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13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C1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C15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C16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C1C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18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C1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$963.60</w:t>
            </w:r>
          </w:p>
        </w:tc>
        <w:tc>
          <w:tcPr>
            <w:tcW w:w="692" w:type="pct"/>
          </w:tcPr>
          <w:p w14:paraId="4AE7EC1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$982.90</w:t>
            </w:r>
          </w:p>
        </w:tc>
        <w:tc>
          <w:tcPr>
            <w:tcW w:w="615" w:type="pct"/>
          </w:tcPr>
          <w:p w14:paraId="4AE7EC1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$19.30</w:t>
            </w:r>
          </w:p>
        </w:tc>
      </w:tr>
      <w:tr w:rsidR="001D7516" w14:paraId="4AE7EC21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1D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C1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$14.10</w:t>
            </w:r>
          </w:p>
        </w:tc>
        <w:tc>
          <w:tcPr>
            <w:tcW w:w="692" w:type="pct"/>
          </w:tcPr>
          <w:p w14:paraId="4AE7EC1F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$14.10</w:t>
            </w:r>
          </w:p>
        </w:tc>
        <w:tc>
          <w:tcPr>
            <w:tcW w:w="615" w:type="pct"/>
          </w:tcPr>
          <w:p w14:paraId="4AE7EC20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C26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22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C23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$977.70</w:t>
            </w:r>
          </w:p>
        </w:tc>
        <w:tc>
          <w:tcPr>
            <w:tcW w:w="692" w:type="pct"/>
          </w:tcPr>
          <w:p w14:paraId="4AE7EC24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$997.00</w:t>
            </w:r>
          </w:p>
        </w:tc>
        <w:tc>
          <w:tcPr>
            <w:tcW w:w="615" w:type="pct"/>
          </w:tcPr>
          <w:p w14:paraId="4AE7EC25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$19.30</w:t>
            </w:r>
          </w:p>
        </w:tc>
      </w:tr>
    </w:tbl>
    <w:p w14:paraId="4AE7EC27" w14:textId="77777777" w:rsidR="001D7516" w:rsidRDefault="005C50E6">
      <w:pPr>
        <w:pStyle w:val="Tableimagenote"/>
      </w:pPr>
      <w:r>
        <w:t>Note: also applies to residents temporarily absent (weeks 1 to 6).</w:t>
      </w:r>
    </w:p>
    <w:p w14:paraId="4AE7EC28" w14:textId="77777777" w:rsidR="001D7516" w:rsidRDefault="005C50E6">
      <w:pPr>
        <w:pStyle w:val="Tableimagenote"/>
      </w:pPr>
      <w:r>
        <w:t>Note: also includes illness separated, respite care or partner in gaol.</w:t>
      </w:r>
    </w:p>
    <w:p w14:paraId="4AE7EC29" w14:textId="77777777" w:rsidR="001D7516" w:rsidRDefault="005C50E6">
      <w:pPr>
        <w:pStyle w:val="TableChartheading"/>
      </w:pPr>
      <w:r>
        <w:t>Transitional Pension — Partnered (each) — Resident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C2E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2A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C2B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C2C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C2D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C33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2F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C3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$778.20</w:t>
            </w:r>
          </w:p>
        </w:tc>
        <w:tc>
          <w:tcPr>
            <w:tcW w:w="692" w:type="pct"/>
          </w:tcPr>
          <w:p w14:paraId="4AE7EC3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$793.80</w:t>
            </w:r>
          </w:p>
        </w:tc>
        <w:tc>
          <w:tcPr>
            <w:tcW w:w="615" w:type="pct"/>
          </w:tcPr>
          <w:p w14:paraId="4AE7EC3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$15.60</w:t>
            </w:r>
          </w:p>
        </w:tc>
      </w:tr>
      <w:tr w:rsidR="001D7516" w14:paraId="4AE7EC38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34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C35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$10.60</w:t>
            </w:r>
          </w:p>
        </w:tc>
        <w:tc>
          <w:tcPr>
            <w:tcW w:w="692" w:type="pct"/>
          </w:tcPr>
          <w:p w14:paraId="4AE7EC3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$10.60</w:t>
            </w:r>
          </w:p>
        </w:tc>
        <w:tc>
          <w:tcPr>
            <w:tcW w:w="615" w:type="pct"/>
          </w:tcPr>
          <w:p w14:paraId="4AE7EC3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C3D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39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C3A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$788.80</w:t>
            </w:r>
          </w:p>
        </w:tc>
        <w:tc>
          <w:tcPr>
            <w:tcW w:w="692" w:type="pct"/>
          </w:tcPr>
          <w:p w14:paraId="4AE7EC3B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$804.40</w:t>
            </w:r>
          </w:p>
        </w:tc>
        <w:tc>
          <w:tcPr>
            <w:tcW w:w="615" w:type="pct"/>
          </w:tcPr>
          <w:p w14:paraId="4AE7EC3C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$15.60</w:t>
            </w:r>
          </w:p>
        </w:tc>
      </w:tr>
    </w:tbl>
    <w:p w14:paraId="4AE7EC3E" w14:textId="77777777" w:rsidR="001D7516" w:rsidRDefault="005C50E6">
      <w:pPr>
        <w:pStyle w:val="Tableimagenote"/>
      </w:pPr>
      <w:r>
        <w:t>Note: also applies to residents temporarily absent (weeks 1 to 6).</w:t>
      </w:r>
    </w:p>
    <w:p w14:paraId="4AE7EC3F" w14:textId="77777777" w:rsidR="001D7516" w:rsidRDefault="005C50E6">
      <w:pPr>
        <w:pStyle w:val="TableChartheading"/>
      </w:pPr>
      <w:r>
        <w:t>Transitional Pension — Single — Non‑resident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C44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40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C41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C42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C4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C49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45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C4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$883.60</w:t>
            </w:r>
          </w:p>
        </w:tc>
        <w:tc>
          <w:tcPr>
            <w:tcW w:w="692" w:type="pct"/>
          </w:tcPr>
          <w:p w14:paraId="4AE7EC4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$870.60</w:t>
            </w:r>
          </w:p>
        </w:tc>
        <w:tc>
          <w:tcPr>
            <w:tcW w:w="615" w:type="pct"/>
          </w:tcPr>
          <w:p w14:paraId="4AE7EC4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-$13.00</w:t>
            </w:r>
          </w:p>
        </w:tc>
      </w:tr>
      <w:tr w:rsidR="001D7516" w14:paraId="4AE7EC4E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4A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C4B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$883.60</w:t>
            </w:r>
          </w:p>
        </w:tc>
        <w:tc>
          <w:tcPr>
            <w:tcW w:w="692" w:type="pct"/>
          </w:tcPr>
          <w:p w14:paraId="4AE7EC4C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$870.60</w:t>
            </w:r>
          </w:p>
        </w:tc>
        <w:tc>
          <w:tcPr>
            <w:tcW w:w="615" w:type="pct"/>
          </w:tcPr>
          <w:p w14:paraId="4AE7EC4D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-$13.00</w:t>
            </w:r>
          </w:p>
        </w:tc>
      </w:tr>
    </w:tbl>
    <w:p w14:paraId="4AE7EC4F" w14:textId="77777777" w:rsidR="001D7516" w:rsidRDefault="005C50E6">
      <w:pPr>
        <w:pStyle w:val="Tableimagenote"/>
      </w:pPr>
      <w:r>
        <w:t>Note: also applies to residents temporarily absent (over 12 weeks).</w:t>
      </w:r>
    </w:p>
    <w:p w14:paraId="4AE7EC50" w14:textId="77777777" w:rsidR="001D7516" w:rsidRDefault="005C50E6">
      <w:pPr>
        <w:pStyle w:val="Tableimagenote"/>
      </w:pPr>
      <w:r>
        <w:t>Note: also includes illness separated, respite care or partner in gaol.</w:t>
      </w:r>
    </w:p>
    <w:p w14:paraId="4AE7EC51" w14:textId="77777777" w:rsidR="001D7516" w:rsidRDefault="005C50E6">
      <w:pPr>
        <w:pStyle w:val="Tableimagenote"/>
      </w:pPr>
      <w:r>
        <w:t>Note: recipients in this rate category will lose access to the Pension Supplement basic amount from 20 September 2026.</w:t>
      </w:r>
    </w:p>
    <w:p w14:paraId="4AE7EC52" w14:textId="77777777" w:rsidR="001D7516" w:rsidRDefault="005C50E6">
      <w:pPr>
        <w:pStyle w:val="TableChartheading"/>
      </w:pPr>
      <w:r>
        <w:t>Transitional Pension — Partnered (each) — Non‑resident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C57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53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C5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C55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C56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C5C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58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C5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$738.40</w:t>
            </w:r>
          </w:p>
        </w:tc>
        <w:tc>
          <w:tcPr>
            <w:tcW w:w="692" w:type="pct"/>
          </w:tcPr>
          <w:p w14:paraId="4AE7EC5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$727.90</w:t>
            </w:r>
          </w:p>
        </w:tc>
        <w:tc>
          <w:tcPr>
            <w:tcW w:w="615" w:type="pct"/>
          </w:tcPr>
          <w:p w14:paraId="4AE7EC5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-$10.50</w:t>
            </w:r>
          </w:p>
        </w:tc>
      </w:tr>
      <w:tr w:rsidR="001D7516" w14:paraId="4AE7EC61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5D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C5E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$738.40</w:t>
            </w:r>
          </w:p>
        </w:tc>
        <w:tc>
          <w:tcPr>
            <w:tcW w:w="692" w:type="pct"/>
          </w:tcPr>
          <w:p w14:paraId="4AE7EC5F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$727.90</w:t>
            </w:r>
          </w:p>
        </w:tc>
        <w:tc>
          <w:tcPr>
            <w:tcW w:w="615" w:type="pct"/>
          </w:tcPr>
          <w:p w14:paraId="4AE7EC60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-$10.50</w:t>
            </w:r>
          </w:p>
        </w:tc>
      </w:tr>
    </w:tbl>
    <w:p w14:paraId="4AE7EC62" w14:textId="77777777" w:rsidR="001D7516" w:rsidRDefault="005C50E6">
      <w:pPr>
        <w:pStyle w:val="Tableimagenote"/>
      </w:pPr>
      <w:r>
        <w:t>Note: also applies to residents temporarily absent (over 12 weeks).</w:t>
      </w:r>
    </w:p>
    <w:p w14:paraId="4AE7EC63" w14:textId="77777777" w:rsidR="001D7516" w:rsidRDefault="005C50E6">
      <w:pPr>
        <w:pStyle w:val="Tableimagenote"/>
      </w:pPr>
      <w:r>
        <w:t>Note: recipients in this rate category will lose access to the Pension Supplement basic amount from 20 September 2026.</w:t>
      </w:r>
    </w:p>
    <w:p w14:paraId="4AE7EC64" w14:textId="77777777" w:rsidR="001D7516" w:rsidRDefault="005C50E6">
      <w:pPr>
        <w:pStyle w:val="TableChartheading"/>
      </w:pPr>
      <w:r>
        <w:t>Pension Bonus Scheme — Single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C69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65" w14:textId="77777777" w:rsidR="001D7516" w:rsidRDefault="005C50E6">
            <w:r>
              <w:t>Years (bonus periods)</w:t>
            </w:r>
          </w:p>
        </w:tc>
        <w:tc>
          <w:tcPr>
            <w:tcW w:w="769" w:type="pct"/>
          </w:tcPr>
          <w:p w14:paraId="4AE7EC66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C67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C68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C6E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6A" w14:textId="77777777" w:rsidR="001D7516" w:rsidRDefault="005C50E6">
            <w:r>
              <w:t>1 year</w:t>
            </w:r>
          </w:p>
        </w:tc>
        <w:tc>
          <w:tcPr>
            <w:tcW w:w="769" w:type="pct"/>
          </w:tcPr>
          <w:p w14:paraId="4AE7EC6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$2,762.70</w:t>
            </w:r>
          </w:p>
        </w:tc>
        <w:tc>
          <w:tcPr>
            <w:tcW w:w="692" w:type="pct"/>
          </w:tcPr>
          <w:p w14:paraId="4AE7EC6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$2,849.90</w:t>
            </w:r>
          </w:p>
        </w:tc>
        <w:tc>
          <w:tcPr>
            <w:tcW w:w="615" w:type="pct"/>
          </w:tcPr>
          <w:p w14:paraId="4AE7EC6D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$87.20</w:t>
            </w:r>
          </w:p>
        </w:tc>
      </w:tr>
      <w:tr w:rsidR="001D7516" w14:paraId="4AE7EC73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6F" w14:textId="77777777" w:rsidR="001D7516" w:rsidRDefault="005C50E6">
            <w:r>
              <w:t>2 years</w:t>
            </w:r>
          </w:p>
        </w:tc>
        <w:tc>
          <w:tcPr>
            <w:tcW w:w="769" w:type="pct"/>
          </w:tcPr>
          <w:p w14:paraId="4AE7EC70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$11,050.80</w:t>
            </w:r>
          </w:p>
        </w:tc>
        <w:tc>
          <w:tcPr>
            <w:tcW w:w="692" w:type="pct"/>
          </w:tcPr>
          <w:p w14:paraId="4AE7EC71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$11,399.80</w:t>
            </w:r>
          </w:p>
        </w:tc>
        <w:tc>
          <w:tcPr>
            <w:tcW w:w="615" w:type="pct"/>
          </w:tcPr>
          <w:p w14:paraId="4AE7EC72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$349.00</w:t>
            </w:r>
          </w:p>
        </w:tc>
      </w:tr>
      <w:tr w:rsidR="001D7516" w14:paraId="4AE7EC78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74" w14:textId="77777777" w:rsidR="001D7516" w:rsidRDefault="005C50E6">
            <w:r>
              <w:t>3 years</w:t>
            </w:r>
          </w:p>
        </w:tc>
        <w:tc>
          <w:tcPr>
            <w:tcW w:w="769" w:type="pct"/>
          </w:tcPr>
          <w:p w14:paraId="4AE7EC7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$24,864.30</w:t>
            </w:r>
          </w:p>
        </w:tc>
        <w:tc>
          <w:tcPr>
            <w:tcW w:w="692" w:type="pct"/>
          </w:tcPr>
          <w:p w14:paraId="4AE7EC7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$25,649.50</w:t>
            </w:r>
          </w:p>
        </w:tc>
        <w:tc>
          <w:tcPr>
            <w:tcW w:w="615" w:type="pct"/>
          </w:tcPr>
          <w:p w14:paraId="4AE7EC7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$785.20</w:t>
            </w:r>
          </w:p>
        </w:tc>
      </w:tr>
      <w:tr w:rsidR="001D7516" w14:paraId="4AE7EC7D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79" w14:textId="77777777" w:rsidR="001D7516" w:rsidRDefault="005C50E6">
            <w:r>
              <w:t>4 years</w:t>
            </w:r>
          </w:p>
        </w:tc>
        <w:tc>
          <w:tcPr>
            <w:tcW w:w="769" w:type="pct"/>
          </w:tcPr>
          <w:p w14:paraId="4AE7EC7A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$44,203.20</w:t>
            </w:r>
          </w:p>
        </w:tc>
        <w:tc>
          <w:tcPr>
            <w:tcW w:w="692" w:type="pct"/>
          </w:tcPr>
          <w:p w14:paraId="4AE7EC7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$45,599.20</w:t>
            </w:r>
          </w:p>
        </w:tc>
        <w:tc>
          <w:tcPr>
            <w:tcW w:w="615" w:type="pct"/>
          </w:tcPr>
          <w:p w14:paraId="4AE7EC7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$1,396.00</w:t>
            </w:r>
          </w:p>
        </w:tc>
      </w:tr>
      <w:tr w:rsidR="001D7516" w14:paraId="4AE7EC82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7E" w14:textId="77777777" w:rsidR="001D7516" w:rsidRDefault="005C50E6">
            <w:r>
              <w:t>5 years</w:t>
            </w:r>
          </w:p>
        </w:tc>
        <w:tc>
          <w:tcPr>
            <w:tcW w:w="769" w:type="pct"/>
          </w:tcPr>
          <w:p w14:paraId="4AE7EC7F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$69,067.40</w:t>
            </w:r>
          </w:p>
        </w:tc>
        <w:tc>
          <w:tcPr>
            <w:tcW w:w="692" w:type="pct"/>
          </w:tcPr>
          <w:p w14:paraId="4AE7EC8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$71,248.70</w:t>
            </w:r>
          </w:p>
        </w:tc>
        <w:tc>
          <w:tcPr>
            <w:tcW w:w="615" w:type="pct"/>
          </w:tcPr>
          <w:p w14:paraId="4AE7EC8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$2,181.30</w:t>
            </w:r>
          </w:p>
        </w:tc>
      </w:tr>
    </w:tbl>
    <w:p w14:paraId="4AE7EC83" w14:textId="77777777" w:rsidR="001D7516" w:rsidRDefault="005C50E6">
      <w:pPr>
        <w:pStyle w:val="TableChartheading"/>
      </w:pPr>
      <w:r>
        <w:t>Pension Bonus Scheme — Partnered (each)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C88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84" w14:textId="77777777" w:rsidR="001D7516" w:rsidRDefault="005C50E6">
            <w:r>
              <w:t>Years (bonus periods)</w:t>
            </w:r>
          </w:p>
        </w:tc>
        <w:tc>
          <w:tcPr>
            <w:tcW w:w="769" w:type="pct"/>
          </w:tcPr>
          <w:p w14:paraId="4AE7EC85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C86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C87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C8D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89" w14:textId="77777777" w:rsidR="001D7516" w:rsidRDefault="005C50E6">
            <w:r>
              <w:t>1 year</w:t>
            </w:r>
          </w:p>
        </w:tc>
        <w:tc>
          <w:tcPr>
            <w:tcW w:w="769" w:type="pct"/>
          </w:tcPr>
          <w:p w14:paraId="4AE7EC8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$2,087.70</w:t>
            </w:r>
          </w:p>
        </w:tc>
        <w:tc>
          <w:tcPr>
            <w:tcW w:w="692" w:type="pct"/>
          </w:tcPr>
          <w:p w14:paraId="4AE7EC8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$2,153.70</w:t>
            </w:r>
          </w:p>
        </w:tc>
        <w:tc>
          <w:tcPr>
            <w:tcW w:w="615" w:type="pct"/>
          </w:tcPr>
          <w:p w14:paraId="4AE7EC8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$66.00</w:t>
            </w:r>
          </w:p>
        </w:tc>
      </w:tr>
      <w:tr w:rsidR="001D7516" w14:paraId="4AE7EC92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8E" w14:textId="77777777" w:rsidR="001D7516" w:rsidRDefault="005C50E6">
            <w:r>
              <w:t>2 years</w:t>
            </w:r>
          </w:p>
        </w:tc>
        <w:tc>
          <w:tcPr>
            <w:tcW w:w="769" w:type="pct"/>
          </w:tcPr>
          <w:p w14:paraId="4AE7EC8F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$8,350.70</w:t>
            </w:r>
          </w:p>
        </w:tc>
        <w:tc>
          <w:tcPr>
            <w:tcW w:w="692" w:type="pct"/>
          </w:tcPr>
          <w:p w14:paraId="4AE7EC90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$8,614.60</w:t>
            </w:r>
          </w:p>
        </w:tc>
        <w:tc>
          <w:tcPr>
            <w:tcW w:w="615" w:type="pct"/>
          </w:tcPr>
          <w:p w14:paraId="4AE7EC91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$263.90</w:t>
            </w:r>
          </w:p>
        </w:tc>
      </w:tr>
      <w:tr w:rsidR="001D7516" w14:paraId="4AE7EC97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93" w14:textId="77777777" w:rsidR="001D7516" w:rsidRDefault="005C50E6">
            <w:r>
              <w:t>3 years</w:t>
            </w:r>
          </w:p>
        </w:tc>
        <w:tc>
          <w:tcPr>
            <w:tcW w:w="769" w:type="pct"/>
          </w:tcPr>
          <w:p w14:paraId="4AE7EC9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$18,789.00</w:t>
            </w:r>
          </w:p>
        </w:tc>
        <w:tc>
          <w:tcPr>
            <w:tcW w:w="692" w:type="pct"/>
          </w:tcPr>
          <w:p w14:paraId="4AE7EC9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$19,382.90</w:t>
            </w:r>
          </w:p>
        </w:tc>
        <w:tc>
          <w:tcPr>
            <w:tcW w:w="615" w:type="pct"/>
          </w:tcPr>
          <w:p w14:paraId="4AE7EC9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$593.90</w:t>
            </w:r>
          </w:p>
        </w:tc>
      </w:tr>
      <w:tr w:rsidR="001D7516" w14:paraId="4AE7EC9C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98" w14:textId="77777777" w:rsidR="001D7516" w:rsidRDefault="005C50E6">
            <w:r>
              <w:t>4 years</w:t>
            </w:r>
          </w:p>
        </w:tc>
        <w:tc>
          <w:tcPr>
            <w:tcW w:w="769" w:type="pct"/>
          </w:tcPr>
          <w:p w14:paraId="4AE7EC99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$33,402.60</w:t>
            </w:r>
          </w:p>
        </w:tc>
        <w:tc>
          <w:tcPr>
            <w:tcW w:w="692" w:type="pct"/>
          </w:tcPr>
          <w:p w14:paraId="4AE7EC9A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$34,458.40</w:t>
            </w:r>
          </w:p>
        </w:tc>
        <w:tc>
          <w:tcPr>
            <w:tcW w:w="615" w:type="pct"/>
          </w:tcPr>
          <w:p w14:paraId="4AE7EC9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$1,055.80</w:t>
            </w:r>
          </w:p>
        </w:tc>
      </w:tr>
      <w:tr w:rsidR="001D7516" w14:paraId="4AE7ECA1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9D" w14:textId="77777777" w:rsidR="001D7516" w:rsidRDefault="005C50E6">
            <w:r>
              <w:t>5 years</w:t>
            </w:r>
          </w:p>
        </w:tc>
        <w:tc>
          <w:tcPr>
            <w:tcW w:w="769" w:type="pct"/>
          </w:tcPr>
          <w:p w14:paraId="4AE7EC9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$52,191.60</w:t>
            </w:r>
          </w:p>
        </w:tc>
        <w:tc>
          <w:tcPr>
            <w:tcW w:w="692" w:type="pct"/>
          </w:tcPr>
          <w:p w14:paraId="4AE7EC9F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$53,841.30</w:t>
            </w:r>
          </w:p>
        </w:tc>
        <w:tc>
          <w:tcPr>
            <w:tcW w:w="615" w:type="pct"/>
          </w:tcPr>
          <w:p w14:paraId="4AE7ECA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$1,649.70</w:t>
            </w:r>
          </w:p>
        </w:tc>
      </w:tr>
    </w:tbl>
    <w:p w14:paraId="4AE7ECA2" w14:textId="77777777" w:rsidR="001D7516" w:rsidRDefault="005C50E6">
      <w:pPr>
        <w:pStyle w:val="TableChartheading"/>
      </w:pPr>
      <w:r>
        <w:t>Pension Bonus Scheme — Pension Supplement component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CA7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A3" w14:textId="77777777" w:rsidR="001D7516" w:rsidRDefault="005C50E6">
            <w:r>
              <w:t>Family situation (per year)</w:t>
            </w:r>
          </w:p>
        </w:tc>
        <w:tc>
          <w:tcPr>
            <w:tcW w:w="769" w:type="pct"/>
          </w:tcPr>
          <w:p w14:paraId="4AE7ECA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CA5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CA6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CAC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A8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CA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$782.60</w:t>
            </w:r>
          </w:p>
        </w:tc>
        <w:tc>
          <w:tcPr>
            <w:tcW w:w="692" w:type="pct"/>
          </w:tcPr>
          <w:p w14:paraId="4AE7ECA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$798.20</w:t>
            </w:r>
          </w:p>
        </w:tc>
        <w:tc>
          <w:tcPr>
            <w:tcW w:w="615" w:type="pct"/>
          </w:tcPr>
          <w:p w14:paraId="4AE7ECA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$15.60</w:t>
            </w:r>
          </w:p>
        </w:tc>
      </w:tr>
      <w:tr w:rsidR="001D7516" w14:paraId="4AE7ECB1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AD" w14:textId="77777777" w:rsidR="001D7516" w:rsidRDefault="005C50E6">
            <w:r>
              <w:t>Partnered — Illness separated, respite care or partner in gaol</w:t>
            </w:r>
          </w:p>
        </w:tc>
        <w:tc>
          <w:tcPr>
            <w:tcW w:w="769" w:type="pct"/>
          </w:tcPr>
          <w:p w14:paraId="4AE7ECA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$782.60</w:t>
            </w:r>
          </w:p>
        </w:tc>
        <w:tc>
          <w:tcPr>
            <w:tcW w:w="692" w:type="pct"/>
          </w:tcPr>
          <w:p w14:paraId="4AE7ECAF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$798.20</w:t>
            </w:r>
          </w:p>
        </w:tc>
        <w:tc>
          <w:tcPr>
            <w:tcW w:w="615" w:type="pct"/>
          </w:tcPr>
          <w:p w14:paraId="4AE7ECB0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$15.60</w:t>
            </w:r>
          </w:p>
        </w:tc>
      </w:tr>
      <w:tr w:rsidR="001D7516" w14:paraId="4AE7ECB6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B2" w14:textId="77777777" w:rsidR="001D7516" w:rsidRDefault="005C50E6">
            <w:r>
              <w:t>Partnered (each)</w:t>
            </w:r>
          </w:p>
        </w:tc>
        <w:tc>
          <w:tcPr>
            <w:tcW w:w="769" w:type="pct"/>
          </w:tcPr>
          <w:p w14:paraId="4AE7ECB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$644.80</w:t>
            </w:r>
          </w:p>
        </w:tc>
        <w:tc>
          <w:tcPr>
            <w:tcW w:w="692" w:type="pct"/>
          </w:tcPr>
          <w:p w14:paraId="4AE7ECB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$657.80</w:t>
            </w:r>
          </w:p>
        </w:tc>
        <w:tc>
          <w:tcPr>
            <w:tcW w:w="615" w:type="pct"/>
          </w:tcPr>
          <w:p w14:paraId="4AE7ECB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$13.00</w:t>
            </w:r>
          </w:p>
        </w:tc>
      </w:tr>
    </w:tbl>
    <w:p w14:paraId="4AE7ECB7" w14:textId="77777777" w:rsidR="001D7516" w:rsidRDefault="005C50E6">
      <w:pPr>
        <w:pStyle w:val="Heading2"/>
      </w:pPr>
      <w:r>
        <w:lastRenderedPageBreak/>
        <w:t>Jobseeker Payment Rates</w:t>
      </w:r>
    </w:p>
    <w:p w14:paraId="4AE7ECB8" w14:textId="77777777" w:rsidR="001D7516" w:rsidRDefault="005C50E6">
      <w:r>
        <w:t>Note: some of the following rates may apply to Special Benefit recipients.</w:t>
      </w:r>
    </w:p>
    <w:p w14:paraId="4AE7ECB9" w14:textId="77777777" w:rsidR="001D7516" w:rsidRDefault="005C50E6">
      <w:pPr>
        <w:pStyle w:val="TableChartheading"/>
      </w:pPr>
      <w:r>
        <w:t>JobSeeker Payment — Single — No dependent children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CBE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BA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CBB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CBC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CBD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CC3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BF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CC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$808.70</w:t>
            </w:r>
          </w:p>
        </w:tc>
        <w:tc>
          <w:tcPr>
            <w:tcW w:w="692" w:type="pct"/>
          </w:tcPr>
          <w:p w14:paraId="4AE7ECC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$824.90</w:t>
            </w:r>
          </w:p>
        </w:tc>
        <w:tc>
          <w:tcPr>
            <w:tcW w:w="615" w:type="pct"/>
          </w:tcPr>
          <w:p w14:paraId="4AE7ECC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$16.20</w:t>
            </w:r>
          </w:p>
        </w:tc>
      </w:tr>
      <w:tr w:rsidR="001D7516" w14:paraId="4AE7ECC8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C4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CC5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$8.80</w:t>
            </w:r>
          </w:p>
        </w:tc>
        <w:tc>
          <w:tcPr>
            <w:tcW w:w="692" w:type="pct"/>
          </w:tcPr>
          <w:p w14:paraId="4AE7ECC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$8.80</w:t>
            </w:r>
          </w:p>
        </w:tc>
        <w:tc>
          <w:tcPr>
            <w:tcW w:w="615" w:type="pct"/>
          </w:tcPr>
          <w:p w14:paraId="4AE7ECC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CCD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C9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CCA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$817.50</w:t>
            </w:r>
          </w:p>
        </w:tc>
        <w:tc>
          <w:tcPr>
            <w:tcW w:w="692" w:type="pct"/>
          </w:tcPr>
          <w:p w14:paraId="4AE7ECCB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$833.70</w:t>
            </w:r>
          </w:p>
        </w:tc>
        <w:tc>
          <w:tcPr>
            <w:tcW w:w="615" w:type="pct"/>
          </w:tcPr>
          <w:p w14:paraId="4AE7ECCC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$16.20</w:t>
            </w:r>
          </w:p>
        </w:tc>
      </w:tr>
    </w:tbl>
    <w:p w14:paraId="4AE7ECCE" w14:textId="77777777" w:rsidR="001D7516" w:rsidRDefault="005C50E6">
      <w:pPr>
        <w:pStyle w:val="TableChartheading"/>
      </w:pPr>
      <w:r>
        <w:t>JobSeeker Payment — Single — With dependent children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CD3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CF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CD0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CD1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CD2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CD8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D4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CD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$866.00</w:t>
            </w:r>
          </w:p>
        </w:tc>
        <w:tc>
          <w:tcPr>
            <w:tcW w:w="692" w:type="pct"/>
          </w:tcPr>
          <w:p w14:paraId="4AE7ECD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$883.30</w:t>
            </w:r>
          </w:p>
        </w:tc>
        <w:tc>
          <w:tcPr>
            <w:tcW w:w="615" w:type="pct"/>
          </w:tcPr>
          <w:p w14:paraId="4AE7ECD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$17.30</w:t>
            </w:r>
          </w:p>
        </w:tc>
      </w:tr>
      <w:tr w:rsidR="001D7516" w14:paraId="4AE7ECDD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D9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CDA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$9.50</w:t>
            </w:r>
          </w:p>
        </w:tc>
        <w:tc>
          <w:tcPr>
            <w:tcW w:w="692" w:type="pct"/>
          </w:tcPr>
          <w:p w14:paraId="4AE7ECD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$9.50</w:t>
            </w:r>
          </w:p>
        </w:tc>
        <w:tc>
          <w:tcPr>
            <w:tcW w:w="615" w:type="pct"/>
          </w:tcPr>
          <w:p w14:paraId="4AE7ECD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CE2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DE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CDF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$875.50</w:t>
            </w:r>
          </w:p>
        </w:tc>
        <w:tc>
          <w:tcPr>
            <w:tcW w:w="692" w:type="pct"/>
          </w:tcPr>
          <w:p w14:paraId="4AE7ECE0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$892.80</w:t>
            </w:r>
          </w:p>
        </w:tc>
        <w:tc>
          <w:tcPr>
            <w:tcW w:w="615" w:type="pct"/>
          </w:tcPr>
          <w:p w14:paraId="4AE7ECE1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$17.30</w:t>
            </w:r>
          </w:p>
        </w:tc>
      </w:tr>
    </w:tbl>
    <w:p w14:paraId="4AE7ECE3" w14:textId="77777777" w:rsidR="001D7516" w:rsidRDefault="005C50E6">
      <w:pPr>
        <w:pStyle w:val="TableChartheading"/>
      </w:pPr>
      <w:r>
        <w:t>JobSeeker Payment — Single — Principal carer of a dependent child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CE8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E4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CE5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CE6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CE7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CED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E9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CE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$866.00</w:t>
            </w:r>
          </w:p>
        </w:tc>
        <w:tc>
          <w:tcPr>
            <w:tcW w:w="692" w:type="pct"/>
          </w:tcPr>
          <w:p w14:paraId="4AE7ECE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$883.30</w:t>
            </w:r>
          </w:p>
        </w:tc>
        <w:tc>
          <w:tcPr>
            <w:tcW w:w="615" w:type="pct"/>
          </w:tcPr>
          <w:p w14:paraId="4AE7ECE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$17.30</w:t>
            </w:r>
          </w:p>
        </w:tc>
      </w:tr>
      <w:tr w:rsidR="001D7516" w14:paraId="4AE7ECF2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EE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CEF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$9.50</w:t>
            </w:r>
          </w:p>
        </w:tc>
        <w:tc>
          <w:tcPr>
            <w:tcW w:w="692" w:type="pct"/>
          </w:tcPr>
          <w:p w14:paraId="4AE7ECF0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$9.50</w:t>
            </w:r>
          </w:p>
        </w:tc>
        <w:tc>
          <w:tcPr>
            <w:tcW w:w="615" w:type="pct"/>
          </w:tcPr>
          <w:p w14:paraId="4AE7ECF1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CF7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F3" w14:textId="77777777" w:rsidR="001D7516" w:rsidRDefault="005C50E6">
            <w:r>
              <w:t>Pharmaceutical Allowance</w:t>
            </w:r>
          </w:p>
        </w:tc>
        <w:tc>
          <w:tcPr>
            <w:tcW w:w="769" w:type="pct"/>
          </w:tcPr>
          <w:p w14:paraId="4AE7ECF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692" w:type="pct"/>
          </w:tcPr>
          <w:p w14:paraId="4AE7ECF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615" w:type="pct"/>
          </w:tcPr>
          <w:p w14:paraId="4AE7ECF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CFC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F8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CF9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$882.50</w:t>
            </w:r>
          </w:p>
        </w:tc>
        <w:tc>
          <w:tcPr>
            <w:tcW w:w="692" w:type="pct"/>
          </w:tcPr>
          <w:p w14:paraId="4AE7ECFA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$899.80</w:t>
            </w:r>
          </w:p>
        </w:tc>
        <w:tc>
          <w:tcPr>
            <w:tcW w:w="615" w:type="pct"/>
          </w:tcPr>
          <w:p w14:paraId="4AE7ECFB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$17.30</w:t>
            </w:r>
          </w:p>
        </w:tc>
      </w:tr>
    </w:tbl>
    <w:p w14:paraId="4AE7ECFD" w14:textId="77777777" w:rsidR="001D7516" w:rsidRDefault="005C50E6">
      <w:pPr>
        <w:pStyle w:val="TableChartheading"/>
      </w:pPr>
      <w:r>
        <w:t>JobSeeker Payment — Single — Principal carer of a dependent child, exempt from the activity test due to foster caring, non‑parent relative caring under a court order, home schooling, distance education or large family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D02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CFE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CFF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D00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D01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D07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03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D0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$1,047.30</w:t>
            </w:r>
          </w:p>
        </w:tc>
        <w:tc>
          <w:tcPr>
            <w:tcW w:w="692" w:type="pct"/>
          </w:tcPr>
          <w:p w14:paraId="4AE7ED0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$1,068.20</w:t>
            </w:r>
          </w:p>
        </w:tc>
        <w:tc>
          <w:tcPr>
            <w:tcW w:w="615" w:type="pct"/>
          </w:tcPr>
          <w:p w14:paraId="4AE7ED0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$20.90</w:t>
            </w:r>
          </w:p>
        </w:tc>
      </w:tr>
      <w:tr w:rsidR="001D7516" w14:paraId="4AE7ED0C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08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D09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$12.00</w:t>
            </w:r>
          </w:p>
        </w:tc>
        <w:tc>
          <w:tcPr>
            <w:tcW w:w="692" w:type="pct"/>
          </w:tcPr>
          <w:p w14:paraId="4AE7ED0A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$12.00</w:t>
            </w:r>
          </w:p>
        </w:tc>
        <w:tc>
          <w:tcPr>
            <w:tcW w:w="615" w:type="pct"/>
          </w:tcPr>
          <w:p w14:paraId="4AE7ED0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11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0D" w14:textId="77777777" w:rsidR="001D7516" w:rsidRDefault="005C50E6">
            <w:r>
              <w:t>Pharmaceutical Allowance</w:t>
            </w:r>
          </w:p>
        </w:tc>
        <w:tc>
          <w:tcPr>
            <w:tcW w:w="769" w:type="pct"/>
          </w:tcPr>
          <w:p w14:paraId="4AE7ED0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692" w:type="pct"/>
          </w:tcPr>
          <w:p w14:paraId="4AE7ED0F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615" w:type="pct"/>
          </w:tcPr>
          <w:p w14:paraId="4AE7ED1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16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12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D13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$1,066.30</w:t>
            </w:r>
          </w:p>
        </w:tc>
        <w:tc>
          <w:tcPr>
            <w:tcW w:w="692" w:type="pct"/>
          </w:tcPr>
          <w:p w14:paraId="4AE7ED14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$1,087.20</w:t>
            </w:r>
          </w:p>
        </w:tc>
        <w:tc>
          <w:tcPr>
            <w:tcW w:w="615" w:type="pct"/>
          </w:tcPr>
          <w:p w14:paraId="4AE7ED15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$20.90</w:t>
            </w:r>
          </w:p>
        </w:tc>
      </w:tr>
    </w:tbl>
    <w:p w14:paraId="4AE7ED17" w14:textId="77777777" w:rsidR="001D7516" w:rsidRDefault="005C50E6">
      <w:pPr>
        <w:pStyle w:val="TableChartheading"/>
      </w:pPr>
      <w:r>
        <w:t>JobSeeker Payment — Single — Aged 55 or over — After 9 months on payment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D1C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18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D19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D1A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D1B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D21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1D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D1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$866.00</w:t>
            </w:r>
          </w:p>
        </w:tc>
        <w:tc>
          <w:tcPr>
            <w:tcW w:w="692" w:type="pct"/>
          </w:tcPr>
          <w:p w14:paraId="4AE7ED1F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$883.30</w:t>
            </w:r>
          </w:p>
        </w:tc>
        <w:tc>
          <w:tcPr>
            <w:tcW w:w="615" w:type="pct"/>
          </w:tcPr>
          <w:p w14:paraId="4AE7ED2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$17.30</w:t>
            </w:r>
          </w:p>
        </w:tc>
      </w:tr>
      <w:tr w:rsidR="001D7516" w14:paraId="4AE7ED26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22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D23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$9.50</w:t>
            </w:r>
          </w:p>
        </w:tc>
        <w:tc>
          <w:tcPr>
            <w:tcW w:w="692" w:type="pct"/>
          </w:tcPr>
          <w:p w14:paraId="4AE7ED24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$9.50</w:t>
            </w:r>
          </w:p>
        </w:tc>
        <w:tc>
          <w:tcPr>
            <w:tcW w:w="615" w:type="pct"/>
          </w:tcPr>
          <w:p w14:paraId="4AE7ED25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2B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27" w14:textId="77777777" w:rsidR="001D7516" w:rsidRDefault="005C50E6">
            <w:r>
              <w:t>Pharmaceutical Allowance</w:t>
            </w:r>
          </w:p>
        </w:tc>
        <w:tc>
          <w:tcPr>
            <w:tcW w:w="769" w:type="pct"/>
          </w:tcPr>
          <w:p w14:paraId="4AE7ED2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692" w:type="pct"/>
          </w:tcPr>
          <w:p w14:paraId="4AE7ED2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615" w:type="pct"/>
          </w:tcPr>
          <w:p w14:paraId="4AE7ED2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30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2C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D2D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$882.50</w:t>
            </w:r>
          </w:p>
        </w:tc>
        <w:tc>
          <w:tcPr>
            <w:tcW w:w="692" w:type="pct"/>
          </w:tcPr>
          <w:p w14:paraId="4AE7ED2E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$899.80</w:t>
            </w:r>
          </w:p>
        </w:tc>
        <w:tc>
          <w:tcPr>
            <w:tcW w:w="615" w:type="pct"/>
          </w:tcPr>
          <w:p w14:paraId="4AE7ED2F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$17.30</w:t>
            </w:r>
          </w:p>
        </w:tc>
      </w:tr>
    </w:tbl>
    <w:p w14:paraId="4AE7ED31" w14:textId="77777777" w:rsidR="001D7516" w:rsidRDefault="005C50E6">
      <w:pPr>
        <w:pStyle w:val="TableChartheading"/>
      </w:pPr>
      <w:r>
        <w:t>JobSeeker Payment — Single — Partial capacity to work 0-14 hours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D36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32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D3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D3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D35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D3B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37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D3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$866.00</w:t>
            </w:r>
          </w:p>
        </w:tc>
        <w:tc>
          <w:tcPr>
            <w:tcW w:w="692" w:type="pct"/>
          </w:tcPr>
          <w:p w14:paraId="4AE7ED3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$883.30</w:t>
            </w:r>
          </w:p>
        </w:tc>
        <w:tc>
          <w:tcPr>
            <w:tcW w:w="615" w:type="pct"/>
          </w:tcPr>
          <w:p w14:paraId="4AE7ED3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$17.30</w:t>
            </w:r>
          </w:p>
        </w:tc>
      </w:tr>
      <w:tr w:rsidR="001D7516" w14:paraId="4AE7ED40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3C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D3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$9.50</w:t>
            </w:r>
          </w:p>
        </w:tc>
        <w:tc>
          <w:tcPr>
            <w:tcW w:w="692" w:type="pct"/>
          </w:tcPr>
          <w:p w14:paraId="4AE7ED3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$9.50</w:t>
            </w:r>
          </w:p>
        </w:tc>
        <w:tc>
          <w:tcPr>
            <w:tcW w:w="615" w:type="pct"/>
          </w:tcPr>
          <w:p w14:paraId="4AE7ED3F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45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41" w14:textId="77777777" w:rsidR="001D7516" w:rsidRDefault="005C50E6">
            <w:r>
              <w:t>Pharmaceutical Allowance</w:t>
            </w:r>
          </w:p>
        </w:tc>
        <w:tc>
          <w:tcPr>
            <w:tcW w:w="769" w:type="pct"/>
          </w:tcPr>
          <w:p w14:paraId="4AE7ED4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692" w:type="pct"/>
          </w:tcPr>
          <w:p w14:paraId="4AE7ED4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615" w:type="pct"/>
          </w:tcPr>
          <w:p w14:paraId="4AE7ED4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4A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46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D47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$882.50</w:t>
            </w:r>
          </w:p>
        </w:tc>
        <w:tc>
          <w:tcPr>
            <w:tcW w:w="692" w:type="pct"/>
          </w:tcPr>
          <w:p w14:paraId="4AE7ED48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$899.80</w:t>
            </w:r>
          </w:p>
        </w:tc>
        <w:tc>
          <w:tcPr>
            <w:tcW w:w="615" w:type="pct"/>
          </w:tcPr>
          <w:p w14:paraId="4AE7ED49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$17.30</w:t>
            </w:r>
          </w:p>
        </w:tc>
      </w:tr>
    </w:tbl>
    <w:p w14:paraId="4AE7ED4B" w14:textId="77777777" w:rsidR="001D7516" w:rsidRDefault="005C50E6">
      <w:pPr>
        <w:pStyle w:val="TableChartheading"/>
      </w:pPr>
      <w:r>
        <w:t>JobSeeker Payment — Partnered (each)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D50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4C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D4D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D4E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D4F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D55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51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D5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$740.30</w:t>
            </w:r>
          </w:p>
        </w:tc>
        <w:tc>
          <w:tcPr>
            <w:tcW w:w="692" w:type="pct"/>
          </w:tcPr>
          <w:p w14:paraId="4AE7ED5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$755.10</w:t>
            </w:r>
          </w:p>
        </w:tc>
        <w:tc>
          <w:tcPr>
            <w:tcW w:w="615" w:type="pct"/>
          </w:tcPr>
          <w:p w14:paraId="4AE7ED5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$14.80</w:t>
            </w:r>
          </w:p>
        </w:tc>
      </w:tr>
      <w:tr w:rsidR="001D7516" w14:paraId="4AE7ED5A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56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D5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$7.90</w:t>
            </w:r>
          </w:p>
        </w:tc>
        <w:tc>
          <w:tcPr>
            <w:tcW w:w="692" w:type="pct"/>
          </w:tcPr>
          <w:p w14:paraId="4AE7ED5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$7.90</w:t>
            </w:r>
          </w:p>
        </w:tc>
        <w:tc>
          <w:tcPr>
            <w:tcW w:w="615" w:type="pct"/>
          </w:tcPr>
          <w:p w14:paraId="4AE7ED59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5F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5B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D5C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$748.20</w:t>
            </w:r>
          </w:p>
        </w:tc>
        <w:tc>
          <w:tcPr>
            <w:tcW w:w="692" w:type="pct"/>
          </w:tcPr>
          <w:p w14:paraId="4AE7ED5D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$763.00</w:t>
            </w:r>
          </w:p>
        </w:tc>
        <w:tc>
          <w:tcPr>
            <w:tcW w:w="615" w:type="pct"/>
          </w:tcPr>
          <w:p w14:paraId="4AE7ED5E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$14.80</w:t>
            </w:r>
          </w:p>
        </w:tc>
      </w:tr>
    </w:tbl>
    <w:p w14:paraId="4AE7ED60" w14:textId="2789B416" w:rsidR="001D7516" w:rsidRDefault="005C50E6">
      <w:pPr>
        <w:pStyle w:val="Heading2"/>
      </w:pPr>
      <w:r>
        <w:t>Parenting Payment Rates</w:t>
      </w:r>
    </w:p>
    <w:p w14:paraId="4AE7ED61" w14:textId="77777777" w:rsidR="001D7516" w:rsidRDefault="005C50E6">
      <w:pPr>
        <w:pStyle w:val="TableChartheading"/>
      </w:pPr>
      <w:r>
        <w:t>Parenting Payment Single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D66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62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D6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D6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D65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D6B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67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D6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$1,017.20</w:t>
            </w:r>
          </w:p>
        </w:tc>
        <w:tc>
          <w:tcPr>
            <w:tcW w:w="692" w:type="pct"/>
          </w:tcPr>
          <w:p w14:paraId="4AE7ED6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$1,037.50</w:t>
            </w:r>
          </w:p>
        </w:tc>
        <w:tc>
          <w:tcPr>
            <w:tcW w:w="615" w:type="pct"/>
          </w:tcPr>
          <w:p w14:paraId="4AE7ED6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$20.30</w:t>
            </w:r>
          </w:p>
        </w:tc>
      </w:tr>
      <w:tr w:rsidR="001D7516" w14:paraId="4AE7ED70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6C" w14:textId="77777777" w:rsidR="001D7516" w:rsidRDefault="005C50E6">
            <w:r>
              <w:t>Pension Supplement — Basic amount</w:t>
            </w:r>
          </w:p>
        </w:tc>
        <w:tc>
          <w:tcPr>
            <w:tcW w:w="769" w:type="pct"/>
          </w:tcPr>
          <w:p w14:paraId="4AE7ED6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$30.10</w:t>
            </w:r>
          </w:p>
        </w:tc>
        <w:tc>
          <w:tcPr>
            <w:tcW w:w="692" w:type="pct"/>
          </w:tcPr>
          <w:p w14:paraId="4AE7ED6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$30.70</w:t>
            </w:r>
          </w:p>
        </w:tc>
        <w:tc>
          <w:tcPr>
            <w:tcW w:w="615" w:type="pct"/>
          </w:tcPr>
          <w:p w14:paraId="4AE7ED6F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$0.60</w:t>
            </w:r>
          </w:p>
        </w:tc>
      </w:tr>
      <w:tr w:rsidR="001D7516" w14:paraId="4AE7ED75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71" w14:textId="77777777" w:rsidR="001D7516" w:rsidRDefault="005C50E6">
            <w:r>
              <w:t>Pharmaceutical Allowance</w:t>
            </w:r>
          </w:p>
        </w:tc>
        <w:tc>
          <w:tcPr>
            <w:tcW w:w="769" w:type="pct"/>
          </w:tcPr>
          <w:p w14:paraId="4AE7ED7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692" w:type="pct"/>
          </w:tcPr>
          <w:p w14:paraId="4AE7ED7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615" w:type="pct"/>
          </w:tcPr>
          <w:p w14:paraId="4AE7ED7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7A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76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D7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$12.00</w:t>
            </w:r>
          </w:p>
        </w:tc>
        <w:tc>
          <w:tcPr>
            <w:tcW w:w="692" w:type="pct"/>
          </w:tcPr>
          <w:p w14:paraId="4AE7ED7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$12.00</w:t>
            </w:r>
          </w:p>
        </w:tc>
        <w:tc>
          <w:tcPr>
            <w:tcW w:w="615" w:type="pct"/>
          </w:tcPr>
          <w:p w14:paraId="4AE7ED79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7F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7B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D7C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$1,066.30</w:t>
            </w:r>
          </w:p>
        </w:tc>
        <w:tc>
          <w:tcPr>
            <w:tcW w:w="692" w:type="pct"/>
          </w:tcPr>
          <w:p w14:paraId="4AE7ED7D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$1,087.20</w:t>
            </w:r>
          </w:p>
        </w:tc>
        <w:tc>
          <w:tcPr>
            <w:tcW w:w="615" w:type="pct"/>
          </w:tcPr>
          <w:p w14:paraId="4AE7ED7E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$20.90</w:t>
            </w:r>
          </w:p>
        </w:tc>
      </w:tr>
    </w:tbl>
    <w:p w14:paraId="4AE7ED80" w14:textId="77777777" w:rsidR="001D7516" w:rsidRDefault="005C50E6">
      <w:pPr>
        <w:pStyle w:val="TableChartheading"/>
      </w:pPr>
      <w:r>
        <w:lastRenderedPageBreak/>
        <w:t>Parenting Payment Partnered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D85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81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D82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D8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D8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D8A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86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D8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$740.30</w:t>
            </w:r>
          </w:p>
        </w:tc>
        <w:tc>
          <w:tcPr>
            <w:tcW w:w="692" w:type="pct"/>
          </w:tcPr>
          <w:p w14:paraId="4AE7ED8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$755.10</w:t>
            </w:r>
          </w:p>
        </w:tc>
        <w:tc>
          <w:tcPr>
            <w:tcW w:w="615" w:type="pct"/>
          </w:tcPr>
          <w:p w14:paraId="4AE7ED8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$14.80</w:t>
            </w:r>
          </w:p>
        </w:tc>
      </w:tr>
      <w:tr w:rsidR="001D7516" w14:paraId="4AE7ED8F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8B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D8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$7.90</w:t>
            </w:r>
          </w:p>
        </w:tc>
        <w:tc>
          <w:tcPr>
            <w:tcW w:w="692" w:type="pct"/>
          </w:tcPr>
          <w:p w14:paraId="4AE7ED8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$7.90</w:t>
            </w:r>
          </w:p>
        </w:tc>
        <w:tc>
          <w:tcPr>
            <w:tcW w:w="615" w:type="pct"/>
          </w:tcPr>
          <w:p w14:paraId="4AE7ED8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94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90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D91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$748.20</w:t>
            </w:r>
          </w:p>
        </w:tc>
        <w:tc>
          <w:tcPr>
            <w:tcW w:w="692" w:type="pct"/>
          </w:tcPr>
          <w:p w14:paraId="4AE7ED92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$763.00</w:t>
            </w:r>
          </w:p>
        </w:tc>
        <w:tc>
          <w:tcPr>
            <w:tcW w:w="615" w:type="pct"/>
          </w:tcPr>
          <w:p w14:paraId="4AE7ED93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$14.80</w:t>
            </w:r>
          </w:p>
        </w:tc>
      </w:tr>
    </w:tbl>
    <w:p w14:paraId="4AE7ED95" w14:textId="77777777" w:rsidR="001D7516" w:rsidRDefault="005C50E6">
      <w:pPr>
        <w:pStyle w:val="Heading2"/>
      </w:pPr>
      <w:r>
        <w:t>Youth Allowance Rates</w:t>
      </w:r>
    </w:p>
    <w:p w14:paraId="4AE7ED96" w14:textId="77777777" w:rsidR="001D7516" w:rsidRDefault="005C50E6">
      <w:pPr>
        <w:pStyle w:val="TableChartheading"/>
      </w:pPr>
      <w:r>
        <w:t>Youth Allowance — Single — Principal carer of a dependent child, exempt from the activity test due to foster caring, non‑parent relative caring under a court order, home schooling, distance education or large family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D9B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97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D98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D99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D9A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DA0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9C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D9D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$1,047.30</w:t>
            </w:r>
          </w:p>
        </w:tc>
        <w:tc>
          <w:tcPr>
            <w:tcW w:w="692" w:type="pct"/>
          </w:tcPr>
          <w:p w14:paraId="4AE7ED9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$1,068.20</w:t>
            </w:r>
          </w:p>
        </w:tc>
        <w:tc>
          <w:tcPr>
            <w:tcW w:w="615" w:type="pct"/>
          </w:tcPr>
          <w:p w14:paraId="4AE7ED9F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$20.90</w:t>
            </w:r>
          </w:p>
        </w:tc>
      </w:tr>
      <w:tr w:rsidR="001D7516" w14:paraId="4AE7EDA5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A1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DA2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$12.00</w:t>
            </w:r>
          </w:p>
        </w:tc>
        <w:tc>
          <w:tcPr>
            <w:tcW w:w="692" w:type="pct"/>
          </w:tcPr>
          <w:p w14:paraId="4AE7EDA3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$12.00</w:t>
            </w:r>
          </w:p>
        </w:tc>
        <w:tc>
          <w:tcPr>
            <w:tcW w:w="615" w:type="pct"/>
          </w:tcPr>
          <w:p w14:paraId="4AE7EDA4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AA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A6" w14:textId="77777777" w:rsidR="001D7516" w:rsidRDefault="005C50E6">
            <w:r>
              <w:t>Pharmaceutical Allowance</w:t>
            </w:r>
          </w:p>
        </w:tc>
        <w:tc>
          <w:tcPr>
            <w:tcW w:w="769" w:type="pct"/>
          </w:tcPr>
          <w:p w14:paraId="4AE7EDA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692" w:type="pct"/>
          </w:tcPr>
          <w:p w14:paraId="4AE7EDA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615" w:type="pct"/>
          </w:tcPr>
          <w:p w14:paraId="4AE7EDA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AF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AB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DAC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$1,066.30</w:t>
            </w:r>
          </w:p>
        </w:tc>
        <w:tc>
          <w:tcPr>
            <w:tcW w:w="692" w:type="pct"/>
          </w:tcPr>
          <w:p w14:paraId="4AE7EDAD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$1,087.20</w:t>
            </w:r>
          </w:p>
        </w:tc>
        <w:tc>
          <w:tcPr>
            <w:tcW w:w="615" w:type="pct"/>
          </w:tcPr>
          <w:p w14:paraId="4AE7EDAE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$20.90</w:t>
            </w:r>
          </w:p>
        </w:tc>
      </w:tr>
    </w:tbl>
    <w:p w14:paraId="4AE7EDB0" w14:textId="77777777" w:rsidR="001D7516" w:rsidRDefault="005C50E6">
      <w:pPr>
        <w:pStyle w:val="Heading2"/>
      </w:pPr>
      <w:r>
        <w:t>ABSTUDY Rates</w:t>
      </w:r>
    </w:p>
    <w:p w14:paraId="4AE7EDB1" w14:textId="77777777" w:rsidR="001D7516" w:rsidRDefault="005C50E6">
      <w:pPr>
        <w:pStyle w:val="TableChartheading"/>
      </w:pPr>
      <w:r>
        <w:t>ABSTUDY Living Allowance — Single — Independent — Aged 22 or over — No dependent children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DB6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B2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DB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DB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DB5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DBB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B7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DB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$808.70</w:t>
            </w:r>
          </w:p>
        </w:tc>
        <w:tc>
          <w:tcPr>
            <w:tcW w:w="692" w:type="pct"/>
          </w:tcPr>
          <w:p w14:paraId="4AE7EDB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$824.90</w:t>
            </w:r>
          </w:p>
        </w:tc>
        <w:tc>
          <w:tcPr>
            <w:tcW w:w="615" w:type="pct"/>
          </w:tcPr>
          <w:p w14:paraId="4AE7EDB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$16.20</w:t>
            </w:r>
          </w:p>
        </w:tc>
      </w:tr>
      <w:tr w:rsidR="001D7516" w14:paraId="4AE7EDC0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BC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DB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$8.80</w:t>
            </w:r>
          </w:p>
        </w:tc>
        <w:tc>
          <w:tcPr>
            <w:tcW w:w="692" w:type="pct"/>
          </w:tcPr>
          <w:p w14:paraId="4AE7EDB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$8.80</w:t>
            </w:r>
          </w:p>
        </w:tc>
        <w:tc>
          <w:tcPr>
            <w:tcW w:w="615" w:type="pct"/>
          </w:tcPr>
          <w:p w14:paraId="4AE7EDBF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C5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C1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DC2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$817.50</w:t>
            </w:r>
          </w:p>
        </w:tc>
        <w:tc>
          <w:tcPr>
            <w:tcW w:w="692" w:type="pct"/>
          </w:tcPr>
          <w:p w14:paraId="4AE7EDC3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$833.70</w:t>
            </w:r>
          </w:p>
        </w:tc>
        <w:tc>
          <w:tcPr>
            <w:tcW w:w="615" w:type="pct"/>
          </w:tcPr>
          <w:p w14:paraId="4AE7EDC4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$16.20</w:t>
            </w:r>
          </w:p>
        </w:tc>
      </w:tr>
    </w:tbl>
    <w:p w14:paraId="4AE7EDC6" w14:textId="77777777" w:rsidR="001D7516" w:rsidRDefault="005C50E6">
      <w:pPr>
        <w:pStyle w:val="TableChartheading"/>
      </w:pPr>
      <w:r>
        <w:t>ABSTUDY Living Allowance — Single — Independent — Aged 55 or over — No dependent children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DCB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C7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DC8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DC9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DCA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DD0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CC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DCD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$866.00</w:t>
            </w:r>
          </w:p>
        </w:tc>
        <w:tc>
          <w:tcPr>
            <w:tcW w:w="692" w:type="pct"/>
          </w:tcPr>
          <w:p w14:paraId="4AE7EDC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$883.30</w:t>
            </w:r>
          </w:p>
        </w:tc>
        <w:tc>
          <w:tcPr>
            <w:tcW w:w="615" w:type="pct"/>
          </w:tcPr>
          <w:p w14:paraId="4AE7EDCF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$17.30</w:t>
            </w:r>
          </w:p>
        </w:tc>
      </w:tr>
      <w:tr w:rsidR="001D7516" w14:paraId="4AE7EDD5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D1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DD2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$9.50</w:t>
            </w:r>
          </w:p>
        </w:tc>
        <w:tc>
          <w:tcPr>
            <w:tcW w:w="692" w:type="pct"/>
          </w:tcPr>
          <w:p w14:paraId="4AE7EDD3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$9.50</w:t>
            </w:r>
          </w:p>
        </w:tc>
        <w:tc>
          <w:tcPr>
            <w:tcW w:w="615" w:type="pct"/>
          </w:tcPr>
          <w:p w14:paraId="4AE7EDD4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DA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D6" w14:textId="77777777" w:rsidR="001D7516" w:rsidRDefault="005C50E6">
            <w:r>
              <w:t>Pharmaceutical Allowance</w:t>
            </w:r>
          </w:p>
        </w:tc>
        <w:tc>
          <w:tcPr>
            <w:tcW w:w="769" w:type="pct"/>
          </w:tcPr>
          <w:p w14:paraId="4AE7EDD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692" w:type="pct"/>
          </w:tcPr>
          <w:p w14:paraId="4AE7EDD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$7.00</w:t>
            </w:r>
          </w:p>
        </w:tc>
        <w:tc>
          <w:tcPr>
            <w:tcW w:w="615" w:type="pct"/>
          </w:tcPr>
          <w:p w14:paraId="4AE7EDD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DF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DB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DDC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$882.50</w:t>
            </w:r>
          </w:p>
        </w:tc>
        <w:tc>
          <w:tcPr>
            <w:tcW w:w="692" w:type="pct"/>
          </w:tcPr>
          <w:p w14:paraId="4AE7EDDD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$899.80</w:t>
            </w:r>
          </w:p>
        </w:tc>
        <w:tc>
          <w:tcPr>
            <w:tcW w:w="615" w:type="pct"/>
          </w:tcPr>
          <w:p w14:paraId="4AE7EDDE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$17.30</w:t>
            </w:r>
          </w:p>
        </w:tc>
      </w:tr>
    </w:tbl>
    <w:p w14:paraId="4AE7EDE0" w14:textId="77777777" w:rsidR="001D7516" w:rsidRDefault="005C50E6">
      <w:pPr>
        <w:pStyle w:val="TableChartheading"/>
      </w:pPr>
      <w:r>
        <w:t>ABSTUDY Living Allowance — Single — Independent — Aged 22 or over — With dependent children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DE5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E1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DE2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DE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DE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DEA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E6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DE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$866.00</w:t>
            </w:r>
          </w:p>
        </w:tc>
        <w:tc>
          <w:tcPr>
            <w:tcW w:w="692" w:type="pct"/>
          </w:tcPr>
          <w:p w14:paraId="4AE7EDE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$883.30</w:t>
            </w:r>
          </w:p>
        </w:tc>
        <w:tc>
          <w:tcPr>
            <w:tcW w:w="615" w:type="pct"/>
          </w:tcPr>
          <w:p w14:paraId="4AE7EDE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$17.30</w:t>
            </w:r>
          </w:p>
        </w:tc>
      </w:tr>
      <w:tr w:rsidR="001D7516" w14:paraId="4AE7EDEF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EB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DE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$9.50</w:t>
            </w:r>
          </w:p>
        </w:tc>
        <w:tc>
          <w:tcPr>
            <w:tcW w:w="692" w:type="pct"/>
          </w:tcPr>
          <w:p w14:paraId="4AE7EDE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$9.50</w:t>
            </w:r>
          </w:p>
        </w:tc>
        <w:tc>
          <w:tcPr>
            <w:tcW w:w="615" w:type="pct"/>
          </w:tcPr>
          <w:p w14:paraId="4AE7EDE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DF4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F0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DF1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$875.50</w:t>
            </w:r>
          </w:p>
        </w:tc>
        <w:tc>
          <w:tcPr>
            <w:tcW w:w="692" w:type="pct"/>
          </w:tcPr>
          <w:p w14:paraId="4AE7EDF2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$892.80</w:t>
            </w:r>
          </w:p>
        </w:tc>
        <w:tc>
          <w:tcPr>
            <w:tcW w:w="615" w:type="pct"/>
          </w:tcPr>
          <w:p w14:paraId="4AE7EDF3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$17.30</w:t>
            </w:r>
          </w:p>
        </w:tc>
      </w:tr>
    </w:tbl>
    <w:p w14:paraId="4AE7EDF5" w14:textId="77777777" w:rsidR="001D7516" w:rsidRDefault="005C50E6">
      <w:pPr>
        <w:pStyle w:val="TableChartheading"/>
      </w:pPr>
      <w:r>
        <w:t>ABSTUDY Living Allowance — Partnered (each) — Independent — Aged 22 or over — No dependent children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DFA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F6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DF7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DF8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DF9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DFF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DFB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DF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$740.30</w:t>
            </w:r>
          </w:p>
        </w:tc>
        <w:tc>
          <w:tcPr>
            <w:tcW w:w="692" w:type="pct"/>
          </w:tcPr>
          <w:p w14:paraId="4AE7EDFD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$755.10</w:t>
            </w:r>
          </w:p>
        </w:tc>
        <w:tc>
          <w:tcPr>
            <w:tcW w:w="615" w:type="pct"/>
          </w:tcPr>
          <w:p w14:paraId="4AE7EDF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$14.80</w:t>
            </w:r>
          </w:p>
        </w:tc>
      </w:tr>
      <w:tr w:rsidR="001D7516" w14:paraId="4AE7EE04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00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E01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$7.90</w:t>
            </w:r>
          </w:p>
        </w:tc>
        <w:tc>
          <w:tcPr>
            <w:tcW w:w="692" w:type="pct"/>
          </w:tcPr>
          <w:p w14:paraId="4AE7EE02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$7.90</w:t>
            </w:r>
          </w:p>
        </w:tc>
        <w:tc>
          <w:tcPr>
            <w:tcW w:w="615" w:type="pct"/>
          </w:tcPr>
          <w:p w14:paraId="4AE7EE03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E09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05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E06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$748.20</w:t>
            </w:r>
          </w:p>
        </w:tc>
        <w:tc>
          <w:tcPr>
            <w:tcW w:w="692" w:type="pct"/>
          </w:tcPr>
          <w:p w14:paraId="4AE7EE07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$763.00</w:t>
            </w:r>
          </w:p>
        </w:tc>
        <w:tc>
          <w:tcPr>
            <w:tcW w:w="615" w:type="pct"/>
          </w:tcPr>
          <w:p w14:paraId="4AE7EE08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$14.80</w:t>
            </w:r>
          </w:p>
        </w:tc>
      </w:tr>
    </w:tbl>
    <w:p w14:paraId="4AE7EE0A" w14:textId="77777777" w:rsidR="001D7516" w:rsidRDefault="005C50E6">
      <w:pPr>
        <w:pStyle w:val="TableChartheading"/>
      </w:pPr>
      <w:r>
        <w:t>ABSTUDY Living Allowance — Partnered (each) — Independent — Aged 22 or over — With dependent children</w:t>
      </w:r>
    </w:p>
    <w:tbl>
      <w:tblPr>
        <w:tblStyle w:val="DSSDatatablestyle"/>
        <w:tblW w:w="4401" w:type="pct"/>
        <w:jc w:val="center"/>
        <w:tblLook w:val="04E0" w:firstRow="1" w:lastRow="1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E0F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0B" w14:textId="77777777" w:rsidR="001D7516" w:rsidRDefault="005C50E6">
            <w:r>
              <w:t>Component (per fortnight)</w:t>
            </w:r>
          </w:p>
        </w:tc>
        <w:tc>
          <w:tcPr>
            <w:tcW w:w="769" w:type="pct"/>
          </w:tcPr>
          <w:p w14:paraId="4AE7EE0C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E0D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E0E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E14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10" w14:textId="77777777" w:rsidR="001D7516" w:rsidRDefault="005C50E6">
            <w:r>
              <w:t>Basic Rate</w:t>
            </w:r>
          </w:p>
        </w:tc>
        <w:tc>
          <w:tcPr>
            <w:tcW w:w="769" w:type="pct"/>
          </w:tcPr>
          <w:p w14:paraId="4AE7EE1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$740.30</w:t>
            </w:r>
          </w:p>
        </w:tc>
        <w:tc>
          <w:tcPr>
            <w:tcW w:w="692" w:type="pct"/>
          </w:tcPr>
          <w:p w14:paraId="4AE7EE1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$755.10</w:t>
            </w:r>
          </w:p>
        </w:tc>
        <w:tc>
          <w:tcPr>
            <w:tcW w:w="615" w:type="pct"/>
          </w:tcPr>
          <w:p w14:paraId="4AE7EE1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$14.80</w:t>
            </w:r>
          </w:p>
        </w:tc>
      </w:tr>
      <w:tr w:rsidR="001D7516" w14:paraId="4AE7EE19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15" w14:textId="77777777" w:rsidR="001D7516" w:rsidRDefault="005C50E6">
            <w:r>
              <w:t>Energy Supplement</w:t>
            </w:r>
          </w:p>
        </w:tc>
        <w:tc>
          <w:tcPr>
            <w:tcW w:w="769" w:type="pct"/>
          </w:tcPr>
          <w:p w14:paraId="4AE7EE1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$7.90</w:t>
            </w:r>
          </w:p>
        </w:tc>
        <w:tc>
          <w:tcPr>
            <w:tcW w:w="692" w:type="pct"/>
          </w:tcPr>
          <w:p w14:paraId="4AE7EE1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$7.90</w:t>
            </w:r>
          </w:p>
        </w:tc>
        <w:tc>
          <w:tcPr>
            <w:tcW w:w="615" w:type="pct"/>
          </w:tcPr>
          <w:p w14:paraId="4AE7EE1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EE1E" w14:textId="77777777" w:rsidTr="00F50A6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1A" w14:textId="77777777" w:rsidR="001D7516" w:rsidRDefault="005C50E6">
            <w:r>
              <w:t>Typical Total Rate</w:t>
            </w:r>
          </w:p>
        </w:tc>
        <w:tc>
          <w:tcPr>
            <w:tcW w:w="769" w:type="pct"/>
          </w:tcPr>
          <w:p w14:paraId="4AE7EE1B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$748.20</w:t>
            </w:r>
          </w:p>
        </w:tc>
        <w:tc>
          <w:tcPr>
            <w:tcW w:w="692" w:type="pct"/>
          </w:tcPr>
          <w:p w14:paraId="4AE7EE1C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$763.00</w:t>
            </w:r>
          </w:p>
        </w:tc>
        <w:tc>
          <w:tcPr>
            <w:tcW w:w="615" w:type="pct"/>
          </w:tcPr>
          <w:p w14:paraId="4AE7EE1D" w14:textId="77777777" w:rsidR="001D7516" w:rsidRDefault="005C50E6" w:rsidP="00F50A6D">
            <w:pPr>
              <w:jc w:val="right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</w:pPr>
            <w:r>
              <w:t>$14.80</w:t>
            </w:r>
          </w:p>
        </w:tc>
      </w:tr>
    </w:tbl>
    <w:p w14:paraId="2A3CFEB1" w14:textId="77777777" w:rsidR="00EC199D" w:rsidRDefault="00EC199D">
      <w:pPr>
        <w:pStyle w:val="Heading2"/>
      </w:pPr>
    </w:p>
    <w:p w14:paraId="0365AC20" w14:textId="77777777" w:rsidR="00EC199D" w:rsidRDefault="00EC199D">
      <w:pPr>
        <w:spacing w:after="240"/>
        <w:rPr>
          <w:rFonts w:asciiTheme="majorHAnsi" w:eastAsiaTheme="majorEastAsia" w:hAnsiTheme="majorHAnsi" w:cstheme="majorBidi"/>
          <w:b/>
          <w:bCs/>
          <w:color w:val="005A70" w:themeColor="accent1"/>
          <w:sz w:val="20"/>
          <w:szCs w:val="26"/>
        </w:rPr>
      </w:pPr>
      <w:r>
        <w:br w:type="page"/>
      </w:r>
    </w:p>
    <w:p w14:paraId="4AE7EE1F" w14:textId="0103A1E0" w:rsidR="001D7516" w:rsidRDefault="005C50E6">
      <w:pPr>
        <w:pStyle w:val="Heading2"/>
      </w:pPr>
      <w:r>
        <w:lastRenderedPageBreak/>
        <w:t>Commonwealth Rent Assistance</w:t>
      </w:r>
    </w:p>
    <w:p w14:paraId="4AE7EE20" w14:textId="77777777" w:rsidR="001D7516" w:rsidRDefault="005C50E6">
      <w:pPr>
        <w:pStyle w:val="TableChartheading"/>
      </w:pPr>
      <w:r>
        <w:t>Commonwealth Rent Assistance — SSAct — Maximum rates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E25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21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E22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E2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E2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E2A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26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E2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$219.40</w:t>
            </w:r>
          </w:p>
        </w:tc>
        <w:tc>
          <w:tcPr>
            <w:tcW w:w="692" w:type="pct"/>
          </w:tcPr>
          <w:p w14:paraId="4AE7EE2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$223.80</w:t>
            </w:r>
          </w:p>
        </w:tc>
        <w:tc>
          <w:tcPr>
            <w:tcW w:w="615" w:type="pct"/>
          </w:tcPr>
          <w:p w14:paraId="4AE7EE2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$4.40</w:t>
            </w:r>
          </w:p>
        </w:tc>
      </w:tr>
      <w:tr w:rsidR="001D7516" w14:paraId="4AE7EE2F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2B" w14:textId="77777777" w:rsidR="001D7516" w:rsidRDefault="005C50E6">
            <w:r>
              <w:t>Single — Sharer</w:t>
            </w:r>
          </w:p>
        </w:tc>
        <w:tc>
          <w:tcPr>
            <w:tcW w:w="769" w:type="pct"/>
          </w:tcPr>
          <w:p w14:paraId="4AE7EE2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$146.27</w:t>
            </w:r>
          </w:p>
        </w:tc>
        <w:tc>
          <w:tcPr>
            <w:tcW w:w="692" w:type="pct"/>
          </w:tcPr>
          <w:p w14:paraId="4AE7EE2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$149.20</w:t>
            </w:r>
          </w:p>
        </w:tc>
        <w:tc>
          <w:tcPr>
            <w:tcW w:w="615" w:type="pct"/>
          </w:tcPr>
          <w:p w14:paraId="4AE7EE2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$2.93</w:t>
            </w:r>
          </w:p>
        </w:tc>
      </w:tr>
      <w:tr w:rsidR="001D7516" w14:paraId="4AE7EE34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30" w14:textId="77777777" w:rsidR="001D7516" w:rsidRDefault="005C50E6">
            <w:r>
              <w:t>Partnered — Illness separated</w:t>
            </w:r>
          </w:p>
        </w:tc>
        <w:tc>
          <w:tcPr>
            <w:tcW w:w="769" w:type="pct"/>
          </w:tcPr>
          <w:p w14:paraId="4AE7EE3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$219.40</w:t>
            </w:r>
          </w:p>
        </w:tc>
        <w:tc>
          <w:tcPr>
            <w:tcW w:w="692" w:type="pct"/>
          </w:tcPr>
          <w:p w14:paraId="4AE7EE3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$223.80</w:t>
            </w:r>
          </w:p>
        </w:tc>
        <w:tc>
          <w:tcPr>
            <w:tcW w:w="615" w:type="pct"/>
          </w:tcPr>
          <w:p w14:paraId="4AE7EE3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$4.40</w:t>
            </w:r>
          </w:p>
        </w:tc>
      </w:tr>
      <w:tr w:rsidR="001D7516" w14:paraId="4AE7EE39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35" w14:textId="77777777" w:rsidR="001D7516" w:rsidRDefault="005C50E6">
            <w:r>
              <w:t>Partnered — Temporarily separated</w:t>
            </w:r>
          </w:p>
        </w:tc>
        <w:tc>
          <w:tcPr>
            <w:tcW w:w="769" w:type="pct"/>
          </w:tcPr>
          <w:p w14:paraId="4AE7EE3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$206.80</w:t>
            </w:r>
          </w:p>
        </w:tc>
        <w:tc>
          <w:tcPr>
            <w:tcW w:w="692" w:type="pct"/>
          </w:tcPr>
          <w:p w14:paraId="4AE7EE3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$211.00</w:t>
            </w:r>
          </w:p>
        </w:tc>
        <w:tc>
          <w:tcPr>
            <w:tcW w:w="615" w:type="pct"/>
          </w:tcPr>
          <w:p w14:paraId="4AE7EE3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$4.20</w:t>
            </w:r>
          </w:p>
        </w:tc>
      </w:tr>
      <w:tr w:rsidR="001D7516" w14:paraId="4AE7EE3E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3A" w14:textId="77777777" w:rsidR="001D7516" w:rsidRDefault="005C50E6">
            <w:r>
              <w:t>Couple</w:t>
            </w:r>
          </w:p>
        </w:tc>
        <w:tc>
          <w:tcPr>
            <w:tcW w:w="769" w:type="pct"/>
          </w:tcPr>
          <w:p w14:paraId="4AE7EE3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$206.80</w:t>
            </w:r>
          </w:p>
        </w:tc>
        <w:tc>
          <w:tcPr>
            <w:tcW w:w="692" w:type="pct"/>
          </w:tcPr>
          <w:p w14:paraId="4AE7EE3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$211.00</w:t>
            </w:r>
          </w:p>
        </w:tc>
        <w:tc>
          <w:tcPr>
            <w:tcW w:w="615" w:type="pct"/>
          </w:tcPr>
          <w:p w14:paraId="4AE7EE3D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$4.20</w:t>
            </w:r>
          </w:p>
        </w:tc>
      </w:tr>
    </w:tbl>
    <w:p w14:paraId="4AE7EE3F" w14:textId="0CCF9710" w:rsidR="001D7516" w:rsidRDefault="005C50E6">
      <w:pPr>
        <w:pStyle w:val="TableChartheading"/>
      </w:pPr>
      <w:r>
        <w:t>Commonwealth Rent Assistance — SSAct — Rent thresholds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E44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40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E41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E42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E4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E49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45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E4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$154.80</w:t>
            </w:r>
          </w:p>
        </w:tc>
        <w:tc>
          <w:tcPr>
            <w:tcW w:w="692" w:type="pct"/>
          </w:tcPr>
          <w:p w14:paraId="4AE7EE4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$157.80</w:t>
            </w:r>
          </w:p>
        </w:tc>
        <w:tc>
          <w:tcPr>
            <w:tcW w:w="615" w:type="pct"/>
          </w:tcPr>
          <w:p w14:paraId="4AE7EE4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$3.00</w:t>
            </w:r>
          </w:p>
        </w:tc>
      </w:tr>
      <w:tr w:rsidR="001D7516" w14:paraId="4AE7EE4E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4A" w14:textId="77777777" w:rsidR="001D7516" w:rsidRDefault="005C50E6">
            <w:r>
              <w:t>Single — Sharer</w:t>
            </w:r>
          </w:p>
        </w:tc>
        <w:tc>
          <w:tcPr>
            <w:tcW w:w="769" w:type="pct"/>
          </w:tcPr>
          <w:p w14:paraId="4AE7EE4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$154.80</w:t>
            </w:r>
          </w:p>
        </w:tc>
        <w:tc>
          <w:tcPr>
            <w:tcW w:w="692" w:type="pct"/>
          </w:tcPr>
          <w:p w14:paraId="4AE7EE4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$157.80</w:t>
            </w:r>
          </w:p>
        </w:tc>
        <w:tc>
          <w:tcPr>
            <w:tcW w:w="615" w:type="pct"/>
          </w:tcPr>
          <w:p w14:paraId="4AE7EE4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$3.00</w:t>
            </w:r>
          </w:p>
        </w:tc>
      </w:tr>
      <w:tr w:rsidR="001D7516" w14:paraId="4AE7EE53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4F" w14:textId="77777777" w:rsidR="001D7516" w:rsidRDefault="005C50E6">
            <w:r>
              <w:t>Partnered — Illness separated</w:t>
            </w:r>
          </w:p>
        </w:tc>
        <w:tc>
          <w:tcPr>
            <w:tcW w:w="769" w:type="pct"/>
          </w:tcPr>
          <w:p w14:paraId="4AE7EE5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$154.80</w:t>
            </w:r>
          </w:p>
        </w:tc>
        <w:tc>
          <w:tcPr>
            <w:tcW w:w="692" w:type="pct"/>
          </w:tcPr>
          <w:p w14:paraId="4AE7EE5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$157.80</w:t>
            </w:r>
          </w:p>
        </w:tc>
        <w:tc>
          <w:tcPr>
            <w:tcW w:w="615" w:type="pct"/>
          </w:tcPr>
          <w:p w14:paraId="4AE7EE5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$3.00</w:t>
            </w:r>
          </w:p>
        </w:tc>
      </w:tr>
      <w:tr w:rsidR="001D7516" w14:paraId="4AE7EE58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54" w14:textId="77777777" w:rsidR="001D7516" w:rsidRDefault="005C50E6">
            <w:r>
              <w:t>Partnered — Temporarily separated</w:t>
            </w:r>
          </w:p>
        </w:tc>
        <w:tc>
          <w:tcPr>
            <w:tcW w:w="769" w:type="pct"/>
          </w:tcPr>
          <w:p w14:paraId="4AE7EE55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$154.80</w:t>
            </w:r>
          </w:p>
        </w:tc>
        <w:tc>
          <w:tcPr>
            <w:tcW w:w="692" w:type="pct"/>
          </w:tcPr>
          <w:p w14:paraId="4AE7EE5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$157.80</w:t>
            </w:r>
          </w:p>
        </w:tc>
        <w:tc>
          <w:tcPr>
            <w:tcW w:w="615" w:type="pct"/>
          </w:tcPr>
          <w:p w14:paraId="4AE7EE5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$3.00</w:t>
            </w:r>
          </w:p>
        </w:tc>
      </w:tr>
      <w:tr w:rsidR="001D7516" w14:paraId="4AE7EE5D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59" w14:textId="77777777" w:rsidR="001D7516" w:rsidRDefault="005C50E6">
            <w:r>
              <w:t>Couple</w:t>
            </w:r>
          </w:p>
        </w:tc>
        <w:tc>
          <w:tcPr>
            <w:tcW w:w="769" w:type="pct"/>
          </w:tcPr>
          <w:p w14:paraId="4AE7EE5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$250.80</w:t>
            </w:r>
          </w:p>
        </w:tc>
        <w:tc>
          <w:tcPr>
            <w:tcW w:w="692" w:type="pct"/>
          </w:tcPr>
          <w:p w14:paraId="4AE7EE5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$255.80</w:t>
            </w:r>
          </w:p>
        </w:tc>
        <w:tc>
          <w:tcPr>
            <w:tcW w:w="615" w:type="pct"/>
          </w:tcPr>
          <w:p w14:paraId="4AE7EE5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$5.00</w:t>
            </w:r>
          </w:p>
        </w:tc>
      </w:tr>
    </w:tbl>
    <w:p w14:paraId="4AE7EE5E" w14:textId="77777777" w:rsidR="001D7516" w:rsidRDefault="005C50E6">
      <w:pPr>
        <w:pStyle w:val="TableChartheading"/>
      </w:pPr>
      <w:r>
        <w:t>Commonwealth Rent Assistance — SSAct — Rent ceilings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E63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5F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E60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E61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E62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E68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64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E6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$447.34</w:t>
            </w:r>
          </w:p>
        </w:tc>
        <w:tc>
          <w:tcPr>
            <w:tcW w:w="692" w:type="pct"/>
          </w:tcPr>
          <w:p w14:paraId="4AE7EE6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$456.20</w:t>
            </w:r>
          </w:p>
        </w:tc>
        <w:tc>
          <w:tcPr>
            <w:tcW w:w="615" w:type="pct"/>
          </w:tcPr>
          <w:p w14:paraId="4AE7EE6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$8.86</w:t>
            </w:r>
          </w:p>
        </w:tc>
      </w:tr>
      <w:tr w:rsidR="001D7516" w14:paraId="4AE7EE6D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69" w14:textId="77777777" w:rsidR="001D7516" w:rsidRDefault="005C50E6">
            <w:r>
              <w:t>Single — Sharer</w:t>
            </w:r>
          </w:p>
        </w:tc>
        <w:tc>
          <w:tcPr>
            <w:tcW w:w="769" w:type="pct"/>
          </w:tcPr>
          <w:p w14:paraId="4AE7EE6A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$349.83</w:t>
            </w:r>
          </w:p>
        </w:tc>
        <w:tc>
          <w:tcPr>
            <w:tcW w:w="692" w:type="pct"/>
          </w:tcPr>
          <w:p w14:paraId="4AE7EE6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$356.74</w:t>
            </w:r>
          </w:p>
        </w:tc>
        <w:tc>
          <w:tcPr>
            <w:tcW w:w="615" w:type="pct"/>
          </w:tcPr>
          <w:p w14:paraId="4AE7EE6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$6.91</w:t>
            </w:r>
          </w:p>
        </w:tc>
      </w:tr>
      <w:tr w:rsidR="001D7516" w14:paraId="4AE7EE72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6E" w14:textId="77777777" w:rsidR="001D7516" w:rsidRDefault="005C50E6">
            <w:r>
              <w:t>Partnered — Illness separated</w:t>
            </w:r>
          </w:p>
        </w:tc>
        <w:tc>
          <w:tcPr>
            <w:tcW w:w="769" w:type="pct"/>
          </w:tcPr>
          <w:p w14:paraId="4AE7EE6F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$447.34</w:t>
            </w:r>
          </w:p>
        </w:tc>
        <w:tc>
          <w:tcPr>
            <w:tcW w:w="692" w:type="pct"/>
          </w:tcPr>
          <w:p w14:paraId="4AE7EE7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$456.20</w:t>
            </w:r>
          </w:p>
        </w:tc>
        <w:tc>
          <w:tcPr>
            <w:tcW w:w="615" w:type="pct"/>
          </w:tcPr>
          <w:p w14:paraId="4AE7EE7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$8.86</w:t>
            </w:r>
          </w:p>
        </w:tc>
      </w:tr>
      <w:tr w:rsidR="001D7516" w14:paraId="4AE7EE77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73" w14:textId="77777777" w:rsidR="001D7516" w:rsidRDefault="005C50E6">
            <w:r>
              <w:t>Partnered — Temporarily separated</w:t>
            </w:r>
          </w:p>
        </w:tc>
        <w:tc>
          <w:tcPr>
            <w:tcW w:w="769" w:type="pct"/>
          </w:tcPr>
          <w:p w14:paraId="4AE7EE74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$430.54</w:t>
            </w:r>
          </w:p>
        </w:tc>
        <w:tc>
          <w:tcPr>
            <w:tcW w:w="692" w:type="pct"/>
          </w:tcPr>
          <w:p w14:paraId="4AE7EE75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$439.14</w:t>
            </w:r>
          </w:p>
        </w:tc>
        <w:tc>
          <w:tcPr>
            <w:tcW w:w="615" w:type="pct"/>
          </w:tcPr>
          <w:p w14:paraId="4AE7EE7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$8.60</w:t>
            </w:r>
          </w:p>
        </w:tc>
      </w:tr>
      <w:tr w:rsidR="001D7516" w14:paraId="4AE7EE7C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78" w14:textId="77777777" w:rsidR="001D7516" w:rsidRDefault="005C50E6">
            <w:r>
              <w:t>Couple</w:t>
            </w:r>
          </w:p>
        </w:tc>
        <w:tc>
          <w:tcPr>
            <w:tcW w:w="769" w:type="pct"/>
          </w:tcPr>
          <w:p w14:paraId="4AE7EE7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$526.54</w:t>
            </w:r>
          </w:p>
        </w:tc>
        <w:tc>
          <w:tcPr>
            <w:tcW w:w="692" w:type="pct"/>
          </w:tcPr>
          <w:p w14:paraId="4AE7EE7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$537.14</w:t>
            </w:r>
          </w:p>
        </w:tc>
        <w:tc>
          <w:tcPr>
            <w:tcW w:w="615" w:type="pct"/>
          </w:tcPr>
          <w:p w14:paraId="4AE7EE7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$10.60</w:t>
            </w:r>
          </w:p>
        </w:tc>
      </w:tr>
    </w:tbl>
    <w:p w14:paraId="4AE7EE7D" w14:textId="77777777" w:rsidR="001D7516" w:rsidRDefault="005C50E6">
      <w:pPr>
        <w:pStyle w:val="TableChartheading"/>
      </w:pPr>
      <w:r>
        <w:t>Commonwealth Rent Assistance — FAAct — Maximum rates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E82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7E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E7F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E80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E81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E87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83" w14:textId="77777777" w:rsidR="001D7516" w:rsidRDefault="005C50E6">
            <w:r>
              <w:t>Single — 1 to 2 children</w:t>
            </w:r>
          </w:p>
        </w:tc>
        <w:tc>
          <w:tcPr>
            <w:tcW w:w="769" w:type="pct"/>
          </w:tcPr>
          <w:p w14:paraId="4AE7EE8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$257.88</w:t>
            </w:r>
          </w:p>
        </w:tc>
        <w:tc>
          <w:tcPr>
            <w:tcW w:w="692" w:type="pct"/>
          </w:tcPr>
          <w:p w14:paraId="4AE7EE8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$263.06</w:t>
            </w:r>
          </w:p>
        </w:tc>
        <w:tc>
          <w:tcPr>
            <w:tcW w:w="615" w:type="pct"/>
          </w:tcPr>
          <w:p w14:paraId="4AE7EE8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$5.18</w:t>
            </w:r>
          </w:p>
        </w:tc>
      </w:tr>
      <w:tr w:rsidR="001D7516" w14:paraId="4AE7EE8C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88" w14:textId="77777777" w:rsidR="001D7516" w:rsidRDefault="005C50E6">
            <w:r>
              <w:t>Single — 3 or more children</w:t>
            </w:r>
          </w:p>
        </w:tc>
        <w:tc>
          <w:tcPr>
            <w:tcW w:w="769" w:type="pct"/>
          </w:tcPr>
          <w:p w14:paraId="4AE7EE89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$291.48</w:t>
            </w:r>
          </w:p>
        </w:tc>
        <w:tc>
          <w:tcPr>
            <w:tcW w:w="692" w:type="pct"/>
          </w:tcPr>
          <w:p w14:paraId="4AE7EE8A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$297.36</w:t>
            </w:r>
          </w:p>
        </w:tc>
        <w:tc>
          <w:tcPr>
            <w:tcW w:w="615" w:type="pct"/>
          </w:tcPr>
          <w:p w14:paraId="4AE7EE8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$5.88</w:t>
            </w:r>
          </w:p>
        </w:tc>
      </w:tr>
      <w:tr w:rsidR="001D7516" w14:paraId="4AE7EE91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8D" w14:textId="77777777" w:rsidR="001D7516" w:rsidRDefault="005C50E6">
            <w:r>
              <w:t>Partnered — Illness or temporarily separated — 1 to 2 children</w:t>
            </w:r>
          </w:p>
        </w:tc>
        <w:tc>
          <w:tcPr>
            <w:tcW w:w="769" w:type="pct"/>
          </w:tcPr>
          <w:p w14:paraId="4AE7EE8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$257.88</w:t>
            </w:r>
          </w:p>
        </w:tc>
        <w:tc>
          <w:tcPr>
            <w:tcW w:w="692" w:type="pct"/>
          </w:tcPr>
          <w:p w14:paraId="4AE7EE8F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$263.06</w:t>
            </w:r>
          </w:p>
        </w:tc>
        <w:tc>
          <w:tcPr>
            <w:tcW w:w="615" w:type="pct"/>
          </w:tcPr>
          <w:p w14:paraId="4AE7EE9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$5.18</w:t>
            </w:r>
          </w:p>
        </w:tc>
      </w:tr>
      <w:tr w:rsidR="001D7516" w14:paraId="4AE7EE96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92" w14:textId="77777777" w:rsidR="001D7516" w:rsidRDefault="005C50E6">
            <w:r>
              <w:t>Partnered — Illness or temporarily separated — 3 or more children</w:t>
            </w:r>
          </w:p>
        </w:tc>
        <w:tc>
          <w:tcPr>
            <w:tcW w:w="769" w:type="pct"/>
          </w:tcPr>
          <w:p w14:paraId="4AE7EE93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$291.48</w:t>
            </w:r>
          </w:p>
        </w:tc>
        <w:tc>
          <w:tcPr>
            <w:tcW w:w="692" w:type="pct"/>
          </w:tcPr>
          <w:p w14:paraId="4AE7EE94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$297.36</w:t>
            </w:r>
          </w:p>
        </w:tc>
        <w:tc>
          <w:tcPr>
            <w:tcW w:w="615" w:type="pct"/>
          </w:tcPr>
          <w:p w14:paraId="4AE7EE95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$5.88</w:t>
            </w:r>
          </w:p>
        </w:tc>
      </w:tr>
      <w:tr w:rsidR="001D7516" w14:paraId="4AE7EE9B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97" w14:textId="77777777" w:rsidR="001D7516" w:rsidRDefault="005C50E6">
            <w:r>
              <w:t>Couple — 1 to 2 children</w:t>
            </w:r>
          </w:p>
        </w:tc>
        <w:tc>
          <w:tcPr>
            <w:tcW w:w="769" w:type="pct"/>
          </w:tcPr>
          <w:p w14:paraId="4AE7EE9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$257.88</w:t>
            </w:r>
          </w:p>
        </w:tc>
        <w:tc>
          <w:tcPr>
            <w:tcW w:w="692" w:type="pct"/>
          </w:tcPr>
          <w:p w14:paraId="4AE7EE9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$263.06</w:t>
            </w:r>
          </w:p>
        </w:tc>
        <w:tc>
          <w:tcPr>
            <w:tcW w:w="615" w:type="pct"/>
          </w:tcPr>
          <w:p w14:paraId="4AE7EE9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$5.18</w:t>
            </w:r>
          </w:p>
        </w:tc>
      </w:tr>
      <w:tr w:rsidR="001D7516" w14:paraId="4AE7EEA0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9C" w14:textId="77777777" w:rsidR="001D7516" w:rsidRDefault="005C50E6">
            <w:r>
              <w:t>Couple — 3 or more children</w:t>
            </w:r>
          </w:p>
        </w:tc>
        <w:tc>
          <w:tcPr>
            <w:tcW w:w="769" w:type="pct"/>
          </w:tcPr>
          <w:p w14:paraId="4AE7EE9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$291.48</w:t>
            </w:r>
          </w:p>
        </w:tc>
        <w:tc>
          <w:tcPr>
            <w:tcW w:w="692" w:type="pct"/>
          </w:tcPr>
          <w:p w14:paraId="4AE7EE9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$297.36</w:t>
            </w:r>
          </w:p>
        </w:tc>
        <w:tc>
          <w:tcPr>
            <w:tcW w:w="615" w:type="pct"/>
          </w:tcPr>
          <w:p w14:paraId="4AE7EE9F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$5.88</w:t>
            </w:r>
          </w:p>
        </w:tc>
      </w:tr>
    </w:tbl>
    <w:p w14:paraId="4AE7EEA1" w14:textId="77777777" w:rsidR="001D7516" w:rsidRDefault="005C50E6">
      <w:pPr>
        <w:pStyle w:val="TableChartheading"/>
      </w:pPr>
      <w:r>
        <w:t>Commonwealth Rent Assistance — FAAct — Rent thresholds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EA6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A2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EA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EA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EA5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EAB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A7" w14:textId="77777777" w:rsidR="001D7516" w:rsidRDefault="005C50E6">
            <w:r>
              <w:t>Single — 1 to 2 children</w:t>
            </w:r>
          </w:p>
        </w:tc>
        <w:tc>
          <w:tcPr>
            <w:tcW w:w="769" w:type="pct"/>
          </w:tcPr>
          <w:p w14:paraId="4AE7EEA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$203.28</w:t>
            </w:r>
          </w:p>
        </w:tc>
        <w:tc>
          <w:tcPr>
            <w:tcW w:w="692" w:type="pct"/>
          </w:tcPr>
          <w:p w14:paraId="4AE7EEA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$207.34</w:t>
            </w:r>
          </w:p>
        </w:tc>
        <w:tc>
          <w:tcPr>
            <w:tcW w:w="615" w:type="pct"/>
          </w:tcPr>
          <w:p w14:paraId="4AE7EEA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$4.06</w:t>
            </w:r>
          </w:p>
        </w:tc>
      </w:tr>
      <w:tr w:rsidR="001D7516" w14:paraId="4AE7EEB0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AC" w14:textId="77777777" w:rsidR="001D7516" w:rsidRDefault="005C50E6">
            <w:r>
              <w:t>Single — 3 or more children</w:t>
            </w:r>
          </w:p>
        </w:tc>
        <w:tc>
          <w:tcPr>
            <w:tcW w:w="769" w:type="pct"/>
          </w:tcPr>
          <w:p w14:paraId="4AE7EEA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$203.28</w:t>
            </w:r>
          </w:p>
        </w:tc>
        <w:tc>
          <w:tcPr>
            <w:tcW w:w="692" w:type="pct"/>
          </w:tcPr>
          <w:p w14:paraId="4AE7EEA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$207.34</w:t>
            </w:r>
          </w:p>
        </w:tc>
        <w:tc>
          <w:tcPr>
            <w:tcW w:w="615" w:type="pct"/>
          </w:tcPr>
          <w:p w14:paraId="4AE7EEAF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$4.06</w:t>
            </w:r>
          </w:p>
        </w:tc>
      </w:tr>
      <w:tr w:rsidR="001D7516" w14:paraId="4AE7EEB5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B1" w14:textId="77777777" w:rsidR="001D7516" w:rsidRDefault="005C50E6">
            <w:r>
              <w:t>Partnered — Illness or temporarily separated — 1 to 2 children</w:t>
            </w:r>
          </w:p>
        </w:tc>
        <w:tc>
          <w:tcPr>
            <w:tcW w:w="769" w:type="pct"/>
          </w:tcPr>
          <w:p w14:paraId="4AE7EEB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$203.28</w:t>
            </w:r>
          </w:p>
        </w:tc>
        <w:tc>
          <w:tcPr>
            <w:tcW w:w="692" w:type="pct"/>
          </w:tcPr>
          <w:p w14:paraId="4AE7EEB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$207.34</w:t>
            </w:r>
          </w:p>
        </w:tc>
        <w:tc>
          <w:tcPr>
            <w:tcW w:w="615" w:type="pct"/>
          </w:tcPr>
          <w:p w14:paraId="4AE7EEB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$4.06</w:t>
            </w:r>
          </w:p>
        </w:tc>
      </w:tr>
      <w:tr w:rsidR="001D7516" w14:paraId="4AE7EEBA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B6" w14:textId="77777777" w:rsidR="001D7516" w:rsidRDefault="005C50E6">
            <w:r>
              <w:t>Partnered — Illness or temporarily separated — 3 or more children</w:t>
            </w:r>
          </w:p>
        </w:tc>
        <w:tc>
          <w:tcPr>
            <w:tcW w:w="769" w:type="pct"/>
          </w:tcPr>
          <w:p w14:paraId="4AE7EEB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$203.28</w:t>
            </w:r>
          </w:p>
        </w:tc>
        <w:tc>
          <w:tcPr>
            <w:tcW w:w="692" w:type="pct"/>
          </w:tcPr>
          <w:p w14:paraId="4AE7EEB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$207.34</w:t>
            </w:r>
          </w:p>
        </w:tc>
        <w:tc>
          <w:tcPr>
            <w:tcW w:w="615" w:type="pct"/>
          </w:tcPr>
          <w:p w14:paraId="4AE7EEB9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$4.06</w:t>
            </w:r>
          </w:p>
        </w:tc>
      </w:tr>
      <w:tr w:rsidR="001D7516" w14:paraId="4AE7EEBF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BB" w14:textId="77777777" w:rsidR="001D7516" w:rsidRDefault="005C50E6">
            <w:r>
              <w:t>Couple — 1 to 2 children</w:t>
            </w:r>
          </w:p>
        </w:tc>
        <w:tc>
          <w:tcPr>
            <w:tcW w:w="769" w:type="pct"/>
          </w:tcPr>
          <w:p w14:paraId="4AE7EEB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$300.58</w:t>
            </w:r>
          </w:p>
        </w:tc>
        <w:tc>
          <w:tcPr>
            <w:tcW w:w="692" w:type="pct"/>
          </w:tcPr>
          <w:p w14:paraId="4AE7EEBD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$306.60</w:t>
            </w:r>
          </w:p>
        </w:tc>
        <w:tc>
          <w:tcPr>
            <w:tcW w:w="615" w:type="pct"/>
          </w:tcPr>
          <w:p w14:paraId="4AE7EEB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$6.02</w:t>
            </w:r>
          </w:p>
        </w:tc>
      </w:tr>
      <w:tr w:rsidR="001D7516" w14:paraId="4AE7EEC4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C0" w14:textId="77777777" w:rsidR="001D7516" w:rsidRDefault="005C50E6">
            <w:r>
              <w:t>Couple — 3 or more children</w:t>
            </w:r>
          </w:p>
        </w:tc>
        <w:tc>
          <w:tcPr>
            <w:tcW w:w="769" w:type="pct"/>
          </w:tcPr>
          <w:p w14:paraId="4AE7EEC1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$300.58</w:t>
            </w:r>
          </w:p>
        </w:tc>
        <w:tc>
          <w:tcPr>
            <w:tcW w:w="692" w:type="pct"/>
          </w:tcPr>
          <w:p w14:paraId="4AE7EEC2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$306.60</w:t>
            </w:r>
          </w:p>
        </w:tc>
        <w:tc>
          <w:tcPr>
            <w:tcW w:w="615" w:type="pct"/>
          </w:tcPr>
          <w:p w14:paraId="4AE7EEC3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$6.02</w:t>
            </w:r>
          </w:p>
        </w:tc>
      </w:tr>
    </w:tbl>
    <w:p w14:paraId="4AE7EEC5" w14:textId="77777777" w:rsidR="001D7516" w:rsidRDefault="005C50E6">
      <w:pPr>
        <w:pStyle w:val="TableChartheading"/>
      </w:pPr>
      <w:r>
        <w:t>Commonwealth Rent Assistance — FAAct — Rent ceilings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ECA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C6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EC7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EC8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EC9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ECF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CB" w14:textId="77777777" w:rsidR="001D7516" w:rsidRDefault="005C50E6">
            <w:r>
              <w:t>Single — 1 to 2 children</w:t>
            </w:r>
          </w:p>
        </w:tc>
        <w:tc>
          <w:tcPr>
            <w:tcW w:w="769" w:type="pct"/>
          </w:tcPr>
          <w:p w14:paraId="4AE7EEC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$547.12</w:t>
            </w:r>
          </w:p>
        </w:tc>
        <w:tc>
          <w:tcPr>
            <w:tcW w:w="692" w:type="pct"/>
          </w:tcPr>
          <w:p w14:paraId="4AE7EECD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$558.09</w:t>
            </w:r>
          </w:p>
        </w:tc>
        <w:tc>
          <w:tcPr>
            <w:tcW w:w="615" w:type="pct"/>
          </w:tcPr>
          <w:p w14:paraId="4AE7EEC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$10.97</w:t>
            </w:r>
          </w:p>
        </w:tc>
      </w:tr>
      <w:tr w:rsidR="001D7516" w14:paraId="4AE7EED4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D0" w14:textId="77777777" w:rsidR="001D7516" w:rsidRDefault="005C50E6">
            <w:r>
              <w:t>Single — 3 or more children</w:t>
            </w:r>
          </w:p>
        </w:tc>
        <w:tc>
          <w:tcPr>
            <w:tcW w:w="769" w:type="pct"/>
          </w:tcPr>
          <w:p w14:paraId="4AE7EED1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$591.92</w:t>
            </w:r>
          </w:p>
        </w:tc>
        <w:tc>
          <w:tcPr>
            <w:tcW w:w="692" w:type="pct"/>
          </w:tcPr>
          <w:p w14:paraId="4AE7EED2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$603.82</w:t>
            </w:r>
          </w:p>
        </w:tc>
        <w:tc>
          <w:tcPr>
            <w:tcW w:w="615" w:type="pct"/>
          </w:tcPr>
          <w:p w14:paraId="4AE7EED3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$11.90</w:t>
            </w:r>
          </w:p>
        </w:tc>
      </w:tr>
      <w:tr w:rsidR="001D7516" w14:paraId="4AE7EED9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D5" w14:textId="77777777" w:rsidR="001D7516" w:rsidRDefault="005C50E6">
            <w:r>
              <w:t>Partnered — Illness or temporarily separated — 1 to 2 children</w:t>
            </w:r>
          </w:p>
        </w:tc>
        <w:tc>
          <w:tcPr>
            <w:tcW w:w="769" w:type="pct"/>
          </w:tcPr>
          <w:p w14:paraId="4AE7EED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$547.12</w:t>
            </w:r>
          </w:p>
        </w:tc>
        <w:tc>
          <w:tcPr>
            <w:tcW w:w="692" w:type="pct"/>
          </w:tcPr>
          <w:p w14:paraId="4AE7EED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$558.09</w:t>
            </w:r>
          </w:p>
        </w:tc>
        <w:tc>
          <w:tcPr>
            <w:tcW w:w="615" w:type="pct"/>
          </w:tcPr>
          <w:p w14:paraId="4AE7EED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$10.97</w:t>
            </w:r>
          </w:p>
        </w:tc>
      </w:tr>
      <w:tr w:rsidR="001D7516" w14:paraId="4AE7EEDE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DA" w14:textId="77777777" w:rsidR="001D7516" w:rsidRDefault="005C50E6">
            <w:r>
              <w:t>Partnered — Illness or temporarily separated — 3 or more children</w:t>
            </w:r>
          </w:p>
        </w:tc>
        <w:tc>
          <w:tcPr>
            <w:tcW w:w="769" w:type="pct"/>
          </w:tcPr>
          <w:p w14:paraId="4AE7EED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$591.92</w:t>
            </w:r>
          </w:p>
        </w:tc>
        <w:tc>
          <w:tcPr>
            <w:tcW w:w="692" w:type="pct"/>
          </w:tcPr>
          <w:p w14:paraId="4AE7EED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$603.82</w:t>
            </w:r>
          </w:p>
        </w:tc>
        <w:tc>
          <w:tcPr>
            <w:tcW w:w="615" w:type="pct"/>
          </w:tcPr>
          <w:p w14:paraId="4AE7EED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$11.90</w:t>
            </w:r>
          </w:p>
        </w:tc>
      </w:tr>
      <w:tr w:rsidR="001D7516" w14:paraId="4AE7EEE3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DF" w14:textId="77777777" w:rsidR="001D7516" w:rsidRDefault="005C50E6">
            <w:r>
              <w:t>Couple — 1 to 2 children</w:t>
            </w:r>
          </w:p>
        </w:tc>
        <w:tc>
          <w:tcPr>
            <w:tcW w:w="769" w:type="pct"/>
          </w:tcPr>
          <w:p w14:paraId="4AE7EEE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$644.42</w:t>
            </w:r>
          </w:p>
        </w:tc>
        <w:tc>
          <w:tcPr>
            <w:tcW w:w="692" w:type="pct"/>
          </w:tcPr>
          <w:p w14:paraId="4AE7EEE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$657.35</w:t>
            </w:r>
          </w:p>
        </w:tc>
        <w:tc>
          <w:tcPr>
            <w:tcW w:w="615" w:type="pct"/>
          </w:tcPr>
          <w:p w14:paraId="4AE7EEE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$12.93</w:t>
            </w:r>
          </w:p>
        </w:tc>
      </w:tr>
      <w:tr w:rsidR="001D7516" w14:paraId="4AE7EEE8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E4" w14:textId="77777777" w:rsidR="001D7516" w:rsidRDefault="005C50E6">
            <w:r>
              <w:t>Couple — 3 or more children</w:t>
            </w:r>
          </w:p>
        </w:tc>
        <w:tc>
          <w:tcPr>
            <w:tcW w:w="769" w:type="pct"/>
          </w:tcPr>
          <w:p w14:paraId="4AE7EEE5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$689.22</w:t>
            </w:r>
          </w:p>
        </w:tc>
        <w:tc>
          <w:tcPr>
            <w:tcW w:w="692" w:type="pct"/>
          </w:tcPr>
          <w:p w14:paraId="4AE7EEE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$703.08</w:t>
            </w:r>
          </w:p>
        </w:tc>
        <w:tc>
          <w:tcPr>
            <w:tcW w:w="615" w:type="pct"/>
          </w:tcPr>
          <w:p w14:paraId="4AE7EEE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$13.86</w:t>
            </w:r>
          </w:p>
        </w:tc>
      </w:tr>
    </w:tbl>
    <w:p w14:paraId="64D74B37" w14:textId="77777777" w:rsidR="00EC199D" w:rsidRDefault="00EC199D">
      <w:pPr>
        <w:pStyle w:val="Heading2"/>
      </w:pPr>
    </w:p>
    <w:p w14:paraId="2B883B58" w14:textId="77777777" w:rsidR="00EC199D" w:rsidRDefault="00EC199D">
      <w:pPr>
        <w:spacing w:after="240"/>
        <w:rPr>
          <w:rFonts w:asciiTheme="majorHAnsi" w:eastAsiaTheme="majorEastAsia" w:hAnsiTheme="majorHAnsi" w:cstheme="majorBidi"/>
          <w:b/>
          <w:bCs/>
          <w:color w:val="005A70" w:themeColor="accent1"/>
          <w:sz w:val="20"/>
          <w:szCs w:val="26"/>
        </w:rPr>
      </w:pPr>
      <w:r>
        <w:br w:type="page"/>
      </w:r>
    </w:p>
    <w:p w14:paraId="4AE7EEE9" w14:textId="326D70AC" w:rsidR="001D7516" w:rsidRDefault="005C50E6">
      <w:pPr>
        <w:pStyle w:val="Heading2"/>
      </w:pPr>
      <w:r>
        <w:lastRenderedPageBreak/>
        <w:t>Telephone Allowance Rates</w:t>
      </w:r>
    </w:p>
    <w:p w14:paraId="4AE7EEEA" w14:textId="77777777" w:rsidR="001D7516" w:rsidRDefault="005C50E6">
      <w:pPr>
        <w:pStyle w:val="TableChartheading"/>
      </w:pPr>
      <w:r>
        <w:t>Telephone Allowance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EEF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EB" w14:textId="77777777" w:rsidR="001D7516" w:rsidRDefault="005C50E6">
            <w:r>
              <w:t>Payment Period</w:t>
            </w:r>
          </w:p>
        </w:tc>
        <w:tc>
          <w:tcPr>
            <w:tcW w:w="769" w:type="pct"/>
          </w:tcPr>
          <w:p w14:paraId="4AE7EEEC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EED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EEE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EF4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F0" w14:textId="77777777" w:rsidR="001D7516" w:rsidRDefault="005C50E6">
            <w:r>
              <w:t>Quarterly Payment (single or couple combined)</w:t>
            </w:r>
          </w:p>
        </w:tc>
        <w:tc>
          <w:tcPr>
            <w:tcW w:w="769" w:type="pct"/>
          </w:tcPr>
          <w:p w14:paraId="4AE7EEF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$37.80</w:t>
            </w:r>
          </w:p>
        </w:tc>
        <w:tc>
          <w:tcPr>
            <w:tcW w:w="692" w:type="pct"/>
          </w:tcPr>
          <w:p w14:paraId="4AE7EEF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$39.40</w:t>
            </w:r>
          </w:p>
        </w:tc>
        <w:tc>
          <w:tcPr>
            <w:tcW w:w="615" w:type="pct"/>
          </w:tcPr>
          <w:p w14:paraId="4AE7EEF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$1.60</w:t>
            </w:r>
          </w:p>
        </w:tc>
      </w:tr>
      <w:tr w:rsidR="001D7516" w14:paraId="4AE7EEF9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F5" w14:textId="77777777" w:rsidR="001D7516" w:rsidRDefault="005C50E6">
            <w:r>
              <w:t>Annual Payment (single or couple combined)</w:t>
            </w:r>
          </w:p>
        </w:tc>
        <w:tc>
          <w:tcPr>
            <w:tcW w:w="769" w:type="pct"/>
          </w:tcPr>
          <w:p w14:paraId="4AE7EEF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$151.20</w:t>
            </w:r>
          </w:p>
        </w:tc>
        <w:tc>
          <w:tcPr>
            <w:tcW w:w="692" w:type="pct"/>
          </w:tcPr>
          <w:p w14:paraId="4AE7EEF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$157.60</w:t>
            </w:r>
          </w:p>
        </w:tc>
        <w:tc>
          <w:tcPr>
            <w:tcW w:w="615" w:type="pct"/>
          </w:tcPr>
          <w:p w14:paraId="4AE7EEF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$6.40</w:t>
            </w:r>
          </w:p>
        </w:tc>
      </w:tr>
    </w:tbl>
    <w:p w14:paraId="4AE7EEFA" w14:textId="77777777" w:rsidR="001D7516" w:rsidRDefault="005C50E6">
      <w:pPr>
        <w:pStyle w:val="TableChartheading"/>
      </w:pPr>
      <w:r>
        <w:t>Higher Rate Telephone Allowance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EFF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EFB" w14:textId="77777777" w:rsidR="001D7516" w:rsidRDefault="005C50E6">
            <w:r>
              <w:t>Payment Period</w:t>
            </w:r>
          </w:p>
        </w:tc>
        <w:tc>
          <w:tcPr>
            <w:tcW w:w="769" w:type="pct"/>
          </w:tcPr>
          <w:p w14:paraId="4AE7EEFC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EFD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EFE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F04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00" w14:textId="77777777" w:rsidR="001D7516" w:rsidRDefault="005C50E6">
            <w:r>
              <w:t>Quarterly Payment (single or couple combined)</w:t>
            </w:r>
          </w:p>
        </w:tc>
        <w:tc>
          <w:tcPr>
            <w:tcW w:w="769" w:type="pct"/>
          </w:tcPr>
          <w:p w14:paraId="4AE7EF0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$55.60</w:t>
            </w:r>
          </w:p>
        </w:tc>
        <w:tc>
          <w:tcPr>
            <w:tcW w:w="692" w:type="pct"/>
          </w:tcPr>
          <w:p w14:paraId="4AE7EF0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$57.80</w:t>
            </w:r>
          </w:p>
        </w:tc>
        <w:tc>
          <w:tcPr>
            <w:tcW w:w="615" w:type="pct"/>
          </w:tcPr>
          <w:p w14:paraId="4AE7EF0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$2.20</w:t>
            </w:r>
          </w:p>
        </w:tc>
      </w:tr>
      <w:tr w:rsidR="001D7516" w14:paraId="4AE7EF09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05" w14:textId="77777777" w:rsidR="001D7516" w:rsidRDefault="005C50E6">
            <w:r>
              <w:t>Annual Payment (single or couple combined)</w:t>
            </w:r>
          </w:p>
        </w:tc>
        <w:tc>
          <w:tcPr>
            <w:tcW w:w="769" w:type="pct"/>
          </w:tcPr>
          <w:p w14:paraId="4AE7EF0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$222.40</w:t>
            </w:r>
          </w:p>
        </w:tc>
        <w:tc>
          <w:tcPr>
            <w:tcW w:w="692" w:type="pct"/>
          </w:tcPr>
          <w:p w14:paraId="4AE7EF0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$231.20</w:t>
            </w:r>
          </w:p>
        </w:tc>
        <w:tc>
          <w:tcPr>
            <w:tcW w:w="615" w:type="pct"/>
          </w:tcPr>
          <w:p w14:paraId="4AE7EF0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$8.80</w:t>
            </w:r>
          </w:p>
        </w:tc>
      </w:tr>
    </w:tbl>
    <w:p w14:paraId="4AE7EF0A" w14:textId="19E19DF8" w:rsidR="001D7516" w:rsidRDefault="005C50E6">
      <w:pPr>
        <w:pStyle w:val="Heading2"/>
      </w:pPr>
      <w:r>
        <w:t>Utilities Allowance Rates</w:t>
      </w:r>
    </w:p>
    <w:p w14:paraId="4AE7EF0B" w14:textId="77777777" w:rsidR="001D7516" w:rsidRDefault="005C50E6">
      <w:pPr>
        <w:pStyle w:val="TableChartheading"/>
      </w:pPr>
      <w:r>
        <w:t>Utilities Allowance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F10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0C" w14:textId="77777777" w:rsidR="001D7516" w:rsidRDefault="005C50E6">
            <w:r>
              <w:t>Payment Period</w:t>
            </w:r>
          </w:p>
        </w:tc>
        <w:tc>
          <w:tcPr>
            <w:tcW w:w="769" w:type="pct"/>
          </w:tcPr>
          <w:p w14:paraId="4AE7EF0D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F0E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F0F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F15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11" w14:textId="77777777" w:rsidR="001D7516" w:rsidRDefault="005C50E6">
            <w:r>
              <w:t>Quarterly payment (single or couple combined)</w:t>
            </w:r>
          </w:p>
        </w:tc>
        <w:tc>
          <w:tcPr>
            <w:tcW w:w="769" w:type="pct"/>
          </w:tcPr>
          <w:p w14:paraId="4AE7EF1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$202.60</w:t>
            </w:r>
          </w:p>
        </w:tc>
        <w:tc>
          <w:tcPr>
            <w:tcW w:w="692" w:type="pct"/>
          </w:tcPr>
          <w:p w14:paraId="4AE7EF1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$206.70</w:t>
            </w:r>
          </w:p>
        </w:tc>
        <w:tc>
          <w:tcPr>
            <w:tcW w:w="615" w:type="pct"/>
          </w:tcPr>
          <w:p w14:paraId="4AE7EF1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$4.10</w:t>
            </w:r>
          </w:p>
        </w:tc>
      </w:tr>
      <w:tr w:rsidR="001D7516" w14:paraId="4AE7EF1A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16" w14:textId="77777777" w:rsidR="001D7516" w:rsidRDefault="005C50E6">
            <w:r>
              <w:t>Annual payment (single or couple combined)</w:t>
            </w:r>
          </w:p>
        </w:tc>
        <w:tc>
          <w:tcPr>
            <w:tcW w:w="769" w:type="pct"/>
          </w:tcPr>
          <w:p w14:paraId="4AE7EF1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$810.40</w:t>
            </w:r>
          </w:p>
        </w:tc>
        <w:tc>
          <w:tcPr>
            <w:tcW w:w="692" w:type="pct"/>
          </w:tcPr>
          <w:p w14:paraId="4AE7EF1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$826.80</w:t>
            </w:r>
          </w:p>
        </w:tc>
        <w:tc>
          <w:tcPr>
            <w:tcW w:w="615" w:type="pct"/>
          </w:tcPr>
          <w:p w14:paraId="4AE7EF19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$16.40</w:t>
            </w:r>
          </w:p>
        </w:tc>
      </w:tr>
    </w:tbl>
    <w:p w14:paraId="555616F9" w14:textId="77777777" w:rsidR="00CD01E8" w:rsidRDefault="00CD01E8">
      <w:pPr>
        <w:pStyle w:val="Heading1"/>
      </w:pPr>
    </w:p>
    <w:p w14:paraId="6B1472BB" w14:textId="77777777" w:rsidR="00CD01E8" w:rsidRDefault="00CD01E8">
      <w:pPr>
        <w:spacing w:after="240"/>
        <w:rPr>
          <w:rFonts w:asciiTheme="majorHAnsi" w:eastAsiaTheme="majorEastAsia" w:hAnsiTheme="majorHAnsi" w:cstheme="majorBidi"/>
          <w:b/>
          <w:bCs/>
          <w:color w:val="005A70" w:themeColor="accent1"/>
          <w:sz w:val="32"/>
          <w:szCs w:val="28"/>
        </w:rPr>
      </w:pPr>
      <w:r>
        <w:br w:type="page"/>
      </w:r>
    </w:p>
    <w:p w14:paraId="4AE7EF1B" w14:textId="6D289150" w:rsidR="001D7516" w:rsidRDefault="005C50E6">
      <w:pPr>
        <w:pStyle w:val="Heading1"/>
      </w:pPr>
      <w:r>
        <w:lastRenderedPageBreak/>
        <w:t>Means Testing</w:t>
      </w:r>
    </w:p>
    <w:p w14:paraId="4AE7EF1C" w14:textId="77777777" w:rsidR="001D7516" w:rsidRDefault="005C50E6">
      <w:pPr>
        <w:pStyle w:val="Heading2"/>
      </w:pPr>
      <w:r>
        <w:t>Pension Means Testing</w:t>
      </w:r>
    </w:p>
    <w:p w14:paraId="4AE7EF1D" w14:textId="77777777" w:rsidR="001D7516" w:rsidRDefault="005C50E6">
      <w:pPr>
        <w:pStyle w:val="TableChartheading"/>
      </w:pPr>
      <w:r>
        <w:t>Pension — Income limits — Resident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F22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1E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F1F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F20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F21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F27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23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F2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$2,627.80</w:t>
            </w:r>
          </w:p>
        </w:tc>
        <w:tc>
          <w:tcPr>
            <w:tcW w:w="692" w:type="pct"/>
          </w:tcPr>
          <w:p w14:paraId="4AE7EF2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$2,701.40</w:t>
            </w:r>
          </w:p>
        </w:tc>
        <w:tc>
          <w:tcPr>
            <w:tcW w:w="615" w:type="pct"/>
          </w:tcPr>
          <w:p w14:paraId="4AE7EF2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$73.60</w:t>
            </w:r>
          </w:p>
        </w:tc>
      </w:tr>
      <w:tr w:rsidR="001D7516" w14:paraId="4AE7EF2C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28" w14:textId="77777777" w:rsidR="001D7516" w:rsidRDefault="005C50E6">
            <w:r>
              <w:t>Couple (combined)</w:t>
            </w:r>
          </w:p>
        </w:tc>
        <w:tc>
          <w:tcPr>
            <w:tcW w:w="769" w:type="pct"/>
          </w:tcPr>
          <w:p w14:paraId="4AE7EF29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$4,016.80</w:t>
            </w:r>
          </w:p>
        </w:tc>
        <w:tc>
          <w:tcPr>
            <w:tcW w:w="692" w:type="pct"/>
          </w:tcPr>
          <w:p w14:paraId="4AE7EF2A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$4,128.00</w:t>
            </w:r>
          </w:p>
        </w:tc>
        <w:tc>
          <w:tcPr>
            <w:tcW w:w="615" w:type="pct"/>
          </w:tcPr>
          <w:p w14:paraId="4AE7EF2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$111.20</w:t>
            </w:r>
          </w:p>
        </w:tc>
      </w:tr>
      <w:tr w:rsidR="001D7516" w14:paraId="4AE7EF31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2D" w14:textId="77777777" w:rsidR="001D7516" w:rsidRDefault="005C50E6">
            <w:r>
              <w:t>Couple (combined) — Illness separated</w:t>
            </w:r>
          </w:p>
        </w:tc>
        <w:tc>
          <w:tcPr>
            <w:tcW w:w="769" w:type="pct"/>
          </w:tcPr>
          <w:p w14:paraId="4AE7EF2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$5,199.60</w:t>
            </w:r>
          </w:p>
        </w:tc>
        <w:tc>
          <w:tcPr>
            <w:tcW w:w="692" w:type="pct"/>
          </w:tcPr>
          <w:p w14:paraId="4AE7EF2F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$5,346.80</w:t>
            </w:r>
          </w:p>
        </w:tc>
        <w:tc>
          <w:tcPr>
            <w:tcW w:w="615" w:type="pct"/>
          </w:tcPr>
          <w:p w14:paraId="4AE7EF3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$147.20</w:t>
            </w:r>
          </w:p>
        </w:tc>
      </w:tr>
    </w:tbl>
    <w:p w14:paraId="4AE7EF32" w14:textId="77777777" w:rsidR="001D7516" w:rsidRDefault="005C50E6">
      <w:pPr>
        <w:pStyle w:val="TableChartheading"/>
      </w:pPr>
      <w:r>
        <w:t>Pension — Income limits — Non‑resident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F37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33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F3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F35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F36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F3C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38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F3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$2,486.80</w:t>
            </w:r>
          </w:p>
        </w:tc>
        <w:tc>
          <w:tcPr>
            <w:tcW w:w="692" w:type="pct"/>
          </w:tcPr>
          <w:p w14:paraId="4AE7EF3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$2,496.80</w:t>
            </w:r>
          </w:p>
        </w:tc>
        <w:tc>
          <w:tcPr>
            <w:tcW w:w="615" w:type="pct"/>
          </w:tcPr>
          <w:p w14:paraId="4AE7EF3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$10.00</w:t>
            </w:r>
          </w:p>
        </w:tc>
      </w:tr>
      <w:tr w:rsidR="001D7516" w14:paraId="4AE7EF41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3D" w14:textId="77777777" w:rsidR="001D7516" w:rsidRDefault="005C50E6">
            <w:r>
              <w:t>Couple (combined)</w:t>
            </w:r>
          </w:p>
        </w:tc>
        <w:tc>
          <w:tcPr>
            <w:tcW w:w="769" w:type="pct"/>
          </w:tcPr>
          <w:p w14:paraId="4AE7EF3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$3,812.80</w:t>
            </w:r>
          </w:p>
        </w:tc>
        <w:tc>
          <w:tcPr>
            <w:tcW w:w="692" w:type="pct"/>
          </w:tcPr>
          <w:p w14:paraId="4AE7EF3F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$3,819.60</w:t>
            </w:r>
          </w:p>
        </w:tc>
        <w:tc>
          <w:tcPr>
            <w:tcW w:w="615" w:type="pct"/>
          </w:tcPr>
          <w:p w14:paraId="4AE7EF40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$6.80</w:t>
            </w:r>
          </w:p>
        </w:tc>
      </w:tr>
      <w:tr w:rsidR="001D7516" w14:paraId="4AE7EF46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42" w14:textId="77777777" w:rsidR="001D7516" w:rsidRDefault="005C50E6">
            <w:r>
              <w:t>Couple (combined) — Illness separated</w:t>
            </w:r>
          </w:p>
        </w:tc>
        <w:tc>
          <w:tcPr>
            <w:tcW w:w="769" w:type="pct"/>
          </w:tcPr>
          <w:p w14:paraId="4AE7EF4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$4,917.60</w:t>
            </w:r>
          </w:p>
        </w:tc>
        <w:tc>
          <w:tcPr>
            <w:tcW w:w="692" w:type="pct"/>
          </w:tcPr>
          <w:p w14:paraId="4AE7EF4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$4,937.60</w:t>
            </w:r>
          </w:p>
        </w:tc>
        <w:tc>
          <w:tcPr>
            <w:tcW w:w="615" w:type="pct"/>
          </w:tcPr>
          <w:p w14:paraId="4AE7EF4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$20.00</w:t>
            </w:r>
          </w:p>
        </w:tc>
      </w:tr>
    </w:tbl>
    <w:p w14:paraId="4AE7EF47" w14:textId="77777777" w:rsidR="001D7516" w:rsidRDefault="005C50E6">
      <w:pPr>
        <w:pStyle w:val="TableChartheading"/>
      </w:pPr>
      <w:r>
        <w:t>Transitional Pension — Income limits — Resident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F4C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48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F49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F4A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F4B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F51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4D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F4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$2,670.25</w:t>
            </w:r>
          </w:p>
        </w:tc>
        <w:tc>
          <w:tcPr>
            <w:tcW w:w="692" w:type="pct"/>
          </w:tcPr>
          <w:p w14:paraId="4AE7EF4F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$2,718.50</w:t>
            </w:r>
          </w:p>
        </w:tc>
        <w:tc>
          <w:tcPr>
            <w:tcW w:w="615" w:type="pct"/>
          </w:tcPr>
          <w:p w14:paraId="4AE7EF5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$48.25</w:t>
            </w:r>
          </w:p>
        </w:tc>
      </w:tr>
      <w:tr w:rsidR="001D7516" w14:paraId="4AE7EF56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52" w14:textId="77777777" w:rsidR="001D7516" w:rsidRDefault="005C50E6">
            <w:r>
              <w:t>Single — 1 dependent child</w:t>
            </w:r>
          </w:p>
        </w:tc>
        <w:tc>
          <w:tcPr>
            <w:tcW w:w="769" w:type="pct"/>
          </w:tcPr>
          <w:p w14:paraId="4AE7EF53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$2,694.85</w:t>
            </w:r>
          </w:p>
        </w:tc>
        <w:tc>
          <w:tcPr>
            <w:tcW w:w="692" w:type="pct"/>
          </w:tcPr>
          <w:p w14:paraId="4AE7EF54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$2,743.10</w:t>
            </w:r>
          </w:p>
        </w:tc>
        <w:tc>
          <w:tcPr>
            <w:tcW w:w="615" w:type="pct"/>
          </w:tcPr>
          <w:p w14:paraId="4AE7EF55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$48.25</w:t>
            </w:r>
          </w:p>
        </w:tc>
      </w:tr>
      <w:tr w:rsidR="001D7516" w14:paraId="4AE7EF5B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57" w14:textId="77777777" w:rsidR="001D7516" w:rsidRDefault="005C50E6">
            <w:r>
              <w:t>Couple (combined)</w:t>
            </w:r>
          </w:p>
        </w:tc>
        <w:tc>
          <w:tcPr>
            <w:tcW w:w="769" w:type="pct"/>
          </w:tcPr>
          <w:p w14:paraId="4AE7EF5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$4,340.00</w:t>
            </w:r>
          </w:p>
        </w:tc>
        <w:tc>
          <w:tcPr>
            <w:tcW w:w="692" w:type="pct"/>
          </w:tcPr>
          <w:p w14:paraId="4AE7EF5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$4,418.00</w:t>
            </w:r>
          </w:p>
        </w:tc>
        <w:tc>
          <w:tcPr>
            <w:tcW w:w="615" w:type="pct"/>
          </w:tcPr>
          <w:p w14:paraId="4AE7EF5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$78.00</w:t>
            </w:r>
          </w:p>
        </w:tc>
      </w:tr>
      <w:tr w:rsidR="001D7516" w14:paraId="4AE7EF60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5C" w14:textId="77777777" w:rsidR="001D7516" w:rsidRDefault="005C50E6">
            <w:r>
              <w:t>Couple (combined) — Illness separated</w:t>
            </w:r>
          </w:p>
        </w:tc>
        <w:tc>
          <w:tcPr>
            <w:tcW w:w="769" w:type="pct"/>
          </w:tcPr>
          <w:p w14:paraId="4AE7EF5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$5,284.50</w:t>
            </w:r>
          </w:p>
        </w:tc>
        <w:tc>
          <w:tcPr>
            <w:tcW w:w="692" w:type="pct"/>
          </w:tcPr>
          <w:p w14:paraId="4AE7EF5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$5,381.00</w:t>
            </w:r>
          </w:p>
        </w:tc>
        <w:tc>
          <w:tcPr>
            <w:tcW w:w="615" w:type="pct"/>
          </w:tcPr>
          <w:p w14:paraId="4AE7EF5F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$96.50</w:t>
            </w:r>
          </w:p>
        </w:tc>
      </w:tr>
    </w:tbl>
    <w:p w14:paraId="4AE7EF61" w14:textId="77777777" w:rsidR="001D7516" w:rsidRDefault="005C50E6">
      <w:pPr>
        <w:pStyle w:val="TableChartheading"/>
      </w:pPr>
      <w:r>
        <w:t>Transitional Pension — Income limits — Non‑resident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F66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62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F6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F6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F65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F6B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67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F6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$2,435.00</w:t>
            </w:r>
          </w:p>
        </w:tc>
        <w:tc>
          <w:tcPr>
            <w:tcW w:w="692" w:type="pct"/>
          </w:tcPr>
          <w:p w14:paraId="4AE7EF6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$2,402.50</w:t>
            </w:r>
          </w:p>
        </w:tc>
        <w:tc>
          <w:tcPr>
            <w:tcW w:w="615" w:type="pct"/>
          </w:tcPr>
          <w:p w14:paraId="4AE7EF6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-$32.50</w:t>
            </w:r>
          </w:p>
        </w:tc>
      </w:tr>
      <w:tr w:rsidR="001D7516" w14:paraId="4AE7EF70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6C" w14:textId="77777777" w:rsidR="001D7516" w:rsidRDefault="005C50E6">
            <w:r>
              <w:t>Single — 1 dependent child</w:t>
            </w:r>
          </w:p>
        </w:tc>
        <w:tc>
          <w:tcPr>
            <w:tcW w:w="769" w:type="pct"/>
          </w:tcPr>
          <w:p w14:paraId="4AE7EF6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$2,459.60</w:t>
            </w:r>
          </w:p>
        </w:tc>
        <w:tc>
          <w:tcPr>
            <w:tcW w:w="692" w:type="pct"/>
          </w:tcPr>
          <w:p w14:paraId="4AE7EF6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$2,427.10</w:t>
            </w:r>
          </w:p>
        </w:tc>
        <w:tc>
          <w:tcPr>
            <w:tcW w:w="615" w:type="pct"/>
          </w:tcPr>
          <w:p w14:paraId="4AE7EF6F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-$32.50</w:t>
            </w:r>
          </w:p>
        </w:tc>
      </w:tr>
      <w:tr w:rsidR="001D7516" w14:paraId="4AE7EF75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71" w14:textId="77777777" w:rsidR="001D7516" w:rsidRDefault="005C50E6">
            <w:r>
              <w:t>Couple (combined)</w:t>
            </w:r>
          </w:p>
        </w:tc>
        <w:tc>
          <w:tcPr>
            <w:tcW w:w="769" w:type="pct"/>
          </w:tcPr>
          <w:p w14:paraId="4AE7EF7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$4,088.00</w:t>
            </w:r>
          </w:p>
        </w:tc>
        <w:tc>
          <w:tcPr>
            <w:tcW w:w="692" w:type="pct"/>
          </w:tcPr>
          <w:p w14:paraId="4AE7EF7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$4,035.50</w:t>
            </w:r>
          </w:p>
        </w:tc>
        <w:tc>
          <w:tcPr>
            <w:tcW w:w="615" w:type="pct"/>
          </w:tcPr>
          <w:p w14:paraId="4AE7EF7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-$52.50</w:t>
            </w:r>
          </w:p>
        </w:tc>
      </w:tr>
      <w:tr w:rsidR="001D7516" w14:paraId="4AE7EF7A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76" w14:textId="77777777" w:rsidR="001D7516" w:rsidRDefault="005C50E6">
            <w:r>
              <w:t>Couple (combined) — Illness separated</w:t>
            </w:r>
          </w:p>
        </w:tc>
        <w:tc>
          <w:tcPr>
            <w:tcW w:w="769" w:type="pct"/>
          </w:tcPr>
          <w:p w14:paraId="4AE7EF7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$4,814.00</w:t>
            </w:r>
          </w:p>
        </w:tc>
        <w:tc>
          <w:tcPr>
            <w:tcW w:w="692" w:type="pct"/>
          </w:tcPr>
          <w:p w14:paraId="4AE7EF7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$4,749.00</w:t>
            </w:r>
          </w:p>
        </w:tc>
        <w:tc>
          <w:tcPr>
            <w:tcW w:w="615" w:type="pct"/>
          </w:tcPr>
          <w:p w14:paraId="4AE7EF79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-$65.00</w:t>
            </w:r>
          </w:p>
        </w:tc>
      </w:tr>
    </w:tbl>
    <w:p w14:paraId="4AE7EF7B" w14:textId="77777777" w:rsidR="001D7516" w:rsidRDefault="005C50E6">
      <w:pPr>
        <w:pStyle w:val="TableChartheading"/>
      </w:pPr>
      <w:r>
        <w:t>Pension — Assets limits — Resident — Homeowner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F80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7C" w14:textId="77777777" w:rsidR="001D7516" w:rsidRDefault="005C50E6">
            <w:r>
              <w:t>Family situation</w:t>
            </w:r>
          </w:p>
        </w:tc>
        <w:tc>
          <w:tcPr>
            <w:tcW w:w="769" w:type="pct"/>
          </w:tcPr>
          <w:p w14:paraId="4AE7EF7D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F7E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F7F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F85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81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F8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$733,500</w:t>
            </w:r>
          </w:p>
        </w:tc>
        <w:tc>
          <w:tcPr>
            <w:tcW w:w="692" w:type="pct"/>
          </w:tcPr>
          <w:p w14:paraId="4AE7EF8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$745,750</w:t>
            </w:r>
          </w:p>
        </w:tc>
        <w:tc>
          <w:tcPr>
            <w:tcW w:w="615" w:type="pct"/>
          </w:tcPr>
          <w:p w14:paraId="4AE7EF8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$12,250</w:t>
            </w:r>
          </w:p>
        </w:tc>
      </w:tr>
      <w:tr w:rsidR="001D7516" w14:paraId="4AE7EF8A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86" w14:textId="77777777" w:rsidR="001D7516" w:rsidRDefault="005C50E6">
            <w:r>
              <w:t>Couple (combined), including where only one partner is eligible</w:t>
            </w:r>
          </w:p>
        </w:tc>
        <w:tc>
          <w:tcPr>
            <w:tcW w:w="769" w:type="pct"/>
          </w:tcPr>
          <w:p w14:paraId="4AE7EF8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$1,102,500</w:t>
            </w:r>
          </w:p>
        </w:tc>
        <w:tc>
          <w:tcPr>
            <w:tcW w:w="692" w:type="pct"/>
          </w:tcPr>
          <w:p w14:paraId="4AE7EF8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$1,121,000</w:t>
            </w:r>
          </w:p>
        </w:tc>
        <w:tc>
          <w:tcPr>
            <w:tcW w:w="615" w:type="pct"/>
          </w:tcPr>
          <w:p w14:paraId="4AE7EF89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$18,500</w:t>
            </w:r>
          </w:p>
        </w:tc>
      </w:tr>
      <w:tr w:rsidR="001D7516" w14:paraId="4AE7EF8F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8B" w14:textId="77777777" w:rsidR="001D7516" w:rsidRDefault="005C50E6">
            <w:r>
              <w:t>Couple (combined) — Illness separated</w:t>
            </w:r>
          </w:p>
        </w:tc>
        <w:tc>
          <w:tcPr>
            <w:tcW w:w="769" w:type="pct"/>
          </w:tcPr>
          <w:p w14:paraId="4AE7EF8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$1,300,000</w:t>
            </w:r>
          </w:p>
        </w:tc>
        <w:tc>
          <w:tcPr>
            <w:tcW w:w="692" w:type="pct"/>
          </w:tcPr>
          <w:p w14:paraId="4AE7EF8D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$1,324,500</w:t>
            </w:r>
          </w:p>
        </w:tc>
        <w:tc>
          <w:tcPr>
            <w:tcW w:w="615" w:type="pct"/>
          </w:tcPr>
          <w:p w14:paraId="4AE7EF8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$24,500</w:t>
            </w:r>
          </w:p>
        </w:tc>
      </w:tr>
    </w:tbl>
    <w:p w14:paraId="4AE7EF90" w14:textId="77777777" w:rsidR="001D7516" w:rsidRDefault="005C50E6">
      <w:pPr>
        <w:pStyle w:val="TableChartheading"/>
      </w:pPr>
      <w:r>
        <w:t>Pension — Assets limits — Resident — Non-homeowner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F95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91" w14:textId="77777777" w:rsidR="001D7516" w:rsidRDefault="005C50E6">
            <w:r>
              <w:t>Family situation</w:t>
            </w:r>
          </w:p>
        </w:tc>
        <w:tc>
          <w:tcPr>
            <w:tcW w:w="769" w:type="pct"/>
          </w:tcPr>
          <w:p w14:paraId="4AE7EF92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F9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F9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F9A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96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F9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$1,000,500</w:t>
            </w:r>
          </w:p>
        </w:tc>
        <w:tc>
          <w:tcPr>
            <w:tcW w:w="692" w:type="pct"/>
          </w:tcPr>
          <w:p w14:paraId="4AE7EF9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$1,012,750</w:t>
            </w:r>
          </w:p>
        </w:tc>
        <w:tc>
          <w:tcPr>
            <w:tcW w:w="615" w:type="pct"/>
          </w:tcPr>
          <w:p w14:paraId="4AE7EF9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$12,250</w:t>
            </w:r>
          </w:p>
        </w:tc>
      </w:tr>
      <w:tr w:rsidR="001D7516" w14:paraId="4AE7EF9F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9B" w14:textId="77777777" w:rsidR="001D7516" w:rsidRDefault="005C50E6">
            <w:r>
              <w:t>Couple (combined), including where only one partner is eligible</w:t>
            </w:r>
          </w:p>
        </w:tc>
        <w:tc>
          <w:tcPr>
            <w:tcW w:w="769" w:type="pct"/>
          </w:tcPr>
          <w:p w14:paraId="4AE7EF9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$1,369,500</w:t>
            </w:r>
          </w:p>
        </w:tc>
        <w:tc>
          <w:tcPr>
            <w:tcW w:w="692" w:type="pct"/>
          </w:tcPr>
          <w:p w14:paraId="4AE7EF9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$1,388,000</w:t>
            </w:r>
          </w:p>
        </w:tc>
        <w:tc>
          <w:tcPr>
            <w:tcW w:w="615" w:type="pct"/>
          </w:tcPr>
          <w:p w14:paraId="4AE7EF9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$18,500</w:t>
            </w:r>
          </w:p>
        </w:tc>
      </w:tr>
      <w:tr w:rsidR="001D7516" w14:paraId="4AE7EFA4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A0" w14:textId="77777777" w:rsidR="001D7516" w:rsidRDefault="005C50E6">
            <w:r>
              <w:t>Couple (combined) — Illness separated</w:t>
            </w:r>
          </w:p>
        </w:tc>
        <w:tc>
          <w:tcPr>
            <w:tcW w:w="769" w:type="pct"/>
          </w:tcPr>
          <w:p w14:paraId="4AE7EFA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$1,567,000</w:t>
            </w:r>
          </w:p>
        </w:tc>
        <w:tc>
          <w:tcPr>
            <w:tcW w:w="692" w:type="pct"/>
          </w:tcPr>
          <w:p w14:paraId="4AE7EFA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$1,591,500</w:t>
            </w:r>
          </w:p>
        </w:tc>
        <w:tc>
          <w:tcPr>
            <w:tcW w:w="615" w:type="pct"/>
          </w:tcPr>
          <w:p w14:paraId="4AE7EFA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$24,500</w:t>
            </w:r>
          </w:p>
        </w:tc>
      </w:tr>
    </w:tbl>
    <w:p w14:paraId="4AE7EFA5" w14:textId="77777777" w:rsidR="001D7516" w:rsidRDefault="005C50E6">
      <w:pPr>
        <w:pStyle w:val="TableChartheading"/>
      </w:pPr>
      <w:r>
        <w:t>Pension — Assets limits — Non‑resident — Homeowner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FAA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A6" w14:textId="77777777" w:rsidR="001D7516" w:rsidRDefault="005C50E6">
            <w:r>
              <w:t>Family situation</w:t>
            </w:r>
          </w:p>
        </w:tc>
        <w:tc>
          <w:tcPr>
            <w:tcW w:w="769" w:type="pct"/>
          </w:tcPr>
          <w:p w14:paraId="4AE7EFA7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FA8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FA9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FAF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AB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FA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$710,000</w:t>
            </w:r>
          </w:p>
        </w:tc>
        <w:tc>
          <w:tcPr>
            <w:tcW w:w="692" w:type="pct"/>
          </w:tcPr>
          <w:p w14:paraId="4AE7EFAD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$711,500</w:t>
            </w:r>
          </w:p>
        </w:tc>
        <w:tc>
          <w:tcPr>
            <w:tcW w:w="615" w:type="pct"/>
          </w:tcPr>
          <w:p w14:paraId="4AE7EFA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$1,500</w:t>
            </w:r>
          </w:p>
        </w:tc>
      </w:tr>
      <w:tr w:rsidR="001D7516" w14:paraId="4AE7EFB4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B0" w14:textId="77777777" w:rsidR="001D7516" w:rsidRDefault="005C50E6">
            <w:r>
              <w:t>Couple (combined), including where only one partner is eligible</w:t>
            </w:r>
          </w:p>
        </w:tc>
        <w:tc>
          <w:tcPr>
            <w:tcW w:w="769" w:type="pct"/>
          </w:tcPr>
          <w:p w14:paraId="4AE7EFB1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$1,068,500</w:t>
            </w:r>
          </w:p>
        </w:tc>
        <w:tc>
          <w:tcPr>
            <w:tcW w:w="692" w:type="pct"/>
          </w:tcPr>
          <w:p w14:paraId="4AE7EFB2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$1,070,000</w:t>
            </w:r>
          </w:p>
        </w:tc>
        <w:tc>
          <w:tcPr>
            <w:tcW w:w="615" w:type="pct"/>
          </w:tcPr>
          <w:p w14:paraId="4AE7EFB3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$1,500</w:t>
            </w:r>
          </w:p>
        </w:tc>
      </w:tr>
      <w:tr w:rsidR="001D7516" w14:paraId="4AE7EFB9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B5" w14:textId="77777777" w:rsidR="001D7516" w:rsidRDefault="005C50E6">
            <w:r>
              <w:t>Couple (combined) — Illness separated</w:t>
            </w:r>
          </w:p>
        </w:tc>
        <w:tc>
          <w:tcPr>
            <w:tcW w:w="769" w:type="pct"/>
          </w:tcPr>
          <w:p w14:paraId="4AE7EFB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$1,253,000</w:t>
            </w:r>
          </w:p>
        </w:tc>
        <w:tc>
          <w:tcPr>
            <w:tcW w:w="692" w:type="pct"/>
          </w:tcPr>
          <w:p w14:paraId="4AE7EFB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$1,256,000</w:t>
            </w:r>
          </w:p>
        </w:tc>
        <w:tc>
          <w:tcPr>
            <w:tcW w:w="615" w:type="pct"/>
          </w:tcPr>
          <w:p w14:paraId="4AE7EFB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$3,000</w:t>
            </w:r>
          </w:p>
        </w:tc>
      </w:tr>
    </w:tbl>
    <w:p w14:paraId="4AE7EFBA" w14:textId="77777777" w:rsidR="001D7516" w:rsidRDefault="005C50E6">
      <w:pPr>
        <w:pStyle w:val="TableChartheading"/>
      </w:pPr>
      <w:r>
        <w:t>Pension — Assets limits — Non‑resident — Non-homeowner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FBF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BB" w14:textId="77777777" w:rsidR="001D7516" w:rsidRDefault="005C50E6">
            <w:r>
              <w:t>Family situation</w:t>
            </w:r>
          </w:p>
        </w:tc>
        <w:tc>
          <w:tcPr>
            <w:tcW w:w="769" w:type="pct"/>
          </w:tcPr>
          <w:p w14:paraId="4AE7EFBC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FBD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FBE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FC4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C0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EFC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$977,000</w:t>
            </w:r>
          </w:p>
        </w:tc>
        <w:tc>
          <w:tcPr>
            <w:tcW w:w="692" w:type="pct"/>
          </w:tcPr>
          <w:p w14:paraId="4AE7EFC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$978,500</w:t>
            </w:r>
          </w:p>
        </w:tc>
        <w:tc>
          <w:tcPr>
            <w:tcW w:w="615" w:type="pct"/>
          </w:tcPr>
          <w:p w14:paraId="4AE7EFC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$1,500</w:t>
            </w:r>
          </w:p>
        </w:tc>
      </w:tr>
      <w:tr w:rsidR="001D7516" w14:paraId="4AE7EFC9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C5" w14:textId="77777777" w:rsidR="001D7516" w:rsidRDefault="005C50E6">
            <w:r>
              <w:t>Couple (combined), including where only one partner is eligible</w:t>
            </w:r>
          </w:p>
        </w:tc>
        <w:tc>
          <w:tcPr>
            <w:tcW w:w="769" w:type="pct"/>
          </w:tcPr>
          <w:p w14:paraId="4AE7EFC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$1,335,500</w:t>
            </w:r>
          </w:p>
        </w:tc>
        <w:tc>
          <w:tcPr>
            <w:tcW w:w="692" w:type="pct"/>
          </w:tcPr>
          <w:p w14:paraId="4AE7EFC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$1,337,000</w:t>
            </w:r>
          </w:p>
        </w:tc>
        <w:tc>
          <w:tcPr>
            <w:tcW w:w="615" w:type="pct"/>
          </w:tcPr>
          <w:p w14:paraId="4AE7EFC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$1,500</w:t>
            </w:r>
          </w:p>
        </w:tc>
      </w:tr>
      <w:tr w:rsidR="001D7516" w14:paraId="4AE7EFCE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CA" w14:textId="77777777" w:rsidR="001D7516" w:rsidRDefault="005C50E6">
            <w:r>
              <w:t>Couple (combined) — Illness separated</w:t>
            </w:r>
          </w:p>
        </w:tc>
        <w:tc>
          <w:tcPr>
            <w:tcW w:w="769" w:type="pct"/>
          </w:tcPr>
          <w:p w14:paraId="4AE7EFC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$1,520,000</w:t>
            </w:r>
          </w:p>
        </w:tc>
        <w:tc>
          <w:tcPr>
            <w:tcW w:w="692" w:type="pct"/>
          </w:tcPr>
          <w:p w14:paraId="4AE7EFC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$1,523,000</w:t>
            </w:r>
          </w:p>
        </w:tc>
        <w:tc>
          <w:tcPr>
            <w:tcW w:w="615" w:type="pct"/>
          </w:tcPr>
          <w:p w14:paraId="4AE7EFCD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$3,000</w:t>
            </w:r>
          </w:p>
        </w:tc>
      </w:tr>
    </w:tbl>
    <w:p w14:paraId="470C77F2" w14:textId="77777777" w:rsidR="00CD01E8" w:rsidRDefault="00CD01E8">
      <w:pPr>
        <w:pStyle w:val="Heading2"/>
      </w:pPr>
    </w:p>
    <w:p w14:paraId="0AC5E35E" w14:textId="77777777" w:rsidR="00CD01E8" w:rsidRDefault="00CD01E8">
      <w:pPr>
        <w:spacing w:after="240"/>
        <w:rPr>
          <w:rFonts w:asciiTheme="majorHAnsi" w:eastAsiaTheme="majorEastAsia" w:hAnsiTheme="majorHAnsi" w:cstheme="majorBidi"/>
          <w:b/>
          <w:bCs/>
          <w:color w:val="005A70" w:themeColor="accent1"/>
          <w:sz w:val="20"/>
          <w:szCs w:val="26"/>
        </w:rPr>
      </w:pPr>
      <w:r>
        <w:br w:type="page"/>
      </w:r>
    </w:p>
    <w:p w14:paraId="4AE7EFCF" w14:textId="7D25D4D6" w:rsidR="001D7516" w:rsidRDefault="005C50E6">
      <w:pPr>
        <w:pStyle w:val="Heading2"/>
      </w:pPr>
      <w:r>
        <w:lastRenderedPageBreak/>
        <w:t>JobSeeker Payment Means Testing</w:t>
      </w:r>
    </w:p>
    <w:p w14:paraId="4AE7EFD0" w14:textId="77777777" w:rsidR="001D7516" w:rsidRDefault="005C50E6">
      <w:pPr>
        <w:pStyle w:val="TableChartheading"/>
      </w:pPr>
      <w:r>
        <w:t>JobSeeker Payment — Income limits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EFD5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D1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EFD2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EFD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EFD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EFDA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D6" w14:textId="77777777" w:rsidR="001D7516" w:rsidRDefault="005C50E6">
            <w:r>
              <w:t>Single — No dependent children</w:t>
            </w:r>
          </w:p>
        </w:tc>
        <w:tc>
          <w:tcPr>
            <w:tcW w:w="769" w:type="pct"/>
          </w:tcPr>
          <w:p w14:paraId="4AE7EFD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$1,530.17</w:t>
            </w:r>
          </w:p>
        </w:tc>
        <w:tc>
          <w:tcPr>
            <w:tcW w:w="692" w:type="pct"/>
          </w:tcPr>
          <w:p w14:paraId="4AE7EFD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$1,557.17</w:t>
            </w:r>
          </w:p>
        </w:tc>
        <w:tc>
          <w:tcPr>
            <w:tcW w:w="615" w:type="pct"/>
          </w:tcPr>
          <w:p w14:paraId="4AE7EFD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$27.00</w:t>
            </w:r>
          </w:p>
        </w:tc>
      </w:tr>
      <w:tr w:rsidR="001D7516" w14:paraId="4AE7EFDF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DB" w14:textId="77777777" w:rsidR="001D7516" w:rsidRDefault="005C50E6">
            <w:r>
              <w:t>Single — With dependent children</w:t>
            </w:r>
          </w:p>
        </w:tc>
        <w:tc>
          <w:tcPr>
            <w:tcW w:w="769" w:type="pct"/>
          </w:tcPr>
          <w:p w14:paraId="4AE7EFD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$1,626.84</w:t>
            </w:r>
          </w:p>
        </w:tc>
        <w:tc>
          <w:tcPr>
            <w:tcW w:w="692" w:type="pct"/>
          </w:tcPr>
          <w:p w14:paraId="4AE7EFD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$1,655.67</w:t>
            </w:r>
          </w:p>
        </w:tc>
        <w:tc>
          <w:tcPr>
            <w:tcW w:w="615" w:type="pct"/>
          </w:tcPr>
          <w:p w14:paraId="4AE7EFD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$28.83</w:t>
            </w:r>
          </w:p>
        </w:tc>
      </w:tr>
      <w:tr w:rsidR="001D7516" w14:paraId="4AE7EFE4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E0" w14:textId="77777777" w:rsidR="001D7516" w:rsidRDefault="005C50E6">
            <w:r>
              <w:t>Single — Principal carer of a dependent child</w:t>
            </w:r>
          </w:p>
        </w:tc>
        <w:tc>
          <w:tcPr>
            <w:tcW w:w="769" w:type="pct"/>
          </w:tcPr>
          <w:p w14:paraId="4AE7EFE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$2,356.25</w:t>
            </w:r>
          </w:p>
        </w:tc>
        <w:tc>
          <w:tcPr>
            <w:tcW w:w="692" w:type="pct"/>
          </w:tcPr>
          <w:p w14:paraId="4AE7EFE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$2,399.50</w:t>
            </w:r>
          </w:p>
        </w:tc>
        <w:tc>
          <w:tcPr>
            <w:tcW w:w="615" w:type="pct"/>
          </w:tcPr>
          <w:p w14:paraId="4AE7EFE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$43.25</w:t>
            </w:r>
          </w:p>
        </w:tc>
      </w:tr>
      <w:tr w:rsidR="001D7516" w14:paraId="4AE7EFE9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E5" w14:textId="77777777" w:rsidR="001D7516" w:rsidRDefault="005C50E6">
            <w:r>
              <w:t>Single — Principal carer of a dependent child, exempt from the activity test due to foster caring, non‑parent relative caring under a court order, home schooling, distance education or large family</w:t>
            </w:r>
          </w:p>
        </w:tc>
        <w:tc>
          <w:tcPr>
            <w:tcW w:w="769" w:type="pct"/>
          </w:tcPr>
          <w:p w14:paraId="4AE7EFE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$2,815.75</w:t>
            </w:r>
          </w:p>
        </w:tc>
        <w:tc>
          <w:tcPr>
            <w:tcW w:w="692" w:type="pct"/>
          </w:tcPr>
          <w:p w14:paraId="4AE7EFE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$2,868.00</w:t>
            </w:r>
          </w:p>
        </w:tc>
        <w:tc>
          <w:tcPr>
            <w:tcW w:w="615" w:type="pct"/>
          </w:tcPr>
          <w:p w14:paraId="4AE7EFE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$52.25</w:t>
            </w:r>
          </w:p>
        </w:tc>
      </w:tr>
      <w:tr w:rsidR="001D7516" w14:paraId="4AE7EFEE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EA" w14:textId="77777777" w:rsidR="001D7516" w:rsidRDefault="005C50E6">
            <w:r>
              <w:t>Single — Aged 55 or over — After 9 months on payment</w:t>
            </w:r>
          </w:p>
        </w:tc>
        <w:tc>
          <w:tcPr>
            <w:tcW w:w="769" w:type="pct"/>
          </w:tcPr>
          <w:p w14:paraId="4AE7EFE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$1,638.50</w:t>
            </w:r>
          </w:p>
        </w:tc>
        <w:tc>
          <w:tcPr>
            <w:tcW w:w="692" w:type="pct"/>
          </w:tcPr>
          <w:p w14:paraId="4AE7EFE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$1,667.34</w:t>
            </w:r>
          </w:p>
        </w:tc>
        <w:tc>
          <w:tcPr>
            <w:tcW w:w="615" w:type="pct"/>
          </w:tcPr>
          <w:p w14:paraId="4AE7EFED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$28.84</w:t>
            </w:r>
          </w:p>
        </w:tc>
      </w:tr>
      <w:tr w:rsidR="001D7516" w14:paraId="4AE7EFF3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EF" w14:textId="77777777" w:rsidR="001D7516" w:rsidRDefault="005C50E6">
            <w:r>
              <w:t>Single — Partial capacity to work 0-14 hours</w:t>
            </w:r>
          </w:p>
        </w:tc>
        <w:tc>
          <w:tcPr>
            <w:tcW w:w="769" w:type="pct"/>
          </w:tcPr>
          <w:p w14:paraId="4AE7EFF0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$1,638.50</w:t>
            </w:r>
          </w:p>
        </w:tc>
        <w:tc>
          <w:tcPr>
            <w:tcW w:w="692" w:type="pct"/>
          </w:tcPr>
          <w:p w14:paraId="4AE7EFF1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$1,667.34</w:t>
            </w:r>
          </w:p>
        </w:tc>
        <w:tc>
          <w:tcPr>
            <w:tcW w:w="615" w:type="pct"/>
          </w:tcPr>
          <w:p w14:paraId="4AE7EFF2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$28.84</w:t>
            </w:r>
          </w:p>
        </w:tc>
      </w:tr>
      <w:tr w:rsidR="001D7516" w14:paraId="4AE7EFF8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F4" w14:textId="77777777" w:rsidR="001D7516" w:rsidRDefault="005C50E6">
            <w:r>
              <w:t>Couple — Single income</w:t>
            </w:r>
          </w:p>
        </w:tc>
        <w:tc>
          <w:tcPr>
            <w:tcW w:w="769" w:type="pct"/>
          </w:tcPr>
          <w:p w14:paraId="4AE7EFF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$2,662.00</w:t>
            </w:r>
          </w:p>
        </w:tc>
        <w:tc>
          <w:tcPr>
            <w:tcW w:w="692" w:type="pct"/>
          </w:tcPr>
          <w:p w14:paraId="4AE7EFF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$2,711.67</w:t>
            </w:r>
          </w:p>
        </w:tc>
        <w:tc>
          <w:tcPr>
            <w:tcW w:w="615" w:type="pct"/>
          </w:tcPr>
          <w:p w14:paraId="4AE7EFF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$49.67</w:t>
            </w:r>
          </w:p>
        </w:tc>
      </w:tr>
      <w:tr w:rsidR="001D7516" w14:paraId="4AE7EFFD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EFF9" w14:textId="77777777" w:rsidR="001D7516" w:rsidRDefault="005C50E6">
            <w:r>
              <w:t>Partnered (each)</w:t>
            </w:r>
          </w:p>
        </w:tc>
        <w:tc>
          <w:tcPr>
            <w:tcW w:w="769" w:type="pct"/>
          </w:tcPr>
          <w:p w14:paraId="4AE7EFFA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$1,414.67</w:t>
            </w:r>
          </w:p>
        </w:tc>
        <w:tc>
          <w:tcPr>
            <w:tcW w:w="692" w:type="pct"/>
          </w:tcPr>
          <w:p w14:paraId="4AE7EFF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$1,439.34</w:t>
            </w:r>
          </w:p>
        </w:tc>
        <w:tc>
          <w:tcPr>
            <w:tcW w:w="615" w:type="pct"/>
          </w:tcPr>
          <w:p w14:paraId="4AE7EFF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$24.67</w:t>
            </w:r>
          </w:p>
        </w:tc>
      </w:tr>
    </w:tbl>
    <w:p w14:paraId="4AE7EFFE" w14:textId="77777777" w:rsidR="001D7516" w:rsidRDefault="005C50E6">
      <w:pPr>
        <w:pStyle w:val="Heading2"/>
      </w:pPr>
      <w:r>
        <w:t>Parenting Payment Means Testing</w:t>
      </w:r>
    </w:p>
    <w:p w14:paraId="4AE7EFFF" w14:textId="77777777" w:rsidR="001D7516" w:rsidRDefault="005C50E6">
      <w:pPr>
        <w:pStyle w:val="TableChartheading"/>
      </w:pPr>
      <w:r>
        <w:t>Parenting Payment Single — Income test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F004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00" w14:textId="77777777" w:rsidR="001D7516" w:rsidRDefault="005C50E6">
            <w:r>
              <w:t>Threshold (per fortnight)</w:t>
            </w:r>
          </w:p>
        </w:tc>
        <w:tc>
          <w:tcPr>
            <w:tcW w:w="769" w:type="pct"/>
          </w:tcPr>
          <w:p w14:paraId="4AE7F001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F002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F00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F009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05" w14:textId="77777777" w:rsidR="001D7516" w:rsidRDefault="005C50E6">
            <w:r>
              <w:t>Income free area</w:t>
            </w:r>
          </w:p>
        </w:tc>
        <w:tc>
          <w:tcPr>
            <w:tcW w:w="769" w:type="pct"/>
          </w:tcPr>
          <w:p w14:paraId="4AE7F00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$232.60</w:t>
            </w:r>
          </w:p>
        </w:tc>
        <w:tc>
          <w:tcPr>
            <w:tcW w:w="692" w:type="pct"/>
          </w:tcPr>
          <w:p w14:paraId="4AE7F00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$232.60</w:t>
            </w:r>
          </w:p>
        </w:tc>
        <w:tc>
          <w:tcPr>
            <w:tcW w:w="615" w:type="pct"/>
          </w:tcPr>
          <w:p w14:paraId="4AE7F00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F00E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0A" w14:textId="77777777" w:rsidR="001D7516" w:rsidRDefault="005C50E6">
            <w:r>
              <w:t>Income limit</w:t>
            </w:r>
          </w:p>
        </w:tc>
        <w:tc>
          <w:tcPr>
            <w:tcW w:w="769" w:type="pct"/>
          </w:tcPr>
          <w:p w14:paraId="4AE7F00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$2,898.35</w:t>
            </w:r>
          </w:p>
        </w:tc>
        <w:tc>
          <w:tcPr>
            <w:tcW w:w="692" w:type="pct"/>
          </w:tcPr>
          <w:p w14:paraId="4AE7F00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$2,950.60</w:t>
            </w:r>
          </w:p>
        </w:tc>
        <w:tc>
          <w:tcPr>
            <w:tcW w:w="615" w:type="pct"/>
          </w:tcPr>
          <w:p w14:paraId="4AE7F00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$52.25</w:t>
            </w:r>
          </w:p>
        </w:tc>
      </w:tr>
    </w:tbl>
    <w:p w14:paraId="4AE7F00F" w14:textId="77777777" w:rsidR="001D7516" w:rsidRDefault="005C50E6">
      <w:pPr>
        <w:pStyle w:val="Tableimagenote"/>
      </w:pPr>
      <w:r>
        <w:t>Note: different amounts apply for recipients who have more than one child or who are over Age Pension age.</w:t>
      </w:r>
    </w:p>
    <w:p w14:paraId="4AE7F010" w14:textId="77777777" w:rsidR="001D7516" w:rsidRDefault="005C50E6">
      <w:pPr>
        <w:pStyle w:val="TableChartheading"/>
      </w:pPr>
      <w:r>
        <w:t>Parenting Payment Partnered — Income limits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F015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11" w14:textId="77777777" w:rsidR="001D7516" w:rsidRDefault="005C50E6">
            <w:r>
              <w:t>Threshold (per fortnight)</w:t>
            </w:r>
          </w:p>
        </w:tc>
        <w:tc>
          <w:tcPr>
            <w:tcW w:w="769" w:type="pct"/>
          </w:tcPr>
          <w:p w14:paraId="4AE7F012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F01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F014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F01A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16" w14:textId="77777777" w:rsidR="001D7516" w:rsidRDefault="005C50E6">
            <w:r>
              <w:t>Income limit</w:t>
            </w:r>
          </w:p>
        </w:tc>
        <w:tc>
          <w:tcPr>
            <w:tcW w:w="769" w:type="pct"/>
          </w:tcPr>
          <w:p w14:paraId="4AE7F01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$1,414.67</w:t>
            </w:r>
          </w:p>
        </w:tc>
        <w:tc>
          <w:tcPr>
            <w:tcW w:w="692" w:type="pct"/>
          </w:tcPr>
          <w:p w14:paraId="4AE7F01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$1,439.34</w:t>
            </w:r>
          </w:p>
        </w:tc>
        <w:tc>
          <w:tcPr>
            <w:tcW w:w="615" w:type="pct"/>
          </w:tcPr>
          <w:p w14:paraId="4AE7F019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$24.67</w:t>
            </w:r>
          </w:p>
        </w:tc>
      </w:tr>
      <w:tr w:rsidR="001D7516" w14:paraId="4AE7F01F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1B" w14:textId="77777777" w:rsidR="001D7516" w:rsidRDefault="005C50E6">
            <w:r>
              <w:t>Partner income limit</w:t>
            </w:r>
          </w:p>
        </w:tc>
        <w:tc>
          <w:tcPr>
            <w:tcW w:w="769" w:type="pct"/>
          </w:tcPr>
          <w:p w14:paraId="4AE7F01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$2,662.00</w:t>
            </w:r>
          </w:p>
        </w:tc>
        <w:tc>
          <w:tcPr>
            <w:tcW w:w="692" w:type="pct"/>
          </w:tcPr>
          <w:p w14:paraId="4AE7F01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$2,711.67</w:t>
            </w:r>
          </w:p>
        </w:tc>
        <w:tc>
          <w:tcPr>
            <w:tcW w:w="615" w:type="pct"/>
          </w:tcPr>
          <w:p w14:paraId="4AE7F01E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$49.67</w:t>
            </w:r>
          </w:p>
        </w:tc>
      </w:tr>
      <w:tr w:rsidR="001D7516" w14:paraId="4AE7F024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20" w14:textId="77777777" w:rsidR="001D7516" w:rsidRDefault="005C50E6">
            <w:r>
              <w:t>Couple (combined) income limit</w:t>
            </w:r>
          </w:p>
        </w:tc>
        <w:tc>
          <w:tcPr>
            <w:tcW w:w="769" w:type="pct"/>
          </w:tcPr>
          <w:p w14:paraId="4AE7F02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$2,829.67</w:t>
            </w:r>
          </w:p>
        </w:tc>
        <w:tc>
          <w:tcPr>
            <w:tcW w:w="692" w:type="pct"/>
          </w:tcPr>
          <w:p w14:paraId="4AE7F02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$2,879.34</w:t>
            </w:r>
          </w:p>
        </w:tc>
        <w:tc>
          <w:tcPr>
            <w:tcW w:w="615" w:type="pct"/>
          </w:tcPr>
          <w:p w14:paraId="4AE7F02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$49.67</w:t>
            </w:r>
          </w:p>
        </w:tc>
      </w:tr>
      <w:tr w:rsidR="001D7516" w14:paraId="4AE7F029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25" w14:textId="77777777" w:rsidR="001D7516" w:rsidRDefault="005C50E6">
            <w:r>
              <w:t>Couple (combined) income limit if partner receives a pension</w:t>
            </w:r>
          </w:p>
        </w:tc>
        <w:tc>
          <w:tcPr>
            <w:tcW w:w="769" w:type="pct"/>
          </w:tcPr>
          <w:p w14:paraId="4AE7F02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$2,829.34</w:t>
            </w:r>
          </w:p>
        </w:tc>
        <w:tc>
          <w:tcPr>
            <w:tcW w:w="692" w:type="pct"/>
          </w:tcPr>
          <w:p w14:paraId="4AE7F02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$2,878.68</w:t>
            </w:r>
          </w:p>
        </w:tc>
        <w:tc>
          <w:tcPr>
            <w:tcW w:w="615" w:type="pct"/>
          </w:tcPr>
          <w:p w14:paraId="4AE7F02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$49.34</w:t>
            </w:r>
          </w:p>
        </w:tc>
      </w:tr>
    </w:tbl>
    <w:p w14:paraId="4AE7F02A" w14:textId="77777777" w:rsidR="001D7516" w:rsidRDefault="005C50E6">
      <w:pPr>
        <w:pStyle w:val="Tableimagenote"/>
      </w:pPr>
      <w:r>
        <w:t>Note: different amounts apply for recipients who are over Age Pension age.</w:t>
      </w:r>
    </w:p>
    <w:p w14:paraId="4AE7F02B" w14:textId="77777777" w:rsidR="001D7516" w:rsidRDefault="005C50E6">
      <w:pPr>
        <w:pStyle w:val="Heading2"/>
      </w:pPr>
      <w:r>
        <w:t>Youth Allowance Means Testing</w:t>
      </w:r>
    </w:p>
    <w:p w14:paraId="4AE7F02C" w14:textId="77777777" w:rsidR="001D7516" w:rsidRDefault="005C50E6">
      <w:pPr>
        <w:pStyle w:val="TableChartheading"/>
      </w:pPr>
      <w:r>
        <w:t>Youth Allowance — Income limits — Job seekers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F031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2D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F02E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F02F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F030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F036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32" w14:textId="77777777" w:rsidR="001D7516" w:rsidRDefault="005C50E6">
            <w:r>
              <w:t>Single — Principal carer of a dependent child, exempt from the activity test due to foster caring, non‑parent relative caring under a court order, home schooling, distance education or large family</w:t>
            </w:r>
          </w:p>
        </w:tc>
        <w:tc>
          <w:tcPr>
            <w:tcW w:w="769" w:type="pct"/>
          </w:tcPr>
          <w:p w14:paraId="4AE7F03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$1,943.84</w:t>
            </w:r>
          </w:p>
        </w:tc>
        <w:tc>
          <w:tcPr>
            <w:tcW w:w="692" w:type="pct"/>
          </w:tcPr>
          <w:p w14:paraId="4AE7F03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$1,978.67</w:t>
            </w:r>
          </w:p>
        </w:tc>
        <w:tc>
          <w:tcPr>
            <w:tcW w:w="615" w:type="pct"/>
          </w:tcPr>
          <w:p w14:paraId="4AE7F03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$34.83</w:t>
            </w:r>
          </w:p>
        </w:tc>
      </w:tr>
    </w:tbl>
    <w:p w14:paraId="4AE7F037" w14:textId="77777777" w:rsidR="001D7516" w:rsidRDefault="005C50E6">
      <w:pPr>
        <w:pStyle w:val="Heading2"/>
      </w:pPr>
      <w:r>
        <w:t>ABSTUDY Means Testing</w:t>
      </w:r>
    </w:p>
    <w:p w14:paraId="4AE7F038" w14:textId="77777777" w:rsidR="001D7516" w:rsidRDefault="005C50E6">
      <w:pPr>
        <w:pStyle w:val="TableChartheading"/>
      </w:pPr>
      <w:r>
        <w:t>ABSTUDY Living Allowance — Income limits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F03D" w14:textId="77777777" w:rsidTr="003744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pct"/>
          </w:tcPr>
          <w:p w14:paraId="4AE7F039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F03A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F03B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F03C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F042" w14:textId="77777777" w:rsidTr="0037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pct"/>
          </w:tcPr>
          <w:p w14:paraId="4AE7F03E" w14:textId="77777777" w:rsidR="001D7516" w:rsidRDefault="005C50E6">
            <w:r>
              <w:t>Single — Aged 22 or over — No dependent children</w:t>
            </w:r>
          </w:p>
        </w:tc>
        <w:tc>
          <w:tcPr>
            <w:tcW w:w="769" w:type="pct"/>
          </w:tcPr>
          <w:p w14:paraId="4AE7F03F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$1,919.34</w:t>
            </w:r>
          </w:p>
        </w:tc>
        <w:tc>
          <w:tcPr>
            <w:tcW w:w="692" w:type="pct"/>
          </w:tcPr>
          <w:p w14:paraId="4AE7F04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$1,946.34</w:t>
            </w:r>
          </w:p>
        </w:tc>
        <w:tc>
          <w:tcPr>
            <w:tcW w:w="615" w:type="pct"/>
          </w:tcPr>
          <w:p w14:paraId="4AE7F04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$27.00</w:t>
            </w:r>
          </w:p>
        </w:tc>
      </w:tr>
      <w:tr w:rsidR="001D7516" w14:paraId="4AE7F047" w14:textId="77777777" w:rsidTr="003744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pct"/>
          </w:tcPr>
          <w:p w14:paraId="4AE7F043" w14:textId="77777777" w:rsidR="001D7516" w:rsidRDefault="005C50E6">
            <w:r>
              <w:t>Single — Aged 22 or over — With dependent children</w:t>
            </w:r>
          </w:p>
        </w:tc>
        <w:tc>
          <w:tcPr>
            <w:tcW w:w="769" w:type="pct"/>
          </w:tcPr>
          <w:p w14:paraId="4AE7F044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$2,016.00</w:t>
            </w:r>
          </w:p>
        </w:tc>
        <w:tc>
          <w:tcPr>
            <w:tcW w:w="692" w:type="pct"/>
          </w:tcPr>
          <w:p w14:paraId="4AE7F045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$2,044.84</w:t>
            </w:r>
          </w:p>
        </w:tc>
        <w:tc>
          <w:tcPr>
            <w:tcW w:w="615" w:type="pct"/>
          </w:tcPr>
          <w:p w14:paraId="4AE7F04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$28.84</w:t>
            </w:r>
          </w:p>
        </w:tc>
      </w:tr>
      <w:tr w:rsidR="0037443B" w14:paraId="39D0CB7D" w14:textId="77777777" w:rsidTr="003744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pct"/>
          </w:tcPr>
          <w:p w14:paraId="795B570A" w14:textId="4D287EB8" w:rsidR="0037443B" w:rsidRDefault="0037443B" w:rsidP="0037443B">
            <w:r>
              <w:t xml:space="preserve">Single </w:t>
            </w:r>
            <w:r w:rsidR="00E374E4">
              <w:t>—</w:t>
            </w:r>
            <w:r>
              <w:t xml:space="preserve"> Aged 55 or over</w:t>
            </w:r>
          </w:p>
        </w:tc>
        <w:tc>
          <w:tcPr>
            <w:tcW w:w="769" w:type="pct"/>
          </w:tcPr>
          <w:p w14:paraId="402720AE" w14:textId="559F0072" w:rsidR="0037443B" w:rsidRDefault="0037443B" w:rsidP="003744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$2,027.67</w:t>
            </w:r>
          </w:p>
        </w:tc>
        <w:tc>
          <w:tcPr>
            <w:tcW w:w="692" w:type="pct"/>
          </w:tcPr>
          <w:p w14:paraId="381D8B67" w14:textId="4FE10655" w:rsidR="0037443B" w:rsidRDefault="0037443B" w:rsidP="003744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$2,056.50</w:t>
            </w:r>
          </w:p>
        </w:tc>
        <w:tc>
          <w:tcPr>
            <w:tcW w:w="615" w:type="pct"/>
          </w:tcPr>
          <w:p w14:paraId="6079C03D" w14:textId="06BCBA75" w:rsidR="0037443B" w:rsidRDefault="0037443B" w:rsidP="0037443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$28.83</w:t>
            </w:r>
          </w:p>
        </w:tc>
      </w:tr>
      <w:tr w:rsidR="0037443B" w14:paraId="4AE7F04C" w14:textId="77777777" w:rsidTr="0037443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4" w:type="pct"/>
          </w:tcPr>
          <w:p w14:paraId="4AE7F048" w14:textId="77777777" w:rsidR="0037443B" w:rsidRDefault="0037443B" w:rsidP="0037443B">
            <w:r>
              <w:t>Partnered (each) — Aged 22 or over</w:t>
            </w:r>
          </w:p>
        </w:tc>
        <w:tc>
          <w:tcPr>
            <w:tcW w:w="769" w:type="pct"/>
          </w:tcPr>
          <w:p w14:paraId="4AE7F049" w14:textId="77777777" w:rsidR="0037443B" w:rsidRDefault="0037443B" w:rsidP="003744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$1,803.84</w:t>
            </w:r>
          </w:p>
        </w:tc>
        <w:tc>
          <w:tcPr>
            <w:tcW w:w="692" w:type="pct"/>
          </w:tcPr>
          <w:p w14:paraId="4AE7F04A" w14:textId="77777777" w:rsidR="0037443B" w:rsidRDefault="0037443B" w:rsidP="003744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$1,828.50</w:t>
            </w:r>
          </w:p>
        </w:tc>
        <w:tc>
          <w:tcPr>
            <w:tcW w:w="615" w:type="pct"/>
          </w:tcPr>
          <w:p w14:paraId="4AE7F04B" w14:textId="77777777" w:rsidR="0037443B" w:rsidRDefault="0037443B" w:rsidP="0037443B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$24.66</w:t>
            </w:r>
          </w:p>
        </w:tc>
      </w:tr>
    </w:tbl>
    <w:p w14:paraId="4AE7F052" w14:textId="77777777" w:rsidR="001D7516" w:rsidRDefault="005C50E6">
      <w:pPr>
        <w:pStyle w:val="Heading2"/>
      </w:pPr>
      <w:r>
        <w:t>Allowances (JobSeeker Payment, Parenting Payment, Youth Allowance, Austudy) Means Testing</w:t>
      </w:r>
    </w:p>
    <w:p w14:paraId="4AE7F053" w14:textId="77777777" w:rsidR="001D7516" w:rsidRDefault="005C50E6">
      <w:pPr>
        <w:pStyle w:val="TableChartheading"/>
      </w:pPr>
      <w:r>
        <w:t>Allowances — Partner income free areas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F058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54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F055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F056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F057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F05D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59" w14:textId="77777777" w:rsidR="001D7516" w:rsidRDefault="005C50E6">
            <w:r>
              <w:t>Partner aged between 22 and Age Pension age</w:t>
            </w:r>
          </w:p>
        </w:tc>
        <w:tc>
          <w:tcPr>
            <w:tcW w:w="769" w:type="pct"/>
          </w:tcPr>
          <w:p w14:paraId="4AE7F05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$1,415</w:t>
            </w:r>
          </w:p>
        </w:tc>
        <w:tc>
          <w:tcPr>
            <w:tcW w:w="692" w:type="pct"/>
          </w:tcPr>
          <w:p w14:paraId="4AE7F05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$1,440</w:t>
            </w:r>
          </w:p>
        </w:tc>
        <w:tc>
          <w:tcPr>
            <w:tcW w:w="615" w:type="pct"/>
          </w:tcPr>
          <w:p w14:paraId="4AE7F05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$25</w:t>
            </w:r>
          </w:p>
        </w:tc>
      </w:tr>
      <w:tr w:rsidR="001D7516" w14:paraId="4AE7F062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5E" w14:textId="77777777" w:rsidR="001D7516" w:rsidRDefault="005C50E6">
            <w:r>
              <w:t>Partner aged under 22 — No dependent children</w:t>
            </w:r>
          </w:p>
        </w:tc>
        <w:tc>
          <w:tcPr>
            <w:tcW w:w="769" w:type="pct"/>
          </w:tcPr>
          <w:p w14:paraId="4AE7F05F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$1,307</w:t>
            </w:r>
          </w:p>
        </w:tc>
        <w:tc>
          <w:tcPr>
            <w:tcW w:w="692" w:type="pct"/>
          </w:tcPr>
          <w:p w14:paraId="4AE7F060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$1,307</w:t>
            </w:r>
          </w:p>
        </w:tc>
        <w:tc>
          <w:tcPr>
            <w:tcW w:w="615" w:type="pct"/>
          </w:tcPr>
          <w:p w14:paraId="4AE7F061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  <w:tr w:rsidR="001D7516" w14:paraId="4AE7F067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63" w14:textId="77777777" w:rsidR="001D7516" w:rsidRDefault="005C50E6">
            <w:r>
              <w:t>Partner aged under 22 — With dependent children</w:t>
            </w:r>
          </w:p>
        </w:tc>
        <w:tc>
          <w:tcPr>
            <w:tcW w:w="769" w:type="pct"/>
          </w:tcPr>
          <w:p w14:paraId="4AE7F064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$1,402</w:t>
            </w:r>
          </w:p>
        </w:tc>
        <w:tc>
          <w:tcPr>
            <w:tcW w:w="692" w:type="pct"/>
          </w:tcPr>
          <w:p w14:paraId="4AE7F065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$1,402</w:t>
            </w:r>
          </w:p>
        </w:tc>
        <w:tc>
          <w:tcPr>
            <w:tcW w:w="615" w:type="pct"/>
          </w:tcPr>
          <w:p w14:paraId="4AE7F06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</w:tbl>
    <w:p w14:paraId="4AE7F068" w14:textId="77777777" w:rsidR="001D7516" w:rsidRDefault="005C50E6">
      <w:pPr>
        <w:pStyle w:val="Tableimagenote"/>
      </w:pPr>
      <w:r>
        <w:t>Note: different policy applies if partner is a pensioner.</w:t>
      </w:r>
    </w:p>
    <w:p w14:paraId="5A35DA14" w14:textId="77777777" w:rsidR="00CD01E8" w:rsidRDefault="00CD01E8">
      <w:pPr>
        <w:spacing w:after="240"/>
        <w:rPr>
          <w:rFonts w:asciiTheme="majorHAnsi" w:eastAsiaTheme="majorEastAsia" w:hAnsiTheme="majorHAnsi" w:cstheme="majorBidi"/>
          <w:b/>
          <w:bCs/>
          <w:color w:val="005A70" w:themeColor="accent1"/>
          <w:sz w:val="20"/>
          <w:szCs w:val="26"/>
        </w:rPr>
      </w:pPr>
      <w:r>
        <w:br w:type="page"/>
      </w:r>
    </w:p>
    <w:p w14:paraId="4AE7F069" w14:textId="0673407E" w:rsidR="001D7516" w:rsidRDefault="005C50E6">
      <w:pPr>
        <w:pStyle w:val="Heading2"/>
      </w:pPr>
      <w:r>
        <w:lastRenderedPageBreak/>
        <w:t>Health Care Cards</w:t>
      </w:r>
    </w:p>
    <w:p w14:paraId="4AE7F06A" w14:textId="77777777" w:rsidR="001D7516" w:rsidRDefault="005C50E6">
      <w:pPr>
        <w:pStyle w:val="TableChartheading"/>
      </w:pPr>
      <w:r>
        <w:t>Health Care Cards (HCC) — Income limits to claim card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F06F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6B" w14:textId="77777777" w:rsidR="001D7516" w:rsidRDefault="005C50E6">
            <w:r>
              <w:t>Family situation (per week)</w:t>
            </w:r>
          </w:p>
        </w:tc>
        <w:tc>
          <w:tcPr>
            <w:tcW w:w="769" w:type="pct"/>
          </w:tcPr>
          <w:p w14:paraId="4AE7F06C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F06D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F06E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F074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70" w14:textId="77777777" w:rsidR="001D7516" w:rsidRDefault="005C50E6">
            <w:r>
              <w:t>Single — No dependent children</w:t>
            </w:r>
          </w:p>
        </w:tc>
        <w:tc>
          <w:tcPr>
            <w:tcW w:w="769" w:type="pct"/>
          </w:tcPr>
          <w:p w14:paraId="4AE7F07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$811.00</w:t>
            </w:r>
          </w:p>
        </w:tc>
        <w:tc>
          <w:tcPr>
            <w:tcW w:w="692" w:type="pct"/>
          </w:tcPr>
          <w:p w14:paraId="4AE7F07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$826.00</w:t>
            </w:r>
          </w:p>
        </w:tc>
        <w:tc>
          <w:tcPr>
            <w:tcW w:w="615" w:type="pct"/>
          </w:tcPr>
          <w:p w14:paraId="4AE7F073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$15.00</w:t>
            </w:r>
          </w:p>
        </w:tc>
      </w:tr>
      <w:tr w:rsidR="001D7516" w14:paraId="4AE7F079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75" w14:textId="77777777" w:rsidR="001D7516" w:rsidRDefault="005C50E6">
            <w:r>
              <w:t>Single — 1 dependent child</w:t>
            </w:r>
          </w:p>
        </w:tc>
        <w:tc>
          <w:tcPr>
            <w:tcW w:w="769" w:type="pct"/>
          </w:tcPr>
          <w:p w14:paraId="4AE7F07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$1,385.00</w:t>
            </w:r>
          </w:p>
        </w:tc>
        <w:tc>
          <w:tcPr>
            <w:tcW w:w="692" w:type="pct"/>
          </w:tcPr>
          <w:p w14:paraId="4AE7F07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$1,410.00</w:t>
            </w:r>
          </w:p>
        </w:tc>
        <w:tc>
          <w:tcPr>
            <w:tcW w:w="615" w:type="pct"/>
          </w:tcPr>
          <w:p w14:paraId="4AE7F078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$25.00</w:t>
            </w:r>
          </w:p>
        </w:tc>
      </w:tr>
      <w:tr w:rsidR="001D7516" w14:paraId="4AE7F07E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7A" w14:textId="77777777" w:rsidR="001D7516" w:rsidRDefault="005C50E6">
            <w:r>
              <w:t>Couple (combined) — No dependent children</w:t>
            </w:r>
          </w:p>
        </w:tc>
        <w:tc>
          <w:tcPr>
            <w:tcW w:w="769" w:type="pct"/>
          </w:tcPr>
          <w:p w14:paraId="4AE7F07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$1,385.00</w:t>
            </w:r>
          </w:p>
        </w:tc>
        <w:tc>
          <w:tcPr>
            <w:tcW w:w="692" w:type="pct"/>
          </w:tcPr>
          <w:p w14:paraId="4AE7F07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$1,410.00</w:t>
            </w:r>
          </w:p>
        </w:tc>
        <w:tc>
          <w:tcPr>
            <w:tcW w:w="615" w:type="pct"/>
          </w:tcPr>
          <w:p w14:paraId="4AE7F07D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$25.00</w:t>
            </w:r>
          </w:p>
        </w:tc>
      </w:tr>
      <w:tr w:rsidR="001D7516" w14:paraId="4AE7F083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7F" w14:textId="77777777" w:rsidR="001D7516" w:rsidRDefault="005C50E6">
            <w:r>
              <w:t>For each additional dependent child add</w:t>
            </w:r>
          </w:p>
        </w:tc>
        <w:tc>
          <w:tcPr>
            <w:tcW w:w="769" w:type="pct"/>
          </w:tcPr>
          <w:p w14:paraId="4AE7F080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$34.00</w:t>
            </w:r>
          </w:p>
        </w:tc>
        <w:tc>
          <w:tcPr>
            <w:tcW w:w="692" w:type="pct"/>
          </w:tcPr>
          <w:p w14:paraId="4AE7F081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$34.00</w:t>
            </w:r>
          </w:p>
        </w:tc>
        <w:tc>
          <w:tcPr>
            <w:tcW w:w="615" w:type="pct"/>
          </w:tcPr>
          <w:p w14:paraId="4AE7F082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</w:tbl>
    <w:p w14:paraId="4AE7F084" w14:textId="77777777" w:rsidR="001D7516" w:rsidRDefault="005C50E6">
      <w:pPr>
        <w:pStyle w:val="Tableimagenote"/>
      </w:pPr>
      <w:r>
        <w:t>Note: to claim a card, average weekly income for previous 8 weeks must be less than the above amounts.</w:t>
      </w:r>
    </w:p>
    <w:p w14:paraId="4AE7F085" w14:textId="77777777" w:rsidR="001D7516" w:rsidRDefault="005C50E6">
      <w:pPr>
        <w:pStyle w:val="TableChartheading"/>
      </w:pPr>
      <w:r>
        <w:t>Health Care Cards (HCC) — Income limits to retain card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F08A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86" w14:textId="77777777" w:rsidR="001D7516" w:rsidRDefault="005C50E6">
            <w:r>
              <w:t>Family situation (per week)</w:t>
            </w:r>
          </w:p>
        </w:tc>
        <w:tc>
          <w:tcPr>
            <w:tcW w:w="769" w:type="pct"/>
          </w:tcPr>
          <w:p w14:paraId="4AE7F087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F088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F089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F08F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8B" w14:textId="77777777" w:rsidR="001D7516" w:rsidRDefault="005C50E6">
            <w:r>
              <w:t>Single — No dependent children</w:t>
            </w:r>
          </w:p>
        </w:tc>
        <w:tc>
          <w:tcPr>
            <w:tcW w:w="769" w:type="pct"/>
          </w:tcPr>
          <w:p w14:paraId="4AE7F08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$1,013.75</w:t>
            </w:r>
          </w:p>
        </w:tc>
        <w:tc>
          <w:tcPr>
            <w:tcW w:w="692" w:type="pct"/>
          </w:tcPr>
          <w:p w14:paraId="4AE7F08D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$1,032.50</w:t>
            </w:r>
          </w:p>
        </w:tc>
        <w:tc>
          <w:tcPr>
            <w:tcW w:w="615" w:type="pct"/>
          </w:tcPr>
          <w:p w14:paraId="4AE7F08E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$18.75</w:t>
            </w:r>
          </w:p>
        </w:tc>
      </w:tr>
      <w:tr w:rsidR="001D7516" w14:paraId="4AE7F094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90" w14:textId="77777777" w:rsidR="001D7516" w:rsidRDefault="005C50E6">
            <w:r>
              <w:t>Single — 1 dependent child</w:t>
            </w:r>
          </w:p>
        </w:tc>
        <w:tc>
          <w:tcPr>
            <w:tcW w:w="769" w:type="pct"/>
          </w:tcPr>
          <w:p w14:paraId="4AE7F091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$1,731.25</w:t>
            </w:r>
          </w:p>
        </w:tc>
        <w:tc>
          <w:tcPr>
            <w:tcW w:w="692" w:type="pct"/>
          </w:tcPr>
          <w:p w14:paraId="4AE7F092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$1,762.50</w:t>
            </w:r>
          </w:p>
        </w:tc>
        <w:tc>
          <w:tcPr>
            <w:tcW w:w="615" w:type="pct"/>
          </w:tcPr>
          <w:p w14:paraId="4AE7F093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$31.25</w:t>
            </w:r>
          </w:p>
        </w:tc>
      </w:tr>
      <w:tr w:rsidR="001D7516" w14:paraId="4AE7F099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95" w14:textId="77777777" w:rsidR="001D7516" w:rsidRDefault="005C50E6">
            <w:r>
              <w:t>Couple (combined) — No dependent children</w:t>
            </w:r>
          </w:p>
        </w:tc>
        <w:tc>
          <w:tcPr>
            <w:tcW w:w="769" w:type="pct"/>
          </w:tcPr>
          <w:p w14:paraId="4AE7F09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$1,731.25</w:t>
            </w:r>
          </w:p>
        </w:tc>
        <w:tc>
          <w:tcPr>
            <w:tcW w:w="692" w:type="pct"/>
          </w:tcPr>
          <w:p w14:paraId="4AE7F09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$1,762.50</w:t>
            </w:r>
          </w:p>
        </w:tc>
        <w:tc>
          <w:tcPr>
            <w:tcW w:w="615" w:type="pct"/>
          </w:tcPr>
          <w:p w14:paraId="4AE7F09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$31.25</w:t>
            </w:r>
          </w:p>
        </w:tc>
      </w:tr>
      <w:tr w:rsidR="001D7516" w14:paraId="4AE7F09E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9A" w14:textId="77777777" w:rsidR="001D7516" w:rsidRDefault="005C50E6">
            <w:r>
              <w:t>For each additional dependent child add</w:t>
            </w:r>
          </w:p>
        </w:tc>
        <w:tc>
          <w:tcPr>
            <w:tcW w:w="769" w:type="pct"/>
          </w:tcPr>
          <w:p w14:paraId="4AE7F09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$42.50</w:t>
            </w:r>
          </w:p>
        </w:tc>
        <w:tc>
          <w:tcPr>
            <w:tcW w:w="692" w:type="pct"/>
          </w:tcPr>
          <w:p w14:paraId="4AE7F09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$42.50</w:t>
            </w:r>
          </w:p>
        </w:tc>
        <w:tc>
          <w:tcPr>
            <w:tcW w:w="615" w:type="pct"/>
          </w:tcPr>
          <w:p w14:paraId="4AE7F09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-</w:t>
            </w:r>
          </w:p>
        </w:tc>
      </w:tr>
    </w:tbl>
    <w:p w14:paraId="4AE7F09F" w14:textId="77777777" w:rsidR="001D7516" w:rsidRDefault="005C50E6">
      <w:pPr>
        <w:pStyle w:val="TableChartheading"/>
      </w:pPr>
      <w:r>
        <w:t>Commonwealth Seniors Health Care Cards (CSHC) — Income limits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F0A4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A0" w14:textId="77777777" w:rsidR="001D7516" w:rsidRDefault="005C50E6">
            <w:r>
              <w:t>Family situation (per year)</w:t>
            </w:r>
          </w:p>
        </w:tc>
        <w:tc>
          <w:tcPr>
            <w:tcW w:w="769" w:type="pct"/>
          </w:tcPr>
          <w:p w14:paraId="4AE7F0A1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F0A2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F0A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F0A9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A5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F0A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$101,105</w:t>
            </w:r>
          </w:p>
        </w:tc>
        <w:tc>
          <w:tcPr>
            <w:tcW w:w="692" w:type="pct"/>
          </w:tcPr>
          <w:p w14:paraId="4AE7F0A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$105,048</w:t>
            </w:r>
          </w:p>
        </w:tc>
        <w:tc>
          <w:tcPr>
            <w:tcW w:w="615" w:type="pct"/>
          </w:tcPr>
          <w:p w14:paraId="4AE7F0A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$3,943</w:t>
            </w:r>
          </w:p>
        </w:tc>
      </w:tr>
      <w:tr w:rsidR="001D7516" w14:paraId="4AE7F0AE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AA" w14:textId="77777777" w:rsidR="001D7516" w:rsidRDefault="005C50E6">
            <w:r>
              <w:t>Partnered — Illness separated, respite care or partner in gaol</w:t>
            </w:r>
          </w:p>
        </w:tc>
        <w:tc>
          <w:tcPr>
            <w:tcW w:w="769" w:type="pct"/>
          </w:tcPr>
          <w:p w14:paraId="4AE7F0A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$101,105</w:t>
            </w:r>
          </w:p>
        </w:tc>
        <w:tc>
          <w:tcPr>
            <w:tcW w:w="692" w:type="pct"/>
          </w:tcPr>
          <w:p w14:paraId="4AE7F0A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$105,048</w:t>
            </w:r>
          </w:p>
        </w:tc>
        <w:tc>
          <w:tcPr>
            <w:tcW w:w="615" w:type="pct"/>
          </w:tcPr>
          <w:p w14:paraId="4AE7F0A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$3,943</w:t>
            </w:r>
          </w:p>
        </w:tc>
      </w:tr>
      <w:tr w:rsidR="001D7516" w14:paraId="4AE7F0B3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AF" w14:textId="77777777" w:rsidR="001D7516" w:rsidRDefault="005C50E6">
            <w:r>
              <w:t>Partnered (each)</w:t>
            </w:r>
          </w:p>
        </w:tc>
        <w:tc>
          <w:tcPr>
            <w:tcW w:w="769" w:type="pct"/>
          </w:tcPr>
          <w:p w14:paraId="4AE7F0B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$80,884.00</w:t>
            </w:r>
          </w:p>
        </w:tc>
        <w:tc>
          <w:tcPr>
            <w:tcW w:w="692" w:type="pct"/>
          </w:tcPr>
          <w:p w14:paraId="4AE7F0B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$84,038.00</w:t>
            </w:r>
          </w:p>
        </w:tc>
        <w:tc>
          <w:tcPr>
            <w:tcW w:w="615" w:type="pct"/>
          </w:tcPr>
          <w:p w14:paraId="4AE7F0B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$3,154.00</w:t>
            </w:r>
          </w:p>
        </w:tc>
      </w:tr>
      <w:tr w:rsidR="001D7516" w14:paraId="4AE7F0B8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B4" w14:textId="77777777" w:rsidR="001D7516" w:rsidRDefault="005C50E6">
            <w:r>
              <w:t>Couple (combined)</w:t>
            </w:r>
          </w:p>
        </w:tc>
        <w:tc>
          <w:tcPr>
            <w:tcW w:w="769" w:type="pct"/>
          </w:tcPr>
          <w:p w14:paraId="4AE7F0B5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$161,768.00</w:t>
            </w:r>
          </w:p>
        </w:tc>
        <w:tc>
          <w:tcPr>
            <w:tcW w:w="692" w:type="pct"/>
          </w:tcPr>
          <w:p w14:paraId="4AE7F0B6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$168,076.00</w:t>
            </w:r>
          </w:p>
        </w:tc>
        <w:tc>
          <w:tcPr>
            <w:tcW w:w="615" w:type="pct"/>
          </w:tcPr>
          <w:p w14:paraId="4AE7F0B7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$6,308.00</w:t>
            </w:r>
          </w:p>
        </w:tc>
      </w:tr>
      <w:tr w:rsidR="001D7516" w14:paraId="4AE7F0BD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B9" w14:textId="77777777" w:rsidR="001D7516" w:rsidRDefault="005C50E6">
            <w:r>
              <w:t>For each additional dependent child add</w:t>
            </w:r>
          </w:p>
        </w:tc>
        <w:tc>
          <w:tcPr>
            <w:tcW w:w="769" w:type="pct"/>
          </w:tcPr>
          <w:p w14:paraId="4AE7F0BA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$639.60</w:t>
            </w:r>
          </w:p>
        </w:tc>
        <w:tc>
          <w:tcPr>
            <w:tcW w:w="692" w:type="pct"/>
          </w:tcPr>
          <w:p w14:paraId="4AE7F0BB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$639.60</w:t>
            </w:r>
          </w:p>
        </w:tc>
        <w:tc>
          <w:tcPr>
            <w:tcW w:w="615" w:type="pct"/>
          </w:tcPr>
          <w:p w14:paraId="4AE7F0BC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</w:t>
            </w:r>
          </w:p>
        </w:tc>
      </w:tr>
    </w:tbl>
    <w:p w14:paraId="4AE7F0BE" w14:textId="77777777" w:rsidR="001D7516" w:rsidRDefault="005C50E6">
      <w:pPr>
        <w:pStyle w:val="Heading1"/>
      </w:pPr>
      <w:r>
        <w:t>Other Amounts</w:t>
      </w:r>
    </w:p>
    <w:p w14:paraId="4AE7F0BF" w14:textId="280C5067" w:rsidR="001D7516" w:rsidRDefault="005C50E6">
      <w:pPr>
        <w:pStyle w:val="TableChartheading"/>
      </w:pPr>
      <w:r>
        <w:t>Home Equity Access Scheme</w:t>
      </w:r>
      <w:r w:rsidR="00575AE3">
        <w:t xml:space="preserve"> — Typical maximum amounts</w:t>
      </w:r>
    </w:p>
    <w:tbl>
      <w:tblPr>
        <w:tblStyle w:val="DSSDatatablestyle"/>
        <w:tblW w:w="4401" w:type="pct"/>
        <w:jc w:val="center"/>
        <w:tblLook w:val="04A0" w:firstRow="1" w:lastRow="0" w:firstColumn="1" w:lastColumn="0" w:noHBand="0" w:noVBand="1"/>
      </w:tblPr>
      <w:tblGrid>
        <w:gridCol w:w="5387"/>
        <w:gridCol w:w="1417"/>
        <w:gridCol w:w="1275"/>
        <w:gridCol w:w="1133"/>
      </w:tblGrid>
      <w:tr w:rsidR="001D7516" w14:paraId="4AE7F0C4" w14:textId="77777777" w:rsidTr="00F50A6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C0" w14:textId="77777777" w:rsidR="001D7516" w:rsidRDefault="005C50E6">
            <w:r>
              <w:t>Family situation (per fortnight)</w:t>
            </w:r>
          </w:p>
        </w:tc>
        <w:tc>
          <w:tcPr>
            <w:tcW w:w="769" w:type="pct"/>
          </w:tcPr>
          <w:p w14:paraId="4AE7F0C1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Previous Amount</w:t>
            </w:r>
          </w:p>
        </w:tc>
        <w:tc>
          <w:tcPr>
            <w:tcW w:w="692" w:type="pct"/>
          </w:tcPr>
          <w:p w14:paraId="4AE7F0C2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 Sep 2026</w:t>
            </w:r>
          </w:p>
        </w:tc>
        <w:tc>
          <w:tcPr>
            <w:tcW w:w="615" w:type="pct"/>
          </w:tcPr>
          <w:p w14:paraId="4AE7F0C3" w14:textId="77777777" w:rsidR="001D7516" w:rsidRDefault="005C50E6" w:rsidP="00F50A6D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Increase</w:t>
            </w:r>
          </w:p>
        </w:tc>
      </w:tr>
      <w:tr w:rsidR="001D7516" w14:paraId="4AE7F0C9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C5" w14:textId="77777777" w:rsidR="001D7516" w:rsidRDefault="005C50E6">
            <w:r>
              <w:t>Single</w:t>
            </w:r>
          </w:p>
        </w:tc>
        <w:tc>
          <w:tcPr>
            <w:tcW w:w="769" w:type="pct"/>
          </w:tcPr>
          <w:p w14:paraId="4AE7F0C6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$1,801.35</w:t>
            </w:r>
          </w:p>
        </w:tc>
        <w:tc>
          <w:tcPr>
            <w:tcW w:w="692" w:type="pct"/>
          </w:tcPr>
          <w:p w14:paraId="4AE7F0C7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$1,856.55</w:t>
            </w:r>
          </w:p>
        </w:tc>
        <w:tc>
          <w:tcPr>
            <w:tcW w:w="615" w:type="pct"/>
          </w:tcPr>
          <w:p w14:paraId="4AE7F0C8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$55.20</w:t>
            </w:r>
          </w:p>
        </w:tc>
      </w:tr>
      <w:tr w:rsidR="001D7516" w14:paraId="4AE7F0CE" w14:textId="77777777" w:rsidTr="00F50A6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CA" w14:textId="77777777" w:rsidR="001D7516" w:rsidRDefault="005C50E6">
            <w:r>
              <w:t>Partnered (each)</w:t>
            </w:r>
          </w:p>
        </w:tc>
        <w:tc>
          <w:tcPr>
            <w:tcW w:w="769" w:type="pct"/>
          </w:tcPr>
          <w:p w14:paraId="4AE7F0CB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$1,357.80</w:t>
            </w:r>
          </w:p>
        </w:tc>
        <w:tc>
          <w:tcPr>
            <w:tcW w:w="692" w:type="pct"/>
          </w:tcPr>
          <w:p w14:paraId="4AE7F0CC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$1,399.50</w:t>
            </w:r>
          </w:p>
        </w:tc>
        <w:tc>
          <w:tcPr>
            <w:tcW w:w="615" w:type="pct"/>
          </w:tcPr>
          <w:p w14:paraId="4AE7F0CD" w14:textId="77777777" w:rsidR="001D7516" w:rsidRDefault="005C50E6" w:rsidP="00F50A6D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t>$41.70</w:t>
            </w:r>
          </w:p>
        </w:tc>
      </w:tr>
      <w:tr w:rsidR="001D7516" w14:paraId="4AE7F0D3" w14:textId="77777777" w:rsidTr="00F50A6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3" w:type="pct"/>
          </w:tcPr>
          <w:p w14:paraId="4AE7F0CF" w14:textId="77777777" w:rsidR="001D7516" w:rsidRDefault="005C50E6">
            <w:r>
              <w:t>Couple (combined)</w:t>
            </w:r>
          </w:p>
        </w:tc>
        <w:tc>
          <w:tcPr>
            <w:tcW w:w="769" w:type="pct"/>
          </w:tcPr>
          <w:p w14:paraId="4AE7F0D0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$2,715.60</w:t>
            </w:r>
          </w:p>
        </w:tc>
        <w:tc>
          <w:tcPr>
            <w:tcW w:w="692" w:type="pct"/>
          </w:tcPr>
          <w:p w14:paraId="4AE7F0D1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$2,799.00</w:t>
            </w:r>
          </w:p>
        </w:tc>
        <w:tc>
          <w:tcPr>
            <w:tcW w:w="615" w:type="pct"/>
          </w:tcPr>
          <w:p w14:paraId="4AE7F0D2" w14:textId="77777777" w:rsidR="001D7516" w:rsidRDefault="005C50E6" w:rsidP="00F50A6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$83.40</w:t>
            </w:r>
          </w:p>
        </w:tc>
      </w:tr>
    </w:tbl>
    <w:p w14:paraId="4AE7F0D4" w14:textId="77777777" w:rsidR="001D7516" w:rsidRDefault="001D7516"/>
    <w:sectPr w:rsidR="001D7516" w:rsidSect="005539B8">
      <w:footerReference w:type="default" r:id="rId8"/>
      <w:footerReference w:type="first" r:id="rId9"/>
      <w:type w:val="continuous"/>
      <w:pgSz w:w="11906" w:h="16838" w:code="9"/>
      <w:pgMar w:top="720" w:right="720" w:bottom="397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BF8A5" w14:textId="77777777" w:rsidR="007670F1" w:rsidRDefault="007670F1">
      <w:pPr>
        <w:spacing w:line="240" w:lineRule="auto"/>
      </w:pPr>
      <w:r>
        <w:separator/>
      </w:r>
    </w:p>
  </w:endnote>
  <w:endnote w:type="continuationSeparator" w:id="0">
    <w:p w14:paraId="5EF99357" w14:textId="77777777" w:rsidR="007670F1" w:rsidRDefault="007670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auto"/>
      </w:rPr>
      <w:id w:val="5319981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E7F0D6" w14:textId="22472B24" w:rsidR="005C50E6" w:rsidRPr="00C4059B" w:rsidRDefault="005C50E6" w:rsidP="006105DA">
        <w:pPr>
          <w:pStyle w:val="Footer"/>
          <w:spacing w:after="360"/>
          <w:jc w:val="center"/>
          <w:rPr>
            <w:color w:val="auto"/>
          </w:rPr>
        </w:pPr>
        <w:r w:rsidRPr="00C4059B">
          <w:rPr>
            <w:color w:val="auto"/>
          </w:rPr>
          <w:tab/>
        </w:r>
        <w:r w:rsidRPr="00C4059B">
          <w:rPr>
            <w:color w:val="auto"/>
          </w:rPr>
          <w:tab/>
        </w:r>
        <w:r w:rsidRPr="00C4059B">
          <w:rPr>
            <w:color w:val="auto"/>
          </w:rPr>
          <w:fldChar w:fldCharType="begin"/>
        </w:r>
        <w:r w:rsidRPr="00C4059B">
          <w:rPr>
            <w:color w:val="auto"/>
          </w:rPr>
          <w:instrText xml:space="preserve"> PAGE   \* MERGEFORMAT </w:instrText>
        </w:r>
        <w:r w:rsidRPr="00C4059B">
          <w:rPr>
            <w:color w:val="auto"/>
          </w:rPr>
          <w:fldChar w:fldCharType="separate"/>
        </w:r>
        <w:r w:rsidRPr="00C4059B">
          <w:rPr>
            <w:noProof/>
            <w:color w:val="auto"/>
          </w:rPr>
          <w:t>2</w:t>
        </w:r>
        <w:r w:rsidRPr="00C4059B">
          <w:rPr>
            <w:noProof/>
            <w:color w:val="auto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F0D7" w14:textId="541AE61F" w:rsidR="005C50E6" w:rsidRDefault="005C50E6" w:rsidP="00AA5091">
    <w:pPr>
      <w:pStyle w:val="Foot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4AE7F0D8" wp14:editId="4AE7F0D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92000"/>
          <wp:effectExtent l="0" t="0" r="3175" b="0"/>
          <wp:wrapNone/>
          <wp:docPr id="1776778329" name="Picture 177677832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61F5D">
      <w:fldChar w:fldCharType="begin"/>
    </w:r>
    <w:r w:rsidRPr="00261F5D">
      <w:instrText xml:space="preserve"> PAGE   \* MERGEFORMAT </w:instrText>
    </w:r>
    <w:r w:rsidRPr="00261F5D">
      <w:fldChar w:fldCharType="separate"/>
    </w:r>
    <w:r w:rsidRPr="00261F5D">
      <w:rPr>
        <w:noProof/>
      </w:rPr>
      <w:t>1</w:t>
    </w:r>
    <w:r w:rsidRPr="00261F5D">
      <w:rPr>
        <w:noProof/>
      </w:rPr>
      <w:fldChar w:fldCharType="end"/>
    </w:r>
    <w:r w:rsidRPr="00261F5D">
      <w:rPr>
        <w:noProof/>
      </w:rPr>
      <w:t xml:space="preserve"> - </w:t>
    </w:r>
    <w:r>
      <w:t>DSS - A4 Short Report Template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6E61E" w14:textId="77777777" w:rsidR="007670F1" w:rsidRDefault="007670F1">
      <w:pPr>
        <w:spacing w:line="240" w:lineRule="auto"/>
      </w:pPr>
      <w:r>
        <w:separator/>
      </w:r>
    </w:p>
  </w:footnote>
  <w:footnote w:type="continuationSeparator" w:id="0">
    <w:p w14:paraId="4DE02337" w14:textId="77777777" w:rsidR="007670F1" w:rsidRDefault="007670F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982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30163A"/>
    <w:multiLevelType w:val="hybridMultilevel"/>
    <w:tmpl w:val="CD4EC96C"/>
    <w:lvl w:ilvl="0" w:tplc="C9EA8E1A">
      <w:start w:val="1"/>
      <w:numFmt w:val="bullet"/>
      <w:pStyle w:val="ListParagraph"/>
      <w:lvlText w:val=""/>
      <w:lvlJc w:val="left"/>
      <w:pPr>
        <w:ind w:left="1032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752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47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</w:abstractNum>
  <w:abstractNum w:abstractNumId="2" w15:restartNumberingAfterBreak="0">
    <w:nsid w:val="099248D7"/>
    <w:multiLevelType w:val="hybridMultilevel"/>
    <w:tmpl w:val="47DC3E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3413C"/>
    <w:multiLevelType w:val="multilevel"/>
    <w:tmpl w:val="C59EBE60"/>
    <w:lvl w:ilvl="0">
      <w:start w:val="1"/>
      <w:numFmt w:val="decimal"/>
      <w:lvlText w:val="%1."/>
      <w:lvlJc w:val="left"/>
      <w:pPr>
        <w:ind w:left="709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34" w:hanging="425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559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84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409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34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59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84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109" w:hanging="425"/>
      </w:pPr>
      <w:rPr>
        <w:rFonts w:hint="default"/>
      </w:rPr>
    </w:lvl>
  </w:abstractNum>
  <w:abstractNum w:abstractNumId="4" w15:restartNumberingAfterBreak="0">
    <w:nsid w:val="27466A1B"/>
    <w:multiLevelType w:val="hybridMultilevel"/>
    <w:tmpl w:val="A342C5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0633A4"/>
    <w:multiLevelType w:val="hybridMultilevel"/>
    <w:tmpl w:val="D3366BE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7F619C"/>
    <w:multiLevelType w:val="hybridMultilevel"/>
    <w:tmpl w:val="EE5273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5E6F2B"/>
    <w:multiLevelType w:val="multilevel"/>
    <w:tmpl w:val="31A01D40"/>
    <w:lvl w:ilvl="0">
      <w:start w:val="1"/>
      <w:numFmt w:val="decimal"/>
      <w:pStyle w:val="ListNumber"/>
      <w:lvlText w:val="%1."/>
      <w:lvlJc w:val="left"/>
      <w:pPr>
        <w:ind w:left="709" w:hanging="425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134" w:hanging="425"/>
      </w:pPr>
      <w:rPr>
        <w:rFonts w:hint="default"/>
      </w:rPr>
    </w:lvl>
    <w:lvl w:ilvl="2">
      <w:start w:val="1"/>
      <w:numFmt w:val="lowerRoman"/>
      <w:pStyle w:val="ListNumber3"/>
      <w:lvlText w:val="%3."/>
      <w:lvlJc w:val="left"/>
      <w:pPr>
        <w:ind w:left="1559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984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409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34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59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84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109" w:hanging="425"/>
      </w:pPr>
      <w:rPr>
        <w:rFonts w:hint="default"/>
      </w:rPr>
    </w:lvl>
  </w:abstractNum>
  <w:abstractNum w:abstractNumId="8" w15:restartNumberingAfterBreak="0">
    <w:nsid w:val="73107305"/>
    <w:multiLevelType w:val="multilevel"/>
    <w:tmpl w:val="5D9A3B7C"/>
    <w:styleLink w:val="BulletsList"/>
    <w:lvl w:ilvl="0">
      <w:start w:val="1"/>
      <w:numFmt w:val="bullet"/>
      <w:lvlText w:val=""/>
      <w:lvlJc w:val="left"/>
      <w:pPr>
        <w:tabs>
          <w:tab w:val="num" w:pos="284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568"/>
        </w:tabs>
        <w:ind w:left="568" w:firstLine="0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tabs>
          <w:tab w:val="num" w:pos="852"/>
        </w:tabs>
        <w:ind w:left="852" w:firstLine="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136"/>
        </w:tabs>
        <w:ind w:left="1136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20"/>
        </w:tabs>
        <w:ind w:left="142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4"/>
        </w:tabs>
        <w:ind w:left="1704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56"/>
        </w:tabs>
        <w:ind w:left="2556" w:firstLine="0"/>
      </w:pPr>
      <w:rPr>
        <w:rFonts w:hint="default"/>
      </w:rPr>
    </w:lvl>
  </w:abstractNum>
  <w:abstractNum w:abstractNumId="9" w15:restartNumberingAfterBreak="0">
    <w:nsid w:val="75D94B9F"/>
    <w:multiLevelType w:val="hybridMultilevel"/>
    <w:tmpl w:val="B38479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CD67F6"/>
    <w:multiLevelType w:val="hybridMultilevel"/>
    <w:tmpl w:val="2F960B9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86FC5"/>
    <w:multiLevelType w:val="multilevel"/>
    <w:tmpl w:val="38126A0E"/>
    <w:lvl w:ilvl="0">
      <w:start w:val="1"/>
      <w:numFmt w:val="bullet"/>
      <w:pStyle w:val="List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pStyle w:val="ListBullet2"/>
      <w:lvlText w:val="–"/>
      <w:lvlJc w:val="left"/>
      <w:pPr>
        <w:ind w:left="851" w:hanging="283"/>
      </w:pPr>
      <w:rPr>
        <w:rFonts w:ascii="Tahoma" w:hAnsi="Tahoma" w:hint="default"/>
      </w:rPr>
    </w:lvl>
    <w:lvl w:ilvl="2">
      <w:start w:val="1"/>
      <w:numFmt w:val="bullet"/>
      <w:pStyle w:val="ListBullet3"/>
      <w:lvlText w:val=""/>
      <w:lvlJc w:val="left"/>
      <w:pPr>
        <w:ind w:left="113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1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703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198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27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55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839" w:hanging="283"/>
      </w:pPr>
      <w:rPr>
        <w:rFonts w:ascii="Wingdings" w:hAnsi="Wingdings" w:hint="default"/>
      </w:rPr>
    </w:lvl>
  </w:abstractNum>
  <w:num w:numId="1" w16cid:durableId="1276790422">
    <w:abstractNumId w:val="8"/>
  </w:num>
  <w:num w:numId="2" w16cid:durableId="1378166838">
    <w:abstractNumId w:val="1"/>
  </w:num>
  <w:num w:numId="3" w16cid:durableId="501120408">
    <w:abstractNumId w:val="11"/>
  </w:num>
  <w:num w:numId="4" w16cid:durableId="978261373">
    <w:abstractNumId w:val="3"/>
  </w:num>
  <w:num w:numId="5" w16cid:durableId="123577285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91188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932177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7561096">
    <w:abstractNumId w:val="10"/>
  </w:num>
  <w:num w:numId="9" w16cid:durableId="523792583">
    <w:abstractNumId w:val="9"/>
  </w:num>
  <w:num w:numId="10" w16cid:durableId="197284368">
    <w:abstractNumId w:val="2"/>
  </w:num>
  <w:num w:numId="11" w16cid:durableId="238028533">
    <w:abstractNumId w:val="5"/>
  </w:num>
  <w:num w:numId="12" w16cid:durableId="2051952884">
    <w:abstractNumId w:val="0"/>
  </w:num>
  <w:num w:numId="13" w16cid:durableId="331682090">
    <w:abstractNumId w:val="4"/>
  </w:num>
  <w:num w:numId="14" w16cid:durableId="1223978886">
    <w:abstractNumId w:val="6"/>
  </w:num>
  <w:num w:numId="15" w16cid:durableId="1472097509">
    <w:abstractNumId w:val="7"/>
  </w:num>
  <w:num w:numId="16" w16cid:durableId="9958378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39498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456259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defaultTabStop w:val="14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516"/>
    <w:rsid w:val="000337CC"/>
    <w:rsid w:val="000D5DC4"/>
    <w:rsid w:val="00192900"/>
    <w:rsid w:val="00195EF7"/>
    <w:rsid w:val="001D7516"/>
    <w:rsid w:val="001F39CD"/>
    <w:rsid w:val="00204C68"/>
    <w:rsid w:val="0021082C"/>
    <w:rsid w:val="002336C1"/>
    <w:rsid w:val="002402A9"/>
    <w:rsid w:val="002905B4"/>
    <w:rsid w:val="00290EE7"/>
    <w:rsid w:val="002B0132"/>
    <w:rsid w:val="002B39A4"/>
    <w:rsid w:val="002E47D6"/>
    <w:rsid w:val="0037443B"/>
    <w:rsid w:val="003A6FC1"/>
    <w:rsid w:val="003E6DEE"/>
    <w:rsid w:val="004E2AB4"/>
    <w:rsid w:val="0051259B"/>
    <w:rsid w:val="00531A3C"/>
    <w:rsid w:val="005539B8"/>
    <w:rsid w:val="00575AE3"/>
    <w:rsid w:val="00584A29"/>
    <w:rsid w:val="00591630"/>
    <w:rsid w:val="005C50E6"/>
    <w:rsid w:val="005C680F"/>
    <w:rsid w:val="005F21C1"/>
    <w:rsid w:val="006105DA"/>
    <w:rsid w:val="006D6720"/>
    <w:rsid w:val="00704A85"/>
    <w:rsid w:val="00730E06"/>
    <w:rsid w:val="00735A52"/>
    <w:rsid w:val="007670F1"/>
    <w:rsid w:val="007754F4"/>
    <w:rsid w:val="007B4A30"/>
    <w:rsid w:val="007B5042"/>
    <w:rsid w:val="007D7AC1"/>
    <w:rsid w:val="00811480"/>
    <w:rsid w:val="0081199C"/>
    <w:rsid w:val="0082760A"/>
    <w:rsid w:val="0083788E"/>
    <w:rsid w:val="00843ED8"/>
    <w:rsid w:val="00886A6F"/>
    <w:rsid w:val="008C1025"/>
    <w:rsid w:val="0093101F"/>
    <w:rsid w:val="00952C91"/>
    <w:rsid w:val="00966930"/>
    <w:rsid w:val="0097737B"/>
    <w:rsid w:val="009C77EF"/>
    <w:rsid w:val="00A10A6F"/>
    <w:rsid w:val="00A83512"/>
    <w:rsid w:val="00AA5091"/>
    <w:rsid w:val="00AC7B31"/>
    <w:rsid w:val="00AD0D3C"/>
    <w:rsid w:val="00B60006"/>
    <w:rsid w:val="00BD348B"/>
    <w:rsid w:val="00BF5DB2"/>
    <w:rsid w:val="00C121CC"/>
    <w:rsid w:val="00C4059B"/>
    <w:rsid w:val="00C64458"/>
    <w:rsid w:val="00C87601"/>
    <w:rsid w:val="00CD01E8"/>
    <w:rsid w:val="00DF170B"/>
    <w:rsid w:val="00E26212"/>
    <w:rsid w:val="00E2650C"/>
    <w:rsid w:val="00E374E4"/>
    <w:rsid w:val="00E7663B"/>
    <w:rsid w:val="00EC199D"/>
    <w:rsid w:val="00EC333D"/>
    <w:rsid w:val="00F50A6D"/>
    <w:rsid w:val="00F85DF3"/>
    <w:rsid w:val="00FF3DE7"/>
    <w:rsid w:val="033A6E2E"/>
    <w:rsid w:val="15990FE5"/>
    <w:rsid w:val="1C95A6DE"/>
    <w:rsid w:val="37F49F45"/>
    <w:rsid w:val="7F68E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E7E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>
      <w:pPr>
        <w:spacing w:after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qFormat="1"/>
    <w:lsdException w:name="List Bullet 3" w:qFormat="1"/>
    <w:lsdException w:name="List Bullet 4" w:semiHidden="1" w:unhideWhenUsed="1"/>
    <w:lsdException w:name="List Bullet 5" w:semiHidden="1" w:unhideWhenUsed="1"/>
    <w:lsdException w:name="List Number 2" w:qFormat="1"/>
    <w:lsdException w:name="List Number 3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190"/>
    <w:pPr>
      <w:spacing w:after="0"/>
    </w:pPr>
    <w:rPr>
      <w:rFonts w:ascii="Calibri" w:hAnsi="Calibri"/>
      <w:spacing w:val="3"/>
      <w:sz w:val="18"/>
    </w:rPr>
  </w:style>
  <w:style w:type="paragraph" w:styleId="Heading1">
    <w:name w:val="heading 1"/>
    <w:basedOn w:val="Normal"/>
    <w:next w:val="Normal"/>
    <w:link w:val="Heading1Char"/>
    <w:uiPriority w:val="2"/>
    <w:qFormat/>
    <w:rsid w:val="00B41F45"/>
    <w:pPr>
      <w:keepNext/>
      <w:keepLines/>
      <w:spacing w:before="240" w:after="120" w:line="240" w:lineRule="auto"/>
      <w:outlineLvl w:val="0"/>
    </w:pPr>
    <w:rPr>
      <w:rFonts w:asciiTheme="majorHAnsi" w:eastAsiaTheme="majorEastAsia" w:hAnsiTheme="majorHAnsi" w:cstheme="majorBidi"/>
      <w:b/>
      <w:bCs/>
      <w:color w:val="005A70" w:themeColor="accent1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2"/>
    <w:qFormat/>
    <w:rsid w:val="007B5AC1"/>
    <w:pPr>
      <w:keepNext/>
      <w:keepLines/>
      <w:spacing w:before="120" w:after="120" w:line="240" w:lineRule="auto"/>
      <w:outlineLvl w:val="1"/>
    </w:pPr>
    <w:rPr>
      <w:rFonts w:asciiTheme="majorHAnsi" w:eastAsiaTheme="majorEastAsia" w:hAnsiTheme="majorHAnsi" w:cstheme="majorBidi"/>
      <w:b/>
      <w:bCs/>
      <w:color w:val="005A70" w:themeColor="accent1"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2"/>
    <w:qFormat/>
    <w:rsid w:val="00062B78"/>
    <w:pPr>
      <w:keepNext/>
      <w:keepLines/>
      <w:spacing w:before="200" w:line="271" w:lineRule="auto"/>
      <w:outlineLvl w:val="2"/>
    </w:pPr>
    <w:rPr>
      <w:rFonts w:asciiTheme="majorHAnsi" w:eastAsiaTheme="majorEastAsia" w:hAnsiTheme="majorHAnsi" w:cstheme="majorBidi"/>
      <w:bCs/>
      <w:color w:val="005A70" w:themeColor="accent1"/>
      <w:sz w:val="32"/>
    </w:rPr>
  </w:style>
  <w:style w:type="paragraph" w:styleId="Heading4">
    <w:name w:val="heading 4"/>
    <w:basedOn w:val="Normal"/>
    <w:next w:val="Normal"/>
    <w:link w:val="Heading4Char"/>
    <w:uiPriority w:val="2"/>
    <w:qFormat/>
    <w:rsid w:val="00062B7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Cs/>
      <w:color w:val="005A70" w:themeColor="accent1"/>
      <w:sz w:val="28"/>
    </w:rPr>
  </w:style>
  <w:style w:type="paragraph" w:styleId="Heading5">
    <w:name w:val="heading 5"/>
    <w:basedOn w:val="Normal"/>
    <w:next w:val="Normal"/>
    <w:link w:val="Heading5Char"/>
    <w:uiPriority w:val="2"/>
    <w:unhideWhenUsed/>
    <w:qFormat/>
    <w:rsid w:val="00062B7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2"/>
    <w:qFormat/>
    <w:rsid w:val="00AF6DAF"/>
    <w:pPr>
      <w:outlineLvl w:val="5"/>
    </w:pPr>
    <w:rPr>
      <w:rFonts w:asciiTheme="majorHAnsi" w:eastAsiaTheme="majorEastAsia" w:hAnsiTheme="majorHAnsi" w:cstheme="majorBidi"/>
      <w:b/>
      <w:bCs/>
      <w:iCs/>
      <w:color w:val="000000" w:themeColor="text1"/>
      <w:sz w:val="20"/>
    </w:rPr>
  </w:style>
  <w:style w:type="paragraph" w:styleId="Heading7">
    <w:name w:val="heading 7"/>
    <w:basedOn w:val="Normal"/>
    <w:next w:val="Normal"/>
    <w:link w:val="Heading7Char"/>
    <w:uiPriority w:val="10"/>
    <w:semiHidden/>
    <w:qFormat/>
    <w:rsid w:val="0045365D"/>
    <w:pPr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10"/>
    <w:semiHidden/>
    <w:qFormat/>
    <w:rsid w:val="0045365D"/>
    <w:pPr>
      <w:outlineLvl w:val="7"/>
    </w:pPr>
    <w:rPr>
      <w:rFonts w:eastAsiaTheme="majorEastAsia" w:cstheme="majorBidi"/>
      <w:szCs w:val="20"/>
    </w:rPr>
  </w:style>
  <w:style w:type="paragraph" w:styleId="Heading9">
    <w:name w:val="heading 9"/>
    <w:basedOn w:val="Normal"/>
    <w:next w:val="Normal"/>
    <w:link w:val="Heading9Char"/>
    <w:uiPriority w:val="10"/>
    <w:semiHidden/>
    <w:qFormat/>
    <w:rsid w:val="0045365D"/>
    <w:pPr>
      <w:outlineLvl w:val="8"/>
    </w:pPr>
    <w:rPr>
      <w:rFonts w:eastAsiaTheme="majorEastAsia" w:cstheme="majorBidi"/>
      <w:iCs/>
      <w:spacing w:val="5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125C0"/>
    <w:rPr>
      <w:rFonts w:asciiTheme="majorHAnsi" w:eastAsiaTheme="majorEastAsia" w:hAnsiTheme="majorHAnsi" w:cstheme="majorBidi"/>
      <w:b/>
      <w:bCs/>
      <w:color w:val="005A70" w:themeColor="accent1"/>
      <w:spacing w:val="3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7B5AC1"/>
    <w:rPr>
      <w:rFonts w:asciiTheme="majorHAnsi" w:eastAsiaTheme="majorEastAsia" w:hAnsiTheme="majorHAnsi" w:cstheme="majorBidi"/>
      <w:b/>
      <w:bCs/>
      <w:color w:val="005A70" w:themeColor="accent1"/>
      <w:spacing w:val="3"/>
      <w:sz w:val="20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3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2"/>
    <w:rsid w:val="00062B78"/>
    <w:rPr>
      <w:rFonts w:asciiTheme="majorHAnsi" w:eastAsiaTheme="majorEastAsia" w:hAnsiTheme="majorHAnsi" w:cstheme="majorBidi"/>
      <w:bCs/>
      <w:color w:val="005A70" w:themeColor="accent1"/>
      <w:spacing w:val="3"/>
      <w:sz w:val="32"/>
    </w:rPr>
  </w:style>
  <w:style w:type="character" w:customStyle="1" w:styleId="Heading4Char">
    <w:name w:val="Heading 4 Char"/>
    <w:basedOn w:val="DefaultParagraphFont"/>
    <w:link w:val="Heading4"/>
    <w:uiPriority w:val="2"/>
    <w:rsid w:val="00062B78"/>
    <w:rPr>
      <w:rFonts w:asciiTheme="majorHAnsi" w:eastAsiaTheme="majorEastAsia" w:hAnsiTheme="majorHAnsi" w:cstheme="majorBidi"/>
      <w:b/>
      <w:bCs/>
      <w:iCs/>
      <w:color w:val="005A70" w:themeColor="accent1"/>
      <w:spacing w:val="3"/>
      <w:sz w:val="28"/>
    </w:rPr>
  </w:style>
  <w:style w:type="character" w:customStyle="1" w:styleId="Heading5Char">
    <w:name w:val="Heading 5 Char"/>
    <w:basedOn w:val="DefaultParagraphFont"/>
    <w:link w:val="Heading5"/>
    <w:uiPriority w:val="2"/>
    <w:rsid w:val="00062B78"/>
    <w:rPr>
      <w:rFonts w:asciiTheme="majorHAnsi" w:eastAsiaTheme="majorEastAsia" w:hAnsiTheme="majorHAnsi" w:cstheme="majorBidi"/>
      <w:b/>
      <w:bCs/>
      <w:color w:val="000000" w:themeColor="text1"/>
      <w:spacing w:val="3"/>
      <w:sz w:val="22"/>
    </w:rPr>
  </w:style>
  <w:style w:type="character" w:customStyle="1" w:styleId="Heading6Char">
    <w:name w:val="Heading 6 Char"/>
    <w:basedOn w:val="DefaultParagraphFont"/>
    <w:link w:val="Heading6"/>
    <w:uiPriority w:val="2"/>
    <w:rsid w:val="00AF6DAF"/>
    <w:rPr>
      <w:rFonts w:asciiTheme="majorHAnsi" w:eastAsiaTheme="majorEastAsia" w:hAnsiTheme="majorHAnsi" w:cstheme="majorBidi"/>
      <w:b/>
      <w:bCs/>
      <w:iCs/>
      <w:color w:val="000000" w:themeColor="text1"/>
      <w:spacing w:val="3"/>
      <w:sz w:val="20"/>
    </w:rPr>
  </w:style>
  <w:style w:type="character" w:customStyle="1" w:styleId="Heading7Char">
    <w:name w:val="Heading 7 Char"/>
    <w:basedOn w:val="DefaultParagraphFont"/>
    <w:link w:val="Heading7"/>
    <w:uiPriority w:val="10"/>
    <w:semiHidden/>
    <w:rsid w:val="00A92F9A"/>
    <w:rPr>
      <w:rFonts w:eastAsiaTheme="majorEastAsia" w:cstheme="majorBidi"/>
      <w:iCs/>
      <w:spacing w:val="3"/>
      <w:sz w:val="22"/>
    </w:rPr>
  </w:style>
  <w:style w:type="character" w:customStyle="1" w:styleId="Heading8Char">
    <w:name w:val="Heading 8 Char"/>
    <w:basedOn w:val="DefaultParagraphFont"/>
    <w:link w:val="Heading8"/>
    <w:uiPriority w:val="10"/>
    <w:semiHidden/>
    <w:rsid w:val="00A92F9A"/>
    <w:rPr>
      <w:rFonts w:eastAsiaTheme="majorEastAsia" w:cstheme="majorBidi"/>
      <w:spacing w:val="3"/>
      <w:sz w:val="22"/>
      <w:szCs w:val="20"/>
    </w:rPr>
  </w:style>
  <w:style w:type="character" w:customStyle="1" w:styleId="Heading9Char">
    <w:name w:val="Heading 9 Char"/>
    <w:basedOn w:val="DefaultParagraphFont"/>
    <w:link w:val="Heading9"/>
    <w:uiPriority w:val="10"/>
    <w:semiHidden/>
    <w:rsid w:val="00A92F9A"/>
    <w:rPr>
      <w:rFonts w:eastAsiaTheme="majorEastAsia" w:cstheme="majorBidi"/>
      <w:iCs/>
      <w:spacing w:val="5"/>
      <w:sz w:val="22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65D"/>
    <w:rPr>
      <w:rFonts w:ascii="Tahoma" w:hAnsi="Tahoma" w:cs="Tahoma"/>
      <w:spacing w:val="3"/>
      <w:sz w:val="16"/>
      <w:szCs w:val="16"/>
    </w:rPr>
  </w:style>
  <w:style w:type="numbering" w:customStyle="1" w:styleId="BulletsList">
    <w:name w:val="Bullets List"/>
    <w:uiPriority w:val="99"/>
    <w:rsid w:val="0045365D"/>
    <w:pPr>
      <w:numPr>
        <w:numId w:val="1"/>
      </w:numPr>
    </w:pPr>
  </w:style>
  <w:style w:type="paragraph" w:styleId="Caption">
    <w:name w:val="caption"/>
    <w:basedOn w:val="Normal"/>
    <w:next w:val="Normal"/>
    <w:uiPriority w:val="9"/>
    <w:unhideWhenUsed/>
    <w:qFormat/>
    <w:rsid w:val="003A6D7F"/>
    <w:pPr>
      <w:keepNext/>
      <w:keepLines/>
      <w:spacing w:before="360" w:after="120" w:line="240" w:lineRule="atLeast"/>
    </w:pPr>
    <w:rPr>
      <w:bCs/>
      <w:szCs w:val="18"/>
    </w:rPr>
  </w:style>
  <w:style w:type="paragraph" w:customStyle="1" w:styleId="Horizontalrule">
    <w:name w:val="Horizontal rule"/>
    <w:basedOn w:val="Normal"/>
    <w:uiPriority w:val="4"/>
    <w:semiHidden/>
    <w:qFormat/>
    <w:rsid w:val="0045365D"/>
    <w:pPr>
      <w:pBdr>
        <w:bottom w:val="single" w:sz="24" w:space="1" w:color="005A70" w:themeColor="accent1"/>
      </w:pBdr>
      <w:spacing w:line="240" w:lineRule="auto"/>
    </w:pPr>
    <w:rPr>
      <w:noProof/>
    </w:rPr>
  </w:style>
  <w:style w:type="paragraph" w:customStyle="1" w:styleId="Crestwithrule">
    <w:name w:val="Crest with rule"/>
    <w:basedOn w:val="Horizontalrule"/>
    <w:uiPriority w:val="99"/>
    <w:qFormat/>
    <w:rsid w:val="0045365D"/>
    <w:pPr>
      <w:pBdr>
        <w:bottom w:val="single" w:sz="24" w:space="1" w:color="00B0B9" w:themeColor="accent2"/>
      </w:pBdr>
      <w:ind w:right="-425" w:hanging="284"/>
    </w:pPr>
  </w:style>
  <w:style w:type="table" w:customStyle="1" w:styleId="DSSDatatablestyle">
    <w:name w:val="DSS Data table style"/>
    <w:basedOn w:val="TableNormal"/>
    <w:uiPriority w:val="99"/>
    <w:rsid w:val="00D6180A"/>
    <w:pPr>
      <w:spacing w:after="0" w:line="240" w:lineRule="auto"/>
    </w:pPr>
    <w:rPr>
      <w:sz w:val="18"/>
    </w:rPr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  <w:trPr>
      <w:cantSplit/>
    </w:trPr>
    <w:tcPr>
      <w:shd w:val="clear" w:color="auto" w:fill="auto"/>
      <w:tcMar>
        <w:top w:w="28" w:type="dxa"/>
        <w:left w:w="28" w:type="dxa"/>
        <w:bottom w:w="28" w:type="dxa"/>
        <w:right w:w="28" w:type="dxa"/>
      </w:tcMar>
    </w:tcPr>
    <w:tblStylePr w:type="firstRow">
      <w:pPr>
        <w:wordWrap/>
        <w:spacing w:beforeLines="0" w:before="0" w:beforeAutospacing="0" w:afterLines="0" w:after="0" w:afterAutospacing="0" w:line="240" w:lineRule="auto"/>
        <w:jc w:val="left"/>
      </w:pPr>
      <w:rPr>
        <w:rFonts w:asciiTheme="minorHAnsi" w:hAnsiTheme="minorHAnsi"/>
        <w:b/>
        <w:i w:val="0"/>
        <w:color w:val="FFFFFF" w:themeColor="background1"/>
        <w:sz w:val="22"/>
        <w:u w:val="none"/>
      </w:rPr>
      <w:tblPr/>
      <w:tcPr>
        <w:shd w:val="clear" w:color="auto" w:fill="005A70" w:themeFill="accent1"/>
      </w:tcPr>
    </w:tblStylePr>
    <w:tblStylePr w:type="lastRow">
      <w:pPr>
        <w:jc w:val="left"/>
      </w:pPr>
      <w:rPr>
        <w:rFonts w:asciiTheme="minorHAnsi" w:hAnsiTheme="minorHAnsi"/>
        <w:b/>
        <w:sz w:val="22"/>
        <w:u w:val="none"/>
      </w:rPr>
      <w:tblPr/>
      <w:tcPr>
        <w:tcBorders>
          <w:top w:val="single" w:sz="4" w:space="0" w:color="454545" w:themeColor="text2"/>
        </w:tcBorders>
        <w:shd w:val="clear" w:color="auto" w:fill="FFFFFF" w:themeFill="background1"/>
      </w:tcPr>
    </w:tblStylePr>
    <w:tblStylePr w:type="firstCol">
      <w:rPr>
        <w:b/>
      </w:rPr>
    </w:tblStylePr>
    <w:tblStylePr w:type="lastCol">
      <w:rPr>
        <w:b/>
      </w:rPr>
      <w:tblPr/>
      <w:tcPr>
        <w:tcBorders>
          <w:left w:val="single" w:sz="4" w:space="0" w:color="auto"/>
        </w:tcBorders>
        <w:shd w:val="clear" w:color="auto" w:fill="auto"/>
      </w:tcPr>
    </w:tblStylePr>
    <w:tblStylePr w:type="band2Vert">
      <w:tblPr/>
      <w:tcPr>
        <w:shd w:val="clear" w:color="auto" w:fill="F8F8F8" w:themeFill="background2"/>
      </w:tcPr>
    </w:tblStylePr>
    <w:tblStylePr w:type="band1Horz">
      <w:pPr>
        <w:jc w:val="left"/>
      </w:pPr>
    </w:tblStylePr>
    <w:tblStylePr w:type="band2Horz">
      <w:pPr>
        <w:jc w:val="left"/>
      </w:pPr>
      <w:rPr>
        <w:rFonts w:asciiTheme="minorHAnsi" w:hAnsiTheme="minorHAnsi"/>
        <w:sz w:val="22"/>
      </w:rPr>
      <w:tblPr/>
      <w:tcPr>
        <w:shd w:val="clear" w:color="auto" w:fill="F2F2F2" w:themeFill="background1" w:themeFillShade="F2"/>
      </w:tcPr>
    </w:tblStylePr>
  </w:style>
  <w:style w:type="table" w:customStyle="1" w:styleId="DSSTableStyleB">
    <w:name w:val="DSS Table Style B"/>
    <w:basedOn w:val="TableNormal"/>
    <w:uiPriority w:val="99"/>
    <w:rsid w:val="0045365D"/>
    <w:pPr>
      <w:spacing w:after="0" w:line="240" w:lineRule="auto"/>
    </w:pPr>
    <w:rPr>
      <w:color w:val="454545" w:themeColor="text2"/>
      <w:sz w:val="22"/>
    </w:rPr>
    <w:tblPr>
      <w:tblStyleRowBandSize w:val="1"/>
      <w:tblStyleColBandSize w:val="1"/>
      <w:tblCellMar>
        <w:top w:w="80" w:type="dxa"/>
        <w:left w:w="80" w:type="dxa"/>
        <w:bottom w:w="80" w:type="dxa"/>
        <w:right w:w="80" w:type="dxa"/>
      </w:tblCellMar>
    </w:tblPr>
    <w:tblStylePr w:type="firstRow">
      <w:pPr>
        <w:jc w:val="left"/>
      </w:pPr>
      <w:rPr>
        <w:rFonts w:asciiTheme="minorHAnsi" w:hAnsiTheme="minorHAnsi"/>
        <w:b/>
        <w:color w:val="000000" w:themeColor="text1"/>
        <w:sz w:val="22"/>
      </w:rPr>
      <w:tblPr/>
      <w:trPr>
        <w:tblHeader/>
      </w:trPr>
      <w:tcPr>
        <w:shd w:val="clear" w:color="auto" w:fill="B1E4E3"/>
      </w:tcPr>
    </w:tblStylePr>
    <w:tblStylePr w:type="lastRow">
      <w:pPr>
        <w:jc w:val="left"/>
      </w:pPr>
      <w:rPr>
        <w:rFonts w:asciiTheme="minorHAnsi" w:hAnsiTheme="minorHAnsi"/>
        <w:b/>
        <w:color w:val="000000" w:themeColor="text1"/>
        <w:sz w:val="22"/>
      </w:rPr>
      <w:tblPr/>
      <w:tcPr>
        <w:shd w:val="clear" w:color="auto" w:fill="FFFFFF" w:themeFill="background1"/>
      </w:tcPr>
    </w:tblStylePr>
    <w:tblStylePr w:type="band1Horz">
      <w:tblPr/>
      <w:tcPr>
        <w:tcBorders>
          <w:bottom w:val="single" w:sz="4" w:space="0" w:color="D9D9D6" w:themeColor="accent4"/>
        </w:tcBorders>
      </w:tcPr>
    </w:tblStylePr>
    <w:tblStylePr w:type="band2Horz">
      <w:rPr>
        <w14:numSpacing w14:val="tabular"/>
      </w:rPr>
      <w:tblPr/>
      <w:tcPr>
        <w:tcBorders>
          <w:bottom w:val="single" w:sz="4" w:space="0" w:color="D9D9D6" w:themeColor="accent4"/>
        </w:tcBorders>
        <w:shd w:val="clear" w:color="auto" w:fill="FFFFFF" w:themeFill="background1"/>
      </w:tcPr>
    </w:tblStylePr>
  </w:style>
  <w:style w:type="character" w:styleId="Emphasis">
    <w:name w:val="Emphasis"/>
    <w:uiPriority w:val="20"/>
    <w:qFormat/>
    <w:rsid w:val="0045365D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customStyle="1" w:styleId="Focus-teal">
    <w:name w:val="Focus - teal"/>
    <w:basedOn w:val="Normal"/>
    <w:uiPriority w:val="7"/>
    <w:qFormat/>
    <w:rsid w:val="0045365D"/>
    <w:pPr>
      <w:pBdr>
        <w:top w:val="single" w:sz="4" w:space="4" w:color="005A70" w:themeColor="accent1"/>
        <w:left w:val="single" w:sz="4" w:space="4" w:color="005A70" w:themeColor="accent1"/>
        <w:bottom w:val="single" w:sz="4" w:space="4" w:color="005A70" w:themeColor="accent1"/>
        <w:right w:val="single" w:sz="4" w:space="6" w:color="005A70" w:themeColor="accent1"/>
      </w:pBdr>
      <w:shd w:val="clear" w:color="auto" w:fill="EFF9F9" w:themeFill="accent3" w:themeFillTint="33"/>
    </w:pPr>
  </w:style>
  <w:style w:type="paragraph" w:customStyle="1" w:styleId="Focus-error">
    <w:name w:val="Focus - error"/>
    <w:basedOn w:val="Focus-teal"/>
    <w:uiPriority w:val="7"/>
    <w:qFormat/>
    <w:rsid w:val="0045365D"/>
    <w:pPr>
      <w:shd w:val="clear" w:color="auto" w:fill="FFEFEF"/>
    </w:pPr>
  </w:style>
  <w:style w:type="paragraph" w:customStyle="1" w:styleId="Focus-grey">
    <w:name w:val="Focus - grey"/>
    <w:basedOn w:val="Focus-teal"/>
    <w:uiPriority w:val="7"/>
    <w:qFormat/>
    <w:rsid w:val="0045365D"/>
    <w:pPr>
      <w:shd w:val="clear" w:color="auto" w:fill="F2F2F2" w:themeFill="background1" w:themeFillShade="F2"/>
    </w:pPr>
  </w:style>
  <w:style w:type="paragraph" w:customStyle="1" w:styleId="Focus-warning">
    <w:name w:val="Focus - warning"/>
    <w:basedOn w:val="Focus-teal"/>
    <w:uiPriority w:val="7"/>
    <w:qFormat/>
    <w:rsid w:val="0045365D"/>
    <w:pPr>
      <w:shd w:val="clear" w:color="auto" w:fill="FDF7DB"/>
    </w:pPr>
  </w:style>
  <w:style w:type="character" w:styleId="FollowedHyperlink">
    <w:name w:val="FollowedHyperlink"/>
    <w:basedOn w:val="DefaultParagraphFont"/>
    <w:uiPriority w:val="99"/>
    <w:semiHidden/>
    <w:unhideWhenUsed/>
    <w:rsid w:val="0045365D"/>
    <w:rPr>
      <w:color w:val="0070C0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C331E3"/>
    <w:pPr>
      <w:tabs>
        <w:tab w:val="center" w:pos="4513"/>
        <w:tab w:val="right" w:pos="9026"/>
      </w:tabs>
      <w:spacing w:before="120" w:after="600" w:line="240" w:lineRule="auto"/>
    </w:pPr>
    <w:rPr>
      <w:color w:val="005A70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C331E3"/>
    <w:rPr>
      <w:color w:val="005A70" w:themeColor="accent1"/>
      <w:spacing w:val="3"/>
      <w:sz w:val="18"/>
    </w:rPr>
  </w:style>
  <w:style w:type="table" w:styleId="GridTable4">
    <w:name w:val="Grid Table 4"/>
    <w:basedOn w:val="TableNormal"/>
    <w:uiPriority w:val="49"/>
    <w:rsid w:val="0045365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Header">
    <w:name w:val="header"/>
    <w:basedOn w:val="Normal"/>
    <w:link w:val="HeaderChar"/>
    <w:uiPriority w:val="99"/>
    <w:semiHidden/>
    <w:rsid w:val="00261F5D"/>
    <w:pPr>
      <w:tabs>
        <w:tab w:val="center" w:pos="4513"/>
        <w:tab w:val="right" w:pos="9026"/>
      </w:tabs>
      <w:spacing w:line="240" w:lineRule="auto"/>
    </w:pPr>
    <w:rPr>
      <w:rFonts w:ascii="Georgia" w:hAnsi="Georgia"/>
      <w:color w:val="24596E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61F5D"/>
    <w:rPr>
      <w:rFonts w:ascii="Georgia" w:hAnsi="Georgia"/>
      <w:color w:val="24596E"/>
      <w:spacing w:val="3"/>
      <w:sz w:val="22"/>
    </w:rPr>
  </w:style>
  <w:style w:type="paragraph" w:styleId="Subtitle">
    <w:name w:val="Subtitle"/>
    <w:basedOn w:val="Normal"/>
    <w:next w:val="Normal"/>
    <w:link w:val="SubtitleChar"/>
    <w:uiPriority w:val="9"/>
    <w:qFormat/>
    <w:rsid w:val="00276F5D"/>
    <w:pPr>
      <w:spacing w:after="480" w:line="240" w:lineRule="auto"/>
    </w:pPr>
    <w:rPr>
      <w:rFonts w:asciiTheme="majorHAnsi" w:eastAsiaTheme="majorEastAsia" w:hAnsiTheme="majorHAnsi" w:cstheme="majorBidi"/>
      <w:b/>
      <w:iCs/>
      <w:color w:val="000000" w:themeColor="text1"/>
      <w:spacing w:val="6"/>
      <w:sz w:val="24"/>
    </w:rPr>
  </w:style>
  <w:style w:type="character" w:customStyle="1" w:styleId="SubtitleChar">
    <w:name w:val="Subtitle Char"/>
    <w:basedOn w:val="DefaultParagraphFont"/>
    <w:link w:val="Subtitle"/>
    <w:uiPriority w:val="9"/>
    <w:rsid w:val="00276F5D"/>
    <w:rPr>
      <w:rFonts w:asciiTheme="majorHAnsi" w:eastAsiaTheme="majorEastAsia" w:hAnsiTheme="majorHAnsi" w:cstheme="majorBidi"/>
      <w:b/>
      <w:iCs/>
      <w:color w:val="000000" w:themeColor="text1"/>
      <w:spacing w:val="6"/>
    </w:rPr>
  </w:style>
  <w:style w:type="character" w:styleId="Hyperlink">
    <w:name w:val="Hyperlink"/>
    <w:uiPriority w:val="99"/>
    <w:rsid w:val="0045365D"/>
    <w:rPr>
      <w:rFonts w:asciiTheme="minorHAnsi" w:hAnsiTheme="minorHAnsi"/>
      <w:b w:val="0"/>
      <w:color w:val="0070C0"/>
      <w:u w:val="single"/>
    </w:rPr>
  </w:style>
  <w:style w:type="character" w:styleId="IntenseEmphasis">
    <w:name w:val="Intense Emphasis"/>
    <w:uiPriority w:val="21"/>
    <w:qFormat/>
    <w:rsid w:val="0045365D"/>
    <w:rPr>
      <w:b/>
      <w:bCs/>
    </w:rPr>
  </w:style>
  <w:style w:type="paragraph" w:customStyle="1" w:styleId="IntroductionQuote">
    <w:name w:val="Introduction / Quote"/>
    <w:basedOn w:val="Normal"/>
    <w:uiPriority w:val="1"/>
    <w:qFormat/>
    <w:rsid w:val="0045365D"/>
    <w:pPr>
      <w:spacing w:line="288" w:lineRule="auto"/>
    </w:pPr>
    <w:rPr>
      <w:color w:val="000000" w:themeColor="text1"/>
      <w:sz w:val="28"/>
    </w:rPr>
  </w:style>
  <w:style w:type="paragraph" w:styleId="ListBullet">
    <w:name w:val="List Bullet"/>
    <w:basedOn w:val="ListParagraph"/>
    <w:uiPriority w:val="4"/>
    <w:unhideWhenUsed/>
    <w:qFormat/>
    <w:rsid w:val="00A92F9A"/>
    <w:pPr>
      <w:numPr>
        <w:numId w:val="3"/>
      </w:numPr>
    </w:pPr>
  </w:style>
  <w:style w:type="paragraph" w:styleId="ListParagraph">
    <w:name w:val="List Paragraph"/>
    <w:basedOn w:val="Normal"/>
    <w:uiPriority w:val="34"/>
    <w:semiHidden/>
    <w:rsid w:val="005C4252"/>
    <w:pPr>
      <w:numPr>
        <w:numId w:val="2"/>
      </w:numPr>
      <w:ind w:left="851" w:hanging="284"/>
      <w:contextualSpacing/>
    </w:pPr>
  </w:style>
  <w:style w:type="table" w:styleId="ListTable3-Accent6">
    <w:name w:val="List Table 3 Accent 6"/>
    <w:basedOn w:val="TableNormal"/>
    <w:uiPriority w:val="48"/>
    <w:rsid w:val="0045365D"/>
    <w:pPr>
      <w:spacing w:after="0" w:line="240" w:lineRule="auto"/>
    </w:pPr>
    <w:tblPr>
      <w:tblStyleRowBandSize w:val="1"/>
      <w:tblStyleColBandSize w:val="1"/>
      <w:tblBorders>
        <w:top w:val="single" w:sz="4" w:space="0" w:color="007C82" w:themeColor="accent6"/>
        <w:left w:val="single" w:sz="4" w:space="0" w:color="007C82" w:themeColor="accent6"/>
        <w:bottom w:val="single" w:sz="4" w:space="0" w:color="007C82" w:themeColor="accent6"/>
        <w:right w:val="single" w:sz="4" w:space="0" w:color="007C82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C82" w:themeFill="accent6"/>
      </w:tcPr>
    </w:tblStylePr>
    <w:tblStylePr w:type="lastRow">
      <w:rPr>
        <w:b/>
        <w:bCs/>
      </w:rPr>
      <w:tblPr/>
      <w:tcPr>
        <w:tcBorders>
          <w:top w:val="double" w:sz="4" w:space="0" w:color="007C82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C82" w:themeColor="accent6"/>
          <w:right w:val="single" w:sz="4" w:space="0" w:color="007C82" w:themeColor="accent6"/>
        </w:tcBorders>
      </w:tcPr>
    </w:tblStylePr>
    <w:tblStylePr w:type="band1Horz">
      <w:tblPr/>
      <w:tcPr>
        <w:tcBorders>
          <w:top w:val="single" w:sz="4" w:space="0" w:color="007C82" w:themeColor="accent6"/>
          <w:bottom w:val="single" w:sz="4" w:space="0" w:color="007C82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C82" w:themeColor="accent6"/>
          <w:left w:val="nil"/>
        </w:tcBorders>
      </w:tcPr>
    </w:tblStylePr>
    <w:tblStylePr w:type="swCell">
      <w:tblPr/>
      <w:tcPr>
        <w:tcBorders>
          <w:top w:val="double" w:sz="4" w:space="0" w:color="007C82" w:themeColor="accent6"/>
          <w:right w:val="nil"/>
        </w:tcBorders>
      </w:tcPr>
    </w:tblStylePr>
  </w:style>
  <w:style w:type="table" w:styleId="ListTable4-Accent5">
    <w:name w:val="List Table 4 Accent 5"/>
    <w:aliases w:val="DSS - Default striped table"/>
    <w:basedOn w:val="TableNormal"/>
    <w:uiPriority w:val="49"/>
    <w:rsid w:val="0045365D"/>
    <w:pPr>
      <w:spacing w:after="0" w:line="240" w:lineRule="auto"/>
    </w:pPr>
    <w:rPr>
      <w:color w:val="454545" w:themeColor="text2"/>
      <w:sz w:val="22"/>
      <w14:numSpacing w14:val="tabular"/>
    </w:rPr>
    <w:tblPr>
      <w:tblStyleRowBandSize w:val="1"/>
      <w:tblStyleColBandSize w:val="1"/>
      <w:tblBorders>
        <w:bottom w:val="single" w:sz="6" w:space="0" w:color="D9D9D6" w:themeColor="accent4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pPr>
        <w:wordWrap/>
      </w:pPr>
      <w:rPr>
        <w:b/>
        <w:bCs/>
        <w:color w:val="FFFFFF" w:themeColor="background1"/>
      </w:rPr>
      <w:tblPr/>
      <w:tcPr>
        <w:shd w:val="clear" w:color="auto" w:fill="005A70" w:themeFill="accent1"/>
      </w:tcPr>
    </w:tblStylePr>
    <w:tblStylePr w:type="lastRow">
      <w:rPr>
        <w:b/>
        <w:bCs/>
      </w:rPr>
      <w:tblPr/>
      <w:tcPr>
        <w:tcBorders>
          <w:top w:val="single" w:sz="6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2Vert">
      <w:pPr>
        <w:jc w:val="left"/>
      </w:pPr>
    </w:tblStylePr>
    <w:tblStylePr w:type="band1Horz">
      <w:rPr>
        <w:color w:val="454545" w:themeColor="text2"/>
      </w:rPr>
      <w:tblPr/>
      <w:tcPr>
        <w:tcBorders>
          <w:top w:val="nil"/>
          <w:left w:val="nil"/>
          <w:bottom w:val="single" w:sz="6" w:space="0" w:color="D9D9D6" w:themeColor="accent4"/>
          <w:right w:val="nil"/>
          <w:insideH w:val="nil"/>
          <w:insideV w:val="nil"/>
        </w:tcBorders>
        <w:shd w:val="clear" w:color="auto" w:fill="F8F8F8" w:themeFill="background2"/>
      </w:tcPr>
    </w:tblStylePr>
    <w:tblStylePr w:type="band2Horz">
      <w:tblPr/>
      <w:tcPr>
        <w:tcBorders>
          <w:bottom w:val="single" w:sz="6" w:space="0" w:color="D9D9D6" w:themeColor="accent4"/>
        </w:tcBorders>
      </w:tcPr>
    </w:tblStylePr>
  </w:style>
  <w:style w:type="paragraph" w:styleId="NoSpacing">
    <w:name w:val="No Spacing"/>
    <w:basedOn w:val="Normal"/>
    <w:link w:val="NoSpacingChar"/>
    <w:uiPriority w:val="5"/>
    <w:qFormat/>
    <w:rsid w:val="0045365D"/>
    <w:pPr>
      <w:spacing w:line="240" w:lineRule="auto"/>
    </w:pPr>
  </w:style>
  <w:style w:type="character" w:customStyle="1" w:styleId="NoSpacingChar">
    <w:name w:val="No Spacing Char"/>
    <w:basedOn w:val="DefaultParagraphFont"/>
    <w:link w:val="NoSpacing"/>
    <w:uiPriority w:val="5"/>
    <w:rsid w:val="0045365D"/>
    <w:rPr>
      <w:spacing w:val="3"/>
      <w:sz w:val="22"/>
    </w:rPr>
  </w:style>
  <w:style w:type="paragraph" w:styleId="NormalWeb">
    <w:name w:val="Normal (Web)"/>
    <w:basedOn w:val="Normal"/>
    <w:uiPriority w:val="99"/>
    <w:semiHidden/>
    <w:unhideWhenUsed/>
    <w:rsid w:val="0045365D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customStyle="1" w:styleId="PageNumber1">
    <w:name w:val="Page Number1"/>
    <w:basedOn w:val="Normal"/>
    <w:uiPriority w:val="97"/>
    <w:semiHidden/>
    <w:qFormat/>
    <w:rsid w:val="0045365D"/>
    <w:pPr>
      <w:spacing w:after="120"/>
    </w:pPr>
    <w:rPr>
      <w:noProof/>
      <w:color w:val="005A70" w:themeColor="accent1"/>
      <w:lang w:eastAsia="en-AU"/>
    </w:rPr>
  </w:style>
  <w:style w:type="paragraph" w:customStyle="1" w:styleId="PageNumber10">
    <w:name w:val="Page Number10"/>
    <w:basedOn w:val="Normal"/>
    <w:uiPriority w:val="1"/>
    <w:semiHidden/>
    <w:unhideWhenUsed/>
    <w:qFormat/>
    <w:rsid w:val="0045365D"/>
    <w:rPr>
      <w:color w:val="005A70" w:themeColor="accent1"/>
    </w:rPr>
  </w:style>
  <w:style w:type="table" w:styleId="PlainTable1">
    <w:name w:val="Plain Table 1"/>
    <w:basedOn w:val="TableNormal"/>
    <w:uiPriority w:val="41"/>
    <w:rsid w:val="0045365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lockquoteorPullouttext">
    <w:name w:val="Blockquote or Pullout text"/>
    <w:basedOn w:val="Normal"/>
    <w:next w:val="Normal"/>
    <w:link w:val="BlockquoteorPullouttextChar"/>
    <w:uiPriority w:val="5"/>
    <w:qFormat/>
    <w:rsid w:val="00A92F9A"/>
    <w:pPr>
      <w:keepLines/>
      <w:pBdr>
        <w:left w:val="single" w:sz="18" w:space="16" w:color="00B0B9" w:themeColor="accent2"/>
      </w:pBdr>
      <w:shd w:val="clear" w:color="auto" w:fill="FFFFFF" w:themeFill="background1"/>
      <w:spacing w:before="280" w:after="280"/>
      <w:ind w:left="567"/>
      <w:contextualSpacing/>
    </w:pPr>
    <w:rPr>
      <w:rFonts w:asciiTheme="majorHAnsi" w:eastAsia="Times New Roman" w:hAnsiTheme="majorHAnsi" w:cs="Arial"/>
      <w:bCs/>
      <w:iCs/>
      <w:szCs w:val="28"/>
      <w:lang w:eastAsia="en-AU"/>
    </w:rPr>
  </w:style>
  <w:style w:type="character" w:customStyle="1" w:styleId="BlockquoteorPullouttextChar">
    <w:name w:val="Blockquote or Pullout text Char"/>
    <w:basedOn w:val="Heading2Char"/>
    <w:link w:val="BlockquoteorPullouttext"/>
    <w:uiPriority w:val="5"/>
    <w:rsid w:val="00A92F9A"/>
    <w:rPr>
      <w:rFonts w:asciiTheme="majorHAnsi" w:eastAsia="Times New Roman" w:hAnsiTheme="majorHAnsi" w:cs="Arial"/>
      <w:b/>
      <w:bCs/>
      <w:iCs/>
      <w:color w:val="005A70" w:themeColor="accent1"/>
      <w:spacing w:val="3"/>
      <w:sz w:val="22"/>
      <w:szCs w:val="28"/>
      <w:shd w:val="clear" w:color="auto" w:fill="FFFFFF" w:themeFill="background1"/>
      <w:lang w:eastAsia="en-AU"/>
    </w:rPr>
  </w:style>
  <w:style w:type="paragraph" w:customStyle="1" w:styleId="Smalltext">
    <w:name w:val="Small text"/>
    <w:basedOn w:val="Normal"/>
    <w:rsid w:val="00867190"/>
    <w:pPr>
      <w:spacing w:after="120" w:line="240" w:lineRule="auto"/>
    </w:pPr>
    <w:rPr>
      <w:sz w:val="12"/>
      <w:szCs w:val="16"/>
      <w:lang w:val="en-US"/>
    </w:rPr>
  </w:style>
  <w:style w:type="character" w:styleId="Strong">
    <w:name w:val="Strong"/>
    <w:aliases w:val="Bold"/>
    <w:uiPriority w:val="22"/>
    <w:qFormat/>
    <w:rsid w:val="0045365D"/>
    <w:rPr>
      <w:b/>
      <w:bCs/>
    </w:rPr>
  </w:style>
  <w:style w:type="character" w:styleId="SubtleEmphasis">
    <w:name w:val="Subtle Emphasis"/>
    <w:uiPriority w:val="19"/>
    <w:qFormat/>
    <w:rsid w:val="0045365D"/>
    <w:rPr>
      <w:i/>
      <w:iCs/>
    </w:rPr>
  </w:style>
  <w:style w:type="table" w:styleId="TableGrid">
    <w:name w:val="Table Grid"/>
    <w:basedOn w:val="TableNormal"/>
    <w:uiPriority w:val="59"/>
    <w:rsid w:val="004536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5365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color w:val="FFFFFF" w:themeColor="background1"/>
      </w:rPr>
      <w:tblPr/>
      <w:tcPr>
        <w:shd w:val="clear" w:color="auto" w:fill="005A70" w:themeFill="accent1"/>
      </w:tcPr>
    </w:tblStylePr>
  </w:style>
  <w:style w:type="paragraph" w:customStyle="1" w:styleId="Tabletext-detailed">
    <w:name w:val="Table text - detailed"/>
    <w:basedOn w:val="NoSpacing"/>
    <w:uiPriority w:val="4"/>
    <w:qFormat/>
    <w:rsid w:val="0045365D"/>
    <w:pPr>
      <w:spacing w:line="312" w:lineRule="auto"/>
    </w:pPr>
    <w:rPr>
      <w:sz w:val="20"/>
    </w:rPr>
  </w:style>
  <w:style w:type="paragraph" w:customStyle="1" w:styleId="TableChartheading">
    <w:name w:val="Table/Chart heading"/>
    <w:basedOn w:val="Caption"/>
    <w:next w:val="Normal"/>
    <w:uiPriority w:val="4"/>
    <w:qFormat/>
    <w:rsid w:val="00AD36FB"/>
    <w:pPr>
      <w:spacing w:before="120" w:after="0" w:line="288" w:lineRule="auto"/>
    </w:pPr>
    <w:rPr>
      <w:rFonts w:asciiTheme="majorHAnsi" w:hAnsiTheme="majorHAnsi"/>
      <w:b/>
    </w:rPr>
  </w:style>
  <w:style w:type="paragraph" w:customStyle="1" w:styleId="Tableimagecaption">
    <w:name w:val="Table/image caption"/>
    <w:basedOn w:val="Normal"/>
    <w:next w:val="Normal"/>
    <w:uiPriority w:val="4"/>
    <w:qFormat/>
    <w:rsid w:val="00CB612F"/>
    <w:pPr>
      <w:spacing w:before="120"/>
      <w:ind w:left="568"/>
      <w:contextualSpacing/>
    </w:pPr>
    <w:rPr>
      <w:color w:val="595959" w:themeColor="text1" w:themeTint="A6"/>
      <w:sz w:val="20"/>
    </w:rPr>
  </w:style>
  <w:style w:type="paragraph" w:styleId="Title">
    <w:name w:val="Title"/>
    <w:basedOn w:val="Normal"/>
    <w:next w:val="Normal"/>
    <w:link w:val="TitleChar"/>
    <w:uiPriority w:val="10"/>
    <w:rsid w:val="00AF6DAF"/>
    <w:pPr>
      <w:spacing w:before="1440" w:line="240" w:lineRule="auto"/>
      <w:contextualSpacing/>
      <w:outlineLvl w:val="0"/>
    </w:pPr>
    <w:rPr>
      <w:rFonts w:asciiTheme="majorHAnsi" w:eastAsiaTheme="majorEastAsia" w:hAnsiTheme="majorHAnsi" w:cstheme="majorBidi"/>
      <w:color w:val="005A70" w:themeColor="accent1"/>
      <w:sz w:val="6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F6DAF"/>
    <w:rPr>
      <w:rFonts w:asciiTheme="majorHAnsi" w:eastAsiaTheme="majorEastAsia" w:hAnsiTheme="majorHAnsi" w:cstheme="majorBidi"/>
      <w:color w:val="005A70" w:themeColor="accent1"/>
      <w:spacing w:val="3"/>
      <w:sz w:val="66"/>
      <w:szCs w:val="52"/>
    </w:rPr>
  </w:style>
  <w:style w:type="paragraph" w:customStyle="1" w:styleId="Titlepage">
    <w:name w:val="Title page"/>
    <w:basedOn w:val="Title"/>
    <w:semiHidden/>
    <w:rsid w:val="0045365D"/>
    <w:pPr>
      <w:spacing w:before="4000"/>
      <w:jc w:val="center"/>
    </w:pPr>
    <w:rPr>
      <w:sz w:val="72"/>
    </w:rPr>
  </w:style>
  <w:style w:type="paragraph" w:styleId="TOC1">
    <w:name w:val="toc 1"/>
    <w:basedOn w:val="Normal"/>
    <w:next w:val="Normal"/>
    <w:autoRedefine/>
    <w:uiPriority w:val="39"/>
    <w:semiHidden/>
    <w:rsid w:val="0045365D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45365D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semiHidden/>
    <w:rsid w:val="0045365D"/>
    <w:pPr>
      <w:spacing w:after="100"/>
      <w:ind w:left="400"/>
    </w:pPr>
  </w:style>
  <w:style w:type="paragraph" w:styleId="TOCHeading">
    <w:name w:val="TOC Heading"/>
    <w:basedOn w:val="Heading2"/>
    <w:next w:val="Normal"/>
    <w:uiPriority w:val="39"/>
    <w:semiHidden/>
    <w:rsid w:val="0045365D"/>
  </w:style>
  <w:style w:type="paragraph" w:customStyle="1" w:styleId="Spacer">
    <w:name w:val="Spacer"/>
    <w:basedOn w:val="Normal"/>
    <w:uiPriority w:val="39"/>
    <w:semiHidden/>
    <w:qFormat/>
    <w:rsid w:val="00A81138"/>
    <w:pPr>
      <w:spacing w:line="240" w:lineRule="auto"/>
    </w:pPr>
    <w:rPr>
      <w:sz w:val="2"/>
    </w:rPr>
  </w:style>
  <w:style w:type="character" w:styleId="PlaceholderText">
    <w:name w:val="Placeholder Text"/>
    <w:basedOn w:val="DefaultParagraphFont"/>
    <w:uiPriority w:val="99"/>
    <w:semiHidden/>
    <w:rsid w:val="00A81138"/>
    <w:rPr>
      <w:color w:val="666666"/>
    </w:rPr>
  </w:style>
  <w:style w:type="paragraph" w:styleId="ListBullet2">
    <w:name w:val="List Bullet 2"/>
    <w:basedOn w:val="ListBullet"/>
    <w:uiPriority w:val="4"/>
    <w:qFormat/>
    <w:rsid w:val="00A92F9A"/>
    <w:pPr>
      <w:numPr>
        <w:ilvl w:val="1"/>
      </w:numPr>
    </w:pPr>
  </w:style>
  <w:style w:type="paragraph" w:styleId="ListNumber">
    <w:name w:val="List Number"/>
    <w:basedOn w:val="ListBullet"/>
    <w:uiPriority w:val="4"/>
    <w:qFormat/>
    <w:rsid w:val="00E07AFE"/>
    <w:pPr>
      <w:numPr>
        <w:numId w:val="15"/>
      </w:numPr>
    </w:pPr>
  </w:style>
  <w:style w:type="paragraph" w:styleId="ListNumber2">
    <w:name w:val="List Number 2"/>
    <w:basedOn w:val="ListNumber"/>
    <w:uiPriority w:val="4"/>
    <w:qFormat/>
    <w:rsid w:val="00A92F9A"/>
    <w:pPr>
      <w:numPr>
        <w:ilvl w:val="1"/>
      </w:numPr>
    </w:pPr>
  </w:style>
  <w:style w:type="paragraph" w:styleId="ListBullet3">
    <w:name w:val="List Bullet 3"/>
    <w:basedOn w:val="ListBullet2"/>
    <w:uiPriority w:val="4"/>
    <w:qFormat/>
    <w:rsid w:val="00A92F9A"/>
    <w:pPr>
      <w:numPr>
        <w:ilvl w:val="2"/>
      </w:numPr>
    </w:pPr>
  </w:style>
  <w:style w:type="paragraph" w:styleId="ListNumber3">
    <w:name w:val="List Number 3"/>
    <w:basedOn w:val="ListNumber2"/>
    <w:uiPriority w:val="4"/>
    <w:qFormat/>
    <w:rsid w:val="00A92F9A"/>
    <w:pPr>
      <w:numPr>
        <w:ilvl w:val="2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06175"/>
    <w:rPr>
      <w:color w:val="605E5C"/>
      <w:shd w:val="clear" w:color="auto" w:fill="E1DFDD"/>
    </w:rPr>
  </w:style>
  <w:style w:type="paragraph" w:customStyle="1" w:styleId="BlockquotePullouttext">
    <w:name w:val="Blockquote / Pullout text"/>
    <w:basedOn w:val="Normal"/>
    <w:next w:val="Normal"/>
    <w:link w:val="BlockquotePullouttextChar"/>
    <w:uiPriority w:val="5"/>
    <w:qFormat/>
    <w:rsid w:val="00E07AFE"/>
    <w:pPr>
      <w:keepLines/>
      <w:pBdr>
        <w:left w:val="single" w:sz="18" w:space="16" w:color="00B0B9" w:themeColor="accent2"/>
      </w:pBdr>
      <w:shd w:val="clear" w:color="auto" w:fill="FFFFFF" w:themeFill="background1"/>
      <w:spacing w:before="280" w:after="280"/>
      <w:ind w:left="601"/>
      <w:contextualSpacing/>
    </w:pPr>
    <w:rPr>
      <w:rFonts w:asciiTheme="majorHAnsi" w:eastAsia="Times New Roman" w:hAnsiTheme="majorHAnsi" w:cs="Arial"/>
      <w:bCs/>
      <w:iCs/>
      <w:color w:val="005A70" w:themeColor="accent1"/>
      <w:szCs w:val="28"/>
      <w:lang w:eastAsia="en-AU"/>
    </w:rPr>
  </w:style>
  <w:style w:type="character" w:customStyle="1" w:styleId="BlockquotePullouttextChar">
    <w:name w:val="Blockquote / Pullout text Char"/>
    <w:basedOn w:val="Heading2Char"/>
    <w:link w:val="BlockquotePullouttext"/>
    <w:uiPriority w:val="5"/>
    <w:rsid w:val="00E07AFE"/>
    <w:rPr>
      <w:rFonts w:asciiTheme="majorHAnsi" w:eastAsia="Times New Roman" w:hAnsiTheme="majorHAnsi" w:cs="Arial"/>
      <w:b/>
      <w:bCs/>
      <w:iCs/>
      <w:color w:val="005A70" w:themeColor="accent1"/>
      <w:spacing w:val="3"/>
      <w:sz w:val="22"/>
      <w:szCs w:val="28"/>
      <w:shd w:val="clear" w:color="auto" w:fill="FFFFFF" w:themeFill="background1"/>
      <w:lang w:eastAsia="en-AU"/>
    </w:rPr>
  </w:style>
  <w:style w:type="paragraph" w:customStyle="1" w:styleId="Tableimagenote">
    <w:name w:val="Table/image note"/>
    <w:basedOn w:val="Normal"/>
    <w:next w:val="Normal"/>
    <w:uiPriority w:val="4"/>
    <w:qFormat/>
    <w:rsid w:val="001D5A0F"/>
    <w:pPr>
      <w:spacing w:before="120"/>
      <w:ind w:left="710"/>
      <w:contextualSpacing/>
    </w:pPr>
    <w:rPr>
      <w:color w:val="595959" w:themeColor="text1" w:themeTint="A6"/>
      <w:sz w:val="16"/>
    </w:rPr>
  </w:style>
  <w:style w:type="paragraph" w:styleId="TOAHeading">
    <w:name w:val="toa heading"/>
    <w:basedOn w:val="TOCHeading"/>
    <w:next w:val="Normal"/>
    <w:uiPriority w:val="99"/>
    <w:semiHidden/>
    <w:rsid w:val="00EC3F37"/>
  </w:style>
  <w:style w:type="paragraph" w:styleId="TableofFigures">
    <w:name w:val="table of figures"/>
    <w:basedOn w:val="Normal"/>
    <w:next w:val="Normal"/>
    <w:uiPriority w:val="99"/>
    <w:semiHidden/>
    <w:rsid w:val="00B209E5"/>
  </w:style>
  <w:style w:type="paragraph" w:customStyle="1" w:styleId="CrestwithRule0">
    <w:name w:val="Crest with Rule"/>
    <w:basedOn w:val="Normal"/>
    <w:uiPriority w:val="99"/>
    <w:semiHidden/>
    <w:qFormat/>
    <w:rsid w:val="005D2C33"/>
    <w:pPr>
      <w:pBdr>
        <w:bottom w:val="single" w:sz="24" w:space="1" w:color="00B0B9" w:themeColor="accent2"/>
      </w:pBdr>
      <w:ind w:left="-284" w:right="-425"/>
    </w:pPr>
  </w:style>
  <w:style w:type="table" w:customStyle="1" w:styleId="MACtable">
    <w:name w:val="MAC table"/>
    <w:basedOn w:val="TableNormal"/>
    <w:uiPriority w:val="99"/>
    <w:rsid w:val="00EA4C23"/>
    <w:pPr>
      <w:spacing w:after="0" w:line="240" w:lineRule="auto"/>
    </w:pPr>
    <w:rPr>
      <w:rFonts w:ascii="Arial" w:hAnsi="Arial"/>
    </w:rPr>
    <w:tblPr>
      <w:tblInd w:w="0" w:type="nil"/>
      <w:tblBorders>
        <w:top w:val="single" w:sz="4" w:space="0" w:color="00B0B9"/>
        <w:left w:val="single" w:sz="4" w:space="0" w:color="00B0B9"/>
        <w:bottom w:val="single" w:sz="4" w:space="0" w:color="00B0B9"/>
        <w:right w:val="single" w:sz="4" w:space="0" w:color="00B0B9"/>
        <w:insideH w:val="single" w:sz="4" w:space="0" w:color="00B0B9"/>
        <w:insideV w:val="single" w:sz="4" w:space="0" w:color="00B0B9"/>
      </w:tblBorders>
    </w:tblPr>
    <w:tblStylePr w:type="firstRow">
      <w:rPr>
        <w:rFonts w:ascii="Arial" w:hAnsi="Arial" w:cs="Arial" w:hint="default"/>
        <w:b/>
        <w:color w:val="FFFFFF" w:themeColor="background1"/>
        <w:sz w:val="28"/>
        <w:szCs w:val="28"/>
      </w:rPr>
      <w:tblPr/>
      <w:tcPr>
        <w:shd w:val="clear" w:color="auto" w:fill="00B0B9"/>
      </w:tcPr>
    </w:tblStylePr>
    <w:tblStylePr w:type="lastRow">
      <w:rPr>
        <w:b/>
      </w:rPr>
      <w:tblPr/>
      <w:tcPr>
        <w:shd w:val="clear" w:color="auto" w:fill="F2F2F2" w:themeFill="background1" w:themeFillShade="F2"/>
      </w:tcPr>
    </w:tblStylePr>
  </w:style>
  <w:style w:type="paragraph" w:customStyle="1" w:styleId="Heading1withsubtitle">
    <w:name w:val="Heading 1 (with subtitle)"/>
    <w:basedOn w:val="Heading1"/>
    <w:next w:val="Subtitle"/>
    <w:uiPriority w:val="9"/>
    <w:qFormat/>
    <w:rsid w:val="00D51949"/>
    <w:pPr>
      <w:keepNext w:val="0"/>
      <w:keepLines w:val="0"/>
      <w:spacing w:before="360"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D51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949"/>
    <w:pPr>
      <w:spacing w:line="240" w:lineRule="auto"/>
      <w:jc w:val="right"/>
    </w:pPr>
    <w:rPr>
      <w:rFonts w:cs="Calibri"/>
      <w:color w:val="000000" w:themeColor="text1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949"/>
    <w:rPr>
      <w:rFonts w:ascii="Calibri" w:hAnsi="Calibri" w:cs="Calibri"/>
      <w:color w:val="000000" w:themeColor="text1"/>
      <w:spacing w:val="3"/>
      <w:sz w:val="20"/>
      <w:szCs w:val="20"/>
    </w:rPr>
  </w:style>
  <w:style w:type="paragraph" w:styleId="Revision">
    <w:name w:val="Revision"/>
    <w:hidden/>
    <w:uiPriority w:val="99"/>
    <w:semiHidden/>
    <w:rsid w:val="004A3642"/>
    <w:pPr>
      <w:spacing w:after="0" w:line="240" w:lineRule="auto"/>
    </w:pPr>
    <w:rPr>
      <w:rFonts w:ascii="Calibri" w:hAnsi="Calibri"/>
      <w:spacing w:val="3"/>
      <w:sz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2EAB"/>
    <w:pPr>
      <w:jc w:val="left"/>
    </w:pPr>
    <w:rPr>
      <w:rFonts w:cstheme="minorBidi"/>
      <w:b/>
      <w:bCs/>
      <w:color w:val="aut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2EAB"/>
    <w:rPr>
      <w:rFonts w:ascii="Calibri" w:hAnsi="Calibri" w:cs="Calibri"/>
      <w:b/>
      <w:bCs/>
      <w:color w:val="000000" w:themeColor="text1"/>
      <w:spacing w:val="3"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0DB5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966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DSS Blue">
  <a:themeElements>
    <a:clrScheme name="DSS">
      <a:dk1>
        <a:sysClr val="windowText" lastClr="000000"/>
      </a:dk1>
      <a:lt1>
        <a:sysClr val="window" lastClr="FFFFFF"/>
      </a:lt1>
      <a:dk2>
        <a:srgbClr val="454545"/>
      </a:dk2>
      <a:lt2>
        <a:srgbClr val="F8F8F8"/>
      </a:lt2>
      <a:accent1>
        <a:srgbClr val="005A70"/>
      </a:accent1>
      <a:accent2>
        <a:srgbClr val="00B0B9"/>
      </a:accent2>
      <a:accent3>
        <a:srgbClr val="B1E4E3"/>
      </a:accent3>
      <a:accent4>
        <a:srgbClr val="D9D9D6"/>
      </a:accent4>
      <a:accent5>
        <a:srgbClr val="003542"/>
      </a:accent5>
      <a:accent6>
        <a:srgbClr val="007C82"/>
      </a:accent6>
      <a:hlink>
        <a:srgbClr val="0070C0"/>
      </a:hlink>
      <a:folHlink>
        <a:srgbClr val="0070C0"/>
      </a:folHlink>
    </a:clrScheme>
    <a:fontScheme name="DSS 2023 - Tahoma">
      <a:majorFont>
        <a:latin typeface="Tahoma"/>
        <a:ea typeface=""/>
        <a:cs typeface=""/>
      </a:majorFont>
      <a:minorFont>
        <a:latin typeface="Tahoma"/>
        <a:ea typeface=""/>
        <a:cs typeface=""/>
      </a:minorFont>
    </a:fontScheme>
    <a:fmtScheme name="Clarity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hade val="86000"/>
                <a:satMod val="140000"/>
              </a:schemeClr>
            </a:gs>
            <a:gs pos="45000">
              <a:schemeClr val="phClr">
                <a:tint val="48000"/>
                <a:satMod val="150000"/>
              </a:schemeClr>
            </a:gs>
            <a:gs pos="100000">
              <a:schemeClr val="phClr">
                <a:tint val="28000"/>
                <a:satMod val="16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70000"/>
                <a:satMod val="150000"/>
              </a:schemeClr>
            </a:gs>
            <a:gs pos="34000">
              <a:schemeClr val="phClr">
                <a:shade val="70000"/>
                <a:satMod val="140000"/>
              </a:schemeClr>
            </a:gs>
            <a:gs pos="70000">
              <a:schemeClr val="phClr">
                <a:tint val="100000"/>
                <a:shade val="90000"/>
                <a:satMod val="140000"/>
              </a:schemeClr>
            </a:gs>
            <a:gs pos="100000">
              <a:schemeClr val="phClr">
                <a:tint val="100000"/>
                <a:shade val="100000"/>
                <a:sat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26425" cap="flat" cmpd="sng" algn="ctr">
          <a:solidFill>
            <a:schemeClr val="phClr"/>
          </a:solidFill>
          <a:prstDash val="solid"/>
        </a:ln>
        <a:ln w="444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5100000"/>
            </a:lightRig>
          </a:scene3d>
          <a:sp3d contourW="6350">
            <a:bevelT w="29210" h="12700"/>
            <a:contourClr>
              <a:schemeClr val="phClr">
                <a:shade val="3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23FDD-B040-45FF-A27B-F3E23CA3A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2604</Words>
  <Characters>16171</Characters>
  <Application>Microsoft Office Word</Application>
  <DocSecurity>0</DocSecurity>
  <Lines>1147</Lines>
  <Paragraphs>1129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DSS - A4 Short Report Template</dc:title>
  <dc:subject/>
  <dc:creator/>
  <cp:keywords>[SEC=OFFICIAL]</cp:keywords>
  <cp:lastModifiedBy/>
  <cp:revision>1</cp:revision>
  <dcterms:created xsi:type="dcterms:W3CDTF">2026-08-19T01:48:00Z</dcterms:created>
  <dcterms:modified xsi:type="dcterms:W3CDTF">2026-08-19T01:49:00Z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M_ProtectiveMarkingImage_Header">
    <vt:lpwstr>C:\Program Files (x86)\Common Files\janusNET Shared\janusSEAL\Images\DocumentSlashBlue.png</vt:lpwstr>
  </property>
  <property fmtid="{D5CDD505-2E9C-101B-9397-08002B2CF9AE}" pid="3" name="PM_Expires">
    <vt:lpwstr/>
  </property>
  <property fmtid="{D5CDD505-2E9C-101B-9397-08002B2CF9AE}" pid="4" name="PM_DisplayValueSecClassificationWithQualifier">
    <vt:lpwstr>OFFICIAL</vt:lpwstr>
  </property>
  <property fmtid="{D5CDD505-2E9C-101B-9397-08002B2CF9AE}" pid="5" name="PM_DowngradeTo">
    <vt:lpwstr/>
  </property>
  <property fmtid="{D5CDD505-2E9C-101B-9397-08002B2CF9AE}" pid="6" name="PM_InsertionValue">
    <vt:lpwstr>OFFICIAL</vt:lpwstr>
  </property>
  <property fmtid="{D5CDD505-2E9C-101B-9397-08002B2CF9AE}" pid="7" name="PM_Originating_FileId">
    <vt:lpwstr>B51A5B0BF72647C5B505FD48B6A220E6</vt:lpwstr>
  </property>
  <property fmtid="{D5CDD505-2E9C-101B-9397-08002B2CF9AE}" pid="8" name="PM_ProtectiveMarkingValue_Footer">
    <vt:lpwstr>OFFICIAL</vt:lpwstr>
  </property>
  <property fmtid="{D5CDD505-2E9C-101B-9397-08002B2CF9AE}" pid="9" name="PM_Originator_Hash_SHA1">
    <vt:lpwstr>DC3EAC6FB4874D452CD0D6E554940955B9FF8C9D</vt:lpwstr>
  </property>
  <property fmtid="{D5CDD505-2E9C-101B-9397-08002B2CF9AE}" pid="10" name="PM_OriginationTimeStamp">
    <vt:lpwstr>2024-03-05T03:17:34Z</vt:lpwstr>
  </property>
  <property fmtid="{D5CDD505-2E9C-101B-9397-08002B2CF9AE}" pid="11" name="PM_ProtectiveMarkingValue_Header">
    <vt:lpwstr>OFFICIAL</vt:lpwstr>
  </property>
  <property fmtid="{D5CDD505-2E9C-101B-9397-08002B2CF9AE}" pid="12" name="MSIP_Label_eb34d90b-fc41-464d-af60-f74d721d0790_SetDate">
    <vt:lpwstr>2024-03-05T03:17:34Z</vt:lpwstr>
  </property>
  <property fmtid="{D5CDD505-2E9C-101B-9397-08002B2CF9AE}" pid="13" name="PM_ProtectiveMarkingImage_Footer">
    <vt:lpwstr>C:\Program Files (x86)\Common Files\janusNET Shared\janusSEAL\Images\DocumentSlashBlue.png</vt:lpwstr>
  </property>
  <property fmtid="{D5CDD505-2E9C-101B-9397-08002B2CF9AE}" pid="14" name="PM_Note">
    <vt:lpwstr/>
  </property>
  <property fmtid="{D5CDD505-2E9C-101B-9397-08002B2CF9AE}" pid="15" name="MSIP_Label_eb34d90b-fc41-464d-af60-f74d721d0790_Name">
    <vt:lpwstr>OFFICIAL</vt:lpwstr>
  </property>
  <property fmtid="{D5CDD505-2E9C-101B-9397-08002B2CF9AE}" pid="16" name="PM_Display">
    <vt:lpwstr>OFFICIAL</vt:lpwstr>
  </property>
  <property fmtid="{D5CDD505-2E9C-101B-9397-08002B2CF9AE}" pid="17" name="PM_Hash_Version">
    <vt:lpwstr>2024.1</vt:lpwstr>
  </property>
  <property fmtid="{D5CDD505-2E9C-101B-9397-08002B2CF9AE}" pid="18" name="PM_OriginatorUserAccountName_SHA256">
    <vt:lpwstr>56084DE7D87471392F5BD2235C8043EAEC8018D05D094D5A8468DE8533D8A2CE</vt:lpwstr>
  </property>
  <property fmtid="{D5CDD505-2E9C-101B-9397-08002B2CF9AE}" pid="19" name="PM_OriginatorDomainName_SHA256">
    <vt:lpwstr>E83A2A66C4061446A7E3732E8D44762184B6B377D962B96C83DC624302585857</vt:lpwstr>
  </property>
  <property fmtid="{D5CDD505-2E9C-101B-9397-08002B2CF9AE}" pid="20" name="PM_SecurityClassification_Prev">
    <vt:lpwstr>OFFICIAL</vt:lpwstr>
  </property>
  <property fmtid="{D5CDD505-2E9C-101B-9397-08002B2CF9AE}" pid="21" name="PM_Qualifier_Prev">
    <vt:lpwstr/>
  </property>
  <property fmtid="{D5CDD505-2E9C-101B-9397-08002B2CF9AE}" pid="22" name="PMUuid">
    <vt:lpwstr>v=2022.2;d=gov.au;g=46DD6D7C-8107-577B-BC6E-F348953B2E44</vt:lpwstr>
  </property>
  <property fmtid="{D5CDD505-2E9C-101B-9397-08002B2CF9AE}" pid="23" name="MSIP_Label_eb34d90b-fc41-464d-af60-f74d721d0790_SiteId">
    <vt:lpwstr>61e36dd1-ca6e-4d61-aa0a-2b4eb88317a3</vt:lpwstr>
  </property>
  <property fmtid="{D5CDD505-2E9C-101B-9397-08002B2CF9AE}" pid="24" name="MSIP_Label_eb34d90b-fc41-464d-af60-f74d721d0790_Method">
    <vt:lpwstr>Privileged</vt:lpwstr>
  </property>
  <property fmtid="{D5CDD505-2E9C-101B-9397-08002B2CF9AE}" pid="25" name="MSIP_Label_eb34d90b-fc41-464d-af60-f74d721d0790_ContentBits">
    <vt:lpwstr>3</vt:lpwstr>
  </property>
  <property fmtid="{D5CDD505-2E9C-101B-9397-08002B2CF9AE}" pid="26" name="MSIP_Label_eb34d90b-fc41-464d-af60-f74d721d0790_Enabled">
    <vt:lpwstr>true</vt:lpwstr>
  </property>
  <property fmtid="{D5CDD505-2E9C-101B-9397-08002B2CF9AE}" pid="27" name="PM_Hash_Salt_Prev">
    <vt:lpwstr>92437579A5031F943BA3D20A6ECB74C9</vt:lpwstr>
  </property>
  <property fmtid="{D5CDD505-2E9C-101B-9397-08002B2CF9AE}" pid="28" name="PM_Hash_Salt">
    <vt:lpwstr>B4220B42C16A9B02AD84899B73F6B0D8</vt:lpwstr>
  </property>
  <property fmtid="{D5CDD505-2E9C-101B-9397-08002B2CF9AE}" pid="29" name="PM_Hash_SHA1">
    <vt:lpwstr>7EBDAB5F5F7CB46EE57E6E91A6230973C4D5D1C4</vt:lpwstr>
  </property>
  <property fmtid="{D5CDD505-2E9C-101B-9397-08002B2CF9AE}" pid="30" name="MSIP_Label_eb34d90b-fc41-464d-af60-f74d721d0790_ActionId">
    <vt:lpwstr>e22b77853baf436995fd5ed194bb0861</vt:lpwstr>
  </property>
  <property fmtid="{D5CDD505-2E9C-101B-9397-08002B2CF9AE}" pid="31" name="PM_Namespace">
    <vt:lpwstr>gov.au</vt:lpwstr>
  </property>
  <property fmtid="{D5CDD505-2E9C-101B-9397-08002B2CF9AE}" pid="32" name="PM_Version">
    <vt:lpwstr>2018.4</vt:lpwstr>
  </property>
  <property fmtid="{D5CDD505-2E9C-101B-9397-08002B2CF9AE}" pid="33" name="PM_SecurityClassification">
    <vt:lpwstr>OFFICIAL</vt:lpwstr>
  </property>
  <property fmtid="{D5CDD505-2E9C-101B-9397-08002B2CF9AE}" pid="34" name="PMHMAC">
    <vt:lpwstr>v=2024.1;a=SHA256;h=DB6353C11A10ACD00A615A80E0FBF350A1750DA0119695803542678B2AC3775A</vt:lpwstr>
  </property>
  <property fmtid="{D5CDD505-2E9C-101B-9397-08002B2CF9AE}" pid="35" name="PM_Qualifier">
    <vt:lpwstr/>
  </property>
  <property fmtid="{D5CDD505-2E9C-101B-9397-08002B2CF9AE}" pid="36" name="PM_Markers">
    <vt:lpwstr/>
  </property>
  <property fmtid="{D5CDD505-2E9C-101B-9397-08002B2CF9AE}" pid="37" name="PM_Caveats_Count">
    <vt:lpwstr>0</vt:lpwstr>
  </property>
  <property fmtid="{D5CDD505-2E9C-101B-9397-08002B2CF9AE}" pid="38" name="PM_DownTo">
    <vt:lpwstr/>
  </property>
</Properties>
</file>