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81BA5" w14:textId="77777777" w:rsidR="00B67360" w:rsidRDefault="00B67360" w:rsidP="00B67360">
      <w:pPr>
        <w:pStyle w:val="Crestwithrule"/>
      </w:pPr>
      <w:r>
        <w:rPr>
          <w:lang w:eastAsia="en-AU"/>
        </w:rPr>
        <w:drawing>
          <wp:inline distT="0" distB="0" distL="0" distR="0" wp14:anchorId="7A29006E" wp14:editId="12027BCB">
            <wp:extent cx="3235960" cy="768868"/>
            <wp:effectExtent l="0" t="0" r="2540" b="0"/>
            <wp:docPr id="1346005482" name="Picture 1346005482"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70B98C5D" w14:textId="77777777" w:rsidR="00B67360" w:rsidRDefault="00B67360" w:rsidP="00B67360">
      <w:pPr>
        <w:pStyle w:val="Crestwithrule"/>
      </w:pPr>
    </w:p>
    <w:p w14:paraId="194ABCB4" w14:textId="45560BC0" w:rsidR="00B67360" w:rsidRPr="00DD3A98" w:rsidRDefault="00B67360" w:rsidP="00E76265">
      <w:pPr>
        <w:pStyle w:val="Heading1withsubtitle"/>
      </w:pPr>
      <w:r w:rsidRPr="00DD3A98">
        <w:t>Outcomes-</w:t>
      </w:r>
      <w:r w:rsidR="009E60C1">
        <w:t>b</w:t>
      </w:r>
      <w:r w:rsidRPr="00DD3A98">
        <w:t xml:space="preserve">ased </w:t>
      </w:r>
      <w:r w:rsidR="009E60C1">
        <w:t>c</w:t>
      </w:r>
      <w:r w:rsidRPr="00DD3A98">
        <w:t xml:space="preserve">ontracting </w:t>
      </w:r>
    </w:p>
    <w:p w14:paraId="6336150A" w14:textId="2486140A" w:rsidR="00B67360" w:rsidRPr="00DD3A98" w:rsidRDefault="00B67360" w:rsidP="00B67360">
      <w:pPr>
        <w:pStyle w:val="Heading1"/>
      </w:pPr>
      <w:r w:rsidRPr="00DD3A98">
        <w:t xml:space="preserve">Outcomes </w:t>
      </w:r>
      <w:r w:rsidR="009E60C1">
        <w:t>p</w:t>
      </w:r>
      <w:r w:rsidRPr="00DD3A98">
        <w:t>ayments</w:t>
      </w:r>
    </w:p>
    <w:p w14:paraId="2CD1FDB2" w14:textId="77777777" w:rsidR="00B67360" w:rsidRDefault="00B67360" w:rsidP="00B67360">
      <w:pPr>
        <w:pStyle w:val="IntroductionQuote"/>
      </w:pPr>
      <w:r>
        <w:t xml:space="preserve">Outcomes payments are linked to the achievement of an agreed outcome, within an outcomes-based contract. </w:t>
      </w:r>
    </w:p>
    <w:p w14:paraId="0EFE6012" w14:textId="77777777" w:rsidR="00B67360" w:rsidRDefault="00B67360" w:rsidP="00B67360">
      <w:r>
        <w:t xml:space="preserve">Choosing the right outcomes payment is important, because it: </w:t>
      </w:r>
    </w:p>
    <w:p w14:paraId="4FB8542D" w14:textId="77777777" w:rsidR="00B67360" w:rsidRPr="00D93909" w:rsidRDefault="00B67360" w:rsidP="00B67360">
      <w:pPr>
        <w:pStyle w:val="ListParagraph"/>
      </w:pPr>
      <w:r>
        <w:t>c</w:t>
      </w:r>
      <w:r w:rsidRPr="00D93909">
        <w:t>reates conditions to foster innovation in service delivery</w:t>
      </w:r>
    </w:p>
    <w:p w14:paraId="6D8220AE" w14:textId="77777777" w:rsidR="00B67360" w:rsidRPr="00D93909" w:rsidRDefault="00B67360" w:rsidP="00B67360">
      <w:pPr>
        <w:pStyle w:val="ListParagraph"/>
      </w:pPr>
      <w:r>
        <w:t>b</w:t>
      </w:r>
      <w:r w:rsidRPr="00D93909">
        <w:t>uilds a healthy ecosystem of service providers by reflecting the true cost of delivering outcomes</w:t>
      </w:r>
    </w:p>
    <w:p w14:paraId="342CA75A" w14:textId="77777777" w:rsidR="00B67360" w:rsidRDefault="00B67360" w:rsidP="00B67360">
      <w:pPr>
        <w:pStyle w:val="ListParagraph"/>
      </w:pPr>
      <w:r>
        <w:t>d</w:t>
      </w:r>
      <w:r w:rsidRPr="00D93909">
        <w:t>emonstrates value for money with prices reflecting benefits of the outcomes achieved</w:t>
      </w:r>
    </w:p>
    <w:p w14:paraId="301CF027" w14:textId="77777777" w:rsidR="00B67360" w:rsidRPr="00D93909" w:rsidRDefault="00B67360" w:rsidP="00B67360">
      <w:pPr>
        <w:pStyle w:val="ListParagraph"/>
      </w:pPr>
      <w:r>
        <w:t>a</w:t>
      </w:r>
      <w:r w:rsidRPr="00D93909">
        <w:t>ligns incentives</w:t>
      </w:r>
      <w:r>
        <w:t xml:space="preserve"> and manages risk</w:t>
      </w:r>
      <w:r w:rsidRPr="00D93909">
        <w:t xml:space="preserve"> for commissioners, service providers and other stakeholders</w:t>
      </w:r>
      <w:r>
        <w:t>.</w:t>
      </w:r>
      <w:r w:rsidRPr="00D93909">
        <w:t xml:space="preserve"> </w:t>
      </w:r>
    </w:p>
    <w:p w14:paraId="6135D471" w14:textId="77777777" w:rsidR="00B67360" w:rsidRPr="00DD3A98" w:rsidRDefault="00B67360" w:rsidP="00B67360">
      <w:pPr>
        <w:pStyle w:val="Heading2"/>
      </w:pPr>
      <w:r w:rsidRPr="00DD3A98">
        <w:t xml:space="preserve">How funding is different </w:t>
      </w:r>
    </w:p>
    <w:p w14:paraId="6923EFCE" w14:textId="77777777" w:rsidR="00B67360" w:rsidRDefault="00B67360" w:rsidP="00B67360">
      <w:r>
        <w:t>Funding under an outcomes-based contract is different to most traditional funding approaches across a range of dimensions.</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1414"/>
        <w:gridCol w:w="4392"/>
        <w:gridCol w:w="4390"/>
      </w:tblGrid>
      <w:tr w:rsidR="00B67360" w14:paraId="5D465ACA" w14:textId="77777777">
        <w:trPr>
          <w:tblHeader/>
        </w:trPr>
        <w:tc>
          <w:tcPr>
            <w:tcW w:w="1308" w:type="dxa"/>
            <w:shd w:val="clear" w:color="auto" w:fill="005A70" w:themeFill="accent1"/>
            <w:vAlign w:val="center"/>
          </w:tcPr>
          <w:p w14:paraId="22B39C3C" w14:textId="77777777" w:rsidR="00B67360" w:rsidRPr="009C44E8" w:rsidRDefault="00B67360">
            <w:pPr>
              <w:rPr>
                <w:b/>
                <w:bCs/>
                <w:color w:val="FFFFFF" w:themeColor="background1"/>
              </w:rPr>
            </w:pPr>
            <w:r w:rsidRPr="009C44E8">
              <w:rPr>
                <w:b/>
                <w:bCs/>
                <w:color w:val="FFFFFF" w:themeColor="background1"/>
              </w:rPr>
              <w:t>Dimension</w:t>
            </w:r>
          </w:p>
        </w:tc>
        <w:tc>
          <w:tcPr>
            <w:tcW w:w="4444" w:type="dxa"/>
            <w:shd w:val="clear" w:color="auto" w:fill="005A70" w:themeFill="accent1"/>
            <w:vAlign w:val="center"/>
          </w:tcPr>
          <w:p w14:paraId="5F7D80F0" w14:textId="77777777" w:rsidR="00B67360" w:rsidRPr="009C44E8" w:rsidRDefault="00B67360">
            <w:pPr>
              <w:rPr>
                <w:b/>
                <w:bCs/>
                <w:color w:val="FFFFFF" w:themeColor="background1"/>
              </w:rPr>
            </w:pPr>
            <w:r w:rsidRPr="009C44E8">
              <w:rPr>
                <w:b/>
                <w:bCs/>
                <w:color w:val="FFFFFF" w:themeColor="background1"/>
              </w:rPr>
              <w:t>Traditional funding arrangements</w:t>
            </w:r>
          </w:p>
        </w:tc>
        <w:tc>
          <w:tcPr>
            <w:tcW w:w="4444" w:type="dxa"/>
            <w:shd w:val="clear" w:color="auto" w:fill="005A70" w:themeFill="accent1"/>
            <w:vAlign w:val="center"/>
          </w:tcPr>
          <w:p w14:paraId="6CC85A8A" w14:textId="77777777" w:rsidR="00B67360" w:rsidRPr="009C44E8" w:rsidRDefault="00B67360">
            <w:pPr>
              <w:rPr>
                <w:b/>
                <w:bCs/>
                <w:color w:val="FFFFFF" w:themeColor="background1"/>
              </w:rPr>
            </w:pPr>
            <w:r w:rsidRPr="009C44E8">
              <w:rPr>
                <w:b/>
                <w:bCs/>
                <w:color w:val="FFFFFF" w:themeColor="background1"/>
              </w:rPr>
              <w:t xml:space="preserve">Outcome based </w:t>
            </w:r>
            <w:r w:rsidRPr="009C44E8">
              <w:rPr>
                <w:b/>
                <w:bCs/>
                <w:color w:val="FFFFFF" w:themeColor="background1"/>
              </w:rPr>
              <w:br/>
              <w:t>contracting</w:t>
            </w:r>
          </w:p>
        </w:tc>
      </w:tr>
      <w:tr w:rsidR="00B67360" w14:paraId="76199DCE" w14:textId="77777777">
        <w:tc>
          <w:tcPr>
            <w:tcW w:w="1308" w:type="dxa"/>
            <w:shd w:val="clear" w:color="auto" w:fill="C1E4F5"/>
            <w:vAlign w:val="center"/>
          </w:tcPr>
          <w:p w14:paraId="6F15DE8E" w14:textId="77777777" w:rsidR="00B67360" w:rsidRPr="009C44E8" w:rsidRDefault="00B67360">
            <w:pPr>
              <w:rPr>
                <w:b/>
                <w:bCs/>
                <w:color w:val="005A70" w:themeColor="accent1"/>
              </w:rPr>
            </w:pPr>
            <w:r w:rsidRPr="009C44E8">
              <w:rPr>
                <w:b/>
                <w:bCs/>
                <w:color w:val="005A70" w:themeColor="accent1"/>
              </w:rPr>
              <w:t>Types of payment</w:t>
            </w:r>
          </w:p>
        </w:tc>
        <w:tc>
          <w:tcPr>
            <w:tcW w:w="4444" w:type="dxa"/>
            <w:vAlign w:val="center"/>
          </w:tcPr>
          <w:p w14:paraId="3507F25C" w14:textId="77777777" w:rsidR="00B67360" w:rsidRPr="00C47DEA" w:rsidRDefault="00B67360">
            <w:r w:rsidRPr="00C47DEA">
              <w:t>Payments based on inputs or outputs.</w:t>
            </w:r>
          </w:p>
        </w:tc>
        <w:tc>
          <w:tcPr>
            <w:tcW w:w="4444" w:type="dxa"/>
            <w:vAlign w:val="center"/>
          </w:tcPr>
          <w:p w14:paraId="0CE9882B" w14:textId="77777777" w:rsidR="00B67360" w:rsidRPr="00C47DEA" w:rsidRDefault="00B67360">
            <w:r w:rsidRPr="00C47DEA">
              <w:t>A mixture of fixed and outcomes-based payments.</w:t>
            </w:r>
          </w:p>
        </w:tc>
      </w:tr>
      <w:tr w:rsidR="00B67360" w14:paraId="0EF7944A" w14:textId="77777777">
        <w:tc>
          <w:tcPr>
            <w:tcW w:w="1308" w:type="dxa"/>
            <w:shd w:val="clear" w:color="auto" w:fill="C1E4F5"/>
            <w:vAlign w:val="center"/>
          </w:tcPr>
          <w:p w14:paraId="4FC7CCEA" w14:textId="77777777" w:rsidR="00B67360" w:rsidRPr="009C44E8" w:rsidRDefault="00B67360">
            <w:pPr>
              <w:rPr>
                <w:b/>
                <w:bCs/>
                <w:color w:val="005A70" w:themeColor="accent1"/>
              </w:rPr>
            </w:pPr>
            <w:r w:rsidRPr="009C44E8">
              <w:rPr>
                <w:b/>
                <w:bCs/>
                <w:color w:val="005A70" w:themeColor="accent1"/>
              </w:rPr>
              <w:t>Payment timing</w:t>
            </w:r>
          </w:p>
        </w:tc>
        <w:tc>
          <w:tcPr>
            <w:tcW w:w="4444" w:type="dxa"/>
            <w:vAlign w:val="center"/>
          </w:tcPr>
          <w:p w14:paraId="3F0D0832" w14:textId="77777777" w:rsidR="00B67360" w:rsidRPr="00C47DEA" w:rsidRDefault="00B67360">
            <w:r w:rsidRPr="00C47DEA">
              <w:t>Regular payments paid in advance or based on completion of activity reports or milestones.</w:t>
            </w:r>
          </w:p>
        </w:tc>
        <w:tc>
          <w:tcPr>
            <w:tcW w:w="4444" w:type="dxa"/>
            <w:vAlign w:val="center"/>
          </w:tcPr>
          <w:p w14:paraId="7200422C" w14:textId="77777777" w:rsidR="00B67360" w:rsidRPr="00C47DEA" w:rsidRDefault="00B67360">
            <w:r w:rsidRPr="00C47DEA">
              <w:t>Fixed payments paid in advance, with outcome payments paid after achievement and verification of outcomes.</w:t>
            </w:r>
          </w:p>
        </w:tc>
      </w:tr>
      <w:tr w:rsidR="00B67360" w14:paraId="0F27D680" w14:textId="77777777">
        <w:tc>
          <w:tcPr>
            <w:tcW w:w="1308" w:type="dxa"/>
            <w:shd w:val="clear" w:color="auto" w:fill="C1E4F5"/>
            <w:vAlign w:val="center"/>
          </w:tcPr>
          <w:p w14:paraId="4B008990" w14:textId="77777777" w:rsidR="00B67360" w:rsidRPr="009C44E8" w:rsidRDefault="00B67360">
            <w:pPr>
              <w:rPr>
                <w:b/>
                <w:bCs/>
                <w:color w:val="005A70" w:themeColor="accent1"/>
              </w:rPr>
            </w:pPr>
            <w:r w:rsidRPr="009C44E8">
              <w:rPr>
                <w:b/>
                <w:bCs/>
                <w:color w:val="005A70" w:themeColor="accent1"/>
              </w:rPr>
              <w:t>Price</w:t>
            </w:r>
          </w:p>
        </w:tc>
        <w:tc>
          <w:tcPr>
            <w:tcW w:w="4444" w:type="dxa"/>
            <w:vAlign w:val="center"/>
          </w:tcPr>
          <w:p w14:paraId="6EAA395E" w14:textId="77777777" w:rsidR="00B67360" w:rsidRPr="00C47DEA" w:rsidRDefault="00B67360">
            <w:r w:rsidRPr="00C47DEA">
              <w:t xml:space="preserve">Based on </w:t>
            </w:r>
            <w:proofErr w:type="gramStart"/>
            <w:r w:rsidRPr="00C47DEA">
              <w:t>cost of service</w:t>
            </w:r>
            <w:proofErr w:type="gramEnd"/>
            <w:r w:rsidRPr="00C47DEA">
              <w:t xml:space="preserve"> delivery.</w:t>
            </w:r>
          </w:p>
        </w:tc>
        <w:tc>
          <w:tcPr>
            <w:tcW w:w="4444" w:type="dxa"/>
            <w:vAlign w:val="center"/>
          </w:tcPr>
          <w:p w14:paraId="1367C61C" w14:textId="77777777" w:rsidR="00B67360" w:rsidRPr="00C47DEA" w:rsidRDefault="00B67360">
            <w:r w:rsidRPr="00C47DEA">
              <w:t>Determined using</w:t>
            </w:r>
            <w:r>
              <w:t xml:space="preserve"> a</w:t>
            </w:r>
            <w:r w:rsidRPr="00C47DEA">
              <w:t xml:space="preserve"> combination of cost to achieve outcomes and value of the outcomes.</w:t>
            </w:r>
          </w:p>
        </w:tc>
      </w:tr>
      <w:tr w:rsidR="00B67360" w14:paraId="599FDB3E" w14:textId="77777777">
        <w:tc>
          <w:tcPr>
            <w:tcW w:w="1308" w:type="dxa"/>
            <w:shd w:val="clear" w:color="auto" w:fill="C1E4F5"/>
            <w:vAlign w:val="center"/>
          </w:tcPr>
          <w:p w14:paraId="065C9411" w14:textId="77777777" w:rsidR="00B67360" w:rsidRPr="009C44E8" w:rsidRDefault="00B67360">
            <w:pPr>
              <w:rPr>
                <w:b/>
                <w:bCs/>
                <w:color w:val="005A70" w:themeColor="accent1"/>
              </w:rPr>
            </w:pPr>
            <w:r w:rsidRPr="009C44E8">
              <w:rPr>
                <w:b/>
                <w:bCs/>
                <w:color w:val="005A70" w:themeColor="accent1"/>
              </w:rPr>
              <w:t>Financial risk allocation</w:t>
            </w:r>
          </w:p>
        </w:tc>
        <w:tc>
          <w:tcPr>
            <w:tcW w:w="4444" w:type="dxa"/>
            <w:vAlign w:val="center"/>
          </w:tcPr>
          <w:p w14:paraId="28A9000F" w14:textId="77777777" w:rsidR="00B67360" w:rsidRPr="00C47DEA" w:rsidRDefault="00B67360">
            <w:r w:rsidRPr="00C47DEA">
              <w:t>Lower financial risk for service providers as payments are fixed or volume-based.</w:t>
            </w:r>
          </w:p>
        </w:tc>
        <w:tc>
          <w:tcPr>
            <w:tcW w:w="4444" w:type="dxa"/>
            <w:vAlign w:val="center"/>
          </w:tcPr>
          <w:p w14:paraId="7673F58B" w14:textId="77777777" w:rsidR="00B67360" w:rsidRPr="00C47DEA" w:rsidRDefault="00B67360">
            <w:r w:rsidRPr="00C47DEA">
              <w:t>Shared financial risk with service providers for proportion of funding contingent on achieving outcomes.</w:t>
            </w:r>
          </w:p>
        </w:tc>
      </w:tr>
      <w:tr w:rsidR="00B67360" w14:paraId="60775C57" w14:textId="77777777">
        <w:tc>
          <w:tcPr>
            <w:tcW w:w="1308" w:type="dxa"/>
            <w:shd w:val="clear" w:color="auto" w:fill="C1E4F5"/>
            <w:vAlign w:val="center"/>
          </w:tcPr>
          <w:p w14:paraId="64AABC34" w14:textId="77777777" w:rsidR="00B67360" w:rsidRPr="009C44E8" w:rsidRDefault="00B67360">
            <w:pPr>
              <w:rPr>
                <w:b/>
                <w:bCs/>
                <w:color w:val="005A70" w:themeColor="accent1"/>
              </w:rPr>
            </w:pPr>
            <w:r w:rsidRPr="009C44E8">
              <w:rPr>
                <w:b/>
                <w:bCs/>
                <w:color w:val="005A70" w:themeColor="accent1"/>
              </w:rPr>
              <w:t>Funding sources</w:t>
            </w:r>
          </w:p>
        </w:tc>
        <w:tc>
          <w:tcPr>
            <w:tcW w:w="4444" w:type="dxa"/>
            <w:vAlign w:val="center"/>
          </w:tcPr>
          <w:p w14:paraId="0502F933" w14:textId="77777777" w:rsidR="00B67360" w:rsidRPr="00C47DEA" w:rsidRDefault="00B67360">
            <w:proofErr w:type="gramStart"/>
            <w:r w:rsidRPr="00C47DEA">
              <w:t>Typically</w:t>
            </w:r>
            <w:proofErr w:type="gramEnd"/>
            <w:r w:rsidRPr="00C47DEA">
              <w:t xml:space="preserve"> one source of funding.</w:t>
            </w:r>
          </w:p>
        </w:tc>
        <w:tc>
          <w:tcPr>
            <w:tcW w:w="4444" w:type="dxa"/>
            <w:vAlign w:val="center"/>
          </w:tcPr>
          <w:p w14:paraId="5E1ED8FD" w14:textId="77777777" w:rsidR="00B67360" w:rsidRPr="00C47DEA" w:rsidRDefault="00B67360">
            <w:r w:rsidRPr="00C47DEA">
              <w:t>Can involve multiple funders including other commissioners (i.e. philanthropy).</w:t>
            </w:r>
          </w:p>
        </w:tc>
      </w:tr>
    </w:tbl>
    <w:p w14:paraId="5E1E6E2A" w14:textId="77777777" w:rsidR="00B67360" w:rsidRDefault="00B67360" w:rsidP="00B67360">
      <w:pPr>
        <w:pStyle w:val="Heading2"/>
      </w:pPr>
    </w:p>
    <w:p w14:paraId="50752510" w14:textId="77777777" w:rsidR="00B67360" w:rsidRDefault="00B67360" w:rsidP="00B67360">
      <w:pPr>
        <w:spacing w:after="240"/>
        <w:rPr>
          <w:rFonts w:asciiTheme="majorHAnsi" w:eastAsiaTheme="majorEastAsia" w:hAnsiTheme="majorHAnsi" w:cstheme="majorBidi"/>
          <w:bCs/>
          <w:color w:val="005A70" w:themeColor="accent1"/>
          <w:sz w:val="40"/>
          <w:szCs w:val="26"/>
        </w:rPr>
      </w:pPr>
      <w:r>
        <w:br w:type="page"/>
      </w:r>
    </w:p>
    <w:p w14:paraId="391BAE8E" w14:textId="77777777" w:rsidR="00B67360" w:rsidRPr="007F6BAF" w:rsidRDefault="00B67360" w:rsidP="00B67360">
      <w:pPr>
        <w:pStyle w:val="Heading2"/>
      </w:pPr>
      <w:r>
        <w:lastRenderedPageBreak/>
        <w:t>Key concepts related to outcome pricing</w:t>
      </w:r>
    </w:p>
    <w:p w14:paraId="76044BF5" w14:textId="77777777" w:rsidR="00B67360" w:rsidRPr="00DD3A98" w:rsidRDefault="00B67360" w:rsidP="00B67360">
      <w:pPr>
        <w:pStyle w:val="Heading3"/>
      </w:pPr>
      <w:r w:rsidRPr="00DD3A98">
        <w:t>Fixed funding</w:t>
      </w:r>
    </w:p>
    <w:p w14:paraId="1DE2F60F" w14:textId="77777777" w:rsidR="00B67360" w:rsidRDefault="00B67360" w:rsidP="00B67360">
      <w:r w:rsidRPr="00A03B47">
        <w:rPr>
          <w:b/>
          <w:bCs/>
        </w:rPr>
        <w:t>Fixed funding</w:t>
      </w:r>
      <w:r>
        <w:t xml:space="preserve"> refers to the amount of funding under an outcomes-based contract that will be paid regardless of what outcomes are achieved. This funding is used to help cover the </w:t>
      </w:r>
      <w:proofErr w:type="gramStart"/>
      <w:r>
        <w:t>cost of service</w:t>
      </w:r>
      <w:proofErr w:type="gramEnd"/>
      <w:r>
        <w:t xml:space="preserve"> delivery until outcomes are achieved and paid on. </w:t>
      </w:r>
    </w:p>
    <w:p w14:paraId="27066143" w14:textId="77777777" w:rsidR="00B67360" w:rsidRDefault="00B67360" w:rsidP="00B67360">
      <w:pPr>
        <w:sectPr w:rsidR="00B67360" w:rsidSect="00B67360">
          <w:headerReference w:type="default" r:id="rId12"/>
          <w:headerReference w:type="first" r:id="rId13"/>
          <w:footerReference w:type="first" r:id="rId14"/>
          <w:pgSz w:w="11906" w:h="16838"/>
          <w:pgMar w:top="851" w:right="851" w:bottom="851" w:left="851" w:header="0" w:footer="0" w:gutter="0"/>
          <w:pgNumType w:start="2"/>
          <w:cols w:space="708"/>
          <w:titlePg/>
          <w:docGrid w:linePitch="360"/>
        </w:sectPr>
      </w:pPr>
    </w:p>
    <w:p w14:paraId="3ACE0994" w14:textId="77777777" w:rsidR="00B67360" w:rsidRDefault="00B67360" w:rsidP="00B67360">
      <w:r>
        <w:t>The amount of fixed funding also reflects the level of financial risk allocated to a service provider (and other stakeholders in some cases) and should be considered with reference to the policy objectives of the outcomes-based contract.</w:t>
      </w:r>
    </w:p>
    <w:p w14:paraId="0D523C20" w14:textId="77777777" w:rsidR="00B67360" w:rsidRDefault="00B67360" w:rsidP="00B67360">
      <w:r>
        <w:t xml:space="preserve">The amount of fixed funding can vary between having no fixed payments, to having a small proportion linked to outcomes (i.e. ~95% fixed payments). </w:t>
      </w:r>
    </w:p>
    <w:p w14:paraId="26D9446F" w14:textId="77777777" w:rsidR="00B67360" w:rsidRDefault="00B67360" w:rsidP="00B67360">
      <w:r>
        <w:t>Key considerations for determining this amount and, therefore, the financial risk allocated to the service provider include:</w:t>
      </w:r>
    </w:p>
    <w:p w14:paraId="782321A0" w14:textId="77777777" w:rsidR="00B67360" w:rsidRDefault="00B67360" w:rsidP="00B67360">
      <w:pPr>
        <w:pStyle w:val="ListParagraph"/>
      </w:pPr>
      <w:r w:rsidRPr="00A03B47">
        <w:rPr>
          <w:b/>
          <w:bCs/>
        </w:rPr>
        <w:t>Financial capacity of service providers</w:t>
      </w:r>
      <w:r>
        <w:t>: do service providers have the financial reserves to fund the service until the outcomes are achieved and paid on?</w:t>
      </w:r>
    </w:p>
    <w:p w14:paraId="76CDE604" w14:textId="77777777" w:rsidR="00B67360" w:rsidRDefault="00B67360" w:rsidP="00B67360">
      <w:pPr>
        <w:pStyle w:val="ListParagraph"/>
      </w:pPr>
      <w:r w:rsidRPr="00A03B47">
        <w:rPr>
          <w:b/>
          <w:bCs/>
        </w:rPr>
        <w:t>Track record of the service</w:t>
      </w:r>
      <w:r>
        <w:t>: Has the service or a similar intervention model previously achieved the outcomes?</w:t>
      </w:r>
    </w:p>
    <w:p w14:paraId="53FE2110" w14:textId="77777777" w:rsidR="00B67360" w:rsidRDefault="00B67360" w:rsidP="00B67360">
      <w:pPr>
        <w:pStyle w:val="ListParagraph"/>
        <w:rPr>
          <w:b/>
          <w:bCs/>
        </w:rPr>
        <w:sectPr w:rsidR="00B67360" w:rsidSect="00B67360">
          <w:type w:val="continuous"/>
          <w:pgSz w:w="11906" w:h="16838"/>
          <w:pgMar w:top="851" w:right="851" w:bottom="851" w:left="851" w:header="0" w:footer="0" w:gutter="0"/>
          <w:pgNumType w:start="2"/>
          <w:cols w:space="708"/>
          <w:titlePg/>
          <w:docGrid w:linePitch="360"/>
        </w:sectPr>
      </w:pPr>
    </w:p>
    <w:p w14:paraId="57473528" w14:textId="77777777" w:rsidR="00B67360" w:rsidRDefault="00B67360" w:rsidP="00B67360">
      <w:pPr>
        <w:pStyle w:val="ListParagraph"/>
      </w:pPr>
      <w:r w:rsidRPr="00A03B47">
        <w:rPr>
          <w:b/>
          <w:bCs/>
        </w:rPr>
        <w:t>The policy context</w:t>
      </w:r>
      <w:r w:rsidRPr="00A03B47">
        <w:t>: I</w:t>
      </w:r>
      <w:r>
        <w:t>s it appropriate to be shifting this amount of financial risk to service providers operating in this policy area?</w:t>
      </w:r>
    </w:p>
    <w:p w14:paraId="61CF3145" w14:textId="77777777" w:rsidR="00B67360" w:rsidRDefault="00B67360" w:rsidP="00B67360">
      <w:pPr>
        <w:pStyle w:val="ListParagraph"/>
      </w:pPr>
      <w:r w:rsidRPr="00A03B47">
        <w:rPr>
          <w:b/>
          <w:bCs/>
        </w:rPr>
        <w:t>Ability to access external funding</w:t>
      </w:r>
      <w:r w:rsidRPr="00A03B47">
        <w:t>: C</w:t>
      </w:r>
      <w:r>
        <w:t>an service providers access funding from private investors or philanthropic funders to fund the service and share financial risk?</w:t>
      </w:r>
    </w:p>
    <w:p w14:paraId="64A219ED" w14:textId="77777777" w:rsidR="00B67360" w:rsidRDefault="00B67360" w:rsidP="00B67360">
      <w:pPr>
        <w:jc w:val="center"/>
        <w:sectPr w:rsidR="00B67360" w:rsidSect="00B67360">
          <w:type w:val="continuous"/>
          <w:pgSz w:w="11906" w:h="16838"/>
          <w:pgMar w:top="851" w:right="851" w:bottom="851" w:left="851" w:header="0" w:footer="0" w:gutter="0"/>
          <w:pgNumType w:start="2"/>
          <w:cols w:space="708"/>
          <w:titlePg/>
          <w:docGrid w:linePitch="360"/>
        </w:sectPr>
      </w:pPr>
    </w:p>
    <w:p w14:paraId="39C98E96" w14:textId="77777777" w:rsidR="00B67360" w:rsidRDefault="00B67360" w:rsidP="00B67360">
      <w:r>
        <w:rPr>
          <w:noProof/>
        </w:rPr>
        <w:drawing>
          <wp:inline distT="0" distB="0" distL="0" distR="0" wp14:anchorId="0453C9BB" wp14:editId="1D6EBA24">
            <wp:extent cx="3684062" cy="3219450"/>
            <wp:effectExtent l="0" t="0" r="0" b="0"/>
            <wp:docPr id="697939509" name="Picture 4" descr="Bar chart comparing Outcomes Based (L) and Traditional Contracts (R). The chart shows 'Fixed payments' of $4 million in the  L bar, and $4.5million in the R, coloured teal. The L also includes $1m of 'Outcome Payments', coloured blue and a total value of $5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39509" name="Picture 4" descr="Bar chart comparing Outcomes Based (L) and Traditional Contracts (R). The chart shows 'Fixed payments' of $4 million in the  L bar, and $4.5million in the R, coloured teal. The L also includes $1m of 'Outcome Payments', coloured blue and a total value of $5mill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87707" cy="3222636"/>
                    </a:xfrm>
                    <a:prstGeom prst="rect">
                      <a:avLst/>
                    </a:prstGeom>
                    <a:noFill/>
                  </pic:spPr>
                </pic:pic>
              </a:graphicData>
            </a:graphic>
          </wp:inline>
        </w:drawing>
      </w:r>
    </w:p>
    <w:p w14:paraId="046FE324" w14:textId="77777777" w:rsidR="00B67360" w:rsidRDefault="00B67360" w:rsidP="00B67360">
      <w:pPr>
        <w:pStyle w:val="Heading3"/>
        <w:sectPr w:rsidR="00B67360" w:rsidSect="00B67360">
          <w:type w:val="continuous"/>
          <w:pgSz w:w="11906" w:h="16838"/>
          <w:pgMar w:top="851" w:right="851" w:bottom="851" w:left="851" w:header="0" w:footer="0" w:gutter="0"/>
          <w:pgNumType w:start="2"/>
          <w:cols w:num="2" w:space="708"/>
          <w:titlePg/>
          <w:docGrid w:linePitch="360"/>
        </w:sectPr>
      </w:pPr>
    </w:p>
    <w:p w14:paraId="53699CF7" w14:textId="77777777" w:rsidR="00B67360" w:rsidRPr="00DD3A98" w:rsidRDefault="00B67360" w:rsidP="00B67360">
      <w:pPr>
        <w:pStyle w:val="Heading3"/>
      </w:pPr>
      <w:r w:rsidRPr="00DD3A98">
        <w:lastRenderedPageBreak/>
        <w:t>Price of an outcome</w:t>
      </w:r>
    </w:p>
    <w:p w14:paraId="15B7951D" w14:textId="77777777" w:rsidR="00B67360" w:rsidRDefault="00B67360" w:rsidP="00B67360">
      <w:r>
        <w:t>The price is the amount agreed by the service provider and commissioner for achievement of agreed outcomes. This is the level of funding that is ‘at risk’ if outcomes are not achieved.</w:t>
      </w:r>
    </w:p>
    <w:p w14:paraId="3EE023CC" w14:textId="77777777" w:rsidR="00B67360" w:rsidRDefault="00B67360" w:rsidP="00B67360">
      <w:r>
        <w:rPr>
          <w:noProof/>
        </w:rPr>
        <w:drawing>
          <wp:inline distT="0" distB="0" distL="0" distR="0" wp14:anchorId="3BE7BB30" wp14:editId="4404FE8C">
            <wp:extent cx="5293820" cy="2914650"/>
            <wp:effectExtent l="0" t="0" r="0" b="0"/>
            <wp:docPr id="2028826389" name="Picture 2" descr="Bar chart showing the relationship between Cost (R, in light blue) at $4.5million, Price in the centre at $5million (in dark teal) and Value (L in mid blue) of $7million.&#10;$7 million is labelled as quantifiable benefits for the commissioner, price the amount paid and cost is labelled service co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26389" name="Picture 2" descr="Bar chart showing the relationship between Cost (R, in light blue) at $4.5million, Price in the centre at $5million (in dark teal) and Value (L in mid blue) of $7million.&#10;$7 million is labelled as quantifiable benefits for the commissioner, price the amount paid and cost is labelled service cost.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6817" cy="2927312"/>
                    </a:xfrm>
                    <a:prstGeom prst="rect">
                      <a:avLst/>
                    </a:prstGeom>
                    <a:noFill/>
                  </pic:spPr>
                </pic:pic>
              </a:graphicData>
            </a:graphic>
          </wp:inline>
        </w:drawing>
      </w:r>
    </w:p>
    <w:p w14:paraId="37CA0DAB" w14:textId="77777777" w:rsidR="00B67360" w:rsidRDefault="00B67360" w:rsidP="00B67360">
      <w:r>
        <w:t xml:space="preserve">The </w:t>
      </w:r>
      <w:r w:rsidRPr="44402BA1">
        <w:rPr>
          <w:b/>
          <w:bCs/>
        </w:rPr>
        <w:t>price</w:t>
      </w:r>
      <w:r>
        <w:t xml:space="preserve"> is different to the </w:t>
      </w:r>
      <w:r w:rsidRPr="44402BA1">
        <w:rPr>
          <w:b/>
          <w:bCs/>
        </w:rPr>
        <w:t>cost</w:t>
      </w:r>
      <w:r>
        <w:t xml:space="preserve"> to achieve the outcome for the service provider and the </w:t>
      </w:r>
      <w:r w:rsidRPr="44402BA1">
        <w:rPr>
          <w:b/>
          <w:bCs/>
        </w:rPr>
        <w:t>value</w:t>
      </w:r>
      <w:r>
        <w:t xml:space="preserve"> generated for the commissioner. The cost and the value are the bookends for determining the price of an outcome, with the price of an outcome usually being somewhere between. </w:t>
      </w:r>
    </w:p>
    <w:p w14:paraId="5D7B3AAD" w14:textId="77777777" w:rsidR="00B67360" w:rsidRDefault="00B67360" w:rsidP="00B67360">
      <w:r>
        <w:t xml:space="preserve">In determining the price of outcomes, commissioners need to consider the minimum cost needed to deliver a service, without creating undue financial pressure or risks for service providers. Pricing should consider locational differences, for example remote locations may have higher costs. Commissioners should also recognise that different services providers or sectors may have key differences, for example smaller organisations may have higher relative administration costs or may be less able to bear risks than a larger organisation delivering programs nationally.  </w:t>
      </w:r>
    </w:p>
    <w:p w14:paraId="5B86EBB8" w14:textId="77777777" w:rsidR="00B67360" w:rsidRDefault="00B67360" w:rsidP="00B67360">
      <w:r>
        <w:t>Additional considerations for determining price include:</w:t>
      </w:r>
    </w:p>
    <w:p w14:paraId="620DC8C2" w14:textId="77777777" w:rsidR="00B67360" w:rsidRPr="00D93909" w:rsidRDefault="00B67360" w:rsidP="00B67360">
      <w:pPr>
        <w:pStyle w:val="ListParagraph"/>
      </w:pPr>
      <w:r w:rsidRPr="00D93909">
        <w:t xml:space="preserve">The level of certainty about whether the outcomes will be achieved, as service providers may require a higher price with more uncertainty </w:t>
      </w:r>
    </w:p>
    <w:p w14:paraId="45DBAF4A" w14:textId="77777777" w:rsidR="00B67360" w:rsidRPr="00D93909" w:rsidRDefault="00B67360" w:rsidP="00B67360">
      <w:pPr>
        <w:pStyle w:val="ListParagraph"/>
      </w:pPr>
      <w:r w:rsidRPr="00D93909">
        <w:t xml:space="preserve">The complexity and the characteristics of the target cohort, which impacts the level of support </w:t>
      </w:r>
      <w:r>
        <w:t xml:space="preserve">and amount of time </w:t>
      </w:r>
      <w:r w:rsidRPr="00D93909">
        <w:t xml:space="preserve">required to achieve the outcomes and, therefore, the cost of the service   </w:t>
      </w:r>
    </w:p>
    <w:p w14:paraId="17E08A8B" w14:textId="77777777" w:rsidR="00B67360" w:rsidRPr="00D93909" w:rsidRDefault="00B67360" w:rsidP="00B67360">
      <w:pPr>
        <w:pStyle w:val="ListParagraph"/>
      </w:pPr>
      <w:r w:rsidRPr="00D93909">
        <w:t>The timing of payments, as longer-term outcome payments may require interim funding from a private investor or philanthropic funder, which may come with additional costs</w:t>
      </w:r>
    </w:p>
    <w:p w14:paraId="1C2FB61D" w14:textId="77777777" w:rsidR="00B67360" w:rsidRPr="00D93909" w:rsidRDefault="00B67360" w:rsidP="00B67360">
      <w:pPr>
        <w:pStyle w:val="ListParagraph"/>
      </w:pPr>
      <w:r w:rsidRPr="00D93909">
        <w:t>Whether outcomes would have happened anyway, as ideally the price should only reflect ‘additional’ outcomes that are achieved by the service provider</w:t>
      </w:r>
      <w:r>
        <w:t>.</w:t>
      </w:r>
    </w:p>
    <w:p w14:paraId="6D6A322D" w14:textId="77777777" w:rsidR="00B67360" w:rsidRPr="00815510" w:rsidDel="004B7B1D" w:rsidRDefault="00B67360" w:rsidP="00B67360">
      <w:pPr>
        <w:pStyle w:val="Heading3"/>
      </w:pPr>
      <w:r>
        <w:t>Funding cap</w:t>
      </w:r>
    </w:p>
    <w:p w14:paraId="1E13D8AB" w14:textId="77777777" w:rsidR="00B67360" w:rsidDel="004B7B1D" w:rsidRDefault="00B67360" w:rsidP="00B67360">
      <w:r w:rsidDel="004B7B1D">
        <w:t>The cap on funding (or funding envelope) refers to t</w:t>
      </w:r>
      <w:r w:rsidRPr="000275D8" w:rsidDel="004B7B1D">
        <w:t>he maximum amount of funding available</w:t>
      </w:r>
      <w:r>
        <w:t>, which ensures that the commissioner does not pay more than the maximum amount it is prepared to pay for outcomes.</w:t>
      </w:r>
    </w:p>
    <w:p w14:paraId="7A6BD662" w14:textId="77777777" w:rsidR="00B67360" w:rsidRPr="00587E77" w:rsidDel="004B7B1D" w:rsidRDefault="00B67360" w:rsidP="00B67360">
      <w:r w:rsidDel="004B7B1D">
        <w:lastRenderedPageBreak/>
        <w:t xml:space="preserve">The cap is typically higher than the expected funding to be made available to the service provider as it allows service providers to outperform agreed performance targets, whilst ensuring that overall payments made to the service provider are not excessive. </w:t>
      </w:r>
    </w:p>
    <w:p w14:paraId="160C6BA2" w14:textId="77777777" w:rsidR="00B67360" w:rsidRPr="00296555" w:rsidRDefault="00B67360" w:rsidP="00B67360">
      <w:pPr>
        <w:pStyle w:val="Heading3"/>
      </w:pPr>
      <w:r w:rsidRPr="00296555">
        <w:t>Engaging the market on outcome pricing</w:t>
      </w:r>
    </w:p>
    <w:p w14:paraId="7589ED68" w14:textId="77777777" w:rsidR="00B67360" w:rsidRDefault="00B67360" w:rsidP="00B67360">
      <w:r>
        <w:t>There are two ways to engage the market in relation to outcome pricing:</w:t>
      </w:r>
    </w:p>
    <w:p w14:paraId="47659A87" w14:textId="77777777" w:rsidR="00B67360" w:rsidRPr="00D93909" w:rsidRDefault="00B67360" w:rsidP="00B67360">
      <w:pPr>
        <w:pStyle w:val="ListParagraph"/>
      </w:pPr>
      <w:r w:rsidRPr="00D93909">
        <w:rPr>
          <w:b/>
          <w:bCs/>
        </w:rPr>
        <w:t>Commissioner set price:</w:t>
      </w:r>
      <w:r w:rsidRPr="00D93909">
        <w:t xml:space="preserve"> the commissioner defines the price it is willing to pay for a specified outcome and communicates this to the market (e.g., $5,000 per employment outcome sustained for 26 fortnights), which is typically closer to the value. Service providers can then propose pricing and a set of payment terms for their service based on this information and their estimated cost to achieve the outcomes.</w:t>
      </w:r>
    </w:p>
    <w:p w14:paraId="1FE60EAD" w14:textId="77777777" w:rsidR="00B67360" w:rsidRPr="00D93909" w:rsidRDefault="00B67360" w:rsidP="00B67360">
      <w:pPr>
        <w:pStyle w:val="ListParagraph"/>
      </w:pPr>
      <w:r w:rsidRPr="00D93909">
        <w:rPr>
          <w:b/>
          <w:bCs/>
        </w:rPr>
        <w:t>Provider proposed pricing:</w:t>
      </w:r>
      <w:r w:rsidRPr="00D93909">
        <w:t xml:space="preserve"> service providers propose pricing and payment terms based on the cost to achieve the outcomes, with some additional upside to reflect the financial risk taken on by the service provider (and other stakeholders) and the value to the outcome payer.</w:t>
      </w:r>
    </w:p>
    <w:p w14:paraId="57CDD053" w14:textId="77777777" w:rsidR="00B67360" w:rsidRPr="00E76265" w:rsidRDefault="00B67360" w:rsidP="00E76265">
      <w:pPr>
        <w:pStyle w:val="Heading2"/>
      </w:pPr>
      <w:r w:rsidRPr="009C44E8">
        <w:t xml:space="preserve">Case study: Many Rivers Payment by Outcomes Trial </w:t>
      </w:r>
    </w:p>
    <w:p w14:paraId="4652831A" w14:textId="77777777" w:rsidR="00B67360" w:rsidRDefault="00B67360" w:rsidP="00B67360">
      <w:pPr>
        <w:pStyle w:val="Heading3"/>
        <w:shd w:val="clear" w:color="auto" w:fill="FFFFFF" w:themeFill="background1"/>
      </w:pPr>
      <w:r>
        <w:t>Overview</w:t>
      </w:r>
    </w:p>
    <w:p w14:paraId="667C5994" w14:textId="77777777" w:rsidR="00B67360" w:rsidRDefault="00B67360" w:rsidP="00B67360">
      <w:pPr>
        <w:shd w:val="clear" w:color="auto" w:fill="FFFFFF" w:themeFill="background1"/>
        <w:spacing w:after="160" w:line="278" w:lineRule="auto"/>
      </w:pPr>
      <w:r>
        <w:t>The Many Rivers Payment by Outcomes (PBO) Trial</w:t>
      </w:r>
      <w:r w:rsidRPr="00A57AD2">
        <w:rPr>
          <w:rFonts w:ascii="Arial" w:hAnsi="Arial" w:cs="Arial"/>
        </w:rPr>
        <w:t> </w:t>
      </w:r>
      <w:r>
        <w:t xml:space="preserve">aims to support unemployed or underemployed people into microenterprise development and self-employment. </w:t>
      </w:r>
    </w:p>
    <w:p w14:paraId="4B857A80" w14:textId="77777777" w:rsidR="00B67360" w:rsidRPr="00623B17" w:rsidRDefault="00B67360" w:rsidP="00B67360">
      <w:pPr>
        <w:pStyle w:val="Heading3"/>
      </w:pPr>
      <w:r w:rsidRPr="00623B17">
        <w:t>Outcome measurement</w:t>
      </w:r>
    </w:p>
    <w:p w14:paraId="5AB96461" w14:textId="77777777" w:rsidR="00B67360" w:rsidRDefault="00B67360" w:rsidP="00B67360">
      <w:pPr>
        <w:shd w:val="clear" w:color="auto" w:fill="FFFFFF" w:themeFill="background1"/>
        <w:spacing w:after="160" w:line="278" w:lineRule="auto"/>
      </w:pPr>
      <w:r>
        <w:t>There were two outcome metrics linked to payments:</w:t>
      </w:r>
    </w:p>
    <w:p w14:paraId="154CBBF3" w14:textId="77777777" w:rsidR="00B67360" w:rsidRPr="00D93909" w:rsidRDefault="00B67360" w:rsidP="00B67360">
      <w:pPr>
        <w:pStyle w:val="ListParagraph"/>
        <w:shd w:val="clear" w:color="auto" w:fill="FFFFFF" w:themeFill="background1"/>
      </w:pPr>
      <w:r w:rsidRPr="00D93909">
        <w:t>Business establishments: the number of businesses established by program participants</w:t>
      </w:r>
    </w:p>
    <w:p w14:paraId="3BD32388" w14:textId="77777777" w:rsidR="00B67360" w:rsidRPr="00D93909" w:rsidRDefault="00B67360" w:rsidP="00B67360">
      <w:pPr>
        <w:pStyle w:val="ListParagraph"/>
        <w:shd w:val="clear" w:color="auto" w:fill="FFFFFF" w:themeFill="background1"/>
      </w:pPr>
      <w:r w:rsidRPr="00D93909">
        <w:t xml:space="preserve">Welfare payments: the amount of income support payments received by program participants over a three-year period (compared to the three years </w:t>
      </w:r>
      <w:r>
        <w:t>prior</w:t>
      </w:r>
      <w:r w:rsidRPr="00D93909">
        <w:t xml:space="preserve"> to participating in the program)</w:t>
      </w:r>
    </w:p>
    <w:p w14:paraId="2E06F279" w14:textId="77777777" w:rsidR="00B67360" w:rsidRDefault="00B67360" w:rsidP="00B67360">
      <w:r>
        <w:t xml:space="preserve">The business establishment metric was not measured relative to a counterfactual. Payments were provided at a fixed rate for each business established.  </w:t>
      </w:r>
    </w:p>
    <w:p w14:paraId="5B90CC2B" w14:textId="77777777" w:rsidR="00B67360" w:rsidRDefault="00B67360" w:rsidP="00B67360">
      <w:pPr>
        <w:shd w:val="clear" w:color="auto" w:fill="FFFFFF" w:themeFill="background1"/>
      </w:pPr>
      <w:r>
        <w:t xml:space="preserve">The welfare payment for each individual participant was measured relative to a counterfactual. This compared the amount of income support payments received by each participant in the three years before participating in the program, to the amount of income support received in the three years after participating in the program. </w:t>
      </w:r>
    </w:p>
    <w:p w14:paraId="5CF58102" w14:textId="2E68E12A" w:rsidR="00B67360" w:rsidRDefault="00B67360" w:rsidP="00B67360">
      <w:pPr>
        <w:pStyle w:val="Heading3"/>
      </w:pPr>
      <w:r>
        <w:t>Pricing</w:t>
      </w:r>
    </w:p>
    <w:p w14:paraId="51631F70" w14:textId="77777777" w:rsidR="00B67360" w:rsidRDefault="00B67360" w:rsidP="00B67360">
      <w:pPr>
        <w:shd w:val="clear" w:color="auto" w:fill="FFFFFF" w:themeFill="background1"/>
        <w:spacing w:after="160" w:line="278" w:lineRule="auto"/>
      </w:pPr>
      <w:r>
        <w:t xml:space="preserve">The payment terms agreed by the commissioner (the Department of Social Services) and Many Rivers at the start of the PBO were as follows: </w:t>
      </w:r>
    </w:p>
    <w:p w14:paraId="62B9F33D" w14:textId="77777777" w:rsidR="00B67360" w:rsidRPr="00D93909" w:rsidRDefault="00B67360" w:rsidP="00B67360">
      <w:pPr>
        <w:pStyle w:val="ListParagraph"/>
        <w:shd w:val="clear" w:color="auto" w:fill="FFFFFF" w:themeFill="background1"/>
      </w:pPr>
      <w:r w:rsidRPr="00D93909">
        <w:t>Cap on funding: a maximum of $3.8 million</w:t>
      </w:r>
      <w:r>
        <w:t xml:space="preserve"> was available under the contract. </w:t>
      </w:r>
    </w:p>
    <w:p w14:paraId="12B5460D" w14:textId="77777777" w:rsidR="00B67360" w:rsidRDefault="00B67360" w:rsidP="00B67360">
      <w:pPr>
        <w:pStyle w:val="ListParagraph"/>
        <w:shd w:val="clear" w:color="auto" w:fill="FFFFFF" w:themeFill="background1"/>
      </w:pPr>
      <w:r w:rsidRPr="00D93909">
        <w:t>Proportion of fixed funding: around 40% of the expected funding ($1.3 million in total)</w:t>
      </w:r>
      <w:r>
        <w:t xml:space="preserve"> was paid up front to support service delivery. </w:t>
      </w:r>
    </w:p>
    <w:p w14:paraId="4F4D20DC" w14:textId="77777777" w:rsidR="00B67360" w:rsidRDefault="00B67360" w:rsidP="00B67360">
      <w:pPr>
        <w:pStyle w:val="ListParagraph"/>
        <w:shd w:val="clear" w:color="auto" w:fill="FFFFFF" w:themeFill="background1"/>
      </w:pPr>
      <w:r>
        <w:t xml:space="preserve">Outcomes Payments: The </w:t>
      </w:r>
      <w:r w:rsidRPr="00D93909">
        <w:t>remaining 60%</w:t>
      </w:r>
      <w:r>
        <w:t xml:space="preserve"> was</w:t>
      </w:r>
      <w:r w:rsidRPr="00D93909">
        <w:t xml:space="preserve"> linked to outcomes </w:t>
      </w:r>
      <w:r>
        <w:t xml:space="preserve">payments </w:t>
      </w:r>
      <w:r w:rsidRPr="00D93909">
        <w:t>($2</w:t>
      </w:r>
      <w:r>
        <w:t> </w:t>
      </w:r>
      <w:r w:rsidRPr="00D93909">
        <w:t>million)</w:t>
      </w:r>
      <w:r>
        <w:t xml:space="preserve"> split across two outcomes metrics. This included: </w:t>
      </w:r>
    </w:p>
    <w:p w14:paraId="5CF28457" w14:textId="77777777" w:rsidR="00B67360" w:rsidRDefault="00B67360" w:rsidP="00B67360">
      <w:pPr>
        <w:pStyle w:val="ListParagraph"/>
        <w:numPr>
          <w:ilvl w:val="1"/>
          <w:numId w:val="18"/>
        </w:numPr>
        <w:shd w:val="clear" w:color="auto" w:fill="FFFFFF" w:themeFill="background1"/>
        <w:ind w:left="851"/>
      </w:pPr>
      <w:r w:rsidRPr="00D93909">
        <w:t xml:space="preserve">$4,500 </w:t>
      </w:r>
      <w:r>
        <w:t xml:space="preserve">was paid for every </w:t>
      </w:r>
      <w:r w:rsidRPr="00D93909">
        <w:t>business established</w:t>
      </w:r>
      <w:r>
        <w:t>;</w:t>
      </w:r>
      <w:r w:rsidRPr="00D93909">
        <w:t xml:space="preserve"> </w:t>
      </w:r>
      <w:r>
        <w:t>and</w:t>
      </w:r>
    </w:p>
    <w:p w14:paraId="5ECBF770" w14:textId="77777777" w:rsidR="00B67360" w:rsidRDefault="00B67360" w:rsidP="00B67360">
      <w:pPr>
        <w:pStyle w:val="ListParagraph"/>
        <w:numPr>
          <w:ilvl w:val="1"/>
          <w:numId w:val="18"/>
        </w:numPr>
        <w:shd w:val="clear" w:color="auto" w:fill="FFFFFF" w:themeFill="background1"/>
        <w:ind w:left="851"/>
      </w:pPr>
      <w:r w:rsidRPr="00754FCA">
        <w:t xml:space="preserve">$0.50 </w:t>
      </w:r>
      <w:r>
        <w:t>of every</w:t>
      </w:r>
      <w:r w:rsidRPr="00754FCA">
        <w:t xml:space="preserve"> $1 of welfare savings recorded</w:t>
      </w:r>
      <w:r>
        <w:t xml:space="preserve"> over three years, was paid to the service provider. </w:t>
      </w:r>
    </w:p>
    <w:p w14:paraId="51E06ADD" w14:textId="77777777" w:rsidR="00B67360" w:rsidRPr="00A87353" w:rsidRDefault="00B67360" w:rsidP="00B67360">
      <w:pPr>
        <w:pStyle w:val="Heading2"/>
        <w:pBdr>
          <w:top w:val="single" w:sz="36" w:space="1" w:color="C1E4F5"/>
          <w:left w:val="single" w:sz="36" w:space="4" w:color="C1E4F5"/>
          <w:bottom w:val="single" w:sz="36" w:space="1" w:color="C1E4F5"/>
          <w:right w:val="single" w:sz="36" w:space="4" w:color="C1E4F5"/>
        </w:pBdr>
        <w:rPr>
          <w:b/>
          <w:bCs w:val="0"/>
        </w:rPr>
      </w:pPr>
      <w:r w:rsidRPr="00A87353">
        <w:rPr>
          <w:b/>
          <w:bCs w:val="0"/>
        </w:rPr>
        <w:lastRenderedPageBreak/>
        <w:t>Learn more</w:t>
      </w:r>
    </w:p>
    <w:p w14:paraId="29707EB2" w14:textId="77777777" w:rsidR="00B67360" w:rsidRPr="009C44E8" w:rsidRDefault="00B67360" w:rsidP="00B67360">
      <w:pPr>
        <w:pStyle w:val="ListParagraph"/>
        <w:pBdr>
          <w:top w:val="single" w:sz="36" w:space="1" w:color="C1E4F5"/>
          <w:left w:val="single" w:sz="36" w:space="4" w:color="C1E4F5"/>
          <w:bottom w:val="single" w:sz="36" w:space="1" w:color="C1E4F5"/>
          <w:right w:val="single" w:sz="36" w:space="4" w:color="C1E4F5"/>
        </w:pBdr>
        <w:rPr>
          <w:b/>
          <w:bCs/>
          <w:sz w:val="18"/>
          <w:szCs w:val="18"/>
        </w:rPr>
      </w:pPr>
      <w:r w:rsidRPr="009C44E8">
        <w:rPr>
          <w:sz w:val="20"/>
          <w:szCs w:val="20"/>
        </w:rPr>
        <w:t xml:space="preserve">Understand the basics of outcomes-based contracting in </w:t>
      </w:r>
      <w:r w:rsidRPr="009C44E8">
        <w:rPr>
          <w:b/>
          <w:bCs/>
          <w:sz w:val="20"/>
          <w:szCs w:val="20"/>
        </w:rPr>
        <w:t xml:space="preserve">Introduction to outcomes-based contracting </w:t>
      </w:r>
    </w:p>
    <w:p w14:paraId="5BB94768" w14:textId="77777777" w:rsidR="00B67360" w:rsidRPr="009C44E8" w:rsidRDefault="00B67360" w:rsidP="00B67360">
      <w:pPr>
        <w:pStyle w:val="ListParagraph"/>
        <w:pBdr>
          <w:top w:val="single" w:sz="36" w:space="1" w:color="C1E4F5"/>
          <w:left w:val="single" w:sz="36" w:space="4" w:color="C1E4F5"/>
          <w:bottom w:val="single" w:sz="36" w:space="1" w:color="C1E4F5"/>
          <w:right w:val="single" w:sz="36" w:space="4" w:color="C1E4F5"/>
        </w:pBdr>
        <w:rPr>
          <w:b/>
          <w:bCs/>
          <w:sz w:val="18"/>
          <w:szCs w:val="18"/>
        </w:rPr>
      </w:pPr>
      <w:r w:rsidRPr="009C44E8">
        <w:rPr>
          <w:sz w:val="20"/>
          <w:szCs w:val="20"/>
        </w:rPr>
        <w:t xml:space="preserve">Define who a service is for in </w:t>
      </w:r>
      <w:r w:rsidRPr="009C44E8">
        <w:rPr>
          <w:b/>
          <w:bCs/>
          <w:sz w:val="20"/>
          <w:szCs w:val="20"/>
        </w:rPr>
        <w:t>Identifying a Target Cohort guidance</w:t>
      </w:r>
    </w:p>
    <w:p w14:paraId="6DF54B54" w14:textId="77777777" w:rsidR="00B67360" w:rsidRPr="009C44E8" w:rsidRDefault="00B67360" w:rsidP="00B67360">
      <w:pPr>
        <w:pStyle w:val="ListParagraph"/>
        <w:pBdr>
          <w:top w:val="single" w:sz="36" w:space="1" w:color="C1E4F5"/>
          <w:left w:val="single" w:sz="36" w:space="4" w:color="C1E4F5"/>
          <w:bottom w:val="single" w:sz="36" w:space="1" w:color="C1E4F5"/>
          <w:right w:val="single" w:sz="36" w:space="4" w:color="C1E4F5"/>
        </w:pBdr>
        <w:rPr>
          <w:b/>
          <w:bCs/>
          <w:sz w:val="18"/>
          <w:szCs w:val="18"/>
        </w:rPr>
      </w:pPr>
      <w:r w:rsidRPr="009C44E8">
        <w:rPr>
          <w:sz w:val="20"/>
          <w:szCs w:val="20"/>
        </w:rPr>
        <w:t xml:space="preserve">Identify indicators of real-world changes in </w:t>
      </w:r>
      <w:r w:rsidRPr="009C44E8">
        <w:rPr>
          <w:b/>
          <w:bCs/>
          <w:sz w:val="20"/>
          <w:szCs w:val="20"/>
        </w:rPr>
        <w:t>Defining Outcome Metrics guidance</w:t>
      </w:r>
    </w:p>
    <w:p w14:paraId="7657BA97" w14:textId="77777777" w:rsidR="00B67360" w:rsidRPr="009C44E8" w:rsidRDefault="00B67360" w:rsidP="00B67360">
      <w:pPr>
        <w:pStyle w:val="ListParagraph"/>
        <w:pBdr>
          <w:top w:val="single" w:sz="36" w:space="1" w:color="C1E4F5"/>
          <w:left w:val="single" w:sz="36" w:space="4" w:color="C1E4F5"/>
          <w:bottom w:val="single" w:sz="36" w:space="1" w:color="C1E4F5"/>
          <w:right w:val="single" w:sz="36" w:space="4" w:color="C1E4F5"/>
        </w:pBdr>
        <w:rPr>
          <w:sz w:val="18"/>
          <w:szCs w:val="18"/>
        </w:rPr>
      </w:pPr>
      <w:r w:rsidRPr="009C44E8">
        <w:rPr>
          <w:sz w:val="20"/>
          <w:szCs w:val="20"/>
        </w:rPr>
        <w:t xml:space="preserve">Develop an approach to assessing impact in </w:t>
      </w:r>
      <w:r w:rsidRPr="009C44E8">
        <w:rPr>
          <w:b/>
          <w:bCs/>
          <w:sz w:val="20"/>
          <w:szCs w:val="20"/>
        </w:rPr>
        <w:t>Understanding Outcome Measurement guidance</w:t>
      </w:r>
    </w:p>
    <w:p w14:paraId="1E9E3469" w14:textId="77777777" w:rsidR="00B67360" w:rsidRPr="009C44E8" w:rsidRDefault="00B67360" w:rsidP="00B67360">
      <w:pPr>
        <w:pStyle w:val="ListParagraph"/>
        <w:pBdr>
          <w:top w:val="single" w:sz="36" w:space="1" w:color="C1E4F5"/>
          <w:left w:val="single" w:sz="36" w:space="4" w:color="C1E4F5"/>
          <w:bottom w:val="single" w:sz="36" w:space="1" w:color="C1E4F5"/>
          <w:right w:val="single" w:sz="36" w:space="4" w:color="C1E4F5"/>
        </w:pBdr>
        <w:rPr>
          <w:b/>
          <w:bCs/>
          <w:sz w:val="18"/>
          <w:szCs w:val="18"/>
        </w:rPr>
      </w:pPr>
      <w:r w:rsidRPr="009C44E8">
        <w:rPr>
          <w:sz w:val="20"/>
          <w:szCs w:val="20"/>
        </w:rPr>
        <w:t xml:space="preserve">Self-assess your readiness for outcomes-based contracting in the </w:t>
      </w:r>
      <w:r w:rsidRPr="009C44E8">
        <w:rPr>
          <w:b/>
          <w:bCs/>
          <w:sz w:val="20"/>
          <w:szCs w:val="20"/>
        </w:rPr>
        <w:t>Readiness Checklist</w:t>
      </w:r>
    </w:p>
    <w:p w14:paraId="1DDB7F18" w14:textId="77777777" w:rsidR="002A4D16" w:rsidRPr="00ED1335" w:rsidRDefault="002A4D16" w:rsidP="00C93B0A">
      <w:pPr>
        <w:pStyle w:val="Smalltext"/>
        <w:rPr>
          <w:lang w:val="en-AU"/>
        </w:rPr>
      </w:pPr>
    </w:p>
    <w:sectPr w:rsidR="002A4D16" w:rsidRPr="00ED1335" w:rsidSect="00D55FB9">
      <w:headerReference w:type="default" r:id="rId17"/>
      <w:headerReference w:type="first" r:id="rId18"/>
      <w:footerReference w:type="first" r:id="rId19"/>
      <w:pgSz w:w="11906" w:h="16838"/>
      <w:pgMar w:top="851" w:right="851" w:bottom="851"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0750" w14:textId="77777777" w:rsidR="00321142" w:rsidRDefault="00321142" w:rsidP="008F3023">
      <w:pPr>
        <w:spacing w:after="0" w:line="240" w:lineRule="auto"/>
      </w:pPr>
      <w:r>
        <w:separator/>
      </w:r>
    </w:p>
  </w:endnote>
  <w:endnote w:type="continuationSeparator" w:id="0">
    <w:p w14:paraId="15DD46FA" w14:textId="77777777" w:rsidR="00321142" w:rsidRDefault="00321142" w:rsidP="008F3023">
      <w:pPr>
        <w:spacing w:after="0" w:line="240" w:lineRule="auto"/>
      </w:pPr>
      <w:r>
        <w:continuationSeparator/>
      </w:r>
    </w:p>
  </w:endnote>
  <w:endnote w:type="continuationNotice" w:id="1">
    <w:p w14:paraId="2F67CAC0" w14:textId="77777777" w:rsidR="00321142" w:rsidRDefault="003211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3872" w14:textId="77777777" w:rsidR="00B67360" w:rsidRDefault="00B67360" w:rsidP="00D86E50">
    <w:pPr>
      <w:tabs>
        <w:tab w:val="left" w:pos="3040"/>
      </w:tabs>
      <w:jc w:val="center"/>
    </w:pPr>
    <w:r>
      <w:rPr>
        <w:noProof/>
        <w:color w:val="2B579A"/>
        <w:shd w:val="clear" w:color="auto" w:fill="E6E6E6"/>
        <w:lang w:eastAsia="en-AU"/>
      </w:rPr>
      <w:drawing>
        <wp:anchor distT="0" distB="0" distL="114300" distR="114300" simplePos="0" relativeHeight="251658242" behindDoc="1" locked="0" layoutInCell="1" allowOverlap="1" wp14:anchorId="7EDA10F4" wp14:editId="0EC95455">
          <wp:simplePos x="0" y="0"/>
          <wp:positionH relativeFrom="page">
            <wp:posOffset>34945</wp:posOffset>
          </wp:positionH>
          <wp:positionV relativeFrom="page">
            <wp:align>bottom</wp:align>
          </wp:positionV>
          <wp:extent cx="7574400" cy="1184400"/>
          <wp:effectExtent l="0" t="0" r="7620" b="0"/>
          <wp:wrapNone/>
          <wp:docPr id="695794254" name="Picture 69579425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29741419"/>
        <w:docPartObj>
          <w:docPartGallery w:val="Page Numbers (Bottom of Page)"/>
          <w:docPartUnique/>
        </w:docPartObj>
      </w:sdtPr>
      <w:sdtEndPr>
        <w:rPr>
          <w:noProof/>
          <w:color w:val="auto"/>
          <w:shd w:val="clear" w:color="auto" w:fill="auto"/>
        </w:rPr>
      </w:sdtEndPr>
      <w:sdtContent/>
    </w:sdt>
  </w:p>
  <w:p w14:paraId="11D62863" w14:textId="77777777" w:rsidR="00B67360" w:rsidRDefault="00B67360" w:rsidP="00B10EB1">
    <w:pPr>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B036" w14:textId="77777777" w:rsidR="00D55FB9" w:rsidRDefault="00D55FB9" w:rsidP="00D86E50">
    <w:pPr>
      <w:tabs>
        <w:tab w:val="left" w:pos="3040"/>
      </w:tabs>
      <w:jc w:val="center"/>
    </w:pPr>
    <w:r>
      <w:rPr>
        <w:noProof/>
        <w:color w:val="2B579A"/>
        <w:shd w:val="clear" w:color="auto" w:fill="E6E6E6"/>
        <w:lang w:eastAsia="en-AU"/>
      </w:rPr>
      <w:drawing>
        <wp:anchor distT="0" distB="0" distL="114300" distR="114300" simplePos="0" relativeHeight="251658241" behindDoc="1" locked="0" layoutInCell="1" allowOverlap="1" wp14:anchorId="26B740BF" wp14:editId="5F3BB5C7">
          <wp:simplePos x="0" y="0"/>
          <wp:positionH relativeFrom="page">
            <wp:posOffset>34945</wp:posOffset>
          </wp:positionH>
          <wp:positionV relativeFrom="page">
            <wp:align>bottom</wp:align>
          </wp:positionV>
          <wp:extent cx="7574400" cy="1184400"/>
          <wp:effectExtent l="0" t="0" r="7620" b="0"/>
          <wp:wrapNone/>
          <wp:docPr id="1562187584" name="Picture 156218758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50632416"/>
        <w:docPartObj>
          <w:docPartGallery w:val="Page Numbers (Bottom of Page)"/>
          <w:docPartUnique/>
        </w:docPartObj>
      </w:sdtPr>
      <w:sdtEndPr>
        <w:rPr>
          <w:noProof/>
          <w:color w:val="auto"/>
          <w:shd w:val="clear" w:color="auto" w:fill="auto"/>
        </w:rPr>
      </w:sdtEndPr>
      <w:sdtContent/>
    </w:sdt>
  </w:p>
  <w:p w14:paraId="3901D3BF" w14:textId="77777777" w:rsidR="00D55FB9" w:rsidRDefault="00D55FB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56C64" w14:textId="77777777" w:rsidR="00321142" w:rsidRDefault="00321142" w:rsidP="008F3023">
      <w:pPr>
        <w:spacing w:after="0" w:line="240" w:lineRule="auto"/>
      </w:pPr>
      <w:r>
        <w:separator/>
      </w:r>
    </w:p>
  </w:footnote>
  <w:footnote w:type="continuationSeparator" w:id="0">
    <w:p w14:paraId="1543638A" w14:textId="77777777" w:rsidR="00321142" w:rsidRDefault="00321142" w:rsidP="008F3023">
      <w:pPr>
        <w:spacing w:after="0" w:line="240" w:lineRule="auto"/>
      </w:pPr>
      <w:r>
        <w:continuationSeparator/>
      </w:r>
    </w:p>
  </w:footnote>
  <w:footnote w:type="continuationNotice" w:id="1">
    <w:p w14:paraId="3C5C0B4E" w14:textId="77777777" w:rsidR="00321142" w:rsidRDefault="003211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2019" w14:textId="77777777" w:rsidR="00B67360" w:rsidRDefault="00B67360" w:rsidP="000E29D7">
    <w:pPr>
      <w:pStyle w:val="Header"/>
    </w:pPr>
    <w:r>
      <w:rPr>
        <w:noProof/>
        <w:shd w:val="clear" w:color="auto" w:fill="E6E6E6"/>
        <w:lang w:eastAsia="en-AU"/>
      </w:rPr>
      <w:drawing>
        <wp:anchor distT="0" distB="0" distL="114300" distR="114300" simplePos="0" relativeHeight="251658243" behindDoc="1" locked="0" layoutInCell="1" allowOverlap="1" wp14:anchorId="6650728B" wp14:editId="374727B2">
          <wp:simplePos x="0" y="0"/>
          <wp:positionH relativeFrom="page">
            <wp:align>left</wp:align>
          </wp:positionH>
          <wp:positionV relativeFrom="page">
            <wp:align>bottom</wp:align>
          </wp:positionV>
          <wp:extent cx="7563600" cy="1184400"/>
          <wp:effectExtent l="0" t="0" r="0" b="0"/>
          <wp:wrapNone/>
          <wp:docPr id="1753256600" name="Picture 175325660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B267" w14:textId="77777777" w:rsidR="00B67360" w:rsidRDefault="00B67360" w:rsidP="000E2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4478" w14:textId="77777777" w:rsidR="00D55FB9" w:rsidRDefault="00D55FB9" w:rsidP="000E29D7">
    <w:pPr>
      <w:pStyle w:val="Header"/>
    </w:pPr>
    <w:r>
      <w:rPr>
        <w:noProof/>
        <w:shd w:val="clear" w:color="auto" w:fill="E6E6E6"/>
        <w:lang w:eastAsia="en-AU"/>
      </w:rPr>
      <w:drawing>
        <wp:anchor distT="0" distB="0" distL="114300" distR="114300" simplePos="0" relativeHeight="251658240" behindDoc="1" locked="0" layoutInCell="1" allowOverlap="1" wp14:anchorId="2061FBE6" wp14:editId="6A09796C">
          <wp:simplePos x="0" y="0"/>
          <wp:positionH relativeFrom="page">
            <wp:align>left</wp:align>
          </wp:positionH>
          <wp:positionV relativeFrom="page">
            <wp:align>bottom</wp:align>
          </wp:positionV>
          <wp:extent cx="7563600" cy="1184400"/>
          <wp:effectExtent l="0" t="0" r="0" b="0"/>
          <wp:wrapNone/>
          <wp:docPr id="237759878" name="Picture 23775987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2065" w14:textId="77777777" w:rsidR="00D55FB9" w:rsidRDefault="00D55FB9" w:rsidP="000E2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81B2546"/>
    <w:multiLevelType w:val="hybridMultilevel"/>
    <w:tmpl w:val="6DE2E4BA"/>
    <w:lvl w:ilvl="0" w:tplc="7450AB30">
      <w:start w:val="1"/>
      <w:numFmt w:val="bullet"/>
      <w:pStyle w:val="ListParagraph"/>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DF057C3"/>
    <w:multiLevelType w:val="multilevel"/>
    <w:tmpl w:val="9FDEB948"/>
    <w:numStyleLink w:val="DSSBulletList"/>
  </w:abstractNum>
  <w:abstractNum w:abstractNumId="4"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223805"/>
    <w:multiLevelType w:val="multilevel"/>
    <w:tmpl w:val="9FDEB948"/>
    <w:numStyleLink w:val="DSSBulletList"/>
  </w:abstractNum>
  <w:abstractNum w:abstractNumId="11" w15:restartNumberingAfterBreak="0">
    <w:nsid w:val="49824738"/>
    <w:multiLevelType w:val="multilevel"/>
    <w:tmpl w:val="9FDEB948"/>
    <w:numStyleLink w:val="DSSBulletList"/>
  </w:abstractNum>
  <w:abstractNum w:abstractNumId="12" w15:restartNumberingAfterBreak="0">
    <w:nsid w:val="49CC697D"/>
    <w:multiLevelType w:val="hybridMultilevel"/>
    <w:tmpl w:val="5498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6" w15:restartNumberingAfterBreak="0">
    <w:nsid w:val="76074ECA"/>
    <w:multiLevelType w:val="multilevel"/>
    <w:tmpl w:val="9FDEB948"/>
    <w:numStyleLink w:val="DSSBulletList"/>
  </w:abstractNum>
  <w:abstractNum w:abstractNumId="1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17"/>
  </w:num>
  <w:num w:numId="2" w16cid:durableId="603616384">
    <w:abstractNumId w:val="15"/>
  </w:num>
  <w:num w:numId="3" w16cid:durableId="1776898335">
    <w:abstractNumId w:val="1"/>
  </w:num>
  <w:num w:numId="4" w16cid:durableId="2095198095">
    <w:abstractNumId w:val="8"/>
  </w:num>
  <w:num w:numId="5" w16cid:durableId="1272399657">
    <w:abstractNumId w:val="14"/>
  </w:num>
  <w:num w:numId="6" w16cid:durableId="49574427">
    <w:abstractNumId w:val="7"/>
  </w:num>
  <w:num w:numId="7" w16cid:durableId="1516722866">
    <w:abstractNumId w:val="4"/>
  </w:num>
  <w:num w:numId="8" w16cid:durableId="164823704">
    <w:abstractNumId w:val="6"/>
  </w:num>
  <w:num w:numId="9" w16cid:durableId="1422482963">
    <w:abstractNumId w:val="13"/>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1"/>
  </w:num>
  <w:num w:numId="13" w16cid:durableId="1936858350">
    <w:abstractNumId w:val="5"/>
  </w:num>
  <w:num w:numId="14" w16cid:durableId="1314525174">
    <w:abstractNumId w:val="9"/>
  </w:num>
  <w:num w:numId="15" w16cid:durableId="843473068">
    <w:abstractNumId w:val="16"/>
  </w:num>
  <w:num w:numId="16" w16cid:durableId="287008484">
    <w:abstractNumId w:val="3"/>
  </w:num>
  <w:num w:numId="17" w16cid:durableId="2046100428">
    <w:abstractNumId w:val="10"/>
  </w:num>
  <w:num w:numId="18" w16cid:durableId="1585528455">
    <w:abstractNumId w:val="2"/>
  </w:num>
  <w:num w:numId="19" w16cid:durableId="1475247350">
    <w:abstractNumId w:val="12"/>
  </w:num>
  <w:num w:numId="20" w16cid:durableId="1760132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3006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A4"/>
    <w:rsid w:val="00000825"/>
    <w:rsid w:val="00000AB1"/>
    <w:rsid w:val="00002557"/>
    <w:rsid w:val="00003F94"/>
    <w:rsid w:val="000058F1"/>
    <w:rsid w:val="000140B8"/>
    <w:rsid w:val="00014BD3"/>
    <w:rsid w:val="00022D58"/>
    <w:rsid w:val="000317E3"/>
    <w:rsid w:val="000318B7"/>
    <w:rsid w:val="00033C4F"/>
    <w:rsid w:val="000378C4"/>
    <w:rsid w:val="00037D97"/>
    <w:rsid w:val="00037E3E"/>
    <w:rsid w:val="0004140D"/>
    <w:rsid w:val="00044684"/>
    <w:rsid w:val="00046C31"/>
    <w:rsid w:val="00054F5F"/>
    <w:rsid w:val="00056709"/>
    <w:rsid w:val="00060714"/>
    <w:rsid w:val="00064140"/>
    <w:rsid w:val="00065A13"/>
    <w:rsid w:val="00065DCF"/>
    <w:rsid w:val="00071364"/>
    <w:rsid w:val="0007287E"/>
    <w:rsid w:val="00074080"/>
    <w:rsid w:val="00074AED"/>
    <w:rsid w:val="000750D2"/>
    <w:rsid w:val="00076284"/>
    <w:rsid w:val="00076901"/>
    <w:rsid w:val="00076F36"/>
    <w:rsid w:val="00081610"/>
    <w:rsid w:val="00083939"/>
    <w:rsid w:val="00091ABE"/>
    <w:rsid w:val="000A0235"/>
    <w:rsid w:val="000A4799"/>
    <w:rsid w:val="000B5EF5"/>
    <w:rsid w:val="000B6BDD"/>
    <w:rsid w:val="000B7635"/>
    <w:rsid w:val="000B7D80"/>
    <w:rsid w:val="000C2499"/>
    <w:rsid w:val="000C35D0"/>
    <w:rsid w:val="000C4A0F"/>
    <w:rsid w:val="000D0755"/>
    <w:rsid w:val="000D10E7"/>
    <w:rsid w:val="000D1B63"/>
    <w:rsid w:val="000D5965"/>
    <w:rsid w:val="000E28C0"/>
    <w:rsid w:val="000E29D7"/>
    <w:rsid w:val="000E6227"/>
    <w:rsid w:val="000F2B5A"/>
    <w:rsid w:val="000F5B57"/>
    <w:rsid w:val="000F7266"/>
    <w:rsid w:val="000F75FC"/>
    <w:rsid w:val="00130233"/>
    <w:rsid w:val="001510D7"/>
    <w:rsid w:val="0015124A"/>
    <w:rsid w:val="001573F3"/>
    <w:rsid w:val="00157A93"/>
    <w:rsid w:val="00161696"/>
    <w:rsid w:val="00173731"/>
    <w:rsid w:val="001803F7"/>
    <w:rsid w:val="001843EB"/>
    <w:rsid w:val="001856A3"/>
    <w:rsid w:val="00186709"/>
    <w:rsid w:val="001900B2"/>
    <w:rsid w:val="00192AB5"/>
    <w:rsid w:val="001A3D35"/>
    <w:rsid w:val="001A4AF9"/>
    <w:rsid w:val="001A7461"/>
    <w:rsid w:val="001B2BF6"/>
    <w:rsid w:val="001B4C2A"/>
    <w:rsid w:val="001C422E"/>
    <w:rsid w:val="001C4603"/>
    <w:rsid w:val="001C64F8"/>
    <w:rsid w:val="001D0F6D"/>
    <w:rsid w:val="001E39FC"/>
    <w:rsid w:val="001E60D6"/>
    <w:rsid w:val="001E630D"/>
    <w:rsid w:val="001F5ED6"/>
    <w:rsid w:val="001F5EF5"/>
    <w:rsid w:val="001F6546"/>
    <w:rsid w:val="002011E5"/>
    <w:rsid w:val="00201C6D"/>
    <w:rsid w:val="002141E1"/>
    <w:rsid w:val="00214210"/>
    <w:rsid w:val="00214738"/>
    <w:rsid w:val="002172D9"/>
    <w:rsid w:val="002203A1"/>
    <w:rsid w:val="0022162B"/>
    <w:rsid w:val="002226D0"/>
    <w:rsid w:val="00223FA8"/>
    <w:rsid w:val="00225112"/>
    <w:rsid w:val="002346B5"/>
    <w:rsid w:val="00235DB6"/>
    <w:rsid w:val="002408DC"/>
    <w:rsid w:val="00240A6E"/>
    <w:rsid w:val="00240F02"/>
    <w:rsid w:val="00242D59"/>
    <w:rsid w:val="0024524B"/>
    <w:rsid w:val="00247CA9"/>
    <w:rsid w:val="002532C0"/>
    <w:rsid w:val="00254A70"/>
    <w:rsid w:val="00261DE6"/>
    <w:rsid w:val="00262CDD"/>
    <w:rsid w:val="002642B1"/>
    <w:rsid w:val="00265257"/>
    <w:rsid w:val="00266145"/>
    <w:rsid w:val="00266B26"/>
    <w:rsid w:val="00266B95"/>
    <w:rsid w:val="00267A25"/>
    <w:rsid w:val="002700BB"/>
    <w:rsid w:val="0027075A"/>
    <w:rsid w:val="002707B6"/>
    <w:rsid w:val="002755A4"/>
    <w:rsid w:val="00275EA9"/>
    <w:rsid w:val="00281C99"/>
    <w:rsid w:val="00281DFB"/>
    <w:rsid w:val="00282835"/>
    <w:rsid w:val="00295471"/>
    <w:rsid w:val="00295934"/>
    <w:rsid w:val="00297FC8"/>
    <w:rsid w:val="002A40F5"/>
    <w:rsid w:val="002A4D16"/>
    <w:rsid w:val="002A6F61"/>
    <w:rsid w:val="002A75DF"/>
    <w:rsid w:val="002B3CC6"/>
    <w:rsid w:val="002B58B9"/>
    <w:rsid w:val="002B626A"/>
    <w:rsid w:val="002B7002"/>
    <w:rsid w:val="002D32AA"/>
    <w:rsid w:val="002E0DD3"/>
    <w:rsid w:val="002E17BD"/>
    <w:rsid w:val="002E4F38"/>
    <w:rsid w:val="002F2AD3"/>
    <w:rsid w:val="002F4CF8"/>
    <w:rsid w:val="002F667C"/>
    <w:rsid w:val="003021F2"/>
    <w:rsid w:val="00303B38"/>
    <w:rsid w:val="003042A4"/>
    <w:rsid w:val="003100E1"/>
    <w:rsid w:val="00311FC7"/>
    <w:rsid w:val="00314451"/>
    <w:rsid w:val="003166E0"/>
    <w:rsid w:val="00317169"/>
    <w:rsid w:val="00317746"/>
    <w:rsid w:val="00321142"/>
    <w:rsid w:val="003212D9"/>
    <w:rsid w:val="00323667"/>
    <w:rsid w:val="003271F0"/>
    <w:rsid w:val="00330E3E"/>
    <w:rsid w:val="00331639"/>
    <w:rsid w:val="00331DEA"/>
    <w:rsid w:val="00335A14"/>
    <w:rsid w:val="00337926"/>
    <w:rsid w:val="003420D0"/>
    <w:rsid w:val="003443F5"/>
    <w:rsid w:val="00347279"/>
    <w:rsid w:val="003475B6"/>
    <w:rsid w:val="00347FE0"/>
    <w:rsid w:val="0035380D"/>
    <w:rsid w:val="00353E11"/>
    <w:rsid w:val="00355D7B"/>
    <w:rsid w:val="00360364"/>
    <w:rsid w:val="0036088A"/>
    <w:rsid w:val="003616E2"/>
    <w:rsid w:val="00363FD6"/>
    <w:rsid w:val="00364F48"/>
    <w:rsid w:val="0038044C"/>
    <w:rsid w:val="003978F7"/>
    <w:rsid w:val="003A2512"/>
    <w:rsid w:val="003A3A9A"/>
    <w:rsid w:val="003A70C3"/>
    <w:rsid w:val="003A7612"/>
    <w:rsid w:val="003B0678"/>
    <w:rsid w:val="003B0D19"/>
    <w:rsid w:val="003B2BB8"/>
    <w:rsid w:val="003B4AE0"/>
    <w:rsid w:val="003B6F90"/>
    <w:rsid w:val="003B6FAF"/>
    <w:rsid w:val="003B7424"/>
    <w:rsid w:val="003C1645"/>
    <w:rsid w:val="003C2331"/>
    <w:rsid w:val="003C7303"/>
    <w:rsid w:val="003D34FF"/>
    <w:rsid w:val="003D62C8"/>
    <w:rsid w:val="003E03F8"/>
    <w:rsid w:val="003E0A57"/>
    <w:rsid w:val="003E0CA7"/>
    <w:rsid w:val="003E10A6"/>
    <w:rsid w:val="003E2B62"/>
    <w:rsid w:val="003E7673"/>
    <w:rsid w:val="003E7EEE"/>
    <w:rsid w:val="003F0661"/>
    <w:rsid w:val="003F112C"/>
    <w:rsid w:val="0040002F"/>
    <w:rsid w:val="00403055"/>
    <w:rsid w:val="00405B20"/>
    <w:rsid w:val="00415340"/>
    <w:rsid w:val="00415B6C"/>
    <w:rsid w:val="004220FC"/>
    <w:rsid w:val="004243F2"/>
    <w:rsid w:val="004262FC"/>
    <w:rsid w:val="0043026A"/>
    <w:rsid w:val="00431278"/>
    <w:rsid w:val="00433480"/>
    <w:rsid w:val="004354C2"/>
    <w:rsid w:val="004354E6"/>
    <w:rsid w:val="00437B00"/>
    <w:rsid w:val="00440CB8"/>
    <w:rsid w:val="00441FD7"/>
    <w:rsid w:val="00443697"/>
    <w:rsid w:val="0044466B"/>
    <w:rsid w:val="00451C7E"/>
    <w:rsid w:val="0045365D"/>
    <w:rsid w:val="004555D5"/>
    <w:rsid w:val="00461033"/>
    <w:rsid w:val="00466DDB"/>
    <w:rsid w:val="0047044E"/>
    <w:rsid w:val="00471275"/>
    <w:rsid w:val="00471456"/>
    <w:rsid w:val="0047261D"/>
    <w:rsid w:val="00480D3E"/>
    <w:rsid w:val="00481EAA"/>
    <w:rsid w:val="004837A4"/>
    <w:rsid w:val="00486EC0"/>
    <w:rsid w:val="00490516"/>
    <w:rsid w:val="00490F3B"/>
    <w:rsid w:val="00491310"/>
    <w:rsid w:val="004950F6"/>
    <w:rsid w:val="00496E3D"/>
    <w:rsid w:val="004A2151"/>
    <w:rsid w:val="004B0B76"/>
    <w:rsid w:val="004B0B9F"/>
    <w:rsid w:val="004B2E9B"/>
    <w:rsid w:val="004B5025"/>
    <w:rsid w:val="004B54CA"/>
    <w:rsid w:val="004B653B"/>
    <w:rsid w:val="004B668F"/>
    <w:rsid w:val="004D3573"/>
    <w:rsid w:val="004D7310"/>
    <w:rsid w:val="004E047A"/>
    <w:rsid w:val="004E11B4"/>
    <w:rsid w:val="004E356E"/>
    <w:rsid w:val="004E5CBF"/>
    <w:rsid w:val="004E6837"/>
    <w:rsid w:val="004E7A2C"/>
    <w:rsid w:val="004F2660"/>
    <w:rsid w:val="004F77F4"/>
    <w:rsid w:val="0050098E"/>
    <w:rsid w:val="0050168B"/>
    <w:rsid w:val="00504273"/>
    <w:rsid w:val="00504EB8"/>
    <w:rsid w:val="00506976"/>
    <w:rsid w:val="005072B0"/>
    <w:rsid w:val="00510D2D"/>
    <w:rsid w:val="00515ED5"/>
    <w:rsid w:val="0051729F"/>
    <w:rsid w:val="005175B2"/>
    <w:rsid w:val="00517AE4"/>
    <w:rsid w:val="00522101"/>
    <w:rsid w:val="005312DA"/>
    <w:rsid w:val="0053302E"/>
    <w:rsid w:val="00542B4F"/>
    <w:rsid w:val="005434F8"/>
    <w:rsid w:val="0054621C"/>
    <w:rsid w:val="0054713E"/>
    <w:rsid w:val="0055103D"/>
    <w:rsid w:val="005543A8"/>
    <w:rsid w:val="00560CBA"/>
    <w:rsid w:val="00563A40"/>
    <w:rsid w:val="0056473D"/>
    <w:rsid w:val="00567053"/>
    <w:rsid w:val="0057132D"/>
    <w:rsid w:val="0057328C"/>
    <w:rsid w:val="005806F6"/>
    <w:rsid w:val="005812D4"/>
    <w:rsid w:val="00581BB7"/>
    <w:rsid w:val="00584048"/>
    <w:rsid w:val="00584763"/>
    <w:rsid w:val="00584FC1"/>
    <w:rsid w:val="00586246"/>
    <w:rsid w:val="005877DC"/>
    <w:rsid w:val="0059023E"/>
    <w:rsid w:val="005957FF"/>
    <w:rsid w:val="00597852"/>
    <w:rsid w:val="005A344F"/>
    <w:rsid w:val="005A425A"/>
    <w:rsid w:val="005A5C09"/>
    <w:rsid w:val="005A7503"/>
    <w:rsid w:val="005A7CD2"/>
    <w:rsid w:val="005B06DE"/>
    <w:rsid w:val="005B2DCB"/>
    <w:rsid w:val="005B40DC"/>
    <w:rsid w:val="005C0DBF"/>
    <w:rsid w:val="005C3275"/>
    <w:rsid w:val="005C3AA9"/>
    <w:rsid w:val="005C5644"/>
    <w:rsid w:val="005C76C7"/>
    <w:rsid w:val="005C77C4"/>
    <w:rsid w:val="005D1F2B"/>
    <w:rsid w:val="005D6069"/>
    <w:rsid w:val="005E4AD4"/>
    <w:rsid w:val="005E4DAE"/>
    <w:rsid w:val="005E6F55"/>
    <w:rsid w:val="005F2041"/>
    <w:rsid w:val="005F5EEF"/>
    <w:rsid w:val="005F6612"/>
    <w:rsid w:val="006019F9"/>
    <w:rsid w:val="00605D02"/>
    <w:rsid w:val="006074EA"/>
    <w:rsid w:val="00613437"/>
    <w:rsid w:val="0061442B"/>
    <w:rsid w:val="0061493E"/>
    <w:rsid w:val="00620AB0"/>
    <w:rsid w:val="00623095"/>
    <w:rsid w:val="00624250"/>
    <w:rsid w:val="00626821"/>
    <w:rsid w:val="00631A2C"/>
    <w:rsid w:val="0063297E"/>
    <w:rsid w:val="00633A89"/>
    <w:rsid w:val="00633DF9"/>
    <w:rsid w:val="006345EC"/>
    <w:rsid w:val="00637929"/>
    <w:rsid w:val="00643CDC"/>
    <w:rsid w:val="006443A1"/>
    <w:rsid w:val="006516C1"/>
    <w:rsid w:val="00653C0D"/>
    <w:rsid w:val="006550CC"/>
    <w:rsid w:val="006555B8"/>
    <w:rsid w:val="00655B3F"/>
    <w:rsid w:val="00656AC7"/>
    <w:rsid w:val="00657EB6"/>
    <w:rsid w:val="00672307"/>
    <w:rsid w:val="00672E73"/>
    <w:rsid w:val="00682546"/>
    <w:rsid w:val="00683BC0"/>
    <w:rsid w:val="00686716"/>
    <w:rsid w:val="00687921"/>
    <w:rsid w:val="00693D27"/>
    <w:rsid w:val="00696CFE"/>
    <w:rsid w:val="006A0A46"/>
    <w:rsid w:val="006A0E3C"/>
    <w:rsid w:val="006A30E8"/>
    <w:rsid w:val="006A3896"/>
    <w:rsid w:val="006A4CE7"/>
    <w:rsid w:val="006A7DD3"/>
    <w:rsid w:val="006B2D84"/>
    <w:rsid w:val="006B4B38"/>
    <w:rsid w:val="006B6B62"/>
    <w:rsid w:val="006C3D8F"/>
    <w:rsid w:val="006C4EE3"/>
    <w:rsid w:val="006C574D"/>
    <w:rsid w:val="006D161A"/>
    <w:rsid w:val="006D2DA3"/>
    <w:rsid w:val="006D3A23"/>
    <w:rsid w:val="006D622A"/>
    <w:rsid w:val="006E2FE7"/>
    <w:rsid w:val="006E6CA9"/>
    <w:rsid w:val="006E6DFC"/>
    <w:rsid w:val="006F0354"/>
    <w:rsid w:val="006F1FBB"/>
    <w:rsid w:val="006F3D9C"/>
    <w:rsid w:val="00701BB6"/>
    <w:rsid w:val="007041A6"/>
    <w:rsid w:val="007065F3"/>
    <w:rsid w:val="00707379"/>
    <w:rsid w:val="007260C3"/>
    <w:rsid w:val="0072678E"/>
    <w:rsid w:val="0073320E"/>
    <w:rsid w:val="0074190C"/>
    <w:rsid w:val="00743028"/>
    <w:rsid w:val="00746215"/>
    <w:rsid w:val="0074698A"/>
    <w:rsid w:val="00746E03"/>
    <w:rsid w:val="007519B0"/>
    <w:rsid w:val="00752533"/>
    <w:rsid w:val="00753F03"/>
    <w:rsid w:val="00755DA3"/>
    <w:rsid w:val="007626E6"/>
    <w:rsid w:val="00765A7C"/>
    <w:rsid w:val="00772E81"/>
    <w:rsid w:val="00782AFF"/>
    <w:rsid w:val="00785261"/>
    <w:rsid w:val="007929FE"/>
    <w:rsid w:val="00794157"/>
    <w:rsid w:val="00795CEA"/>
    <w:rsid w:val="00796D42"/>
    <w:rsid w:val="007A291F"/>
    <w:rsid w:val="007A4309"/>
    <w:rsid w:val="007B0256"/>
    <w:rsid w:val="007B11F7"/>
    <w:rsid w:val="007C366C"/>
    <w:rsid w:val="007C3D2E"/>
    <w:rsid w:val="007D052A"/>
    <w:rsid w:val="007D08AA"/>
    <w:rsid w:val="007D1091"/>
    <w:rsid w:val="007D1C2F"/>
    <w:rsid w:val="007D30A2"/>
    <w:rsid w:val="007E007C"/>
    <w:rsid w:val="007E05B4"/>
    <w:rsid w:val="007E24B1"/>
    <w:rsid w:val="007E3959"/>
    <w:rsid w:val="007E3B8B"/>
    <w:rsid w:val="007F1F66"/>
    <w:rsid w:val="008006FC"/>
    <w:rsid w:val="008009CA"/>
    <w:rsid w:val="00802C26"/>
    <w:rsid w:val="0080363D"/>
    <w:rsid w:val="008063AF"/>
    <w:rsid w:val="00807463"/>
    <w:rsid w:val="00813D63"/>
    <w:rsid w:val="00815A31"/>
    <w:rsid w:val="0082068B"/>
    <w:rsid w:val="0082155A"/>
    <w:rsid w:val="00831FDD"/>
    <w:rsid w:val="00833F75"/>
    <w:rsid w:val="00837F4E"/>
    <w:rsid w:val="0084227C"/>
    <w:rsid w:val="0084343F"/>
    <w:rsid w:val="00846A82"/>
    <w:rsid w:val="0084725D"/>
    <w:rsid w:val="0085088E"/>
    <w:rsid w:val="00850C04"/>
    <w:rsid w:val="00850D92"/>
    <w:rsid w:val="008565DF"/>
    <w:rsid w:val="0085710F"/>
    <w:rsid w:val="008607EC"/>
    <w:rsid w:val="00862EAA"/>
    <w:rsid w:val="00862F90"/>
    <w:rsid w:val="00863E37"/>
    <w:rsid w:val="0086610A"/>
    <w:rsid w:val="00871AEF"/>
    <w:rsid w:val="00874643"/>
    <w:rsid w:val="0087623E"/>
    <w:rsid w:val="00876BE6"/>
    <w:rsid w:val="00876CA6"/>
    <w:rsid w:val="00877018"/>
    <w:rsid w:val="008800E4"/>
    <w:rsid w:val="008905FD"/>
    <w:rsid w:val="008916D6"/>
    <w:rsid w:val="00891E2F"/>
    <w:rsid w:val="008978D2"/>
    <w:rsid w:val="008A371C"/>
    <w:rsid w:val="008B0DF4"/>
    <w:rsid w:val="008B210B"/>
    <w:rsid w:val="008C3726"/>
    <w:rsid w:val="008C4502"/>
    <w:rsid w:val="008C4CC4"/>
    <w:rsid w:val="008D251A"/>
    <w:rsid w:val="008D3758"/>
    <w:rsid w:val="008D64FA"/>
    <w:rsid w:val="008E0C72"/>
    <w:rsid w:val="008E0EB6"/>
    <w:rsid w:val="008E4D22"/>
    <w:rsid w:val="008E6DCA"/>
    <w:rsid w:val="008F1038"/>
    <w:rsid w:val="008F3023"/>
    <w:rsid w:val="008F43DF"/>
    <w:rsid w:val="008F5BBD"/>
    <w:rsid w:val="008F64D8"/>
    <w:rsid w:val="009017CE"/>
    <w:rsid w:val="009225F0"/>
    <w:rsid w:val="009243E7"/>
    <w:rsid w:val="0093440B"/>
    <w:rsid w:val="00942FBB"/>
    <w:rsid w:val="0094563F"/>
    <w:rsid w:val="00946B15"/>
    <w:rsid w:val="009537D0"/>
    <w:rsid w:val="00964F9F"/>
    <w:rsid w:val="00965A72"/>
    <w:rsid w:val="009708AC"/>
    <w:rsid w:val="0097193C"/>
    <w:rsid w:val="00972BF1"/>
    <w:rsid w:val="00974CB2"/>
    <w:rsid w:val="00980419"/>
    <w:rsid w:val="00983F8D"/>
    <w:rsid w:val="00986A3A"/>
    <w:rsid w:val="00987714"/>
    <w:rsid w:val="0099173B"/>
    <w:rsid w:val="00996415"/>
    <w:rsid w:val="009A69F9"/>
    <w:rsid w:val="009B26D3"/>
    <w:rsid w:val="009B53F5"/>
    <w:rsid w:val="009B5AB3"/>
    <w:rsid w:val="009B678B"/>
    <w:rsid w:val="009B717B"/>
    <w:rsid w:val="009C061B"/>
    <w:rsid w:val="009C1CCA"/>
    <w:rsid w:val="009D1D5F"/>
    <w:rsid w:val="009D2616"/>
    <w:rsid w:val="009D2DF8"/>
    <w:rsid w:val="009D3CCB"/>
    <w:rsid w:val="009D4AC2"/>
    <w:rsid w:val="009E4E3C"/>
    <w:rsid w:val="009E60C1"/>
    <w:rsid w:val="009E716D"/>
    <w:rsid w:val="009F2BBA"/>
    <w:rsid w:val="009F6D01"/>
    <w:rsid w:val="00A007BA"/>
    <w:rsid w:val="00A00F5B"/>
    <w:rsid w:val="00A0183C"/>
    <w:rsid w:val="00A03850"/>
    <w:rsid w:val="00A10431"/>
    <w:rsid w:val="00A13549"/>
    <w:rsid w:val="00A17555"/>
    <w:rsid w:val="00A2362A"/>
    <w:rsid w:val="00A2568C"/>
    <w:rsid w:val="00A27493"/>
    <w:rsid w:val="00A32CF0"/>
    <w:rsid w:val="00A33761"/>
    <w:rsid w:val="00A40E7B"/>
    <w:rsid w:val="00A4334C"/>
    <w:rsid w:val="00A43B99"/>
    <w:rsid w:val="00A43E66"/>
    <w:rsid w:val="00A4462B"/>
    <w:rsid w:val="00A51123"/>
    <w:rsid w:val="00A536F0"/>
    <w:rsid w:val="00A5538B"/>
    <w:rsid w:val="00A6075B"/>
    <w:rsid w:val="00A6317F"/>
    <w:rsid w:val="00A64212"/>
    <w:rsid w:val="00A646C7"/>
    <w:rsid w:val="00A70393"/>
    <w:rsid w:val="00A74769"/>
    <w:rsid w:val="00A77A75"/>
    <w:rsid w:val="00A80DE0"/>
    <w:rsid w:val="00A80F37"/>
    <w:rsid w:val="00A85365"/>
    <w:rsid w:val="00A8695E"/>
    <w:rsid w:val="00A87353"/>
    <w:rsid w:val="00A96A71"/>
    <w:rsid w:val="00AA7226"/>
    <w:rsid w:val="00AB1B09"/>
    <w:rsid w:val="00AB62CC"/>
    <w:rsid w:val="00AB7A99"/>
    <w:rsid w:val="00AC3B9D"/>
    <w:rsid w:val="00AD01EF"/>
    <w:rsid w:val="00AD40D3"/>
    <w:rsid w:val="00AD627F"/>
    <w:rsid w:val="00AD6700"/>
    <w:rsid w:val="00AD7FE8"/>
    <w:rsid w:val="00AF3E16"/>
    <w:rsid w:val="00AF4893"/>
    <w:rsid w:val="00AF49DE"/>
    <w:rsid w:val="00AF77F3"/>
    <w:rsid w:val="00B00752"/>
    <w:rsid w:val="00B023DA"/>
    <w:rsid w:val="00B03625"/>
    <w:rsid w:val="00B07572"/>
    <w:rsid w:val="00B10EA9"/>
    <w:rsid w:val="00B10EB1"/>
    <w:rsid w:val="00B13414"/>
    <w:rsid w:val="00B20FAD"/>
    <w:rsid w:val="00B22D01"/>
    <w:rsid w:val="00B246E8"/>
    <w:rsid w:val="00B25125"/>
    <w:rsid w:val="00B27B13"/>
    <w:rsid w:val="00B31B91"/>
    <w:rsid w:val="00B31D33"/>
    <w:rsid w:val="00B33B57"/>
    <w:rsid w:val="00B3459A"/>
    <w:rsid w:val="00B346B8"/>
    <w:rsid w:val="00B36B86"/>
    <w:rsid w:val="00B37603"/>
    <w:rsid w:val="00B413E1"/>
    <w:rsid w:val="00B42C8F"/>
    <w:rsid w:val="00B44F9B"/>
    <w:rsid w:val="00B47909"/>
    <w:rsid w:val="00B53619"/>
    <w:rsid w:val="00B60557"/>
    <w:rsid w:val="00B6542A"/>
    <w:rsid w:val="00B6576E"/>
    <w:rsid w:val="00B67360"/>
    <w:rsid w:val="00B709CD"/>
    <w:rsid w:val="00B71EDF"/>
    <w:rsid w:val="00B72C3F"/>
    <w:rsid w:val="00B73DE4"/>
    <w:rsid w:val="00B760FC"/>
    <w:rsid w:val="00B772ED"/>
    <w:rsid w:val="00B77C4D"/>
    <w:rsid w:val="00B820CD"/>
    <w:rsid w:val="00B82B32"/>
    <w:rsid w:val="00B85379"/>
    <w:rsid w:val="00B854AC"/>
    <w:rsid w:val="00B8586C"/>
    <w:rsid w:val="00B86EE7"/>
    <w:rsid w:val="00B9016B"/>
    <w:rsid w:val="00B9168F"/>
    <w:rsid w:val="00B9464D"/>
    <w:rsid w:val="00BA2BCD"/>
    <w:rsid w:val="00BA2DB9"/>
    <w:rsid w:val="00BA5842"/>
    <w:rsid w:val="00BA621C"/>
    <w:rsid w:val="00BA6A09"/>
    <w:rsid w:val="00BB03A8"/>
    <w:rsid w:val="00BB16A6"/>
    <w:rsid w:val="00BB3295"/>
    <w:rsid w:val="00BC04D2"/>
    <w:rsid w:val="00BC0A30"/>
    <w:rsid w:val="00BC15CB"/>
    <w:rsid w:val="00BC5AB7"/>
    <w:rsid w:val="00BC79CD"/>
    <w:rsid w:val="00BE0F6F"/>
    <w:rsid w:val="00BE32B9"/>
    <w:rsid w:val="00BE7148"/>
    <w:rsid w:val="00BF5DFB"/>
    <w:rsid w:val="00BF63F9"/>
    <w:rsid w:val="00C01536"/>
    <w:rsid w:val="00C027B8"/>
    <w:rsid w:val="00C05BA9"/>
    <w:rsid w:val="00C12215"/>
    <w:rsid w:val="00C1717A"/>
    <w:rsid w:val="00C175D2"/>
    <w:rsid w:val="00C21EA2"/>
    <w:rsid w:val="00C24D7F"/>
    <w:rsid w:val="00C27ABB"/>
    <w:rsid w:val="00C35257"/>
    <w:rsid w:val="00C35E9A"/>
    <w:rsid w:val="00C36523"/>
    <w:rsid w:val="00C4058D"/>
    <w:rsid w:val="00C4285D"/>
    <w:rsid w:val="00C438A6"/>
    <w:rsid w:val="00C44430"/>
    <w:rsid w:val="00C44F69"/>
    <w:rsid w:val="00C513D3"/>
    <w:rsid w:val="00C53EA0"/>
    <w:rsid w:val="00C55DE7"/>
    <w:rsid w:val="00C57001"/>
    <w:rsid w:val="00C636DE"/>
    <w:rsid w:val="00C64C40"/>
    <w:rsid w:val="00C66FE4"/>
    <w:rsid w:val="00C70067"/>
    <w:rsid w:val="00C706B9"/>
    <w:rsid w:val="00C7347B"/>
    <w:rsid w:val="00C74C90"/>
    <w:rsid w:val="00C76B3D"/>
    <w:rsid w:val="00C80AD5"/>
    <w:rsid w:val="00C83B47"/>
    <w:rsid w:val="00C83C98"/>
    <w:rsid w:val="00C83E2B"/>
    <w:rsid w:val="00C93AD3"/>
    <w:rsid w:val="00C93B0A"/>
    <w:rsid w:val="00C95077"/>
    <w:rsid w:val="00C95E29"/>
    <w:rsid w:val="00CA5D88"/>
    <w:rsid w:val="00CA7B5F"/>
    <w:rsid w:val="00CB4F0C"/>
    <w:rsid w:val="00CB51F2"/>
    <w:rsid w:val="00CB7101"/>
    <w:rsid w:val="00CB718C"/>
    <w:rsid w:val="00CB74B3"/>
    <w:rsid w:val="00CC4E91"/>
    <w:rsid w:val="00CC58D6"/>
    <w:rsid w:val="00CD182A"/>
    <w:rsid w:val="00CE0B04"/>
    <w:rsid w:val="00CE1CB4"/>
    <w:rsid w:val="00CE381E"/>
    <w:rsid w:val="00CE4A1F"/>
    <w:rsid w:val="00CF24AA"/>
    <w:rsid w:val="00CF3D71"/>
    <w:rsid w:val="00CF77DE"/>
    <w:rsid w:val="00D004FE"/>
    <w:rsid w:val="00D00D51"/>
    <w:rsid w:val="00D04BD0"/>
    <w:rsid w:val="00D066BF"/>
    <w:rsid w:val="00D07E1B"/>
    <w:rsid w:val="00D1071A"/>
    <w:rsid w:val="00D22A8A"/>
    <w:rsid w:val="00D2619A"/>
    <w:rsid w:val="00D33ED2"/>
    <w:rsid w:val="00D40593"/>
    <w:rsid w:val="00D412B9"/>
    <w:rsid w:val="00D41698"/>
    <w:rsid w:val="00D42A88"/>
    <w:rsid w:val="00D431EE"/>
    <w:rsid w:val="00D44DF6"/>
    <w:rsid w:val="00D5528C"/>
    <w:rsid w:val="00D55FB9"/>
    <w:rsid w:val="00D63D1B"/>
    <w:rsid w:val="00D666DD"/>
    <w:rsid w:val="00D67522"/>
    <w:rsid w:val="00D71C54"/>
    <w:rsid w:val="00D74ED3"/>
    <w:rsid w:val="00D83803"/>
    <w:rsid w:val="00D83A7C"/>
    <w:rsid w:val="00D86E50"/>
    <w:rsid w:val="00D90D3C"/>
    <w:rsid w:val="00D91F38"/>
    <w:rsid w:val="00D92320"/>
    <w:rsid w:val="00D971D2"/>
    <w:rsid w:val="00DA1B31"/>
    <w:rsid w:val="00DA1C73"/>
    <w:rsid w:val="00DA33DB"/>
    <w:rsid w:val="00DA66C1"/>
    <w:rsid w:val="00DA7B4A"/>
    <w:rsid w:val="00DB012A"/>
    <w:rsid w:val="00DB145C"/>
    <w:rsid w:val="00DB33E4"/>
    <w:rsid w:val="00DB5374"/>
    <w:rsid w:val="00DC61A0"/>
    <w:rsid w:val="00DC700C"/>
    <w:rsid w:val="00DD6202"/>
    <w:rsid w:val="00DD68AB"/>
    <w:rsid w:val="00DD78EE"/>
    <w:rsid w:val="00DF2A97"/>
    <w:rsid w:val="00DF32A0"/>
    <w:rsid w:val="00DF6274"/>
    <w:rsid w:val="00DF7996"/>
    <w:rsid w:val="00E14443"/>
    <w:rsid w:val="00E179DE"/>
    <w:rsid w:val="00E30C3C"/>
    <w:rsid w:val="00E312EE"/>
    <w:rsid w:val="00E3231C"/>
    <w:rsid w:val="00E36523"/>
    <w:rsid w:val="00E51EF1"/>
    <w:rsid w:val="00E52261"/>
    <w:rsid w:val="00E57B48"/>
    <w:rsid w:val="00E62182"/>
    <w:rsid w:val="00E643E0"/>
    <w:rsid w:val="00E708BB"/>
    <w:rsid w:val="00E73015"/>
    <w:rsid w:val="00E761A2"/>
    <w:rsid w:val="00E76265"/>
    <w:rsid w:val="00E82B90"/>
    <w:rsid w:val="00E83946"/>
    <w:rsid w:val="00E857CA"/>
    <w:rsid w:val="00E858A7"/>
    <w:rsid w:val="00E86439"/>
    <w:rsid w:val="00E922F7"/>
    <w:rsid w:val="00E9285A"/>
    <w:rsid w:val="00E943B5"/>
    <w:rsid w:val="00E956B6"/>
    <w:rsid w:val="00E96198"/>
    <w:rsid w:val="00E975C4"/>
    <w:rsid w:val="00EA2DD9"/>
    <w:rsid w:val="00EA4098"/>
    <w:rsid w:val="00EA550A"/>
    <w:rsid w:val="00EA66F0"/>
    <w:rsid w:val="00EA7E8C"/>
    <w:rsid w:val="00EB268B"/>
    <w:rsid w:val="00EB7949"/>
    <w:rsid w:val="00EC4845"/>
    <w:rsid w:val="00EC66E0"/>
    <w:rsid w:val="00EC7AD6"/>
    <w:rsid w:val="00ED1335"/>
    <w:rsid w:val="00ED3F6A"/>
    <w:rsid w:val="00ED5372"/>
    <w:rsid w:val="00EE0D7F"/>
    <w:rsid w:val="00EE1878"/>
    <w:rsid w:val="00EE3834"/>
    <w:rsid w:val="00EE4696"/>
    <w:rsid w:val="00EE5D6C"/>
    <w:rsid w:val="00EE67D9"/>
    <w:rsid w:val="00EE68BA"/>
    <w:rsid w:val="00EF3823"/>
    <w:rsid w:val="00EF39C1"/>
    <w:rsid w:val="00F00217"/>
    <w:rsid w:val="00F047F4"/>
    <w:rsid w:val="00F07D2D"/>
    <w:rsid w:val="00F1131E"/>
    <w:rsid w:val="00F12BA1"/>
    <w:rsid w:val="00F148C2"/>
    <w:rsid w:val="00F15211"/>
    <w:rsid w:val="00F212CF"/>
    <w:rsid w:val="00F30908"/>
    <w:rsid w:val="00F32AAD"/>
    <w:rsid w:val="00F37C38"/>
    <w:rsid w:val="00F429E8"/>
    <w:rsid w:val="00F42CAA"/>
    <w:rsid w:val="00F44F79"/>
    <w:rsid w:val="00F47F8D"/>
    <w:rsid w:val="00F510E9"/>
    <w:rsid w:val="00F54F33"/>
    <w:rsid w:val="00F67A3B"/>
    <w:rsid w:val="00F71D70"/>
    <w:rsid w:val="00F75927"/>
    <w:rsid w:val="00F76B8C"/>
    <w:rsid w:val="00F8010C"/>
    <w:rsid w:val="00F824BF"/>
    <w:rsid w:val="00F8470A"/>
    <w:rsid w:val="00F85669"/>
    <w:rsid w:val="00F8611B"/>
    <w:rsid w:val="00F90893"/>
    <w:rsid w:val="00F9442B"/>
    <w:rsid w:val="00F95B97"/>
    <w:rsid w:val="00F9682D"/>
    <w:rsid w:val="00FA1012"/>
    <w:rsid w:val="00FA3DB0"/>
    <w:rsid w:val="00FA6E65"/>
    <w:rsid w:val="00FA7485"/>
    <w:rsid w:val="00FC024E"/>
    <w:rsid w:val="00FC077A"/>
    <w:rsid w:val="00FC143A"/>
    <w:rsid w:val="00FC2061"/>
    <w:rsid w:val="00FC3918"/>
    <w:rsid w:val="00FC3B25"/>
    <w:rsid w:val="00FC63F4"/>
    <w:rsid w:val="00FD044A"/>
    <w:rsid w:val="00FD2261"/>
    <w:rsid w:val="00FD4942"/>
    <w:rsid w:val="00FE61A6"/>
    <w:rsid w:val="00FF0451"/>
    <w:rsid w:val="00FF1799"/>
    <w:rsid w:val="00FF725E"/>
    <w:rsid w:val="014FB1F8"/>
    <w:rsid w:val="068EA2F5"/>
    <w:rsid w:val="096DCFB4"/>
    <w:rsid w:val="0B59FB43"/>
    <w:rsid w:val="0C14AD34"/>
    <w:rsid w:val="0C1BFFD5"/>
    <w:rsid w:val="0E733FAA"/>
    <w:rsid w:val="10CF72F3"/>
    <w:rsid w:val="11CCDF7C"/>
    <w:rsid w:val="136FC976"/>
    <w:rsid w:val="17125896"/>
    <w:rsid w:val="174938E2"/>
    <w:rsid w:val="182A0E5E"/>
    <w:rsid w:val="189879E4"/>
    <w:rsid w:val="18E31F4A"/>
    <w:rsid w:val="1A3AE779"/>
    <w:rsid w:val="1B91FC10"/>
    <w:rsid w:val="1D9C7050"/>
    <w:rsid w:val="21464EED"/>
    <w:rsid w:val="21D5E852"/>
    <w:rsid w:val="25CCE2EA"/>
    <w:rsid w:val="290A7FDC"/>
    <w:rsid w:val="29D36F66"/>
    <w:rsid w:val="2AFEF7F5"/>
    <w:rsid w:val="2C6A3497"/>
    <w:rsid w:val="2D23EF3C"/>
    <w:rsid w:val="2E98F6AA"/>
    <w:rsid w:val="2F9E847B"/>
    <w:rsid w:val="306E402D"/>
    <w:rsid w:val="31896D02"/>
    <w:rsid w:val="3219DFA7"/>
    <w:rsid w:val="3377B29A"/>
    <w:rsid w:val="3459DF24"/>
    <w:rsid w:val="372F1835"/>
    <w:rsid w:val="3866B465"/>
    <w:rsid w:val="3A7FB428"/>
    <w:rsid w:val="3AA965EB"/>
    <w:rsid w:val="3CC0D4E7"/>
    <w:rsid w:val="3E3752C6"/>
    <w:rsid w:val="40CFA155"/>
    <w:rsid w:val="41502695"/>
    <w:rsid w:val="42225BE8"/>
    <w:rsid w:val="442674DB"/>
    <w:rsid w:val="464DBA66"/>
    <w:rsid w:val="465C3ED3"/>
    <w:rsid w:val="471ED88E"/>
    <w:rsid w:val="476B8657"/>
    <w:rsid w:val="48364D7B"/>
    <w:rsid w:val="48D7BB4B"/>
    <w:rsid w:val="4BD5BBFA"/>
    <w:rsid w:val="4DBEF9D8"/>
    <w:rsid w:val="50C0BA66"/>
    <w:rsid w:val="52FA9528"/>
    <w:rsid w:val="54427CFA"/>
    <w:rsid w:val="546CB281"/>
    <w:rsid w:val="550AD02D"/>
    <w:rsid w:val="5648A2B7"/>
    <w:rsid w:val="57043F0C"/>
    <w:rsid w:val="57300A29"/>
    <w:rsid w:val="575D09F8"/>
    <w:rsid w:val="577B1E08"/>
    <w:rsid w:val="578FF03F"/>
    <w:rsid w:val="58CA459B"/>
    <w:rsid w:val="594B4E62"/>
    <w:rsid w:val="5A938DCF"/>
    <w:rsid w:val="5B76AA6C"/>
    <w:rsid w:val="5CC604C0"/>
    <w:rsid w:val="5D72E918"/>
    <w:rsid w:val="5DF3C9BF"/>
    <w:rsid w:val="5F9C7D64"/>
    <w:rsid w:val="61D2FE1C"/>
    <w:rsid w:val="6311ECF1"/>
    <w:rsid w:val="632CD531"/>
    <w:rsid w:val="65A8ED72"/>
    <w:rsid w:val="66DE13FD"/>
    <w:rsid w:val="688A7F69"/>
    <w:rsid w:val="6AD254AA"/>
    <w:rsid w:val="6DD067B2"/>
    <w:rsid w:val="6E2985F7"/>
    <w:rsid w:val="7163C15C"/>
    <w:rsid w:val="719EED2C"/>
    <w:rsid w:val="722DEEB9"/>
    <w:rsid w:val="726DFE74"/>
    <w:rsid w:val="7419CBEA"/>
    <w:rsid w:val="74D4A23C"/>
    <w:rsid w:val="78C7853B"/>
    <w:rsid w:val="7A473925"/>
    <w:rsid w:val="7AD5B5DC"/>
    <w:rsid w:val="7C267E7C"/>
    <w:rsid w:val="7E7CAB0B"/>
    <w:rsid w:val="7F6232E3"/>
    <w:rsid w:val="7F6B5789"/>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333D"/>
  <w15:docId w15:val="{4251A627-3353-43F6-9AAE-2E9DB847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Subtitle"/>
    <w:next w:val="Normal"/>
    <w:link w:val="Heading1Char"/>
    <w:uiPriority w:val="9"/>
    <w:qFormat/>
    <w:rsid w:val="00056709"/>
    <w:pPr>
      <w:outlineLvl w:val="0"/>
    </w:p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709"/>
    <w:rPr>
      <w:rFonts w:asciiTheme="majorHAnsi" w:eastAsiaTheme="majorEastAsia" w:hAnsiTheme="majorHAnsi" w:cstheme="majorBidi"/>
      <w:iCs/>
      <w:color w:val="000000" w:themeColor="text1"/>
      <w:spacing w:val="6"/>
      <w:sz w:val="32"/>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Subtitle"/>
    <w:next w:val="Subtitle"/>
    <w:uiPriority w:val="9"/>
    <w:rsid w:val="001B4C2A"/>
    <w:pPr>
      <w:spacing w:before="360" w:after="0"/>
      <w:contextualSpacing/>
      <w:outlineLvl w:val="0"/>
    </w:pPr>
    <w:rPr>
      <w:b/>
      <w:bCs/>
      <w:iCs w:val="0"/>
      <w:color w:val="005A70" w:themeColor="accent1"/>
      <w:spacing w:val="3"/>
      <w:sz w:val="60"/>
      <w:szCs w:val="28"/>
    </w:rPr>
  </w:style>
  <w:style w:type="paragraph" w:styleId="Subtitle">
    <w:name w:val="Subtitle"/>
    <w:basedOn w:val="Normal"/>
    <w:next w:val="Normal"/>
    <w:link w:val="SubtitleChar"/>
    <w:uiPriority w:val="9"/>
    <w:qFormat/>
    <w:rsid w:val="003E7673"/>
    <w:pPr>
      <w:spacing w:after="480" w:line="240" w:lineRule="auto"/>
    </w:pPr>
    <w:rPr>
      <w:rFonts w:asciiTheme="majorHAnsi" w:eastAsiaTheme="majorEastAsia" w:hAnsiTheme="majorHAnsi" w:cstheme="majorBidi"/>
      <w:iCs/>
      <w:color w:val="000000" w:themeColor="text1"/>
      <w:spacing w:val="6"/>
      <w:sz w:val="32"/>
    </w:rPr>
  </w:style>
  <w:style w:type="character" w:customStyle="1" w:styleId="SubtitleChar">
    <w:name w:val="Subtitle Char"/>
    <w:basedOn w:val="DefaultParagraphFont"/>
    <w:link w:val="Subtitle"/>
    <w:uiPriority w:val="9"/>
    <w:rsid w:val="003E7673"/>
    <w:rPr>
      <w:rFonts w:asciiTheme="majorHAnsi" w:eastAsiaTheme="majorEastAsia" w:hAnsiTheme="majorHAnsi" w:cstheme="majorBidi"/>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833F75"/>
    <w:pPr>
      <w:spacing w:after="120"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6E6CA9"/>
    <w:pPr>
      <w:numPr>
        <w:numId w:val="18"/>
      </w:numPr>
      <w:spacing w:after="160" w:line="278" w:lineRule="auto"/>
      <w:ind w:left="284" w:hanging="284"/>
      <w:contextualSpacing/>
    </w:pPr>
    <w:rPr>
      <w:szCs w:val="22"/>
    </w:r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3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Heading1withsubtitle"/>
    <w:next w:val="Normal"/>
    <w:link w:val="TitleChar"/>
    <w:uiPriority w:val="10"/>
    <w:unhideWhenUsed/>
    <w:qFormat/>
    <w:rsid w:val="00056709"/>
  </w:style>
  <w:style w:type="character" w:customStyle="1" w:styleId="TitleChar">
    <w:name w:val="Title Char"/>
    <w:basedOn w:val="DefaultParagraphFont"/>
    <w:link w:val="Title"/>
    <w:uiPriority w:val="10"/>
    <w:rsid w:val="00056709"/>
    <w:rPr>
      <w:rFonts w:asciiTheme="majorHAnsi" w:eastAsiaTheme="majorEastAsia" w:hAnsiTheme="majorHAnsi" w:cstheme="majorBidi"/>
      <w:b/>
      <w:bCs/>
      <w:color w:val="005A70" w:themeColor="accent1"/>
      <w:spacing w:val="3"/>
      <w:sz w:val="60"/>
      <w:szCs w:val="28"/>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table" w:customStyle="1" w:styleId="TableGridLight1">
    <w:name w:val="Table Grid Light1"/>
    <w:basedOn w:val="TableNormal"/>
    <w:next w:val="TableGridLight"/>
    <w:uiPriority w:val="40"/>
    <w:rsid w:val="00BB329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07628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ubtleReference">
    <w:name w:val="Subtle Reference"/>
    <w:basedOn w:val="DefaultParagraphFont"/>
    <w:uiPriority w:val="31"/>
    <w:qFormat/>
    <w:rsid w:val="007E05B4"/>
    <w:rPr>
      <w:smallCaps/>
      <w:color w:val="5A5A5A" w:themeColor="text1" w:themeTint="A5"/>
    </w:rPr>
  </w:style>
  <w:style w:type="paragraph" w:customStyle="1" w:styleId="Heading3colourblock">
    <w:name w:val="Heading 3 colour block"/>
    <w:basedOn w:val="Heading3"/>
    <w:link w:val="Heading3colourblockChar"/>
    <w:qFormat/>
    <w:rsid w:val="00EC4845"/>
    <w:pPr>
      <w:pBdr>
        <w:top w:val="single" w:sz="24" w:space="1" w:color="C1E4F5"/>
        <w:left w:val="single" w:sz="24" w:space="4" w:color="C1E4F5"/>
        <w:bottom w:val="single" w:sz="24" w:space="1" w:color="C1E4F5"/>
        <w:right w:val="single" w:sz="24" w:space="4" w:color="C1E4F5"/>
      </w:pBdr>
      <w:shd w:val="clear" w:color="auto" w:fill="C1E4F5"/>
    </w:pPr>
    <w:rPr>
      <w:b/>
      <w:sz w:val="28"/>
    </w:rPr>
  </w:style>
  <w:style w:type="character" w:customStyle="1" w:styleId="Heading3colourblockChar">
    <w:name w:val="Heading 3 colour block Char"/>
    <w:basedOn w:val="Heading3Char"/>
    <w:link w:val="Heading3colourblock"/>
    <w:rsid w:val="00EC4845"/>
    <w:rPr>
      <w:rFonts w:asciiTheme="majorHAnsi" w:eastAsiaTheme="majorEastAsia" w:hAnsiTheme="majorHAnsi" w:cstheme="majorBidi"/>
      <w:b/>
      <w:bCs/>
      <w:color w:val="005A70" w:themeColor="accent1"/>
      <w:spacing w:val="3"/>
      <w:sz w:val="28"/>
      <w:shd w:val="clear" w:color="auto" w:fill="C1E4F5"/>
    </w:rPr>
  </w:style>
  <w:style w:type="table" w:customStyle="1" w:styleId="TableGridLight3">
    <w:name w:val="Table Grid Light3"/>
    <w:basedOn w:val="TableNormal"/>
    <w:next w:val="TableGridLight"/>
    <w:uiPriority w:val="40"/>
    <w:rsid w:val="00EC484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BA464E898B474DB77E107AC365BA45" ma:contentTypeVersion="12" ma:contentTypeDescription="Create a new document." ma:contentTypeScope="" ma:versionID="b75c11efc47f7ca398029fc2aef8373c">
  <xsd:schema xmlns:xsd="http://www.w3.org/2001/XMLSchema" xmlns:xs="http://www.w3.org/2001/XMLSchema" xmlns:p="http://schemas.microsoft.com/office/2006/metadata/properties" xmlns:ns2="ff98ff02-0ec4-48dc-8e41-3aa8d8dfdd12" xmlns:ns3="9c2a9dd1-6f1c-42a6-8dbe-7204e5445579" targetNamespace="http://schemas.microsoft.com/office/2006/metadata/properties" ma:root="true" ma:fieldsID="ab65af0e92d4db714b70b1e5a738a714" ns2:_="" ns3:_="">
    <xsd:import namespace="ff98ff02-0ec4-48dc-8e41-3aa8d8dfdd12"/>
    <xsd:import namespace="9c2a9dd1-6f1c-42a6-8dbe-7204e5445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8ff02-0ec4-48dc-8e41-3aa8d8dfd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a9dd1-6f1c-42a6-8dbe-7204e5445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c8473b-38b6-42ee-99ff-04a1143f9211}" ma:internalName="TaxCatchAll" ma:showField="CatchAllData" ma:web="9c2a9dd1-6f1c-42a6-8dbe-7204e5445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c2a9dd1-6f1c-42a6-8dbe-7204e5445579"/>
    <lcf76f155ced4ddcb4097134ff3c332f xmlns="ff98ff02-0ec4-48dc-8e41-3aa8d8dfdd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F8FF8-95FD-4BAA-8A5B-1A9CC88E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8ff02-0ec4-48dc-8e41-3aa8d8dfdd12"/>
    <ds:schemaRef ds:uri="9c2a9dd1-6f1c-42a6-8dbe-7204e54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9c2a9dd1-6f1c-42a6-8dbe-7204e5445579"/>
    <ds:schemaRef ds:uri="ff98ff02-0ec4-48dc-8e41-3aa8d8dfdd12"/>
  </ds:schemaRefs>
</ds:datastoreItem>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1217</Words>
  <Characters>6879</Characters>
  <Application>Microsoft Office Word</Application>
  <DocSecurity>0</DocSecurity>
  <Lines>185</Lines>
  <Paragraphs>88</Paragraphs>
  <ScaleCrop>false</ScaleCrop>
  <Company>Department of Social Services</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Contracting</dc:title>
  <dc:subject/>
  <dc:creator>WARDROP, Shaye</dc:creator>
  <cp:keywords>[SEC=OFFICIAL]</cp:keywords>
  <cp:lastModifiedBy>MILLER, Vicky</cp:lastModifiedBy>
  <cp:revision>7</cp:revision>
  <cp:lastPrinted>2026-05-13T08:14:00Z</cp:lastPrinted>
  <dcterms:created xsi:type="dcterms:W3CDTF">2026-08-22T01:13:00Z</dcterms:created>
  <dcterms:modified xsi:type="dcterms:W3CDTF">2026-08-23T22:05:00Z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C73E9858C13C670BCE0826F918639C26A6E1C4DC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C495CAD72E002CC90C8EEEA174232900</vt:lpwstr>
  </property>
  <property fmtid="{D5CDD505-2E9C-101B-9397-08002B2CF9AE}" pid="21" name="PM_Hash_Salt">
    <vt:lpwstr>58443AD1836C858239C6F64DBDAD677A</vt:lpwstr>
  </property>
  <property fmtid="{D5CDD505-2E9C-101B-9397-08002B2CF9AE}" pid="22" name="PM_Hash_SHA1">
    <vt:lpwstr>DCA84A3EDBE17C841A05DE57F774007E359CC036</vt:lpwstr>
  </property>
  <property fmtid="{D5CDD505-2E9C-101B-9397-08002B2CF9AE}" pid="23" name="PM_OriginatorUserAccountName_SHA256">
    <vt:lpwstr>FD373F0358949A7B3473CA8CA86D4C8911B17E706EC4BC0E09F91452B32EC365</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0x010100C5BA464E898B474DB77E107AC365BA45</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83dea5fb1e6440d0bf772388275fe9ce</vt:lpwstr>
  </property>
  <property fmtid="{D5CDD505-2E9C-101B-9397-08002B2CF9AE}" pid="35" name="MSIP_Label_eb34d90b-fc41-464d-af60-f74d721d0790_ContentBits">
    <vt:lpwstr>3</vt:lpwstr>
  </property>
  <property fmtid="{D5CDD505-2E9C-101B-9397-08002B2CF9AE}" pid="36" name="PMHMAC">
    <vt:lpwstr>v=2024.1;a=SHA256;h=34B5139A356B4A0CEBB884FAD14F21B6C6F09D2983EE1D6AF59C02862F1D175F</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ies>
</file>