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18F71" w14:textId="77777777" w:rsidR="00EC4845" w:rsidRDefault="00EC4845" w:rsidP="00EC4845">
      <w:pPr>
        <w:pStyle w:val="Crestwithrule"/>
      </w:pPr>
      <w:r>
        <w:rPr>
          <w:lang w:eastAsia="en-AU"/>
        </w:rPr>
        <w:drawing>
          <wp:inline distT="0" distB="0" distL="0" distR="0" wp14:anchorId="338F7F60" wp14:editId="23165AD9">
            <wp:extent cx="3235960" cy="768868"/>
            <wp:effectExtent l="0" t="0" r="2540" b="0"/>
            <wp:docPr id="2021259898" name="Picture 2021259898"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11" cstate="print">
                      <a:extLst>
                        <a:ext uri="{28A0092B-C50C-407E-A947-70E740481C1C}">
                          <a14:useLocalDpi xmlns:a14="http://schemas.microsoft.com/office/drawing/2010/main" val="0"/>
                        </a:ext>
                      </a:extLst>
                    </a:blip>
                    <a:srcRect t="17845"/>
                    <a:stretch/>
                  </pic:blipFill>
                  <pic:spPr bwMode="auto">
                    <a:xfrm>
                      <a:off x="0" y="0"/>
                      <a:ext cx="3236400" cy="768973"/>
                    </a:xfrm>
                    <a:prstGeom prst="rect">
                      <a:avLst/>
                    </a:prstGeom>
                    <a:ln>
                      <a:noFill/>
                    </a:ln>
                    <a:extLst>
                      <a:ext uri="{53640926-AAD7-44D8-BBD7-CCE9431645EC}">
                        <a14:shadowObscured xmlns:a14="http://schemas.microsoft.com/office/drawing/2010/main"/>
                      </a:ext>
                    </a:extLst>
                  </pic:spPr>
                </pic:pic>
              </a:graphicData>
            </a:graphic>
          </wp:inline>
        </w:drawing>
      </w:r>
    </w:p>
    <w:p w14:paraId="7EE8C507" w14:textId="77777777" w:rsidR="00EC4845" w:rsidRDefault="00EC4845" w:rsidP="00EC4845">
      <w:pPr>
        <w:pStyle w:val="Crestwithrule"/>
      </w:pPr>
    </w:p>
    <w:p w14:paraId="42DB9BB9" w14:textId="77777777" w:rsidR="00EC4845" w:rsidRDefault="00EC4845" w:rsidP="00EC4845">
      <w:pPr>
        <w:pStyle w:val="Crestwithrule"/>
        <w:sectPr w:rsidR="00EC4845" w:rsidSect="00EC4845">
          <w:headerReference w:type="default" r:id="rId12"/>
          <w:headerReference w:type="first" r:id="rId13"/>
          <w:footerReference w:type="first" r:id="rId14"/>
          <w:pgSz w:w="11906" w:h="16838"/>
          <w:pgMar w:top="851" w:right="851" w:bottom="1134" w:left="851" w:header="0" w:footer="0" w:gutter="0"/>
          <w:pgNumType w:start="2"/>
          <w:cols w:space="708"/>
          <w:titlePg/>
          <w:docGrid w:linePitch="360"/>
        </w:sectPr>
      </w:pPr>
    </w:p>
    <w:p w14:paraId="7DF1DD8C" w14:textId="6655A0A4" w:rsidR="00EC4845" w:rsidRPr="00B772FB" w:rsidRDefault="00EC4845" w:rsidP="00430662">
      <w:pPr>
        <w:pStyle w:val="Heading1withsubtitle"/>
      </w:pPr>
      <w:r w:rsidRPr="00B772FB">
        <w:t>Outcomes-</w:t>
      </w:r>
      <w:r w:rsidR="003C2331">
        <w:t>b</w:t>
      </w:r>
      <w:r w:rsidRPr="00B772FB">
        <w:t xml:space="preserve">ased </w:t>
      </w:r>
      <w:r w:rsidR="003C2331">
        <w:t>c</w:t>
      </w:r>
      <w:r w:rsidRPr="00B772FB">
        <w:t xml:space="preserve">ontracting </w:t>
      </w:r>
    </w:p>
    <w:p w14:paraId="42CD3FCA" w14:textId="69B6BA22" w:rsidR="00EC4845" w:rsidRPr="0095074F" w:rsidRDefault="00EC4845" w:rsidP="00FB2B89">
      <w:pPr>
        <w:pStyle w:val="Heading1"/>
      </w:pPr>
      <w:r>
        <w:t xml:space="preserve">Identifying a </w:t>
      </w:r>
      <w:r w:rsidR="00FC3B25">
        <w:t>t</w:t>
      </w:r>
      <w:r>
        <w:t xml:space="preserve">arget </w:t>
      </w:r>
      <w:r w:rsidR="00FC3B25">
        <w:t>c</w:t>
      </w:r>
      <w:r>
        <w:t>ohort</w:t>
      </w:r>
      <w:r w:rsidRPr="0095074F">
        <w:t xml:space="preserve"> </w:t>
      </w:r>
    </w:p>
    <w:p w14:paraId="57151301" w14:textId="77777777" w:rsidR="00EC4845" w:rsidRDefault="00EC4845" w:rsidP="00EC4845">
      <w:pPr>
        <w:pStyle w:val="IntroductionQuote"/>
        <w:sectPr w:rsidR="00EC4845" w:rsidSect="00EC4845">
          <w:type w:val="continuous"/>
          <w:pgSz w:w="11906" w:h="16838"/>
          <w:pgMar w:top="851" w:right="851" w:bottom="851" w:left="851" w:header="0" w:footer="0" w:gutter="0"/>
          <w:pgNumType w:start="2"/>
          <w:cols w:space="708"/>
          <w:titlePg/>
          <w:docGrid w:linePitch="360"/>
        </w:sectPr>
      </w:pPr>
    </w:p>
    <w:p w14:paraId="5E86F969" w14:textId="77777777" w:rsidR="00EC4845" w:rsidRDefault="00EC4845" w:rsidP="00EC4845">
      <w:pPr>
        <w:pStyle w:val="IntroductionQuote"/>
      </w:pPr>
      <w:r>
        <w:t xml:space="preserve">Outcomes-based contracting enables commissioners to focus on clearly defined groups within a population. This can ensure that services are directed towards people with the greatest need or those who are underserviced, whilst building evidence about what works to address disadvantage. </w:t>
      </w:r>
    </w:p>
    <w:p w14:paraId="7B1B0822" w14:textId="77777777" w:rsidR="00EC4845" w:rsidRPr="005F5B28" w:rsidRDefault="00EC4845" w:rsidP="00EC4845">
      <w:r w:rsidRPr="005F5B28">
        <w:t>A well-defined target cohort ensures that:</w:t>
      </w:r>
    </w:p>
    <w:p w14:paraId="5713FC22" w14:textId="77777777" w:rsidR="00EC4845" w:rsidRPr="005F5B28" w:rsidRDefault="00EC4845" w:rsidP="00EC4845">
      <w:pPr>
        <w:pStyle w:val="ListParagraph"/>
      </w:pPr>
      <w:r>
        <w:t>P</w:t>
      </w:r>
      <w:r w:rsidRPr="005F5B28">
        <w:t xml:space="preserve">eople </w:t>
      </w:r>
      <w:r>
        <w:t>who</w:t>
      </w:r>
      <w:r w:rsidRPr="005F5B28">
        <w:t xml:space="preserve"> are directly impacted by the identified social problem are captured</w:t>
      </w:r>
    </w:p>
    <w:p w14:paraId="34BC80E4" w14:textId="77777777" w:rsidR="00EC4845" w:rsidRDefault="00EC4845" w:rsidP="00EC4845">
      <w:pPr>
        <w:pStyle w:val="ListParagraph"/>
      </w:pPr>
      <w:r>
        <w:t>There is no ambiguity around who the</w:t>
      </w:r>
      <w:r w:rsidRPr="005F5B28">
        <w:t xml:space="preserve"> service is for (and who it is not for)</w:t>
      </w:r>
    </w:p>
    <w:p w14:paraId="3EA96AD1" w14:textId="77777777" w:rsidR="00EC4845" w:rsidRPr="005F5B28" w:rsidRDefault="00EC4845" w:rsidP="00EC4845">
      <w:pPr>
        <w:pStyle w:val="ListParagraph"/>
      </w:pPr>
      <w:r>
        <w:t>There is a clear process for identifying potential service users</w:t>
      </w:r>
    </w:p>
    <w:p w14:paraId="0473B26A" w14:textId="77777777" w:rsidR="00EC4845" w:rsidRPr="005F5B28" w:rsidRDefault="00EC4845" w:rsidP="00EC4845">
      <w:pPr>
        <w:pStyle w:val="ListParagraph"/>
      </w:pPr>
      <w:r w:rsidRPr="005F5B28">
        <w:t>Outcomes can be measured fairly and consistently</w:t>
      </w:r>
    </w:p>
    <w:p w14:paraId="659041DB" w14:textId="77777777" w:rsidR="00EC4845" w:rsidRDefault="00EC4845" w:rsidP="00EC4845">
      <w:pPr>
        <w:pStyle w:val="ListParagraph"/>
      </w:pPr>
      <w:r w:rsidRPr="005F5B28">
        <w:t>Commissioners can link improvements for the cohort to the funding that is provided</w:t>
      </w:r>
    </w:p>
    <w:p w14:paraId="6A3B54FC" w14:textId="77777777" w:rsidR="00EC4845" w:rsidRPr="005F5B28" w:rsidRDefault="00EC4845" w:rsidP="00EC4845">
      <w:pPr>
        <w:pStyle w:val="ListParagraph"/>
      </w:pPr>
      <w:r>
        <w:t xml:space="preserve">Outcomes are priced fairly and sustainably. </w:t>
      </w:r>
    </w:p>
    <w:p w14:paraId="01382D01" w14:textId="77777777" w:rsidR="00EC4845" w:rsidRPr="007E593C" w:rsidRDefault="00EC4845" w:rsidP="00EC4845">
      <w:pPr>
        <w:pStyle w:val="Heading2"/>
      </w:pPr>
      <w:r w:rsidRPr="007E593C">
        <w:t>Target cohorts</w:t>
      </w:r>
    </w:p>
    <w:p w14:paraId="63233097" w14:textId="77777777" w:rsidR="00EC4845" w:rsidRDefault="00EC4845" w:rsidP="00EC4845">
      <w:r w:rsidRPr="00F6476B">
        <w:t xml:space="preserve">The target cohort refers to everyone that is eligible for, and can access, a service funded by an outcomes-based contract.  </w:t>
      </w:r>
    </w:p>
    <w:p w14:paraId="580BF7A8" w14:textId="77777777" w:rsidR="00EC4845" w:rsidRDefault="00EC4845" w:rsidP="00EC4845"/>
    <w:p w14:paraId="5E28D56D" w14:textId="77777777" w:rsidR="00EC4845" w:rsidRDefault="00EC4845" w:rsidP="00EC4845"/>
    <w:p w14:paraId="5F9097EE" w14:textId="77777777" w:rsidR="00EC4845" w:rsidRPr="00F6476B" w:rsidRDefault="00EC4845" w:rsidP="00EC4845">
      <w:r w:rsidRPr="00F6476B">
        <w:t>A target cohort is defined using eligibility criteria</w:t>
      </w:r>
      <w:r>
        <w:t>. Some examples include:</w:t>
      </w:r>
    </w:p>
    <w:p w14:paraId="49215D6D" w14:textId="77777777" w:rsidR="00EC4845" w:rsidRPr="00214A98" w:rsidRDefault="00EC4845" w:rsidP="00EC4845">
      <w:pPr>
        <w:pStyle w:val="Heading3colourblock"/>
      </w:pPr>
      <w:r w:rsidRPr="00214A98">
        <w:t>Demographic factors</w:t>
      </w:r>
    </w:p>
    <w:p w14:paraId="200A01E1" w14:textId="77777777" w:rsidR="00EC4845" w:rsidRPr="00214A98" w:rsidRDefault="00EC4845" w:rsidP="00EC4845">
      <w:pPr>
        <w:pStyle w:val="ListParagraph"/>
      </w:pPr>
      <w:r w:rsidRPr="00214A98">
        <w:t>Age</w:t>
      </w:r>
    </w:p>
    <w:p w14:paraId="3AF6E211" w14:textId="77777777" w:rsidR="00EC4845" w:rsidRPr="00214A98" w:rsidRDefault="00EC4845" w:rsidP="00EC4845">
      <w:pPr>
        <w:pStyle w:val="ListParagraph"/>
      </w:pPr>
      <w:r w:rsidRPr="00214A98">
        <w:t>Gender</w:t>
      </w:r>
    </w:p>
    <w:p w14:paraId="2C4B6B09" w14:textId="77777777" w:rsidR="00EC4845" w:rsidRPr="00214A98" w:rsidRDefault="00EC4845" w:rsidP="00EC4845">
      <w:pPr>
        <w:pStyle w:val="ListParagraph"/>
      </w:pPr>
      <w:r w:rsidRPr="00214A98">
        <w:t>Cultural background</w:t>
      </w:r>
    </w:p>
    <w:p w14:paraId="64560F56" w14:textId="77777777" w:rsidR="00EC4845" w:rsidRPr="00214A98" w:rsidRDefault="00EC4845" w:rsidP="00EC4845">
      <w:pPr>
        <w:pStyle w:val="Heading3colourblock"/>
      </w:pPr>
      <w:r w:rsidRPr="00214A98">
        <w:t>Life stage or situation</w:t>
      </w:r>
    </w:p>
    <w:p w14:paraId="549732A1" w14:textId="77777777" w:rsidR="00EC4845" w:rsidRPr="00214A98" w:rsidRDefault="00EC4845" w:rsidP="00EC4845">
      <w:pPr>
        <w:pStyle w:val="ListParagraph"/>
      </w:pPr>
      <w:r w:rsidRPr="00214A98">
        <w:t>Leaving out of home care</w:t>
      </w:r>
    </w:p>
    <w:p w14:paraId="477E22E7" w14:textId="77777777" w:rsidR="00EC4845" w:rsidRPr="00214A98" w:rsidRDefault="00EC4845" w:rsidP="00EC4845">
      <w:pPr>
        <w:pStyle w:val="ListParagraph"/>
      </w:pPr>
      <w:r w:rsidRPr="00214A98">
        <w:t>Exiting prison</w:t>
      </w:r>
    </w:p>
    <w:p w14:paraId="4D0DDEA5" w14:textId="77777777" w:rsidR="00EC4845" w:rsidRPr="00214A98" w:rsidRDefault="00EC4845" w:rsidP="00EC4845">
      <w:pPr>
        <w:pStyle w:val="ListParagraph"/>
      </w:pPr>
      <w:r w:rsidRPr="00214A98">
        <w:t>Experiencing homelessness</w:t>
      </w:r>
    </w:p>
    <w:p w14:paraId="28233AE8" w14:textId="77777777" w:rsidR="00EC4845" w:rsidRPr="00214A98" w:rsidRDefault="00EC4845" w:rsidP="00EC4845">
      <w:pPr>
        <w:pStyle w:val="Heading3colourblock"/>
      </w:pPr>
      <w:r w:rsidRPr="00214A98">
        <w:t>Service use</w:t>
      </w:r>
    </w:p>
    <w:p w14:paraId="6A979D63" w14:textId="77777777" w:rsidR="00EC4845" w:rsidRPr="00214A98" w:rsidRDefault="00EC4845" w:rsidP="00EC4845">
      <w:pPr>
        <w:pStyle w:val="ListParagraph"/>
      </w:pPr>
      <w:r w:rsidRPr="00214A98">
        <w:t>Hospital admissions</w:t>
      </w:r>
    </w:p>
    <w:p w14:paraId="557DC744" w14:textId="77777777" w:rsidR="00EC4845" w:rsidRPr="00214A98" w:rsidRDefault="00EC4845" w:rsidP="00EC4845">
      <w:pPr>
        <w:pStyle w:val="ListParagraph"/>
      </w:pPr>
      <w:r w:rsidRPr="00214A98">
        <w:t>School attendance</w:t>
      </w:r>
    </w:p>
    <w:p w14:paraId="55524F8C" w14:textId="77777777" w:rsidR="00EC4845" w:rsidRPr="00214A98" w:rsidRDefault="00EC4845" w:rsidP="00EC4845">
      <w:pPr>
        <w:pStyle w:val="ListParagraph"/>
      </w:pPr>
      <w:r w:rsidRPr="00214A98">
        <w:t>Welfare payments</w:t>
      </w:r>
    </w:p>
    <w:p w14:paraId="51C29183" w14:textId="77777777" w:rsidR="00EC4845" w:rsidRPr="00214A98" w:rsidRDefault="00EC4845" w:rsidP="00EC4845">
      <w:pPr>
        <w:pStyle w:val="Heading3colourblock"/>
      </w:pPr>
      <w:r w:rsidRPr="00214A98">
        <w:t>Time since an event</w:t>
      </w:r>
    </w:p>
    <w:p w14:paraId="30553EC2" w14:textId="77777777" w:rsidR="00EC4845" w:rsidRPr="00214A98" w:rsidRDefault="00EC4845" w:rsidP="00EC4845">
      <w:pPr>
        <w:pStyle w:val="ListParagraph"/>
      </w:pPr>
      <w:r w:rsidRPr="00214A98">
        <w:t>Received welfare payments for 13+ fortnights in the year immediately prior to enrolment</w:t>
      </w:r>
    </w:p>
    <w:p w14:paraId="51556F18" w14:textId="77777777" w:rsidR="00EC4845" w:rsidRPr="00214A98" w:rsidRDefault="00EC4845" w:rsidP="00EC4845">
      <w:pPr>
        <w:pStyle w:val="Heading3colourblock"/>
      </w:pPr>
      <w:r w:rsidRPr="00214A98">
        <w:t>Assessed risk factors</w:t>
      </w:r>
    </w:p>
    <w:p w14:paraId="5593C4A8" w14:textId="77777777" w:rsidR="00EC4845" w:rsidRPr="00214A98" w:rsidRDefault="00EC4845" w:rsidP="00EC4845">
      <w:pPr>
        <w:pStyle w:val="ListParagraph"/>
      </w:pPr>
      <w:r w:rsidRPr="00214A98">
        <w:t>Assessed as at risk of homelessness</w:t>
      </w:r>
    </w:p>
    <w:p w14:paraId="20EC522D" w14:textId="77777777" w:rsidR="00EC4845" w:rsidRPr="00214A98" w:rsidRDefault="00EC4845" w:rsidP="00EC4845">
      <w:pPr>
        <w:pStyle w:val="ListParagraph"/>
      </w:pPr>
      <w:r w:rsidRPr="00214A98">
        <w:t>Risk of school disengagement</w:t>
      </w:r>
    </w:p>
    <w:p w14:paraId="25194677" w14:textId="77777777" w:rsidR="00EC4845" w:rsidRPr="00214A98" w:rsidRDefault="00EC4845" w:rsidP="00EC4845">
      <w:pPr>
        <w:pStyle w:val="ListParagraph"/>
      </w:pPr>
      <w:r w:rsidRPr="00214A98">
        <w:t>Reoffending likelihood</w:t>
      </w:r>
    </w:p>
    <w:p w14:paraId="55B10CF5" w14:textId="77777777" w:rsidR="00EC4845" w:rsidRPr="00214A98" w:rsidRDefault="00EC4845" w:rsidP="00EC4845">
      <w:pPr>
        <w:pStyle w:val="Heading3colourblock"/>
      </w:pPr>
      <w:r w:rsidRPr="00214A98">
        <w:t>Able to meet program</w:t>
      </w:r>
      <w:r>
        <w:t xml:space="preserve"> </w:t>
      </w:r>
      <w:r w:rsidRPr="00214A98">
        <w:t>requirements</w:t>
      </w:r>
    </w:p>
    <w:p w14:paraId="044B0905" w14:textId="77777777" w:rsidR="00EC4845" w:rsidRPr="00214A98" w:rsidRDefault="00EC4845" w:rsidP="00EC4845">
      <w:pPr>
        <w:pStyle w:val="ListParagraph"/>
      </w:pPr>
      <w:r w:rsidRPr="00214A98">
        <w:t xml:space="preserve">Able to attend weekly program sessions </w:t>
      </w:r>
    </w:p>
    <w:p w14:paraId="4DA5BB83" w14:textId="77777777" w:rsidR="00EC4845" w:rsidRDefault="00EC4845" w:rsidP="00EC4845">
      <w:pPr>
        <w:pStyle w:val="ListParagraph"/>
      </w:pPr>
      <w:r w:rsidRPr="00214A98">
        <w:t>Willing to participate</w:t>
      </w:r>
    </w:p>
    <w:p w14:paraId="6A17815B" w14:textId="77777777" w:rsidR="00EC4845" w:rsidRDefault="00EC4845" w:rsidP="00EC4845">
      <w:pPr>
        <w:sectPr w:rsidR="00EC4845" w:rsidSect="00EC4845">
          <w:type w:val="continuous"/>
          <w:pgSz w:w="11906" w:h="16838"/>
          <w:pgMar w:top="851" w:right="851" w:bottom="851" w:left="851" w:header="0" w:footer="0" w:gutter="0"/>
          <w:pgNumType w:start="2"/>
          <w:cols w:num="2" w:space="708"/>
          <w:titlePg/>
          <w:docGrid w:linePitch="360"/>
        </w:sectPr>
      </w:pPr>
    </w:p>
    <w:p w14:paraId="22CA6810" w14:textId="77777777" w:rsidR="00EC4845" w:rsidRDefault="00EC4845" w:rsidP="00EC4845">
      <w:pPr>
        <w:pStyle w:val="Heading2"/>
      </w:pPr>
      <w:r w:rsidRPr="00C1728E">
        <w:lastRenderedPageBreak/>
        <w:t>Defining eligibility criteria</w:t>
      </w:r>
    </w:p>
    <w:p w14:paraId="4A06E5C9" w14:textId="77777777" w:rsidR="00EC4845" w:rsidRPr="00C1728E" w:rsidRDefault="00EC4845" w:rsidP="00EC4845">
      <w:pPr>
        <w:spacing w:before="240" w:after="120" w:line="240" w:lineRule="auto"/>
        <w:outlineLvl w:val="1"/>
        <w:rPr>
          <w:rFonts w:ascii="Tahoma" w:eastAsia="MS Gothic" w:hAnsi="Tahoma" w:cs="Times New Roman"/>
          <w:bCs/>
          <w:color w:val="005A70"/>
          <w:sz w:val="40"/>
          <w:szCs w:val="26"/>
        </w:rPr>
      </w:pPr>
      <w:r>
        <w:rPr>
          <w:rFonts w:ascii="Tahoma" w:eastAsia="Tahoma" w:hAnsi="Tahoma" w:cs="Times New Roman"/>
        </w:rPr>
        <w:t>How the eligibility criteria of a service are defined has</w:t>
      </w:r>
      <w:r w:rsidRPr="00C1728E">
        <w:rPr>
          <w:rFonts w:ascii="Tahoma" w:eastAsia="Tahoma" w:hAnsi="Tahoma" w:cs="Times New Roman"/>
        </w:rPr>
        <w:t xml:space="preserve"> implications for commissioners</w:t>
      </w:r>
      <w:r>
        <w:rPr>
          <w:rFonts w:ascii="Tahoma" w:eastAsia="Tahoma" w:hAnsi="Tahoma" w:cs="Times New Roman"/>
        </w:rPr>
        <w:t xml:space="preserve">, </w:t>
      </w:r>
      <w:r w:rsidRPr="00C1728E">
        <w:rPr>
          <w:rFonts w:ascii="Tahoma" w:eastAsia="Tahoma" w:hAnsi="Tahoma" w:cs="Times New Roman"/>
        </w:rPr>
        <w:t>service providers</w:t>
      </w:r>
      <w:r>
        <w:rPr>
          <w:rFonts w:ascii="Tahoma" w:eastAsia="Tahoma" w:hAnsi="Tahoma" w:cs="Times New Roman"/>
        </w:rPr>
        <w:t xml:space="preserve"> and service users. There are benefits and drawbacks with different approaches. Commissioners should consider the implications and define the criteria to suit the context and purpose of the service. </w:t>
      </w:r>
    </w:p>
    <w:p w14:paraId="05AA1DCD" w14:textId="77777777" w:rsidR="00EC4845" w:rsidRPr="00C1728E" w:rsidRDefault="00EC4845" w:rsidP="00EC4845">
      <w:pPr>
        <w:pStyle w:val="Heading3"/>
      </w:pPr>
      <w:r w:rsidRPr="00C1728E">
        <w:t>Breadth of eligibility criteria</w:t>
      </w:r>
    </w:p>
    <w:p w14:paraId="6A45E36A" w14:textId="77777777" w:rsidR="00EC4845" w:rsidRPr="00C1728E" w:rsidRDefault="00EC4845" w:rsidP="00EC4845">
      <w:pPr>
        <w:rPr>
          <w:rFonts w:ascii="Tahoma" w:eastAsia="Tahoma" w:hAnsi="Tahoma" w:cs="Times New Roman"/>
        </w:rPr>
      </w:pPr>
      <w:r w:rsidRPr="00C1728E">
        <w:rPr>
          <w:rFonts w:ascii="Tahoma" w:eastAsia="Tahoma" w:hAnsi="Tahoma" w:cs="Times New Roman"/>
        </w:rPr>
        <w:t>The brea</w:t>
      </w:r>
      <w:r>
        <w:rPr>
          <w:rFonts w:ascii="Tahoma" w:eastAsia="Tahoma" w:hAnsi="Tahoma" w:cs="Times New Roman"/>
        </w:rPr>
        <w:t>d</w:t>
      </w:r>
      <w:r w:rsidRPr="00C1728E">
        <w:rPr>
          <w:rFonts w:ascii="Tahoma" w:eastAsia="Tahoma" w:hAnsi="Tahoma" w:cs="Times New Roman"/>
        </w:rPr>
        <w:t xml:space="preserve">th of eligibility criteria refers to how wide or narrow your criteria </w:t>
      </w:r>
      <w:r>
        <w:rPr>
          <w:rFonts w:ascii="Tahoma" w:eastAsia="Tahoma" w:hAnsi="Tahoma" w:cs="Times New Roman"/>
        </w:rPr>
        <w:t>are.</w:t>
      </w:r>
    </w:p>
    <w:tbl>
      <w:tblPr>
        <w:tblStyle w:val="TableGridLight3"/>
        <w:tblW w:w="0" w:type="auto"/>
        <w:tblBorders>
          <w:top w:val="single" w:sz="6" w:space="0" w:color="00576D"/>
          <w:left w:val="single" w:sz="6" w:space="0" w:color="00576D"/>
          <w:bottom w:val="single" w:sz="6" w:space="0" w:color="00576D"/>
          <w:right w:val="single" w:sz="6" w:space="0" w:color="00576D"/>
          <w:insideH w:val="single" w:sz="6" w:space="0" w:color="00576D"/>
          <w:insideV w:val="single" w:sz="6" w:space="0" w:color="00576D"/>
        </w:tblBorders>
        <w:tblLook w:val="04A0" w:firstRow="1" w:lastRow="0" w:firstColumn="1" w:lastColumn="0" w:noHBand="0" w:noVBand="1"/>
      </w:tblPr>
      <w:tblGrid>
        <w:gridCol w:w="1380"/>
        <w:gridCol w:w="1511"/>
        <w:gridCol w:w="5705"/>
        <w:gridCol w:w="1592"/>
      </w:tblGrid>
      <w:tr w:rsidR="00EC4845" w:rsidRPr="00C1728E" w14:paraId="22B305DD" w14:textId="77777777">
        <w:trPr>
          <w:tblHeader/>
        </w:trPr>
        <w:tc>
          <w:tcPr>
            <w:tcW w:w="1410" w:type="dxa"/>
            <w:shd w:val="clear" w:color="auto" w:fill="156082"/>
            <w:vAlign w:val="center"/>
          </w:tcPr>
          <w:p w14:paraId="16323E37" w14:textId="77777777" w:rsidR="00EC4845" w:rsidRPr="00B964D7" w:rsidRDefault="00EC4845">
            <w:pPr>
              <w:rPr>
                <w:rFonts w:ascii="Tahoma" w:eastAsia="Tahoma" w:hAnsi="Tahoma" w:cs="Times New Roman"/>
                <w:b/>
                <w:bCs/>
                <w:color w:val="FFFFFF"/>
                <w:szCs w:val="22"/>
              </w:rPr>
            </w:pPr>
            <w:r w:rsidRPr="00B964D7">
              <w:rPr>
                <w:rFonts w:ascii="Tahoma" w:eastAsia="Tahoma" w:hAnsi="Tahoma" w:cs="Times New Roman"/>
                <w:b/>
                <w:bCs/>
                <w:color w:val="FFFFFF"/>
                <w:szCs w:val="22"/>
              </w:rPr>
              <w:t xml:space="preserve">Criteria </w:t>
            </w:r>
          </w:p>
        </w:tc>
        <w:tc>
          <w:tcPr>
            <w:tcW w:w="1134" w:type="dxa"/>
            <w:shd w:val="clear" w:color="auto" w:fill="156082"/>
            <w:vAlign w:val="center"/>
          </w:tcPr>
          <w:p w14:paraId="20897C41" w14:textId="77777777" w:rsidR="00EC4845" w:rsidRPr="00B964D7" w:rsidRDefault="00EC4845">
            <w:pPr>
              <w:rPr>
                <w:rFonts w:ascii="Tahoma" w:eastAsia="Tahoma" w:hAnsi="Tahoma" w:cs="Times New Roman"/>
                <w:b/>
                <w:bCs/>
                <w:color w:val="FFFFFF"/>
                <w:szCs w:val="22"/>
              </w:rPr>
            </w:pPr>
            <w:r w:rsidRPr="00B964D7">
              <w:rPr>
                <w:rFonts w:ascii="Tahoma" w:eastAsia="Tahoma" w:hAnsi="Tahoma" w:cs="Times New Roman"/>
                <w:b/>
                <w:bCs/>
                <w:color w:val="FFFFFF"/>
                <w:szCs w:val="22"/>
              </w:rPr>
              <w:t xml:space="preserve">Description </w:t>
            </w:r>
          </w:p>
        </w:tc>
        <w:tc>
          <w:tcPr>
            <w:tcW w:w="6095" w:type="dxa"/>
            <w:shd w:val="clear" w:color="auto" w:fill="156082"/>
            <w:vAlign w:val="center"/>
          </w:tcPr>
          <w:p w14:paraId="55708CE6" w14:textId="77777777" w:rsidR="00EC4845" w:rsidRPr="00B964D7" w:rsidRDefault="00EC4845">
            <w:pPr>
              <w:rPr>
                <w:rFonts w:ascii="Tahoma" w:eastAsia="Tahoma" w:hAnsi="Tahoma" w:cs="Times New Roman"/>
                <w:b/>
                <w:bCs/>
                <w:color w:val="FFFFFF"/>
                <w:szCs w:val="22"/>
              </w:rPr>
            </w:pPr>
            <w:r w:rsidRPr="00B964D7">
              <w:rPr>
                <w:rFonts w:ascii="Tahoma" w:eastAsia="Tahoma" w:hAnsi="Tahoma" w:cs="Times New Roman"/>
                <w:b/>
                <w:bCs/>
                <w:color w:val="FFFFFF"/>
                <w:szCs w:val="22"/>
              </w:rPr>
              <w:t>Implications</w:t>
            </w:r>
          </w:p>
        </w:tc>
        <w:tc>
          <w:tcPr>
            <w:tcW w:w="1549" w:type="dxa"/>
            <w:shd w:val="clear" w:color="auto" w:fill="156082"/>
            <w:vAlign w:val="center"/>
          </w:tcPr>
          <w:p w14:paraId="59DA31BD" w14:textId="77777777" w:rsidR="00EC4845" w:rsidRPr="00B964D7" w:rsidRDefault="00EC4845">
            <w:pPr>
              <w:rPr>
                <w:rFonts w:ascii="Tahoma" w:eastAsia="Tahoma" w:hAnsi="Tahoma" w:cs="Times New Roman"/>
                <w:b/>
                <w:bCs/>
                <w:color w:val="FFFFFF"/>
                <w:szCs w:val="22"/>
              </w:rPr>
            </w:pPr>
            <w:r w:rsidRPr="00B964D7">
              <w:rPr>
                <w:rFonts w:ascii="Tahoma" w:eastAsia="Tahoma" w:hAnsi="Tahoma" w:cs="Times New Roman"/>
                <w:b/>
                <w:bCs/>
                <w:color w:val="FFFFFF"/>
                <w:szCs w:val="22"/>
              </w:rPr>
              <w:t>Example</w:t>
            </w:r>
          </w:p>
        </w:tc>
      </w:tr>
      <w:tr w:rsidR="00EC4845" w:rsidRPr="00E005AA" w14:paraId="1203E96C" w14:textId="77777777">
        <w:tc>
          <w:tcPr>
            <w:tcW w:w="1410" w:type="dxa"/>
            <w:shd w:val="clear" w:color="auto" w:fill="C1E4F5"/>
            <w:vAlign w:val="center"/>
          </w:tcPr>
          <w:p w14:paraId="48F4BFD5" w14:textId="77777777" w:rsidR="00EC4845" w:rsidRPr="00B964D7" w:rsidRDefault="00EC4845">
            <w:pPr>
              <w:rPr>
                <w:rFonts w:ascii="Tahoma" w:eastAsia="Tahoma" w:hAnsi="Tahoma" w:cs="Times New Roman"/>
                <w:b/>
                <w:bCs/>
                <w:color w:val="005A70"/>
                <w:szCs w:val="22"/>
              </w:rPr>
            </w:pPr>
            <w:r w:rsidRPr="00B964D7">
              <w:rPr>
                <w:rFonts w:ascii="Tahoma" w:eastAsia="Tahoma" w:hAnsi="Tahoma" w:cs="Times New Roman"/>
                <w:b/>
                <w:bCs/>
                <w:color w:val="005A70"/>
                <w:szCs w:val="22"/>
              </w:rPr>
              <w:t>Broad criteria</w:t>
            </w:r>
          </w:p>
        </w:tc>
        <w:tc>
          <w:tcPr>
            <w:tcW w:w="1134" w:type="dxa"/>
            <w:vAlign w:val="center"/>
          </w:tcPr>
          <w:p w14:paraId="70703255" w14:textId="77777777" w:rsidR="00EC4845" w:rsidRPr="00B964D7" w:rsidRDefault="00EC4845">
            <w:pPr>
              <w:rPr>
                <w:rFonts w:ascii="Tahoma" w:eastAsia="Tahoma" w:hAnsi="Tahoma" w:cs="Times New Roman"/>
                <w:szCs w:val="22"/>
              </w:rPr>
            </w:pPr>
            <w:r w:rsidRPr="00430662">
              <w:rPr>
                <w:rFonts w:ascii="Tahoma" w:eastAsia="Tahoma" w:hAnsi="Tahoma" w:cs="Times New Roman"/>
                <w:b/>
                <w:bCs/>
                <w:szCs w:val="22"/>
              </w:rPr>
              <w:t xml:space="preserve">More </w:t>
            </w:r>
            <w:r w:rsidRPr="00B964D7">
              <w:rPr>
                <w:rFonts w:ascii="Tahoma" w:eastAsia="Tahoma" w:hAnsi="Tahoma" w:cs="Times New Roman"/>
                <w:szCs w:val="22"/>
              </w:rPr>
              <w:t>people are potentially eligible for a service</w:t>
            </w:r>
          </w:p>
        </w:tc>
        <w:tc>
          <w:tcPr>
            <w:tcW w:w="6095" w:type="dxa"/>
            <w:vAlign w:val="center"/>
          </w:tcPr>
          <w:p w14:paraId="1B47CC8F" w14:textId="77777777" w:rsidR="00EC4845" w:rsidRPr="00B964D7" w:rsidRDefault="00EC4845">
            <w:pPr>
              <w:rPr>
                <w:szCs w:val="22"/>
              </w:rPr>
            </w:pPr>
            <w:r w:rsidRPr="00B964D7">
              <w:rPr>
                <w:szCs w:val="22"/>
              </w:rPr>
              <w:t>More outcomes can be measured giving confidence that measured outcomes reflect true impact of service.</w:t>
            </w:r>
          </w:p>
          <w:p w14:paraId="2C7F5029" w14:textId="77777777" w:rsidR="00EC4845" w:rsidRPr="00B964D7" w:rsidRDefault="00EC4845">
            <w:pPr>
              <w:rPr>
                <w:szCs w:val="22"/>
              </w:rPr>
            </w:pPr>
            <w:r w:rsidRPr="00B964D7">
              <w:rPr>
                <w:szCs w:val="22"/>
              </w:rPr>
              <w:t xml:space="preserve">The cohort will have a wide spectrum of complexity. Some people may require high support needs, and other may require minimal support. This can make it harder to measure and understand the true costs and benefits of the service.  </w:t>
            </w:r>
          </w:p>
          <w:p w14:paraId="2B32EFF1" w14:textId="77777777" w:rsidR="00EC4845" w:rsidRPr="00B964D7" w:rsidRDefault="00EC4845">
            <w:pPr>
              <w:rPr>
                <w:szCs w:val="22"/>
              </w:rPr>
            </w:pPr>
            <w:r w:rsidRPr="00B964D7">
              <w:rPr>
                <w:szCs w:val="22"/>
              </w:rPr>
              <w:t>Incentives may arise to support those with lower needs and not support more ‘complex’ individuals where outcomes may require more effort and resources (i.e. cherry-picking).</w:t>
            </w:r>
          </w:p>
        </w:tc>
        <w:tc>
          <w:tcPr>
            <w:tcW w:w="1549" w:type="dxa"/>
            <w:vAlign w:val="center"/>
          </w:tcPr>
          <w:p w14:paraId="5C2BA91F" w14:textId="77777777" w:rsidR="00EC4845" w:rsidRPr="00B964D7" w:rsidRDefault="00EC4845">
            <w:pPr>
              <w:rPr>
                <w:rFonts w:ascii="Tahoma" w:eastAsia="Tahoma" w:hAnsi="Tahoma" w:cs="Times New Roman"/>
                <w:i/>
                <w:iCs/>
                <w:szCs w:val="22"/>
              </w:rPr>
            </w:pPr>
            <w:r w:rsidRPr="00B964D7">
              <w:rPr>
                <w:rFonts w:ascii="Tahoma" w:eastAsia="Tahoma" w:hAnsi="Tahoma" w:cs="Times New Roman"/>
                <w:szCs w:val="22"/>
              </w:rPr>
              <w:t>Individuals aged 16-24 who received Youth Allowance</w:t>
            </w:r>
          </w:p>
        </w:tc>
      </w:tr>
      <w:tr w:rsidR="00EC4845" w:rsidRPr="00E005AA" w14:paraId="44B4A0D4" w14:textId="77777777">
        <w:tc>
          <w:tcPr>
            <w:tcW w:w="1410" w:type="dxa"/>
            <w:shd w:val="clear" w:color="auto" w:fill="C1E4F5"/>
            <w:vAlign w:val="center"/>
          </w:tcPr>
          <w:p w14:paraId="3B1EA1F0" w14:textId="77777777" w:rsidR="00EC4845" w:rsidRPr="00B964D7" w:rsidRDefault="00EC4845">
            <w:pPr>
              <w:rPr>
                <w:rFonts w:ascii="Tahoma" w:eastAsia="Tahoma" w:hAnsi="Tahoma" w:cs="Times New Roman"/>
                <w:b/>
                <w:bCs/>
                <w:color w:val="005A70"/>
                <w:szCs w:val="22"/>
              </w:rPr>
            </w:pPr>
            <w:r w:rsidRPr="00B964D7">
              <w:rPr>
                <w:rFonts w:ascii="Tahoma" w:eastAsia="Tahoma" w:hAnsi="Tahoma" w:cs="Times New Roman"/>
                <w:b/>
                <w:bCs/>
                <w:color w:val="005A70"/>
                <w:szCs w:val="22"/>
              </w:rPr>
              <w:t>Narrow criteria</w:t>
            </w:r>
          </w:p>
        </w:tc>
        <w:tc>
          <w:tcPr>
            <w:tcW w:w="1134" w:type="dxa"/>
            <w:vAlign w:val="center"/>
          </w:tcPr>
          <w:p w14:paraId="21373587" w14:textId="77777777" w:rsidR="00EC4845" w:rsidRPr="00B964D7" w:rsidRDefault="00EC4845">
            <w:pPr>
              <w:rPr>
                <w:rFonts w:ascii="Tahoma" w:eastAsia="Tahoma" w:hAnsi="Tahoma" w:cs="Times New Roman"/>
                <w:szCs w:val="22"/>
              </w:rPr>
            </w:pPr>
            <w:r w:rsidRPr="00430662">
              <w:rPr>
                <w:rFonts w:ascii="Tahoma" w:eastAsia="Tahoma" w:hAnsi="Tahoma" w:cs="Times New Roman"/>
                <w:b/>
                <w:bCs/>
                <w:szCs w:val="22"/>
              </w:rPr>
              <w:t xml:space="preserve">Fewer </w:t>
            </w:r>
            <w:r w:rsidRPr="00B964D7">
              <w:rPr>
                <w:rFonts w:ascii="Tahoma" w:eastAsia="Tahoma" w:hAnsi="Tahoma" w:cs="Times New Roman"/>
                <w:szCs w:val="22"/>
              </w:rPr>
              <w:t>people are potentially eligible for a service</w:t>
            </w:r>
          </w:p>
        </w:tc>
        <w:tc>
          <w:tcPr>
            <w:tcW w:w="6095" w:type="dxa"/>
            <w:vAlign w:val="center"/>
          </w:tcPr>
          <w:p w14:paraId="5E0D3E81" w14:textId="77777777" w:rsidR="00EC4845" w:rsidRPr="00B964D7" w:rsidRDefault="00EC4845">
            <w:pPr>
              <w:rPr>
                <w:szCs w:val="22"/>
              </w:rPr>
            </w:pPr>
            <w:r w:rsidRPr="00B964D7">
              <w:rPr>
                <w:szCs w:val="22"/>
              </w:rPr>
              <w:t>Enables focus on individuals with greatest need.</w:t>
            </w:r>
          </w:p>
          <w:p w14:paraId="3D23B920" w14:textId="77777777" w:rsidR="00EC4845" w:rsidRPr="00B964D7" w:rsidRDefault="00EC4845">
            <w:pPr>
              <w:rPr>
                <w:szCs w:val="22"/>
              </w:rPr>
            </w:pPr>
            <w:r w:rsidRPr="00B964D7">
              <w:rPr>
                <w:szCs w:val="22"/>
              </w:rPr>
              <w:t xml:space="preserve">It can be easier to estimate the cost of achieving an outcome (and the benefits arising from the outcome) as the cohort will be less variable. </w:t>
            </w:r>
          </w:p>
          <w:p w14:paraId="1E81C76F" w14:textId="77777777" w:rsidR="00EC4845" w:rsidRPr="00B964D7" w:rsidRDefault="00EC4845">
            <w:pPr>
              <w:rPr>
                <w:szCs w:val="22"/>
              </w:rPr>
            </w:pPr>
            <w:r w:rsidRPr="00B964D7">
              <w:rPr>
                <w:szCs w:val="22"/>
              </w:rPr>
              <w:t>There is less risk of ‘cherry-picking’.</w:t>
            </w:r>
          </w:p>
          <w:p w14:paraId="73CCB9C0" w14:textId="77777777" w:rsidR="00EC4845" w:rsidRPr="00B964D7" w:rsidRDefault="00EC4845">
            <w:pPr>
              <w:rPr>
                <w:szCs w:val="22"/>
              </w:rPr>
            </w:pPr>
            <w:r w:rsidRPr="00B964D7">
              <w:rPr>
                <w:szCs w:val="22"/>
              </w:rPr>
              <w:t>There may be effort and resources required to identify eligible people.</w:t>
            </w:r>
          </w:p>
          <w:p w14:paraId="0FFEDF15" w14:textId="77777777" w:rsidR="00EC4845" w:rsidRPr="00B964D7" w:rsidRDefault="00EC4845">
            <w:pPr>
              <w:rPr>
                <w:szCs w:val="22"/>
              </w:rPr>
            </w:pPr>
            <w:r w:rsidRPr="00B964D7">
              <w:rPr>
                <w:szCs w:val="22"/>
              </w:rPr>
              <w:t>Fewer outcomes can be measured which can reduce reliability and confidence in results.</w:t>
            </w:r>
          </w:p>
          <w:p w14:paraId="3FC0E47F" w14:textId="77777777" w:rsidR="00EC4845" w:rsidRPr="00B964D7" w:rsidRDefault="00EC4845">
            <w:pPr>
              <w:rPr>
                <w:szCs w:val="22"/>
              </w:rPr>
            </w:pPr>
            <w:r w:rsidRPr="00B964D7">
              <w:rPr>
                <w:szCs w:val="22"/>
              </w:rPr>
              <w:t>People may be excluded from a service who would benefit from support.</w:t>
            </w:r>
          </w:p>
        </w:tc>
        <w:tc>
          <w:tcPr>
            <w:tcW w:w="1549" w:type="dxa"/>
            <w:vAlign w:val="center"/>
          </w:tcPr>
          <w:p w14:paraId="660ABAFE" w14:textId="77777777" w:rsidR="00EC4845" w:rsidRPr="00B964D7" w:rsidRDefault="00EC4845">
            <w:pPr>
              <w:rPr>
                <w:rFonts w:ascii="Tahoma" w:eastAsia="Tahoma" w:hAnsi="Tahoma" w:cs="Times New Roman"/>
                <w:szCs w:val="22"/>
              </w:rPr>
            </w:pPr>
            <w:r w:rsidRPr="00B964D7">
              <w:rPr>
                <w:rFonts w:ascii="Tahoma" w:eastAsia="Tahoma" w:hAnsi="Tahoma" w:cs="Times New Roman"/>
                <w:szCs w:val="22"/>
              </w:rPr>
              <w:t>Individuals aged 16-24 who received Youth Allowance and presented to a homelessness service</w:t>
            </w:r>
          </w:p>
        </w:tc>
      </w:tr>
    </w:tbl>
    <w:p w14:paraId="608AB6D6" w14:textId="77777777" w:rsidR="00EC4845" w:rsidRDefault="00EC4845" w:rsidP="00EC4845">
      <w:pPr>
        <w:pStyle w:val="Heading3"/>
      </w:pPr>
    </w:p>
    <w:p w14:paraId="44951711" w14:textId="77777777" w:rsidR="00EC4845" w:rsidRDefault="00EC4845" w:rsidP="00EC4845">
      <w:pPr>
        <w:spacing w:after="240"/>
        <w:rPr>
          <w:rFonts w:asciiTheme="majorHAnsi" w:eastAsiaTheme="majorEastAsia" w:hAnsiTheme="majorHAnsi" w:cstheme="majorBidi"/>
          <w:bCs/>
          <w:color w:val="005A70" w:themeColor="accent1"/>
          <w:sz w:val="32"/>
        </w:rPr>
      </w:pPr>
      <w:r>
        <w:br w:type="page"/>
      </w:r>
    </w:p>
    <w:p w14:paraId="26A2D386" w14:textId="77777777" w:rsidR="00EC4845" w:rsidRPr="007E593C" w:rsidRDefault="00EC4845" w:rsidP="00EC4845">
      <w:pPr>
        <w:pStyle w:val="Heading3"/>
      </w:pPr>
      <w:r w:rsidRPr="007E593C">
        <w:lastRenderedPageBreak/>
        <w:t>Subjectivity of eligibility criteria</w:t>
      </w:r>
    </w:p>
    <w:p w14:paraId="4F99882E" w14:textId="77777777" w:rsidR="00EC4845" w:rsidRPr="00C1728E" w:rsidRDefault="00EC4845" w:rsidP="00EC4845">
      <w:r w:rsidRPr="00C1728E">
        <w:t xml:space="preserve">The subjectivity of eligibility criteria refers to how </w:t>
      </w:r>
      <w:r>
        <w:t>precise or generalised</w:t>
      </w:r>
      <w:r w:rsidRPr="00C1728E">
        <w:t xml:space="preserve"> your criteria is</w:t>
      </w:r>
      <w:r>
        <w:t>.</w:t>
      </w:r>
    </w:p>
    <w:tbl>
      <w:tblPr>
        <w:tblStyle w:val="TableGridLight3"/>
        <w:tblW w:w="0" w:type="auto"/>
        <w:tblBorders>
          <w:top w:val="single" w:sz="6" w:space="0" w:color="00576D"/>
          <w:left w:val="single" w:sz="6" w:space="0" w:color="00576D"/>
          <w:bottom w:val="single" w:sz="6" w:space="0" w:color="00576D"/>
          <w:right w:val="single" w:sz="6" w:space="0" w:color="00576D"/>
          <w:insideH w:val="single" w:sz="6" w:space="0" w:color="00576D"/>
          <w:insideV w:val="single" w:sz="6" w:space="0" w:color="00576D"/>
        </w:tblBorders>
        <w:tblLook w:val="04A0" w:firstRow="1" w:lastRow="0" w:firstColumn="1" w:lastColumn="0" w:noHBand="0" w:noVBand="1"/>
      </w:tblPr>
      <w:tblGrid>
        <w:gridCol w:w="1408"/>
        <w:gridCol w:w="1805"/>
        <w:gridCol w:w="5223"/>
        <w:gridCol w:w="1752"/>
      </w:tblGrid>
      <w:tr w:rsidR="00EC4845" w:rsidRPr="00E005AA" w14:paraId="66A487C9" w14:textId="77777777">
        <w:trPr>
          <w:cantSplit/>
          <w:tblHeader/>
        </w:trPr>
        <w:tc>
          <w:tcPr>
            <w:tcW w:w="1302" w:type="dxa"/>
            <w:shd w:val="clear" w:color="auto" w:fill="156082"/>
            <w:vAlign w:val="center"/>
          </w:tcPr>
          <w:p w14:paraId="500A3802" w14:textId="77777777" w:rsidR="00EC4845" w:rsidRPr="00B964D7" w:rsidRDefault="00EC4845">
            <w:pPr>
              <w:rPr>
                <w:rFonts w:ascii="Tahoma" w:eastAsia="Tahoma" w:hAnsi="Tahoma" w:cs="Times New Roman"/>
                <w:b/>
                <w:bCs/>
                <w:color w:val="FFFFFF"/>
                <w:szCs w:val="22"/>
              </w:rPr>
            </w:pPr>
            <w:r w:rsidRPr="00B964D7">
              <w:rPr>
                <w:rFonts w:ascii="Tahoma" w:eastAsia="Tahoma" w:hAnsi="Tahoma" w:cs="Times New Roman"/>
                <w:b/>
                <w:bCs/>
                <w:color w:val="FFFFFF"/>
                <w:szCs w:val="22"/>
              </w:rPr>
              <w:t xml:space="preserve">Criteria </w:t>
            </w:r>
          </w:p>
        </w:tc>
        <w:tc>
          <w:tcPr>
            <w:tcW w:w="1736" w:type="dxa"/>
            <w:shd w:val="clear" w:color="auto" w:fill="156082"/>
            <w:vAlign w:val="center"/>
          </w:tcPr>
          <w:p w14:paraId="331382C3" w14:textId="77777777" w:rsidR="00EC4845" w:rsidRPr="00B964D7" w:rsidRDefault="00EC4845">
            <w:pPr>
              <w:rPr>
                <w:rFonts w:ascii="Tahoma" w:eastAsia="Tahoma" w:hAnsi="Tahoma" w:cs="Times New Roman"/>
                <w:b/>
                <w:bCs/>
                <w:color w:val="FFFFFF"/>
                <w:szCs w:val="22"/>
              </w:rPr>
            </w:pPr>
            <w:r w:rsidRPr="00B964D7">
              <w:rPr>
                <w:rFonts w:ascii="Tahoma" w:eastAsia="Tahoma" w:hAnsi="Tahoma" w:cs="Times New Roman"/>
                <w:b/>
                <w:bCs/>
                <w:color w:val="FFFFFF"/>
                <w:szCs w:val="22"/>
              </w:rPr>
              <w:t xml:space="preserve">Description </w:t>
            </w:r>
          </w:p>
        </w:tc>
        <w:tc>
          <w:tcPr>
            <w:tcW w:w="5534" w:type="dxa"/>
            <w:shd w:val="clear" w:color="auto" w:fill="156082"/>
            <w:vAlign w:val="center"/>
          </w:tcPr>
          <w:p w14:paraId="0E8C4B1C" w14:textId="77777777" w:rsidR="00EC4845" w:rsidRPr="00B964D7" w:rsidRDefault="00EC4845">
            <w:pPr>
              <w:rPr>
                <w:rFonts w:ascii="Tahoma" w:eastAsia="Tahoma" w:hAnsi="Tahoma" w:cs="Times New Roman"/>
                <w:b/>
                <w:bCs/>
                <w:color w:val="FFFFFF"/>
                <w:szCs w:val="22"/>
              </w:rPr>
            </w:pPr>
            <w:r w:rsidRPr="00B964D7">
              <w:rPr>
                <w:rFonts w:ascii="Tahoma" w:eastAsia="Tahoma" w:hAnsi="Tahoma" w:cs="Times New Roman"/>
                <w:b/>
                <w:bCs/>
                <w:color w:val="FFFFFF"/>
                <w:szCs w:val="22"/>
              </w:rPr>
              <w:t>Implications</w:t>
            </w:r>
          </w:p>
        </w:tc>
        <w:tc>
          <w:tcPr>
            <w:tcW w:w="1616" w:type="dxa"/>
            <w:shd w:val="clear" w:color="auto" w:fill="156082"/>
            <w:vAlign w:val="center"/>
          </w:tcPr>
          <w:p w14:paraId="372A2399" w14:textId="77777777" w:rsidR="00EC4845" w:rsidRPr="00B964D7" w:rsidRDefault="00EC4845">
            <w:pPr>
              <w:rPr>
                <w:rFonts w:ascii="Tahoma" w:eastAsia="Tahoma" w:hAnsi="Tahoma" w:cs="Times New Roman"/>
                <w:b/>
                <w:bCs/>
                <w:color w:val="FFFFFF"/>
                <w:szCs w:val="22"/>
              </w:rPr>
            </w:pPr>
            <w:r w:rsidRPr="00B964D7">
              <w:rPr>
                <w:rFonts w:ascii="Tahoma" w:eastAsia="Tahoma" w:hAnsi="Tahoma" w:cs="Times New Roman"/>
                <w:b/>
                <w:bCs/>
                <w:color w:val="FFFFFF"/>
                <w:szCs w:val="22"/>
              </w:rPr>
              <w:t>Example</w:t>
            </w:r>
          </w:p>
        </w:tc>
      </w:tr>
      <w:tr w:rsidR="00EC4845" w:rsidRPr="00E005AA" w14:paraId="48C3570A" w14:textId="77777777">
        <w:trPr>
          <w:cantSplit/>
        </w:trPr>
        <w:tc>
          <w:tcPr>
            <w:tcW w:w="1302" w:type="dxa"/>
            <w:shd w:val="clear" w:color="auto" w:fill="C1E4F5"/>
            <w:vAlign w:val="center"/>
          </w:tcPr>
          <w:p w14:paraId="50FA16BD" w14:textId="77777777" w:rsidR="00EC4845" w:rsidRPr="00B964D7" w:rsidRDefault="00EC4845">
            <w:pPr>
              <w:rPr>
                <w:rFonts w:ascii="Tahoma" w:eastAsia="Tahoma" w:hAnsi="Tahoma" w:cs="Times New Roman"/>
                <w:b/>
                <w:bCs/>
                <w:color w:val="005A70"/>
                <w:szCs w:val="22"/>
              </w:rPr>
            </w:pPr>
            <w:r w:rsidRPr="00B964D7">
              <w:rPr>
                <w:rFonts w:ascii="Tahoma" w:eastAsia="Tahoma" w:hAnsi="Tahoma" w:cs="Times New Roman"/>
                <w:b/>
                <w:bCs/>
                <w:color w:val="005A70"/>
                <w:szCs w:val="22"/>
              </w:rPr>
              <w:t>Subjective criteria</w:t>
            </w:r>
          </w:p>
        </w:tc>
        <w:tc>
          <w:tcPr>
            <w:tcW w:w="1736" w:type="dxa"/>
            <w:vAlign w:val="center"/>
          </w:tcPr>
          <w:p w14:paraId="25474001" w14:textId="77777777" w:rsidR="00EC4845" w:rsidRPr="00B964D7" w:rsidRDefault="00EC4845">
            <w:pPr>
              <w:rPr>
                <w:rFonts w:ascii="Tahoma" w:eastAsia="Tahoma" w:hAnsi="Tahoma" w:cs="Times New Roman"/>
                <w:szCs w:val="22"/>
              </w:rPr>
            </w:pPr>
            <w:r w:rsidRPr="00B964D7">
              <w:rPr>
                <w:rFonts w:ascii="Tahoma" w:eastAsia="Tahoma" w:hAnsi="Tahoma" w:cs="Times New Roman"/>
                <w:szCs w:val="22"/>
              </w:rPr>
              <w:t xml:space="preserve">Relies on </w:t>
            </w:r>
            <w:r w:rsidRPr="00430662">
              <w:rPr>
                <w:rFonts w:ascii="Tahoma" w:eastAsia="Tahoma" w:hAnsi="Tahoma" w:cs="Times New Roman"/>
                <w:b/>
                <w:bCs/>
                <w:szCs w:val="22"/>
              </w:rPr>
              <w:t xml:space="preserve">judgment or interpretation </w:t>
            </w:r>
            <w:r w:rsidRPr="00B964D7">
              <w:rPr>
                <w:rFonts w:ascii="Tahoma" w:eastAsia="Tahoma" w:hAnsi="Tahoma" w:cs="Times New Roman"/>
                <w:szCs w:val="22"/>
              </w:rPr>
              <w:t>by service providers</w:t>
            </w:r>
          </w:p>
        </w:tc>
        <w:tc>
          <w:tcPr>
            <w:tcW w:w="5534" w:type="dxa"/>
            <w:vAlign w:val="center"/>
          </w:tcPr>
          <w:p w14:paraId="396F3D0E" w14:textId="77777777" w:rsidR="00EC4845" w:rsidRPr="00B964D7" w:rsidRDefault="00EC4845">
            <w:pPr>
              <w:rPr>
                <w:szCs w:val="22"/>
              </w:rPr>
            </w:pPr>
            <w:r w:rsidRPr="00B964D7">
              <w:rPr>
                <w:szCs w:val="22"/>
              </w:rPr>
              <w:t>Can capture emerging needs that are not reflected in datasets.</w:t>
            </w:r>
          </w:p>
          <w:p w14:paraId="7B8621FE" w14:textId="77777777" w:rsidR="00EC4845" w:rsidRPr="00B964D7" w:rsidRDefault="00EC4845">
            <w:pPr>
              <w:rPr>
                <w:szCs w:val="22"/>
              </w:rPr>
            </w:pPr>
            <w:r w:rsidRPr="00B964D7">
              <w:rPr>
                <w:szCs w:val="22"/>
              </w:rPr>
              <w:t>Offers flexibility to include people whose needs align with the intent of the service.</w:t>
            </w:r>
          </w:p>
          <w:p w14:paraId="63D2FA4B" w14:textId="77777777" w:rsidR="00EC4845" w:rsidRPr="00B964D7" w:rsidRDefault="00EC4845">
            <w:pPr>
              <w:rPr>
                <w:szCs w:val="22"/>
              </w:rPr>
            </w:pPr>
            <w:r w:rsidRPr="00B964D7">
              <w:rPr>
                <w:szCs w:val="22"/>
              </w:rPr>
              <w:t>May be harder to verify eligibility and can increase risk of inconsistency or selection bias.</w:t>
            </w:r>
          </w:p>
          <w:p w14:paraId="2FD8F42D" w14:textId="77777777" w:rsidR="00EC4845" w:rsidRPr="00B964D7" w:rsidRDefault="00EC4845">
            <w:pPr>
              <w:rPr>
                <w:szCs w:val="22"/>
              </w:rPr>
            </w:pPr>
            <w:r w:rsidRPr="00B964D7">
              <w:rPr>
                <w:szCs w:val="22"/>
              </w:rPr>
              <w:t>Can be difficult to communicate to referral partners.</w:t>
            </w:r>
          </w:p>
          <w:p w14:paraId="311C2F86" w14:textId="77777777" w:rsidR="00EC4845" w:rsidRPr="00B964D7" w:rsidRDefault="00EC4845">
            <w:pPr>
              <w:rPr>
                <w:szCs w:val="22"/>
              </w:rPr>
            </w:pPr>
            <w:r w:rsidRPr="00B964D7">
              <w:rPr>
                <w:szCs w:val="22"/>
              </w:rPr>
              <w:t>May be unable to identify people in datasets so may be harder to evaluate or develop a counterfactual.</w:t>
            </w:r>
          </w:p>
        </w:tc>
        <w:tc>
          <w:tcPr>
            <w:tcW w:w="1616" w:type="dxa"/>
            <w:vAlign w:val="center"/>
          </w:tcPr>
          <w:p w14:paraId="215804F8" w14:textId="77777777" w:rsidR="00EC4845" w:rsidRPr="00B964D7" w:rsidRDefault="00EC4845">
            <w:pPr>
              <w:rPr>
                <w:rFonts w:ascii="Tahoma" w:eastAsia="Tahoma" w:hAnsi="Tahoma" w:cs="Times New Roman"/>
                <w:i/>
                <w:iCs/>
                <w:szCs w:val="22"/>
              </w:rPr>
            </w:pPr>
            <w:r w:rsidRPr="00B964D7">
              <w:rPr>
                <w:rFonts w:ascii="Tahoma" w:eastAsia="Tahoma" w:hAnsi="Tahoma" w:cs="Times New Roman"/>
                <w:szCs w:val="22"/>
              </w:rPr>
              <w:t>People underemployed or at risk of losing a job</w:t>
            </w:r>
          </w:p>
        </w:tc>
      </w:tr>
      <w:tr w:rsidR="00EC4845" w:rsidRPr="00E005AA" w14:paraId="79F3C87C" w14:textId="77777777">
        <w:trPr>
          <w:cantSplit/>
        </w:trPr>
        <w:tc>
          <w:tcPr>
            <w:tcW w:w="1302" w:type="dxa"/>
            <w:shd w:val="clear" w:color="auto" w:fill="C1E4F5"/>
            <w:vAlign w:val="center"/>
          </w:tcPr>
          <w:p w14:paraId="08EEF646" w14:textId="77777777" w:rsidR="00EC4845" w:rsidRPr="00B964D7" w:rsidRDefault="00EC4845">
            <w:pPr>
              <w:rPr>
                <w:rFonts w:ascii="Tahoma" w:eastAsia="Tahoma" w:hAnsi="Tahoma" w:cs="Times New Roman"/>
                <w:b/>
                <w:bCs/>
                <w:color w:val="005A70"/>
                <w:szCs w:val="22"/>
              </w:rPr>
            </w:pPr>
            <w:r w:rsidRPr="00B964D7">
              <w:rPr>
                <w:rFonts w:ascii="Tahoma" w:eastAsia="Tahoma" w:hAnsi="Tahoma" w:cs="Times New Roman"/>
                <w:b/>
                <w:bCs/>
                <w:color w:val="005A70"/>
                <w:szCs w:val="22"/>
              </w:rPr>
              <w:t>Objective criteria</w:t>
            </w:r>
          </w:p>
        </w:tc>
        <w:tc>
          <w:tcPr>
            <w:tcW w:w="1736" w:type="dxa"/>
            <w:vAlign w:val="center"/>
          </w:tcPr>
          <w:p w14:paraId="526A9486" w14:textId="77777777" w:rsidR="00EC4845" w:rsidRPr="00B964D7" w:rsidRDefault="00EC4845">
            <w:pPr>
              <w:rPr>
                <w:rFonts w:ascii="Tahoma" w:eastAsia="Tahoma" w:hAnsi="Tahoma" w:cs="Times New Roman"/>
                <w:szCs w:val="22"/>
              </w:rPr>
            </w:pPr>
            <w:r w:rsidRPr="00430662">
              <w:rPr>
                <w:rFonts w:ascii="Tahoma" w:eastAsia="Tahoma" w:hAnsi="Tahoma" w:cs="Times New Roman"/>
                <w:b/>
                <w:bCs/>
                <w:szCs w:val="22"/>
              </w:rPr>
              <w:t xml:space="preserve">Fact-based and verifiable </w:t>
            </w:r>
            <w:r w:rsidRPr="00B964D7">
              <w:rPr>
                <w:rFonts w:ascii="Tahoma" w:eastAsia="Tahoma" w:hAnsi="Tahoma" w:cs="Times New Roman"/>
                <w:szCs w:val="22"/>
              </w:rPr>
              <w:t>using data or documentation</w:t>
            </w:r>
          </w:p>
        </w:tc>
        <w:tc>
          <w:tcPr>
            <w:tcW w:w="5534" w:type="dxa"/>
            <w:vAlign w:val="center"/>
          </w:tcPr>
          <w:p w14:paraId="5DD0C241" w14:textId="77777777" w:rsidR="00EC4845" w:rsidRPr="00B964D7" w:rsidRDefault="00EC4845">
            <w:pPr>
              <w:rPr>
                <w:szCs w:val="22"/>
              </w:rPr>
            </w:pPr>
            <w:r w:rsidRPr="00B964D7">
              <w:rPr>
                <w:szCs w:val="22"/>
              </w:rPr>
              <w:t>Easy for referral partners and service providers to check and apply consistently.</w:t>
            </w:r>
          </w:p>
          <w:p w14:paraId="2CB90ED5" w14:textId="77777777" w:rsidR="00EC4845" w:rsidRPr="00B964D7" w:rsidRDefault="00EC4845">
            <w:pPr>
              <w:rPr>
                <w:szCs w:val="22"/>
              </w:rPr>
            </w:pPr>
            <w:r w:rsidRPr="00B964D7">
              <w:rPr>
                <w:szCs w:val="22"/>
              </w:rPr>
              <w:t>More likely to be identifiable in datasets that can be used for evaluations or developing a counterfactual.</w:t>
            </w:r>
          </w:p>
          <w:p w14:paraId="527AC557" w14:textId="77777777" w:rsidR="00EC4845" w:rsidRPr="00B964D7" w:rsidRDefault="00EC4845">
            <w:pPr>
              <w:rPr>
                <w:szCs w:val="22"/>
              </w:rPr>
            </w:pPr>
            <w:r w:rsidRPr="00B964D7">
              <w:rPr>
                <w:szCs w:val="22"/>
              </w:rPr>
              <w:t>May exclude people in need from a service or reduce flexibility to support people in complex situations.</w:t>
            </w:r>
          </w:p>
          <w:p w14:paraId="4AF16AC7" w14:textId="77777777" w:rsidR="00EC4845" w:rsidRPr="00B964D7" w:rsidRDefault="00EC4845">
            <w:pPr>
              <w:rPr>
                <w:szCs w:val="22"/>
              </w:rPr>
            </w:pPr>
            <w:r w:rsidRPr="00B964D7">
              <w:rPr>
                <w:szCs w:val="22"/>
              </w:rPr>
              <w:t>May require access to additional datasets to determine eligibility.</w:t>
            </w:r>
          </w:p>
        </w:tc>
        <w:tc>
          <w:tcPr>
            <w:tcW w:w="1616" w:type="dxa"/>
            <w:vAlign w:val="center"/>
          </w:tcPr>
          <w:p w14:paraId="2A9A3BC5" w14:textId="77777777" w:rsidR="00EC4845" w:rsidRPr="00B964D7" w:rsidRDefault="00EC4845">
            <w:pPr>
              <w:rPr>
                <w:rFonts w:ascii="Tahoma" w:eastAsia="Tahoma" w:hAnsi="Tahoma" w:cs="Times New Roman"/>
                <w:szCs w:val="22"/>
              </w:rPr>
            </w:pPr>
            <w:r w:rsidRPr="00B964D7">
              <w:rPr>
                <w:rFonts w:ascii="Tahoma" w:eastAsia="Tahoma" w:hAnsi="Tahoma" w:cs="Times New Roman"/>
                <w:szCs w:val="22"/>
              </w:rPr>
              <w:t>People employed less than 10 hours per week</w:t>
            </w:r>
          </w:p>
        </w:tc>
      </w:tr>
    </w:tbl>
    <w:p w14:paraId="185F27AC" w14:textId="77777777" w:rsidR="00EC4845" w:rsidRPr="007E593C" w:rsidRDefault="00EC4845" w:rsidP="00EC4845">
      <w:pPr>
        <w:pStyle w:val="Heading3"/>
      </w:pPr>
      <w:r w:rsidRPr="007E593C">
        <w:t xml:space="preserve">Referral pathways </w:t>
      </w:r>
    </w:p>
    <w:p w14:paraId="1581B73F" w14:textId="77777777" w:rsidR="00EC4845" w:rsidRDefault="00EC4845" w:rsidP="00EC4845">
      <w:pPr>
        <w:rPr>
          <w:szCs w:val="22"/>
        </w:rPr>
      </w:pPr>
      <w:r>
        <w:rPr>
          <w:szCs w:val="22"/>
        </w:rPr>
        <w:t>I</w:t>
      </w:r>
      <w:r w:rsidRPr="002157E6">
        <w:rPr>
          <w:szCs w:val="22"/>
        </w:rPr>
        <w:t xml:space="preserve">t’s important to </w:t>
      </w:r>
      <w:r>
        <w:rPr>
          <w:szCs w:val="22"/>
        </w:rPr>
        <w:t>consider</w:t>
      </w:r>
      <w:r w:rsidRPr="002157E6">
        <w:rPr>
          <w:szCs w:val="22"/>
        </w:rPr>
        <w:t xml:space="preserve"> how eligible people will be found and referred into </w:t>
      </w:r>
      <w:r>
        <w:rPr>
          <w:szCs w:val="22"/>
        </w:rPr>
        <w:t>a</w:t>
      </w:r>
      <w:r w:rsidRPr="002157E6">
        <w:rPr>
          <w:szCs w:val="22"/>
        </w:rPr>
        <w:t xml:space="preserve"> </w:t>
      </w:r>
      <w:r>
        <w:rPr>
          <w:szCs w:val="22"/>
        </w:rPr>
        <w:t>service, which may inform how you define eligibility criteria</w:t>
      </w:r>
      <w:r w:rsidRPr="002157E6">
        <w:rPr>
          <w:szCs w:val="22"/>
        </w:rPr>
        <w:t>.</w:t>
      </w:r>
      <w:r>
        <w:rPr>
          <w:szCs w:val="22"/>
        </w:rPr>
        <w:t xml:space="preserve"> You should ask yourself:</w:t>
      </w:r>
    </w:p>
    <w:p w14:paraId="2C5FA37C" w14:textId="77777777" w:rsidR="00EC4845" w:rsidRPr="00F2099A" w:rsidRDefault="00EC4845" w:rsidP="00EC4845">
      <w:pPr>
        <w:pStyle w:val="ListParagraph"/>
      </w:pPr>
      <w:r w:rsidRPr="00F2099A">
        <w:t>Which organisations interact with the target cohort? For example, schools, hospitals, prisons, or non-government organisations may interact with the target cohort. You may need to consider additional strategies to find people if they do not regularly engage with other services.</w:t>
      </w:r>
    </w:p>
    <w:p w14:paraId="6C0F9D57" w14:textId="77777777" w:rsidR="00EC4845" w:rsidRDefault="00EC4845" w:rsidP="00EC4845">
      <w:pPr>
        <w:pStyle w:val="ListParagraph"/>
      </w:pPr>
      <w:r w:rsidRPr="00F2099A">
        <w:t xml:space="preserve">How will referring organisations identify eligible individuals? You will need to consider what information they will have access to confirm eligibility, and what guidance they will need to apply eligibility criteria consistently. </w:t>
      </w:r>
    </w:p>
    <w:p w14:paraId="2E1415E2" w14:textId="77777777" w:rsidR="00EC4845" w:rsidRPr="00D15956" w:rsidRDefault="00EC4845" w:rsidP="00EC4845">
      <w:pPr>
        <w:sectPr w:rsidR="00EC4845" w:rsidRPr="00D15956" w:rsidSect="00EC4845">
          <w:type w:val="continuous"/>
          <w:pgSz w:w="11906" w:h="16838"/>
          <w:pgMar w:top="851" w:right="851" w:bottom="851" w:left="851" w:header="0" w:footer="0" w:gutter="0"/>
          <w:pgNumType w:start="2"/>
          <w:cols w:space="708"/>
          <w:titlePg/>
          <w:docGrid w:linePitch="360"/>
        </w:sectPr>
      </w:pPr>
    </w:p>
    <w:p w14:paraId="123219EC" w14:textId="7B3D6741" w:rsidR="00EC4845" w:rsidRPr="00F2099A" w:rsidRDefault="00EC4845" w:rsidP="00430662">
      <w:pPr>
        <w:pStyle w:val="Heading2"/>
      </w:pPr>
      <w:r w:rsidRPr="00F2099A">
        <w:lastRenderedPageBreak/>
        <w:t xml:space="preserve">Case study: Foyer Central </w:t>
      </w:r>
    </w:p>
    <w:p w14:paraId="271929F5" w14:textId="77777777" w:rsidR="00EC4845" w:rsidRDefault="00EC4845" w:rsidP="00430662">
      <w:pPr>
        <w:spacing w:after="160" w:line="278" w:lineRule="auto"/>
        <w:ind w:right="-6167"/>
      </w:pPr>
      <w:r>
        <w:t>Foyer Central provides young people who have been in out-of-home care in New South Wales with stable housing and strengths-based supports. It aims to build</w:t>
      </w:r>
      <w:r w:rsidRPr="00492A6D">
        <w:t xml:space="preserve"> their capacity to access education, training and employment, and make positive decisions.</w:t>
      </w:r>
      <w:r w:rsidRPr="00422BD4">
        <w:t xml:space="preserve"> </w:t>
      </w:r>
    </w:p>
    <w:p w14:paraId="0B6B70D4" w14:textId="77777777" w:rsidR="00EC4845" w:rsidRDefault="00EC4845" w:rsidP="00EC4845">
      <w:pPr>
        <w:spacing w:after="160" w:line="278" w:lineRule="auto"/>
      </w:pPr>
      <w:r>
        <w:t xml:space="preserve">Eligible young people are referred by the NSW Department of Communities and Justice and non-government organisations. Some young people also self-refer. </w:t>
      </w:r>
    </w:p>
    <w:p w14:paraId="33D419CE" w14:textId="77777777" w:rsidR="00EC4845" w:rsidRDefault="00EC4845" w:rsidP="00EC4845">
      <w:pPr>
        <w:spacing w:after="160" w:line="278" w:lineRule="auto"/>
      </w:pPr>
      <w:r>
        <w:t>Individuals</w:t>
      </w:r>
      <w:r w:rsidRPr="009B1DA5">
        <w:t xml:space="preserve"> must meet the following criteria:</w:t>
      </w:r>
    </w:p>
    <w:p w14:paraId="6AEED4CA" w14:textId="77777777" w:rsidR="00EC4845" w:rsidRPr="000B1E7F" w:rsidRDefault="00EC4845" w:rsidP="00EC4845">
      <w:pPr>
        <w:pStyle w:val="ListParagraph"/>
      </w:pPr>
      <w:r w:rsidRPr="000B1E7F">
        <w:t>aged 18 to 22 years;</w:t>
      </w:r>
    </w:p>
    <w:p w14:paraId="67664B3B" w14:textId="77777777" w:rsidR="00EC4845" w:rsidRPr="000B1E7F" w:rsidRDefault="00EC4845" w:rsidP="00EC4845">
      <w:pPr>
        <w:pStyle w:val="ListParagraph"/>
      </w:pPr>
      <w:r>
        <w:t xml:space="preserve">has </w:t>
      </w:r>
      <w:r w:rsidRPr="000B1E7F">
        <w:t xml:space="preserve">been in out-of-home care and exited care aged </w:t>
      </w:r>
      <w:r>
        <w:t xml:space="preserve">between </w:t>
      </w:r>
      <w:r w:rsidRPr="000B1E7F">
        <w:t>14 to 18 years;</w:t>
      </w:r>
    </w:p>
    <w:p w14:paraId="5A610E64" w14:textId="77777777" w:rsidR="00EC4845" w:rsidRPr="000B1E7F" w:rsidRDefault="00EC4845" w:rsidP="00EC4845">
      <w:pPr>
        <w:pStyle w:val="ListParagraph"/>
      </w:pPr>
      <w:r w:rsidRPr="000B1E7F">
        <w:t>is homeless or at risk of homelessness;</w:t>
      </w:r>
    </w:p>
    <w:p w14:paraId="58720B1D" w14:textId="77777777" w:rsidR="00EC4845" w:rsidRPr="000B1E7F" w:rsidRDefault="00EC4845" w:rsidP="00EC4845">
      <w:pPr>
        <w:pStyle w:val="ListParagraph"/>
      </w:pPr>
      <w:r w:rsidRPr="000B1E7F">
        <w:t xml:space="preserve">is assessed as motivated, willing and able to commit to the </w:t>
      </w:r>
      <w:r>
        <w:t>p</w:t>
      </w:r>
      <w:r w:rsidRPr="000B1E7F">
        <w:t>rogram; and</w:t>
      </w:r>
    </w:p>
    <w:p w14:paraId="2A2129E2" w14:textId="77777777" w:rsidR="00EC4845" w:rsidRDefault="00EC4845" w:rsidP="00EC4845">
      <w:pPr>
        <w:pStyle w:val="ListParagraph"/>
      </w:pPr>
      <w:r w:rsidRPr="000B1E7F">
        <w:t>not meet any exclusion criteria</w:t>
      </w:r>
      <w:r>
        <w:t xml:space="preserve"> (e.g. no recent history of violent behaviour)</w:t>
      </w:r>
      <w:r w:rsidRPr="000B1E7F">
        <w:t xml:space="preserve"> </w:t>
      </w:r>
    </w:p>
    <w:p w14:paraId="0D7DDDB7" w14:textId="0301626E" w:rsidR="00430662" w:rsidRPr="00430662" w:rsidRDefault="00EC4845" w:rsidP="00430662">
      <w:pPr>
        <w:spacing w:after="160" w:line="278" w:lineRule="auto"/>
        <w:rPr>
          <w:rFonts w:ascii="Aptos" w:eastAsia="Aptos" w:hAnsi="Aptos" w:cs="Arial"/>
          <w:spacing w:val="0"/>
          <w:kern w:val="2"/>
          <w14:ligatures w14:val="standardContextual"/>
        </w:rPr>
      </w:pPr>
      <w:r>
        <w:t>The service provider, Uniting, undertakes a comprehensive assessment of each referred young person to ensure they are eligible. Uniting also considers a range of factors to ensure that there is an appropriate mixture of residents at Foyer Central. An assessment panel comprising representatives from a mixture of organisations makes the final decision about whether a young person is eligible for enrolment.</w:t>
      </w:r>
    </w:p>
    <w:p w14:paraId="7FB6DE32" w14:textId="67613E6F" w:rsidR="00EC4845" w:rsidRPr="00A87353" w:rsidRDefault="00EC4845" w:rsidP="00EC4845">
      <w:pPr>
        <w:pStyle w:val="Heading2"/>
        <w:pBdr>
          <w:top w:val="single" w:sz="36" w:space="1" w:color="C1E4F5"/>
          <w:left w:val="single" w:sz="36" w:space="4" w:color="C1E4F5"/>
          <w:bottom w:val="single" w:sz="36" w:space="1" w:color="C1E4F5"/>
          <w:right w:val="single" w:sz="36" w:space="4" w:color="C1E4F5"/>
        </w:pBdr>
        <w:rPr>
          <w:b/>
          <w:bCs w:val="0"/>
        </w:rPr>
      </w:pPr>
      <w:r w:rsidRPr="00A87353">
        <w:rPr>
          <w:b/>
          <w:bCs w:val="0"/>
        </w:rPr>
        <w:t>Learn more</w:t>
      </w:r>
    </w:p>
    <w:p w14:paraId="25771D2D" w14:textId="77777777" w:rsidR="00EC4845" w:rsidRPr="00C45BB0" w:rsidRDefault="00EC4845" w:rsidP="00EC4845">
      <w:pPr>
        <w:pStyle w:val="ListParagraph"/>
        <w:pBdr>
          <w:top w:val="single" w:sz="36" w:space="1" w:color="C1E4F5"/>
          <w:left w:val="single" w:sz="36" w:space="4" w:color="C1E4F5"/>
          <w:bottom w:val="single" w:sz="36" w:space="1" w:color="C1E4F5"/>
          <w:right w:val="single" w:sz="36" w:space="4" w:color="C1E4F5"/>
        </w:pBdr>
        <w:rPr>
          <w:b/>
          <w:bCs/>
        </w:rPr>
      </w:pPr>
      <w:r w:rsidRPr="00C45BB0">
        <w:t xml:space="preserve">Understand the basics of outcomes-based contracting in </w:t>
      </w:r>
      <w:r w:rsidRPr="00C45BB0">
        <w:rPr>
          <w:b/>
          <w:bCs/>
        </w:rPr>
        <w:t>Introduction to outcomes-based contracting</w:t>
      </w:r>
    </w:p>
    <w:p w14:paraId="65A7084F" w14:textId="77777777" w:rsidR="00EC4845" w:rsidRPr="00C45BB0" w:rsidRDefault="00EC4845" w:rsidP="00EC4845">
      <w:pPr>
        <w:pStyle w:val="ListParagraph"/>
        <w:pBdr>
          <w:top w:val="single" w:sz="36" w:space="1" w:color="C1E4F5"/>
          <w:left w:val="single" w:sz="36" w:space="4" w:color="C1E4F5"/>
          <w:bottom w:val="single" w:sz="36" w:space="1" w:color="C1E4F5"/>
          <w:right w:val="single" w:sz="36" w:space="4" w:color="C1E4F5"/>
        </w:pBdr>
        <w:rPr>
          <w:b/>
          <w:bCs/>
        </w:rPr>
      </w:pPr>
      <w:r w:rsidRPr="00C45BB0">
        <w:t xml:space="preserve">Identify indicators of real-world changes that align with your policy objectives in </w:t>
      </w:r>
      <w:r w:rsidRPr="00C45BB0">
        <w:rPr>
          <w:b/>
          <w:bCs/>
        </w:rPr>
        <w:t>Defining Outcome Metrics</w:t>
      </w:r>
    </w:p>
    <w:p w14:paraId="53F6AB0B" w14:textId="77777777" w:rsidR="00EC4845" w:rsidRPr="00C45BB0" w:rsidRDefault="00EC4845" w:rsidP="00EC4845">
      <w:pPr>
        <w:pStyle w:val="ListParagraph"/>
        <w:pBdr>
          <w:top w:val="single" w:sz="36" w:space="1" w:color="C1E4F5"/>
          <w:left w:val="single" w:sz="36" w:space="4" w:color="C1E4F5"/>
          <w:bottom w:val="single" w:sz="36" w:space="1" w:color="C1E4F5"/>
          <w:right w:val="single" w:sz="36" w:space="4" w:color="C1E4F5"/>
        </w:pBdr>
      </w:pPr>
      <w:r w:rsidRPr="00C45BB0">
        <w:t xml:space="preserve">Develop an approach to assessing impact in </w:t>
      </w:r>
      <w:r w:rsidRPr="00C45BB0">
        <w:rPr>
          <w:b/>
          <w:bCs/>
        </w:rPr>
        <w:t>Understanding Outcome Measurement</w:t>
      </w:r>
    </w:p>
    <w:p w14:paraId="390CB7DD" w14:textId="77777777" w:rsidR="00EC4845" w:rsidRPr="00C45BB0" w:rsidRDefault="00EC4845" w:rsidP="00EC4845">
      <w:pPr>
        <w:pStyle w:val="ListParagraph"/>
        <w:pBdr>
          <w:top w:val="single" w:sz="36" w:space="1" w:color="C1E4F5"/>
          <w:left w:val="single" w:sz="36" w:space="4" w:color="C1E4F5"/>
          <w:bottom w:val="single" w:sz="36" w:space="1" w:color="C1E4F5"/>
          <w:right w:val="single" w:sz="36" w:space="4" w:color="C1E4F5"/>
        </w:pBdr>
        <w:rPr>
          <w:b/>
          <w:bCs/>
        </w:rPr>
      </w:pPr>
      <w:r w:rsidRPr="00C45BB0">
        <w:t xml:space="preserve">Determine how much to pay for an outcome in </w:t>
      </w:r>
      <w:r w:rsidRPr="00C45BB0">
        <w:rPr>
          <w:b/>
          <w:bCs/>
        </w:rPr>
        <w:t>Pricing Outcomes</w:t>
      </w:r>
    </w:p>
    <w:p w14:paraId="37F65E38" w14:textId="77777777" w:rsidR="00EC4845" w:rsidRPr="00C45BB0" w:rsidRDefault="00EC4845" w:rsidP="00EC4845">
      <w:pPr>
        <w:pStyle w:val="ListParagraph"/>
        <w:pBdr>
          <w:top w:val="single" w:sz="36" w:space="1" w:color="C1E4F5"/>
          <w:left w:val="single" w:sz="36" w:space="4" w:color="C1E4F5"/>
          <w:bottom w:val="single" w:sz="36" w:space="1" w:color="C1E4F5"/>
          <w:right w:val="single" w:sz="36" w:space="4" w:color="C1E4F5"/>
        </w:pBdr>
        <w:rPr>
          <w:b/>
          <w:bCs/>
        </w:rPr>
      </w:pPr>
      <w:r w:rsidRPr="00C45BB0">
        <w:t xml:space="preserve">Self-assess your readiness for outcomes-based contracting in the </w:t>
      </w:r>
      <w:r w:rsidRPr="00C45BB0">
        <w:rPr>
          <w:b/>
          <w:bCs/>
        </w:rPr>
        <w:t>Readiness Checklist</w:t>
      </w:r>
    </w:p>
    <w:p w14:paraId="1DDB7F18" w14:textId="4F7588AB" w:rsidR="002A4D16" w:rsidRPr="00ED1335" w:rsidRDefault="002A4D16" w:rsidP="00430662"/>
    <w:sectPr w:rsidR="002A4D16" w:rsidRPr="00ED1335" w:rsidSect="000E0E8F">
      <w:headerReference w:type="default" r:id="rId15"/>
      <w:headerReference w:type="first" r:id="rId16"/>
      <w:footerReference w:type="first" r:id="rId17"/>
      <w:pgSz w:w="11906" w:h="16838"/>
      <w:pgMar w:top="851" w:right="851" w:bottom="1134" w:left="851" w:header="0" w:footer="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030AE" w14:textId="77777777" w:rsidR="00DB0563" w:rsidRDefault="00DB0563" w:rsidP="008F3023">
      <w:pPr>
        <w:spacing w:after="0" w:line="240" w:lineRule="auto"/>
      </w:pPr>
      <w:r>
        <w:separator/>
      </w:r>
    </w:p>
  </w:endnote>
  <w:endnote w:type="continuationSeparator" w:id="0">
    <w:p w14:paraId="0938F54B" w14:textId="77777777" w:rsidR="00DB0563" w:rsidRDefault="00DB0563" w:rsidP="008F3023">
      <w:pPr>
        <w:spacing w:after="0" w:line="240" w:lineRule="auto"/>
      </w:pPr>
      <w:r>
        <w:continuationSeparator/>
      </w:r>
    </w:p>
  </w:endnote>
  <w:endnote w:type="continuationNotice" w:id="1">
    <w:p w14:paraId="13E950D7" w14:textId="77777777" w:rsidR="00DB0563" w:rsidRDefault="00DB05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DCE22" w14:textId="77777777" w:rsidR="00EC4845" w:rsidRDefault="00EC4845" w:rsidP="00D86E50">
    <w:pPr>
      <w:tabs>
        <w:tab w:val="left" w:pos="3040"/>
      </w:tabs>
      <w:jc w:val="center"/>
    </w:pPr>
    <w:r>
      <w:rPr>
        <w:noProof/>
        <w:color w:val="2B579A"/>
        <w:shd w:val="clear" w:color="auto" w:fill="E6E6E6"/>
        <w:lang w:eastAsia="en-AU"/>
      </w:rPr>
      <w:drawing>
        <wp:anchor distT="0" distB="0" distL="114300" distR="114300" simplePos="0" relativeHeight="251658243" behindDoc="1" locked="0" layoutInCell="1" allowOverlap="1" wp14:anchorId="0AC4F099" wp14:editId="404EE6CA">
          <wp:simplePos x="0" y="0"/>
          <wp:positionH relativeFrom="page">
            <wp:posOffset>34945</wp:posOffset>
          </wp:positionH>
          <wp:positionV relativeFrom="page">
            <wp:align>bottom</wp:align>
          </wp:positionV>
          <wp:extent cx="7574400" cy="1184400"/>
          <wp:effectExtent l="0" t="0" r="7620" b="0"/>
          <wp:wrapNone/>
          <wp:docPr id="1462805176" name="Picture 146280517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2074623951"/>
        <w:docPartObj>
          <w:docPartGallery w:val="Page Numbers (Bottom of Page)"/>
          <w:docPartUnique/>
        </w:docPartObj>
      </w:sdtPr>
      <w:sdtEndPr>
        <w:rPr>
          <w:noProof/>
          <w:color w:val="auto"/>
          <w:shd w:val="clear" w:color="auto" w:fill="auto"/>
        </w:rPr>
      </w:sdtEndPr>
      <w:sdtContent/>
    </w:sdt>
  </w:p>
  <w:p w14:paraId="2F49A87F" w14:textId="77777777" w:rsidR="00EC4845" w:rsidRDefault="00EC4845" w:rsidP="00B10EB1">
    <w:pPr>
      <w:ind w:left="-14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B036" w14:textId="77777777" w:rsidR="00D55FB9" w:rsidRDefault="00D55FB9" w:rsidP="00D86E50">
    <w:pPr>
      <w:tabs>
        <w:tab w:val="left" w:pos="3040"/>
      </w:tabs>
      <w:jc w:val="center"/>
    </w:pPr>
    <w:r>
      <w:rPr>
        <w:noProof/>
        <w:color w:val="2B579A"/>
        <w:shd w:val="clear" w:color="auto" w:fill="E6E6E6"/>
        <w:lang w:eastAsia="en-AU"/>
      </w:rPr>
      <w:drawing>
        <wp:anchor distT="0" distB="0" distL="114300" distR="114300" simplePos="0" relativeHeight="251658246" behindDoc="1" locked="0" layoutInCell="1" allowOverlap="1" wp14:anchorId="26B740BF" wp14:editId="5F3BB5C7">
          <wp:simplePos x="0" y="0"/>
          <wp:positionH relativeFrom="page">
            <wp:posOffset>34945</wp:posOffset>
          </wp:positionH>
          <wp:positionV relativeFrom="page">
            <wp:align>bottom</wp:align>
          </wp:positionV>
          <wp:extent cx="7574400" cy="1184400"/>
          <wp:effectExtent l="0" t="0" r="7620" b="0"/>
          <wp:wrapNone/>
          <wp:docPr id="1274231962" name="Picture 127423196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1650632416"/>
        <w:docPartObj>
          <w:docPartGallery w:val="Page Numbers (Bottom of Page)"/>
          <w:docPartUnique/>
        </w:docPartObj>
      </w:sdtPr>
      <w:sdtEndPr>
        <w:rPr>
          <w:noProof/>
          <w:color w:val="auto"/>
          <w:shd w:val="clear" w:color="auto" w:fill="auto"/>
        </w:rPr>
      </w:sdtEndPr>
      <w:sdtContent/>
    </w:sdt>
  </w:p>
  <w:p w14:paraId="3901D3BF" w14:textId="77777777" w:rsidR="00D55FB9" w:rsidRDefault="00D55FB9"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7376A" w14:textId="77777777" w:rsidR="00DB0563" w:rsidRDefault="00DB0563" w:rsidP="008F3023">
      <w:pPr>
        <w:spacing w:after="0" w:line="240" w:lineRule="auto"/>
      </w:pPr>
      <w:r>
        <w:separator/>
      </w:r>
    </w:p>
  </w:footnote>
  <w:footnote w:type="continuationSeparator" w:id="0">
    <w:p w14:paraId="7862CB77" w14:textId="77777777" w:rsidR="00DB0563" w:rsidRDefault="00DB0563" w:rsidP="008F3023">
      <w:pPr>
        <w:spacing w:after="0" w:line="240" w:lineRule="auto"/>
      </w:pPr>
      <w:r>
        <w:continuationSeparator/>
      </w:r>
    </w:p>
  </w:footnote>
  <w:footnote w:type="continuationNotice" w:id="1">
    <w:p w14:paraId="70236B1A" w14:textId="77777777" w:rsidR="00DB0563" w:rsidRDefault="00DB05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E98F" w14:textId="77777777" w:rsidR="00EC4845" w:rsidRDefault="00EC4845" w:rsidP="000E29D7">
    <w:pPr>
      <w:pStyle w:val="Header"/>
    </w:pPr>
    <w:r>
      <w:rPr>
        <w:noProof/>
        <w:shd w:val="clear" w:color="auto" w:fill="E6E6E6"/>
        <w:lang w:eastAsia="en-AU"/>
      </w:rPr>
      <w:drawing>
        <wp:anchor distT="0" distB="0" distL="114300" distR="114300" simplePos="0" relativeHeight="251658244" behindDoc="1" locked="0" layoutInCell="1" allowOverlap="1" wp14:anchorId="21D8B4FF" wp14:editId="11A4651E">
          <wp:simplePos x="0" y="0"/>
          <wp:positionH relativeFrom="page">
            <wp:align>left</wp:align>
          </wp:positionH>
          <wp:positionV relativeFrom="page">
            <wp:align>bottom</wp:align>
          </wp:positionV>
          <wp:extent cx="7563600" cy="1184400"/>
          <wp:effectExtent l="0" t="0" r="0" b="0"/>
          <wp:wrapNone/>
          <wp:docPr id="1782217761" name="Picture 178221776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7F880" w14:textId="77777777" w:rsidR="00EC4845" w:rsidRDefault="00EC4845" w:rsidP="000E29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4478" w14:textId="77777777" w:rsidR="00D55FB9" w:rsidRDefault="00D55FB9" w:rsidP="000E29D7">
    <w:pPr>
      <w:pStyle w:val="Header"/>
    </w:pPr>
    <w:r>
      <w:rPr>
        <w:noProof/>
        <w:shd w:val="clear" w:color="auto" w:fill="E6E6E6"/>
        <w:lang w:eastAsia="en-AU"/>
      </w:rPr>
      <w:drawing>
        <wp:anchor distT="0" distB="0" distL="114300" distR="114300" simplePos="0" relativeHeight="251658245" behindDoc="1" locked="0" layoutInCell="1" allowOverlap="1" wp14:anchorId="2061FBE6" wp14:editId="6A09796C">
          <wp:simplePos x="0" y="0"/>
          <wp:positionH relativeFrom="page">
            <wp:align>left</wp:align>
          </wp:positionH>
          <wp:positionV relativeFrom="page">
            <wp:align>bottom</wp:align>
          </wp:positionV>
          <wp:extent cx="7563600" cy="1184400"/>
          <wp:effectExtent l="0" t="0" r="0" b="0"/>
          <wp:wrapNone/>
          <wp:docPr id="144523249" name="Picture 14452324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2065" w14:textId="77777777" w:rsidR="00D55FB9" w:rsidRDefault="00D55FB9" w:rsidP="000E2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81B2546"/>
    <w:multiLevelType w:val="hybridMultilevel"/>
    <w:tmpl w:val="6DE2E4BA"/>
    <w:lvl w:ilvl="0" w:tplc="7450AB30">
      <w:start w:val="1"/>
      <w:numFmt w:val="bullet"/>
      <w:pStyle w:val="ListParagraph"/>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0DF057C3"/>
    <w:multiLevelType w:val="multilevel"/>
    <w:tmpl w:val="9FDEB948"/>
    <w:numStyleLink w:val="DSSBulletList"/>
  </w:abstractNum>
  <w:abstractNum w:abstractNumId="4"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E56363"/>
    <w:multiLevelType w:val="multilevel"/>
    <w:tmpl w:val="9FDEB948"/>
    <w:styleLink w:val="DSSBulletLis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7223805"/>
    <w:multiLevelType w:val="multilevel"/>
    <w:tmpl w:val="9FDEB948"/>
    <w:numStyleLink w:val="DSSBulletList"/>
  </w:abstractNum>
  <w:abstractNum w:abstractNumId="11" w15:restartNumberingAfterBreak="0">
    <w:nsid w:val="49824738"/>
    <w:multiLevelType w:val="multilevel"/>
    <w:tmpl w:val="9FDEB948"/>
    <w:numStyleLink w:val="DSSBulletList"/>
  </w:abstractNum>
  <w:abstractNum w:abstractNumId="12" w15:restartNumberingAfterBreak="0">
    <w:nsid w:val="49CC697D"/>
    <w:multiLevelType w:val="hybridMultilevel"/>
    <w:tmpl w:val="5498A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16" w15:restartNumberingAfterBreak="0">
    <w:nsid w:val="76074ECA"/>
    <w:multiLevelType w:val="multilevel"/>
    <w:tmpl w:val="9FDEB948"/>
    <w:numStyleLink w:val="DSSBulletList"/>
  </w:abstractNum>
  <w:abstractNum w:abstractNumId="17"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2047410955">
    <w:abstractNumId w:val="17"/>
  </w:num>
  <w:num w:numId="2" w16cid:durableId="603616384">
    <w:abstractNumId w:val="15"/>
  </w:num>
  <w:num w:numId="3" w16cid:durableId="1776898335">
    <w:abstractNumId w:val="1"/>
  </w:num>
  <w:num w:numId="4" w16cid:durableId="2095198095">
    <w:abstractNumId w:val="8"/>
  </w:num>
  <w:num w:numId="5" w16cid:durableId="1272399657">
    <w:abstractNumId w:val="14"/>
  </w:num>
  <w:num w:numId="6" w16cid:durableId="49574427">
    <w:abstractNumId w:val="7"/>
  </w:num>
  <w:num w:numId="7" w16cid:durableId="1516722866">
    <w:abstractNumId w:val="4"/>
  </w:num>
  <w:num w:numId="8" w16cid:durableId="164823704">
    <w:abstractNumId w:val="6"/>
  </w:num>
  <w:num w:numId="9" w16cid:durableId="1422482963">
    <w:abstractNumId w:val="13"/>
  </w:num>
  <w:num w:numId="10" w16cid:durableId="256401319">
    <w:abstractNumId w:val="0"/>
  </w:num>
  <w:num w:numId="11" w16cid:durableId="1486626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352756">
    <w:abstractNumId w:val="11"/>
  </w:num>
  <w:num w:numId="13" w16cid:durableId="1936858350">
    <w:abstractNumId w:val="5"/>
  </w:num>
  <w:num w:numId="14" w16cid:durableId="1314525174">
    <w:abstractNumId w:val="9"/>
  </w:num>
  <w:num w:numId="15" w16cid:durableId="843473068">
    <w:abstractNumId w:val="16"/>
  </w:num>
  <w:num w:numId="16" w16cid:durableId="287008484">
    <w:abstractNumId w:val="3"/>
  </w:num>
  <w:num w:numId="17" w16cid:durableId="2046100428">
    <w:abstractNumId w:val="10"/>
  </w:num>
  <w:num w:numId="18" w16cid:durableId="1585528455">
    <w:abstractNumId w:val="2"/>
  </w:num>
  <w:num w:numId="19" w16cid:durableId="1475247350">
    <w:abstractNumId w:val="12"/>
  </w:num>
  <w:num w:numId="20" w16cid:durableId="17601326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30069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2A4"/>
    <w:rsid w:val="00000825"/>
    <w:rsid w:val="00000AB1"/>
    <w:rsid w:val="00002557"/>
    <w:rsid w:val="00003F94"/>
    <w:rsid w:val="000058F1"/>
    <w:rsid w:val="000140B8"/>
    <w:rsid w:val="00014BD3"/>
    <w:rsid w:val="00022D58"/>
    <w:rsid w:val="000317E3"/>
    <w:rsid w:val="000318B7"/>
    <w:rsid w:val="000334E6"/>
    <w:rsid w:val="00033C4F"/>
    <w:rsid w:val="000378C4"/>
    <w:rsid w:val="00037D97"/>
    <w:rsid w:val="00037E3E"/>
    <w:rsid w:val="0004140D"/>
    <w:rsid w:val="00044684"/>
    <w:rsid w:val="00046C31"/>
    <w:rsid w:val="00054F5F"/>
    <w:rsid w:val="00056709"/>
    <w:rsid w:val="00060714"/>
    <w:rsid w:val="00064140"/>
    <w:rsid w:val="00065A13"/>
    <w:rsid w:val="00065DCF"/>
    <w:rsid w:val="00071364"/>
    <w:rsid w:val="0007287E"/>
    <w:rsid w:val="00074080"/>
    <w:rsid w:val="00074AED"/>
    <w:rsid w:val="000750D2"/>
    <w:rsid w:val="00076284"/>
    <w:rsid w:val="00076901"/>
    <w:rsid w:val="00076F36"/>
    <w:rsid w:val="00081610"/>
    <w:rsid w:val="00083939"/>
    <w:rsid w:val="00091ABE"/>
    <w:rsid w:val="000A0235"/>
    <w:rsid w:val="000A4799"/>
    <w:rsid w:val="000B5EF5"/>
    <w:rsid w:val="000B6BDD"/>
    <w:rsid w:val="000B7068"/>
    <w:rsid w:val="000B7635"/>
    <w:rsid w:val="000B7D80"/>
    <w:rsid w:val="000C2499"/>
    <w:rsid w:val="000C35D0"/>
    <w:rsid w:val="000C4A0F"/>
    <w:rsid w:val="000D0755"/>
    <w:rsid w:val="000D10E7"/>
    <w:rsid w:val="000D1B63"/>
    <w:rsid w:val="000D5965"/>
    <w:rsid w:val="000E0E8F"/>
    <w:rsid w:val="000E28C0"/>
    <w:rsid w:val="000E29D7"/>
    <w:rsid w:val="000E6227"/>
    <w:rsid w:val="000F2B5A"/>
    <w:rsid w:val="000F5B57"/>
    <w:rsid w:val="000F7266"/>
    <w:rsid w:val="000F75FC"/>
    <w:rsid w:val="00130233"/>
    <w:rsid w:val="001510D7"/>
    <w:rsid w:val="0015124A"/>
    <w:rsid w:val="001573F3"/>
    <w:rsid w:val="00157A93"/>
    <w:rsid w:val="00161696"/>
    <w:rsid w:val="00173731"/>
    <w:rsid w:val="001803F7"/>
    <w:rsid w:val="001843EB"/>
    <w:rsid w:val="001856A3"/>
    <w:rsid w:val="00186709"/>
    <w:rsid w:val="001900B2"/>
    <w:rsid w:val="00192AB5"/>
    <w:rsid w:val="001A3D35"/>
    <w:rsid w:val="001A4AF9"/>
    <w:rsid w:val="001A7461"/>
    <w:rsid w:val="001B2BF6"/>
    <w:rsid w:val="001B4C2A"/>
    <w:rsid w:val="001C422E"/>
    <w:rsid w:val="001C4603"/>
    <w:rsid w:val="001C64F8"/>
    <w:rsid w:val="001D0F6D"/>
    <w:rsid w:val="001E39FC"/>
    <w:rsid w:val="001E60D6"/>
    <w:rsid w:val="001E630D"/>
    <w:rsid w:val="001F5ED6"/>
    <w:rsid w:val="001F5EF5"/>
    <w:rsid w:val="001F6546"/>
    <w:rsid w:val="002011E5"/>
    <w:rsid w:val="00201C6D"/>
    <w:rsid w:val="002141E1"/>
    <w:rsid w:val="00214210"/>
    <w:rsid w:val="00214738"/>
    <w:rsid w:val="002172D9"/>
    <w:rsid w:val="002203A1"/>
    <w:rsid w:val="0022162B"/>
    <w:rsid w:val="002226D0"/>
    <w:rsid w:val="00223FA8"/>
    <w:rsid w:val="00225112"/>
    <w:rsid w:val="002346B5"/>
    <w:rsid w:val="00235DB6"/>
    <w:rsid w:val="002408DC"/>
    <w:rsid w:val="00240A6E"/>
    <w:rsid w:val="00240F02"/>
    <w:rsid w:val="00242D59"/>
    <w:rsid w:val="0024524B"/>
    <w:rsid w:val="00247CA9"/>
    <w:rsid w:val="002532C0"/>
    <w:rsid w:val="00254A70"/>
    <w:rsid w:val="00261DE6"/>
    <w:rsid w:val="00262CDD"/>
    <w:rsid w:val="002642B1"/>
    <w:rsid w:val="00265257"/>
    <w:rsid w:val="00266145"/>
    <w:rsid w:val="00266B26"/>
    <w:rsid w:val="00266B95"/>
    <w:rsid w:val="00267A25"/>
    <w:rsid w:val="002700BB"/>
    <w:rsid w:val="0027075A"/>
    <w:rsid w:val="002707B6"/>
    <w:rsid w:val="002755A4"/>
    <w:rsid w:val="00275EA9"/>
    <w:rsid w:val="00281C99"/>
    <w:rsid w:val="00281DFB"/>
    <w:rsid w:val="00282835"/>
    <w:rsid w:val="00295471"/>
    <w:rsid w:val="00295934"/>
    <w:rsid w:val="00297FC8"/>
    <w:rsid w:val="002A40F5"/>
    <w:rsid w:val="002A4D16"/>
    <w:rsid w:val="002A6F61"/>
    <w:rsid w:val="002A75DF"/>
    <w:rsid w:val="002B3CC6"/>
    <w:rsid w:val="002B58B9"/>
    <w:rsid w:val="002B626A"/>
    <w:rsid w:val="002B7002"/>
    <w:rsid w:val="002D32AA"/>
    <w:rsid w:val="002E0DD3"/>
    <w:rsid w:val="002E17BD"/>
    <w:rsid w:val="002E4D12"/>
    <w:rsid w:val="002E4F38"/>
    <w:rsid w:val="002E6A2A"/>
    <w:rsid w:val="002F2AD3"/>
    <w:rsid w:val="002F4CF8"/>
    <w:rsid w:val="002F667C"/>
    <w:rsid w:val="003021F2"/>
    <w:rsid w:val="00303B38"/>
    <w:rsid w:val="003042A4"/>
    <w:rsid w:val="003100E1"/>
    <w:rsid w:val="00311FC7"/>
    <w:rsid w:val="00314451"/>
    <w:rsid w:val="003166E0"/>
    <w:rsid w:val="00317169"/>
    <w:rsid w:val="00317746"/>
    <w:rsid w:val="003212D9"/>
    <w:rsid w:val="00323667"/>
    <w:rsid w:val="003271F0"/>
    <w:rsid w:val="00330E3E"/>
    <w:rsid w:val="00331639"/>
    <w:rsid w:val="00331DEA"/>
    <w:rsid w:val="00335A14"/>
    <w:rsid w:val="00337926"/>
    <w:rsid w:val="003420D0"/>
    <w:rsid w:val="003443F5"/>
    <w:rsid w:val="00347279"/>
    <w:rsid w:val="003475B6"/>
    <w:rsid w:val="00347FE0"/>
    <w:rsid w:val="0035380D"/>
    <w:rsid w:val="00353E11"/>
    <w:rsid w:val="00355D7B"/>
    <w:rsid w:val="00360364"/>
    <w:rsid w:val="0036088A"/>
    <w:rsid w:val="003616E2"/>
    <w:rsid w:val="00363FD6"/>
    <w:rsid w:val="00364F48"/>
    <w:rsid w:val="0038044C"/>
    <w:rsid w:val="003978F7"/>
    <w:rsid w:val="003A2512"/>
    <w:rsid w:val="003A3A9A"/>
    <w:rsid w:val="003A70C3"/>
    <w:rsid w:val="003A7612"/>
    <w:rsid w:val="003B0678"/>
    <w:rsid w:val="003B0D19"/>
    <w:rsid w:val="003B2BB8"/>
    <w:rsid w:val="003B4AE0"/>
    <w:rsid w:val="003B6F90"/>
    <w:rsid w:val="003B6FAF"/>
    <w:rsid w:val="003B7424"/>
    <w:rsid w:val="003C1645"/>
    <w:rsid w:val="003C2331"/>
    <w:rsid w:val="003C7303"/>
    <w:rsid w:val="003D34FF"/>
    <w:rsid w:val="003D62C8"/>
    <w:rsid w:val="003E03F8"/>
    <w:rsid w:val="003E0A57"/>
    <w:rsid w:val="003E0CA7"/>
    <w:rsid w:val="003E10A6"/>
    <w:rsid w:val="003E2B62"/>
    <w:rsid w:val="003E7673"/>
    <w:rsid w:val="003E7EEE"/>
    <w:rsid w:val="003F0661"/>
    <w:rsid w:val="003F112C"/>
    <w:rsid w:val="0040002F"/>
    <w:rsid w:val="00403055"/>
    <w:rsid w:val="00405B20"/>
    <w:rsid w:val="00415340"/>
    <w:rsid w:val="00415B6C"/>
    <w:rsid w:val="004220FC"/>
    <w:rsid w:val="004243F2"/>
    <w:rsid w:val="004262FC"/>
    <w:rsid w:val="0043026A"/>
    <w:rsid w:val="00430662"/>
    <w:rsid w:val="00431278"/>
    <w:rsid w:val="00433480"/>
    <w:rsid w:val="004354C2"/>
    <w:rsid w:val="004354E6"/>
    <w:rsid w:val="00437B00"/>
    <w:rsid w:val="00440CB8"/>
    <w:rsid w:val="00441FD7"/>
    <w:rsid w:val="0044286D"/>
    <w:rsid w:val="00443697"/>
    <w:rsid w:val="0044466B"/>
    <w:rsid w:val="00451C7E"/>
    <w:rsid w:val="0045365D"/>
    <w:rsid w:val="004555D5"/>
    <w:rsid w:val="00461033"/>
    <w:rsid w:val="00466DDB"/>
    <w:rsid w:val="0047044E"/>
    <w:rsid w:val="00471275"/>
    <w:rsid w:val="00471456"/>
    <w:rsid w:val="0047261D"/>
    <w:rsid w:val="00480D3E"/>
    <w:rsid w:val="00481EAA"/>
    <w:rsid w:val="004837A4"/>
    <w:rsid w:val="00486EC0"/>
    <w:rsid w:val="00490516"/>
    <w:rsid w:val="00490F3B"/>
    <w:rsid w:val="00491310"/>
    <w:rsid w:val="004950F6"/>
    <w:rsid w:val="00496E3D"/>
    <w:rsid w:val="004A2151"/>
    <w:rsid w:val="004B0B76"/>
    <w:rsid w:val="004B0B9F"/>
    <w:rsid w:val="004B2E9B"/>
    <w:rsid w:val="004B5025"/>
    <w:rsid w:val="004B54CA"/>
    <w:rsid w:val="004B653B"/>
    <w:rsid w:val="004B668F"/>
    <w:rsid w:val="004D3573"/>
    <w:rsid w:val="004D7310"/>
    <w:rsid w:val="004E047A"/>
    <w:rsid w:val="004E11B4"/>
    <w:rsid w:val="004E356E"/>
    <w:rsid w:val="004E5CBF"/>
    <w:rsid w:val="004E6837"/>
    <w:rsid w:val="004E7A2C"/>
    <w:rsid w:val="004F2660"/>
    <w:rsid w:val="004F77F4"/>
    <w:rsid w:val="0050098E"/>
    <w:rsid w:val="0050168B"/>
    <w:rsid w:val="00504273"/>
    <w:rsid w:val="00504EB8"/>
    <w:rsid w:val="00506976"/>
    <w:rsid w:val="005072B0"/>
    <w:rsid w:val="00510D2D"/>
    <w:rsid w:val="00515ED5"/>
    <w:rsid w:val="0051729F"/>
    <w:rsid w:val="005175B2"/>
    <w:rsid w:val="00517AE4"/>
    <w:rsid w:val="00522101"/>
    <w:rsid w:val="005312DA"/>
    <w:rsid w:val="0053302E"/>
    <w:rsid w:val="00542B4F"/>
    <w:rsid w:val="005434F8"/>
    <w:rsid w:val="0054621C"/>
    <w:rsid w:val="0054713E"/>
    <w:rsid w:val="0055103D"/>
    <w:rsid w:val="005543A8"/>
    <w:rsid w:val="00560CBA"/>
    <w:rsid w:val="00563A40"/>
    <w:rsid w:val="0056473D"/>
    <w:rsid w:val="00567053"/>
    <w:rsid w:val="0057132D"/>
    <w:rsid w:val="0057328C"/>
    <w:rsid w:val="005806F6"/>
    <w:rsid w:val="005812D4"/>
    <w:rsid w:val="00581BB7"/>
    <w:rsid w:val="00584048"/>
    <w:rsid w:val="00584763"/>
    <w:rsid w:val="00584FC1"/>
    <w:rsid w:val="00586246"/>
    <w:rsid w:val="005877DC"/>
    <w:rsid w:val="0059023E"/>
    <w:rsid w:val="005957FF"/>
    <w:rsid w:val="00597852"/>
    <w:rsid w:val="005A344F"/>
    <w:rsid w:val="005A425A"/>
    <w:rsid w:val="005A5C09"/>
    <w:rsid w:val="005A7503"/>
    <w:rsid w:val="005A7CD2"/>
    <w:rsid w:val="005B06DE"/>
    <w:rsid w:val="005B2DCB"/>
    <w:rsid w:val="005B40DC"/>
    <w:rsid w:val="005C3275"/>
    <w:rsid w:val="005C3AA9"/>
    <w:rsid w:val="005C5644"/>
    <w:rsid w:val="005C76C7"/>
    <w:rsid w:val="005C77C4"/>
    <w:rsid w:val="005D1F2B"/>
    <w:rsid w:val="005D6069"/>
    <w:rsid w:val="005E30C6"/>
    <w:rsid w:val="005E4AD4"/>
    <w:rsid w:val="005E4DAE"/>
    <w:rsid w:val="005E6F55"/>
    <w:rsid w:val="005F2041"/>
    <w:rsid w:val="005F5EEF"/>
    <w:rsid w:val="005F6612"/>
    <w:rsid w:val="00605D02"/>
    <w:rsid w:val="006074EA"/>
    <w:rsid w:val="00613437"/>
    <w:rsid w:val="0061442B"/>
    <w:rsid w:val="0061493E"/>
    <w:rsid w:val="00620AB0"/>
    <w:rsid w:val="00623095"/>
    <w:rsid w:val="00624250"/>
    <w:rsid w:val="00626821"/>
    <w:rsid w:val="00631A2C"/>
    <w:rsid w:val="0063297E"/>
    <w:rsid w:val="00633A89"/>
    <w:rsid w:val="00633DF9"/>
    <w:rsid w:val="006345EC"/>
    <w:rsid w:val="00637929"/>
    <w:rsid w:val="00643CDC"/>
    <w:rsid w:val="006443A1"/>
    <w:rsid w:val="006516C1"/>
    <w:rsid w:val="00653C0D"/>
    <w:rsid w:val="006550CC"/>
    <w:rsid w:val="006555B8"/>
    <w:rsid w:val="00655B3F"/>
    <w:rsid w:val="00656AC7"/>
    <w:rsid w:val="00672307"/>
    <w:rsid w:val="00672E73"/>
    <w:rsid w:val="00682546"/>
    <w:rsid w:val="00683BC0"/>
    <w:rsid w:val="00686716"/>
    <w:rsid w:val="00687921"/>
    <w:rsid w:val="00693D27"/>
    <w:rsid w:val="00696CFE"/>
    <w:rsid w:val="006A0A46"/>
    <w:rsid w:val="006A0E3C"/>
    <w:rsid w:val="006A30E8"/>
    <w:rsid w:val="006A3896"/>
    <w:rsid w:val="006A4CE7"/>
    <w:rsid w:val="006A7DD3"/>
    <w:rsid w:val="006B2D84"/>
    <w:rsid w:val="006B4B38"/>
    <w:rsid w:val="006B6B62"/>
    <w:rsid w:val="006C3D8F"/>
    <w:rsid w:val="006C4EE3"/>
    <w:rsid w:val="006C574D"/>
    <w:rsid w:val="006D161A"/>
    <w:rsid w:val="006D2DA3"/>
    <w:rsid w:val="006D3A23"/>
    <w:rsid w:val="006D622A"/>
    <w:rsid w:val="006E2FE7"/>
    <w:rsid w:val="006E6CA9"/>
    <w:rsid w:val="006E6DFC"/>
    <w:rsid w:val="006F0354"/>
    <w:rsid w:val="006F1FBB"/>
    <w:rsid w:val="006F3D9C"/>
    <w:rsid w:val="00701BB6"/>
    <w:rsid w:val="007041A6"/>
    <w:rsid w:val="007065F3"/>
    <w:rsid w:val="007260C3"/>
    <w:rsid w:val="0072678E"/>
    <w:rsid w:val="0073320E"/>
    <w:rsid w:val="0074190C"/>
    <w:rsid w:val="00743028"/>
    <w:rsid w:val="00746215"/>
    <w:rsid w:val="0074698A"/>
    <w:rsid w:val="00746E03"/>
    <w:rsid w:val="007519B0"/>
    <w:rsid w:val="00752533"/>
    <w:rsid w:val="00753F03"/>
    <w:rsid w:val="00755DA3"/>
    <w:rsid w:val="007626E6"/>
    <w:rsid w:val="00765A7C"/>
    <w:rsid w:val="00772E81"/>
    <w:rsid w:val="00782AFF"/>
    <w:rsid w:val="00785261"/>
    <w:rsid w:val="007929FE"/>
    <w:rsid w:val="00794157"/>
    <w:rsid w:val="00795CEA"/>
    <w:rsid w:val="00796D42"/>
    <w:rsid w:val="007A291F"/>
    <w:rsid w:val="007A4309"/>
    <w:rsid w:val="007B0256"/>
    <w:rsid w:val="007B11F7"/>
    <w:rsid w:val="007C366C"/>
    <w:rsid w:val="007C3D2E"/>
    <w:rsid w:val="007D052A"/>
    <w:rsid w:val="007D08AA"/>
    <w:rsid w:val="007D1091"/>
    <w:rsid w:val="007D1C2F"/>
    <w:rsid w:val="007D30A2"/>
    <w:rsid w:val="007E007C"/>
    <w:rsid w:val="007E05B4"/>
    <w:rsid w:val="007E24B1"/>
    <w:rsid w:val="007E3959"/>
    <w:rsid w:val="007E3B8B"/>
    <w:rsid w:val="007F1F66"/>
    <w:rsid w:val="008006FC"/>
    <w:rsid w:val="008009CA"/>
    <w:rsid w:val="00802C26"/>
    <w:rsid w:val="0080363D"/>
    <w:rsid w:val="008063AF"/>
    <w:rsid w:val="00807463"/>
    <w:rsid w:val="00813D63"/>
    <w:rsid w:val="00815A31"/>
    <w:rsid w:val="0082068B"/>
    <w:rsid w:val="0082155A"/>
    <w:rsid w:val="00831FDD"/>
    <w:rsid w:val="00833F75"/>
    <w:rsid w:val="00837F4E"/>
    <w:rsid w:val="0084227C"/>
    <w:rsid w:val="0084343F"/>
    <w:rsid w:val="00846A82"/>
    <w:rsid w:val="0084725D"/>
    <w:rsid w:val="0085088E"/>
    <w:rsid w:val="00850C04"/>
    <w:rsid w:val="00850D92"/>
    <w:rsid w:val="008565DF"/>
    <w:rsid w:val="0085710F"/>
    <w:rsid w:val="008607EC"/>
    <w:rsid w:val="00862EAA"/>
    <w:rsid w:val="00862F90"/>
    <w:rsid w:val="00863E37"/>
    <w:rsid w:val="0086610A"/>
    <w:rsid w:val="00871AEF"/>
    <w:rsid w:val="00874643"/>
    <w:rsid w:val="0087623E"/>
    <w:rsid w:val="00876CA6"/>
    <w:rsid w:val="00877018"/>
    <w:rsid w:val="008800E4"/>
    <w:rsid w:val="008905FD"/>
    <w:rsid w:val="008916D6"/>
    <w:rsid w:val="00891E2F"/>
    <w:rsid w:val="008978D2"/>
    <w:rsid w:val="008A371C"/>
    <w:rsid w:val="008B0DF4"/>
    <w:rsid w:val="008B210B"/>
    <w:rsid w:val="008C3726"/>
    <w:rsid w:val="008C4502"/>
    <w:rsid w:val="008C4CC4"/>
    <w:rsid w:val="008D251A"/>
    <w:rsid w:val="008D3758"/>
    <w:rsid w:val="008D64FA"/>
    <w:rsid w:val="008E0C72"/>
    <w:rsid w:val="008E0EB6"/>
    <w:rsid w:val="008E4D22"/>
    <w:rsid w:val="008E6DCA"/>
    <w:rsid w:val="008F1038"/>
    <w:rsid w:val="008F3023"/>
    <w:rsid w:val="008F43DF"/>
    <w:rsid w:val="008F64D8"/>
    <w:rsid w:val="009017CE"/>
    <w:rsid w:val="009225F0"/>
    <w:rsid w:val="009243E7"/>
    <w:rsid w:val="0093440B"/>
    <w:rsid w:val="00942FBB"/>
    <w:rsid w:val="0094563F"/>
    <w:rsid w:val="00946B15"/>
    <w:rsid w:val="009537D0"/>
    <w:rsid w:val="00964F9F"/>
    <w:rsid w:val="00965A72"/>
    <w:rsid w:val="009708AC"/>
    <w:rsid w:val="0097193C"/>
    <w:rsid w:val="00972BF1"/>
    <w:rsid w:val="00974CB2"/>
    <w:rsid w:val="00980419"/>
    <w:rsid w:val="00983F8D"/>
    <w:rsid w:val="00986A3A"/>
    <w:rsid w:val="00987714"/>
    <w:rsid w:val="0099173B"/>
    <w:rsid w:val="00996415"/>
    <w:rsid w:val="009A69F9"/>
    <w:rsid w:val="009B26D3"/>
    <w:rsid w:val="009B53F5"/>
    <w:rsid w:val="009B5AB3"/>
    <w:rsid w:val="009B678B"/>
    <w:rsid w:val="009B717B"/>
    <w:rsid w:val="009C061B"/>
    <w:rsid w:val="009C1CCA"/>
    <w:rsid w:val="009D0AF8"/>
    <w:rsid w:val="009D1D5F"/>
    <w:rsid w:val="009D2616"/>
    <w:rsid w:val="009D2DF8"/>
    <w:rsid w:val="009D3CCB"/>
    <w:rsid w:val="009D4AC2"/>
    <w:rsid w:val="009E4E3C"/>
    <w:rsid w:val="009E60C1"/>
    <w:rsid w:val="009E716D"/>
    <w:rsid w:val="009F2BBA"/>
    <w:rsid w:val="009F6D01"/>
    <w:rsid w:val="00A007BA"/>
    <w:rsid w:val="00A00F5B"/>
    <w:rsid w:val="00A0183C"/>
    <w:rsid w:val="00A03850"/>
    <w:rsid w:val="00A10431"/>
    <w:rsid w:val="00A13549"/>
    <w:rsid w:val="00A17555"/>
    <w:rsid w:val="00A20CEC"/>
    <w:rsid w:val="00A2362A"/>
    <w:rsid w:val="00A2568C"/>
    <w:rsid w:val="00A27493"/>
    <w:rsid w:val="00A32CF0"/>
    <w:rsid w:val="00A33761"/>
    <w:rsid w:val="00A40E7B"/>
    <w:rsid w:val="00A4334C"/>
    <w:rsid w:val="00A43B99"/>
    <w:rsid w:val="00A43E66"/>
    <w:rsid w:val="00A4462B"/>
    <w:rsid w:val="00A51123"/>
    <w:rsid w:val="00A536F0"/>
    <w:rsid w:val="00A5538B"/>
    <w:rsid w:val="00A6075B"/>
    <w:rsid w:val="00A6317F"/>
    <w:rsid w:val="00A64212"/>
    <w:rsid w:val="00A646C7"/>
    <w:rsid w:val="00A70393"/>
    <w:rsid w:val="00A74769"/>
    <w:rsid w:val="00A77A75"/>
    <w:rsid w:val="00A80DE0"/>
    <w:rsid w:val="00A80F37"/>
    <w:rsid w:val="00A85365"/>
    <w:rsid w:val="00A8695E"/>
    <w:rsid w:val="00A87353"/>
    <w:rsid w:val="00A96A71"/>
    <w:rsid w:val="00AA7226"/>
    <w:rsid w:val="00AB1B09"/>
    <w:rsid w:val="00AB62CC"/>
    <w:rsid w:val="00AB7A99"/>
    <w:rsid w:val="00AC3B9D"/>
    <w:rsid w:val="00AD01EF"/>
    <w:rsid w:val="00AD40D3"/>
    <w:rsid w:val="00AD627F"/>
    <w:rsid w:val="00AD6700"/>
    <w:rsid w:val="00AD7FE8"/>
    <w:rsid w:val="00AF3E16"/>
    <w:rsid w:val="00AF4893"/>
    <w:rsid w:val="00AF49DE"/>
    <w:rsid w:val="00AF77F3"/>
    <w:rsid w:val="00B00752"/>
    <w:rsid w:val="00B023DA"/>
    <w:rsid w:val="00B03625"/>
    <w:rsid w:val="00B07572"/>
    <w:rsid w:val="00B10EA9"/>
    <w:rsid w:val="00B10EB1"/>
    <w:rsid w:val="00B13414"/>
    <w:rsid w:val="00B20FAD"/>
    <w:rsid w:val="00B22D01"/>
    <w:rsid w:val="00B246E8"/>
    <w:rsid w:val="00B25125"/>
    <w:rsid w:val="00B25AEB"/>
    <w:rsid w:val="00B27B13"/>
    <w:rsid w:val="00B31B91"/>
    <w:rsid w:val="00B31D33"/>
    <w:rsid w:val="00B33B57"/>
    <w:rsid w:val="00B3459A"/>
    <w:rsid w:val="00B346B8"/>
    <w:rsid w:val="00B36B86"/>
    <w:rsid w:val="00B37603"/>
    <w:rsid w:val="00B413E1"/>
    <w:rsid w:val="00B42C8F"/>
    <w:rsid w:val="00B44F9B"/>
    <w:rsid w:val="00B47909"/>
    <w:rsid w:val="00B53619"/>
    <w:rsid w:val="00B60557"/>
    <w:rsid w:val="00B6542A"/>
    <w:rsid w:val="00B6576E"/>
    <w:rsid w:val="00B67360"/>
    <w:rsid w:val="00B709CD"/>
    <w:rsid w:val="00B71EDF"/>
    <w:rsid w:val="00B72C3F"/>
    <w:rsid w:val="00B73DE4"/>
    <w:rsid w:val="00B760FC"/>
    <w:rsid w:val="00B772ED"/>
    <w:rsid w:val="00B77C4D"/>
    <w:rsid w:val="00B820CD"/>
    <w:rsid w:val="00B82B32"/>
    <w:rsid w:val="00B85379"/>
    <w:rsid w:val="00B854AC"/>
    <w:rsid w:val="00B8586C"/>
    <w:rsid w:val="00B86EE7"/>
    <w:rsid w:val="00B9016B"/>
    <w:rsid w:val="00B9168F"/>
    <w:rsid w:val="00B9464D"/>
    <w:rsid w:val="00BA2BCD"/>
    <w:rsid w:val="00BA2DB9"/>
    <w:rsid w:val="00BA5842"/>
    <w:rsid w:val="00BA621C"/>
    <w:rsid w:val="00BA6A09"/>
    <w:rsid w:val="00BB03A8"/>
    <w:rsid w:val="00BB16A6"/>
    <w:rsid w:val="00BB3295"/>
    <w:rsid w:val="00BC04D2"/>
    <w:rsid w:val="00BC0A30"/>
    <w:rsid w:val="00BC15CB"/>
    <w:rsid w:val="00BC5AB7"/>
    <w:rsid w:val="00BC79CD"/>
    <w:rsid w:val="00BE0F6F"/>
    <w:rsid w:val="00BE32B9"/>
    <w:rsid w:val="00BE7148"/>
    <w:rsid w:val="00BF5DFB"/>
    <w:rsid w:val="00BF63F9"/>
    <w:rsid w:val="00C01536"/>
    <w:rsid w:val="00C027B8"/>
    <w:rsid w:val="00C05BA9"/>
    <w:rsid w:val="00C12215"/>
    <w:rsid w:val="00C1717A"/>
    <w:rsid w:val="00C175D2"/>
    <w:rsid w:val="00C21EA2"/>
    <w:rsid w:val="00C24D7F"/>
    <w:rsid w:val="00C27ABB"/>
    <w:rsid w:val="00C35257"/>
    <w:rsid w:val="00C35E9A"/>
    <w:rsid w:val="00C36523"/>
    <w:rsid w:val="00C4058D"/>
    <w:rsid w:val="00C4285D"/>
    <w:rsid w:val="00C438A6"/>
    <w:rsid w:val="00C44430"/>
    <w:rsid w:val="00C44F69"/>
    <w:rsid w:val="00C513D3"/>
    <w:rsid w:val="00C53EA0"/>
    <w:rsid w:val="00C55DE7"/>
    <w:rsid w:val="00C57001"/>
    <w:rsid w:val="00C636DE"/>
    <w:rsid w:val="00C64C40"/>
    <w:rsid w:val="00C66FE4"/>
    <w:rsid w:val="00C70067"/>
    <w:rsid w:val="00C706B9"/>
    <w:rsid w:val="00C7347B"/>
    <w:rsid w:val="00C74C90"/>
    <w:rsid w:val="00C76B3D"/>
    <w:rsid w:val="00C80AD5"/>
    <w:rsid w:val="00C83B47"/>
    <w:rsid w:val="00C83C98"/>
    <w:rsid w:val="00C83E2B"/>
    <w:rsid w:val="00C93AD3"/>
    <w:rsid w:val="00C95077"/>
    <w:rsid w:val="00C95E29"/>
    <w:rsid w:val="00CA5D88"/>
    <w:rsid w:val="00CA7B5F"/>
    <w:rsid w:val="00CB4F0C"/>
    <w:rsid w:val="00CB7101"/>
    <w:rsid w:val="00CB718C"/>
    <w:rsid w:val="00CB74B3"/>
    <w:rsid w:val="00CC4E91"/>
    <w:rsid w:val="00CC58D6"/>
    <w:rsid w:val="00CD182A"/>
    <w:rsid w:val="00CE0B04"/>
    <w:rsid w:val="00CE1CB4"/>
    <w:rsid w:val="00CE381E"/>
    <w:rsid w:val="00CE4A1F"/>
    <w:rsid w:val="00CF24AA"/>
    <w:rsid w:val="00CF3D71"/>
    <w:rsid w:val="00CF77DE"/>
    <w:rsid w:val="00D004FE"/>
    <w:rsid w:val="00D00D51"/>
    <w:rsid w:val="00D04BD0"/>
    <w:rsid w:val="00D066BF"/>
    <w:rsid w:val="00D1071A"/>
    <w:rsid w:val="00D22A8A"/>
    <w:rsid w:val="00D2619A"/>
    <w:rsid w:val="00D33ED2"/>
    <w:rsid w:val="00D40593"/>
    <w:rsid w:val="00D412B9"/>
    <w:rsid w:val="00D41698"/>
    <w:rsid w:val="00D42A88"/>
    <w:rsid w:val="00D431EE"/>
    <w:rsid w:val="00D44DF6"/>
    <w:rsid w:val="00D5528C"/>
    <w:rsid w:val="00D55FB9"/>
    <w:rsid w:val="00D63D1B"/>
    <w:rsid w:val="00D666DD"/>
    <w:rsid w:val="00D67522"/>
    <w:rsid w:val="00D71C54"/>
    <w:rsid w:val="00D74ED3"/>
    <w:rsid w:val="00D83453"/>
    <w:rsid w:val="00D83803"/>
    <w:rsid w:val="00D83A7C"/>
    <w:rsid w:val="00D86E50"/>
    <w:rsid w:val="00D90D3C"/>
    <w:rsid w:val="00D91F38"/>
    <w:rsid w:val="00D92320"/>
    <w:rsid w:val="00D971D2"/>
    <w:rsid w:val="00DA1B31"/>
    <w:rsid w:val="00DA1C73"/>
    <w:rsid w:val="00DA33DB"/>
    <w:rsid w:val="00DA66C1"/>
    <w:rsid w:val="00DA7B4A"/>
    <w:rsid w:val="00DB012A"/>
    <w:rsid w:val="00DB0563"/>
    <w:rsid w:val="00DB145C"/>
    <w:rsid w:val="00DB33E4"/>
    <w:rsid w:val="00DB5374"/>
    <w:rsid w:val="00DC61A0"/>
    <w:rsid w:val="00DD6202"/>
    <w:rsid w:val="00DD68AB"/>
    <w:rsid w:val="00DD78EE"/>
    <w:rsid w:val="00DF2A97"/>
    <w:rsid w:val="00DF32A0"/>
    <w:rsid w:val="00DF6274"/>
    <w:rsid w:val="00DF7996"/>
    <w:rsid w:val="00E14443"/>
    <w:rsid w:val="00E179DE"/>
    <w:rsid w:val="00E30C3C"/>
    <w:rsid w:val="00E312EE"/>
    <w:rsid w:val="00E3231C"/>
    <w:rsid w:val="00E51EF1"/>
    <w:rsid w:val="00E52261"/>
    <w:rsid w:val="00E57B48"/>
    <w:rsid w:val="00E62182"/>
    <w:rsid w:val="00E643E0"/>
    <w:rsid w:val="00E708BB"/>
    <w:rsid w:val="00E73015"/>
    <w:rsid w:val="00E761A2"/>
    <w:rsid w:val="00E82B90"/>
    <w:rsid w:val="00E83946"/>
    <w:rsid w:val="00E857CA"/>
    <w:rsid w:val="00E858A7"/>
    <w:rsid w:val="00E86439"/>
    <w:rsid w:val="00E922F7"/>
    <w:rsid w:val="00E9285A"/>
    <w:rsid w:val="00E943B5"/>
    <w:rsid w:val="00E956B6"/>
    <w:rsid w:val="00E96198"/>
    <w:rsid w:val="00E975C4"/>
    <w:rsid w:val="00EA2DD9"/>
    <w:rsid w:val="00EA4098"/>
    <w:rsid w:val="00EA550A"/>
    <w:rsid w:val="00EA66F0"/>
    <w:rsid w:val="00EA7E8C"/>
    <w:rsid w:val="00EB268B"/>
    <w:rsid w:val="00EB7949"/>
    <w:rsid w:val="00EC4845"/>
    <w:rsid w:val="00EC66E0"/>
    <w:rsid w:val="00EC7AD6"/>
    <w:rsid w:val="00ED1335"/>
    <w:rsid w:val="00ED3F6A"/>
    <w:rsid w:val="00ED5372"/>
    <w:rsid w:val="00EE1878"/>
    <w:rsid w:val="00EE3834"/>
    <w:rsid w:val="00EE5D6C"/>
    <w:rsid w:val="00EE67D9"/>
    <w:rsid w:val="00EE68BA"/>
    <w:rsid w:val="00EF3823"/>
    <w:rsid w:val="00EF39C1"/>
    <w:rsid w:val="00F00217"/>
    <w:rsid w:val="00F047F4"/>
    <w:rsid w:val="00F07D2D"/>
    <w:rsid w:val="00F1131E"/>
    <w:rsid w:val="00F12BA1"/>
    <w:rsid w:val="00F148C2"/>
    <w:rsid w:val="00F15211"/>
    <w:rsid w:val="00F212CF"/>
    <w:rsid w:val="00F30908"/>
    <w:rsid w:val="00F32AAD"/>
    <w:rsid w:val="00F37C38"/>
    <w:rsid w:val="00F429E8"/>
    <w:rsid w:val="00F42CAA"/>
    <w:rsid w:val="00F44F79"/>
    <w:rsid w:val="00F47F8D"/>
    <w:rsid w:val="00F510E9"/>
    <w:rsid w:val="00F54F33"/>
    <w:rsid w:val="00F67A3B"/>
    <w:rsid w:val="00F71D70"/>
    <w:rsid w:val="00F75927"/>
    <w:rsid w:val="00F76B8C"/>
    <w:rsid w:val="00F8010C"/>
    <w:rsid w:val="00F824BF"/>
    <w:rsid w:val="00F8470A"/>
    <w:rsid w:val="00F85669"/>
    <w:rsid w:val="00F8611B"/>
    <w:rsid w:val="00F90893"/>
    <w:rsid w:val="00F9442B"/>
    <w:rsid w:val="00F95B97"/>
    <w:rsid w:val="00F9682D"/>
    <w:rsid w:val="00FA1012"/>
    <w:rsid w:val="00FA3DB0"/>
    <w:rsid w:val="00FA6E65"/>
    <w:rsid w:val="00FA7485"/>
    <w:rsid w:val="00FB2B89"/>
    <w:rsid w:val="00FC024E"/>
    <w:rsid w:val="00FC077A"/>
    <w:rsid w:val="00FC143A"/>
    <w:rsid w:val="00FC2061"/>
    <w:rsid w:val="00FC3918"/>
    <w:rsid w:val="00FC3B25"/>
    <w:rsid w:val="00FC63F4"/>
    <w:rsid w:val="00FD044A"/>
    <w:rsid w:val="00FD2261"/>
    <w:rsid w:val="00FD4942"/>
    <w:rsid w:val="00FD6D0D"/>
    <w:rsid w:val="00FE61A6"/>
    <w:rsid w:val="00FF0451"/>
    <w:rsid w:val="00FF1799"/>
    <w:rsid w:val="00FF725E"/>
    <w:rsid w:val="014FB1F8"/>
    <w:rsid w:val="068EA2F5"/>
    <w:rsid w:val="096DCFB4"/>
    <w:rsid w:val="0B59FB43"/>
    <w:rsid w:val="0C14AD34"/>
    <w:rsid w:val="0C1BFFD5"/>
    <w:rsid w:val="0E733FAA"/>
    <w:rsid w:val="10CF72F3"/>
    <w:rsid w:val="11CCDF7C"/>
    <w:rsid w:val="136FC976"/>
    <w:rsid w:val="17125896"/>
    <w:rsid w:val="174938E2"/>
    <w:rsid w:val="182A0E5E"/>
    <w:rsid w:val="189879E4"/>
    <w:rsid w:val="18E31F4A"/>
    <w:rsid w:val="1A3AE779"/>
    <w:rsid w:val="1B91FC10"/>
    <w:rsid w:val="1D9C7050"/>
    <w:rsid w:val="21464EED"/>
    <w:rsid w:val="21D5E852"/>
    <w:rsid w:val="25CCE2EA"/>
    <w:rsid w:val="290A7FDC"/>
    <w:rsid w:val="29D36F66"/>
    <w:rsid w:val="2AFEF7F5"/>
    <w:rsid w:val="2C6A3497"/>
    <w:rsid w:val="2D23EF3C"/>
    <w:rsid w:val="2E98F6AA"/>
    <w:rsid w:val="2F9E847B"/>
    <w:rsid w:val="306E402D"/>
    <w:rsid w:val="31896D02"/>
    <w:rsid w:val="3219DFA7"/>
    <w:rsid w:val="3377B29A"/>
    <w:rsid w:val="3459DF24"/>
    <w:rsid w:val="372F1835"/>
    <w:rsid w:val="3866B465"/>
    <w:rsid w:val="3A7FB428"/>
    <w:rsid w:val="3AA965EB"/>
    <w:rsid w:val="3CC0D4E7"/>
    <w:rsid w:val="3E3752C6"/>
    <w:rsid w:val="40CFA155"/>
    <w:rsid w:val="41502695"/>
    <w:rsid w:val="42225BE8"/>
    <w:rsid w:val="442674DB"/>
    <w:rsid w:val="464DBA66"/>
    <w:rsid w:val="465C3ED3"/>
    <w:rsid w:val="471ED88E"/>
    <w:rsid w:val="476B8657"/>
    <w:rsid w:val="48364D7B"/>
    <w:rsid w:val="48D7BB4B"/>
    <w:rsid w:val="4BD5BBFA"/>
    <w:rsid w:val="4DBEF9D8"/>
    <w:rsid w:val="50C0BA66"/>
    <w:rsid w:val="52FA9528"/>
    <w:rsid w:val="54427CFA"/>
    <w:rsid w:val="546CB281"/>
    <w:rsid w:val="550AD02D"/>
    <w:rsid w:val="5648A2B7"/>
    <w:rsid w:val="57043F0C"/>
    <w:rsid w:val="57300A29"/>
    <w:rsid w:val="575D09F8"/>
    <w:rsid w:val="577B1E08"/>
    <w:rsid w:val="578FF03F"/>
    <w:rsid w:val="58CA459B"/>
    <w:rsid w:val="594B4E62"/>
    <w:rsid w:val="5A938DCF"/>
    <w:rsid w:val="5B76AA6C"/>
    <w:rsid w:val="5CC604C0"/>
    <w:rsid w:val="5D72E918"/>
    <w:rsid w:val="5DF3C9BF"/>
    <w:rsid w:val="5F9C7D64"/>
    <w:rsid w:val="61D2FE1C"/>
    <w:rsid w:val="6311ECF1"/>
    <w:rsid w:val="632CD531"/>
    <w:rsid w:val="65A8ED72"/>
    <w:rsid w:val="66DE13FD"/>
    <w:rsid w:val="688A7F69"/>
    <w:rsid w:val="6AD254AA"/>
    <w:rsid w:val="6DD067B2"/>
    <w:rsid w:val="6E2985F7"/>
    <w:rsid w:val="7163C15C"/>
    <w:rsid w:val="719EED2C"/>
    <w:rsid w:val="722DEEB9"/>
    <w:rsid w:val="726DFE74"/>
    <w:rsid w:val="7419CBEA"/>
    <w:rsid w:val="74D4A23C"/>
    <w:rsid w:val="78C7853B"/>
    <w:rsid w:val="7A473925"/>
    <w:rsid w:val="7AD5B5DC"/>
    <w:rsid w:val="7C267E7C"/>
    <w:rsid w:val="7E7CAB0B"/>
    <w:rsid w:val="7F6232E3"/>
    <w:rsid w:val="7F6B5789"/>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4333D"/>
  <w15:docId w15:val="{67EAFAB2-97C0-4D50-A2D0-304D1D1D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Subtitle"/>
    <w:next w:val="Normal"/>
    <w:link w:val="Heading1Char"/>
    <w:uiPriority w:val="9"/>
    <w:qFormat/>
    <w:rsid w:val="00056709"/>
    <w:pPr>
      <w:outlineLvl w:val="0"/>
    </w:pPr>
  </w:style>
  <w:style w:type="paragraph" w:styleId="Heading2">
    <w:name w:val="heading 2"/>
    <w:basedOn w:val="Normal"/>
    <w:next w:val="Normal"/>
    <w:link w:val="Heading2Char"/>
    <w:uiPriority w:val="2"/>
    <w:qFormat/>
    <w:rsid w:val="0045365D"/>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45365D"/>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45365D"/>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709"/>
    <w:rPr>
      <w:rFonts w:asciiTheme="majorHAnsi" w:eastAsiaTheme="majorEastAsia" w:hAnsiTheme="majorHAnsi" w:cstheme="majorBidi"/>
      <w:iCs/>
      <w:color w:val="000000" w:themeColor="text1"/>
      <w:spacing w:val="6"/>
      <w:sz w:val="32"/>
    </w:rPr>
  </w:style>
  <w:style w:type="character" w:customStyle="1" w:styleId="Heading2Char">
    <w:name w:val="Heading 2 Char"/>
    <w:basedOn w:val="DefaultParagraphFont"/>
    <w:link w:val="Heading2"/>
    <w:uiPriority w:val="2"/>
    <w:rsid w:val="0045365D"/>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45365D"/>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45365D"/>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2"/>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Subtitle"/>
    <w:next w:val="Subtitle"/>
    <w:uiPriority w:val="9"/>
    <w:rsid w:val="001B4C2A"/>
    <w:pPr>
      <w:spacing w:before="360" w:after="0"/>
      <w:contextualSpacing/>
      <w:outlineLvl w:val="0"/>
    </w:pPr>
    <w:rPr>
      <w:b/>
      <w:bCs/>
      <w:iCs w:val="0"/>
      <w:color w:val="005A70" w:themeColor="accent1"/>
      <w:spacing w:val="3"/>
      <w:sz w:val="60"/>
      <w:szCs w:val="28"/>
    </w:rPr>
  </w:style>
  <w:style w:type="paragraph" w:styleId="Subtitle">
    <w:name w:val="Subtitle"/>
    <w:basedOn w:val="Normal"/>
    <w:next w:val="Normal"/>
    <w:link w:val="SubtitleChar"/>
    <w:uiPriority w:val="9"/>
    <w:qFormat/>
    <w:rsid w:val="003E7673"/>
    <w:pPr>
      <w:spacing w:after="480" w:line="240" w:lineRule="auto"/>
    </w:pPr>
    <w:rPr>
      <w:rFonts w:asciiTheme="majorHAnsi" w:eastAsiaTheme="majorEastAsia" w:hAnsiTheme="majorHAnsi" w:cstheme="majorBidi"/>
      <w:iCs/>
      <w:color w:val="000000" w:themeColor="text1"/>
      <w:spacing w:val="6"/>
      <w:sz w:val="32"/>
    </w:rPr>
  </w:style>
  <w:style w:type="character" w:customStyle="1" w:styleId="SubtitleChar">
    <w:name w:val="Subtitle Char"/>
    <w:basedOn w:val="DefaultParagraphFont"/>
    <w:link w:val="Subtitle"/>
    <w:uiPriority w:val="9"/>
    <w:rsid w:val="003E7673"/>
    <w:rPr>
      <w:rFonts w:asciiTheme="majorHAnsi" w:eastAsiaTheme="majorEastAsia" w:hAnsiTheme="majorHAnsi" w:cstheme="majorBidi"/>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833F75"/>
    <w:pPr>
      <w:spacing w:after="120" w:line="288" w:lineRule="auto"/>
    </w:pPr>
    <w:rPr>
      <w:color w:val="000000" w:themeColor="text1"/>
      <w:sz w:val="28"/>
    </w:rPr>
  </w:style>
  <w:style w:type="paragraph" w:styleId="ListBullet">
    <w:name w:val="List Bullet"/>
    <w:basedOn w:val="ListParagraph"/>
    <w:uiPriority w:val="99"/>
    <w:unhideWhenUsed/>
    <w:qFormat/>
    <w:rsid w:val="009B26D3"/>
    <w:pPr>
      <w:ind w:left="714" w:hanging="357"/>
    </w:pPr>
  </w:style>
  <w:style w:type="paragraph" w:styleId="ListParagraph">
    <w:name w:val="List Paragraph"/>
    <w:basedOn w:val="Normal"/>
    <w:uiPriority w:val="34"/>
    <w:qFormat/>
    <w:rsid w:val="006E6CA9"/>
    <w:pPr>
      <w:numPr>
        <w:numId w:val="18"/>
      </w:numPr>
      <w:spacing w:after="160" w:line="278" w:lineRule="auto"/>
      <w:ind w:left="284" w:hanging="284"/>
      <w:contextualSpacing/>
    </w:pPr>
    <w:rPr>
      <w:szCs w:val="22"/>
    </w:r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36B86"/>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36B86"/>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3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Heading1withsubtitle"/>
    <w:next w:val="Normal"/>
    <w:link w:val="TitleChar"/>
    <w:uiPriority w:val="10"/>
    <w:unhideWhenUsed/>
    <w:qFormat/>
    <w:rsid w:val="00056709"/>
  </w:style>
  <w:style w:type="character" w:customStyle="1" w:styleId="TitleChar">
    <w:name w:val="Title Char"/>
    <w:basedOn w:val="DefaultParagraphFont"/>
    <w:link w:val="Title"/>
    <w:uiPriority w:val="10"/>
    <w:rsid w:val="00056709"/>
    <w:rPr>
      <w:rFonts w:asciiTheme="majorHAnsi" w:eastAsiaTheme="majorEastAsia" w:hAnsiTheme="majorHAnsi" w:cstheme="majorBidi"/>
      <w:b/>
      <w:bCs/>
      <w:color w:val="005A70" w:themeColor="accent1"/>
      <w:spacing w:val="3"/>
      <w:sz w:val="60"/>
      <w:szCs w:val="28"/>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9"/>
      </w:numPr>
      <w:contextualSpacing/>
    </w:pPr>
  </w:style>
  <w:style w:type="numbering" w:customStyle="1" w:styleId="DSSBulletList">
    <w:name w:val="DSS Bullet List"/>
    <w:uiPriority w:val="99"/>
    <w:rsid w:val="00065DCF"/>
    <w:pPr>
      <w:numPr>
        <w:numId w:val="14"/>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table" w:customStyle="1" w:styleId="TableGridLight1">
    <w:name w:val="Table Grid Light1"/>
    <w:basedOn w:val="TableNormal"/>
    <w:next w:val="TableGridLight"/>
    <w:uiPriority w:val="40"/>
    <w:rsid w:val="00BB329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076284"/>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ubtleReference">
    <w:name w:val="Subtle Reference"/>
    <w:basedOn w:val="DefaultParagraphFont"/>
    <w:uiPriority w:val="31"/>
    <w:qFormat/>
    <w:rsid w:val="007E05B4"/>
    <w:rPr>
      <w:smallCaps/>
      <w:color w:val="5A5A5A" w:themeColor="text1" w:themeTint="A5"/>
    </w:rPr>
  </w:style>
  <w:style w:type="paragraph" w:customStyle="1" w:styleId="Heading3colourblock">
    <w:name w:val="Heading 3 colour block"/>
    <w:basedOn w:val="Heading3"/>
    <w:link w:val="Heading3colourblockChar"/>
    <w:qFormat/>
    <w:rsid w:val="00EC4845"/>
    <w:pPr>
      <w:pBdr>
        <w:top w:val="single" w:sz="24" w:space="1" w:color="C1E4F5"/>
        <w:left w:val="single" w:sz="24" w:space="4" w:color="C1E4F5"/>
        <w:bottom w:val="single" w:sz="24" w:space="1" w:color="C1E4F5"/>
        <w:right w:val="single" w:sz="24" w:space="4" w:color="C1E4F5"/>
      </w:pBdr>
      <w:shd w:val="clear" w:color="auto" w:fill="C1E4F5"/>
    </w:pPr>
    <w:rPr>
      <w:b/>
      <w:sz w:val="28"/>
    </w:rPr>
  </w:style>
  <w:style w:type="character" w:customStyle="1" w:styleId="Heading3colourblockChar">
    <w:name w:val="Heading 3 colour block Char"/>
    <w:basedOn w:val="Heading3Char"/>
    <w:link w:val="Heading3colourblock"/>
    <w:rsid w:val="00EC4845"/>
    <w:rPr>
      <w:rFonts w:asciiTheme="majorHAnsi" w:eastAsiaTheme="majorEastAsia" w:hAnsiTheme="majorHAnsi" w:cstheme="majorBidi"/>
      <w:b/>
      <w:bCs/>
      <w:color w:val="005A70" w:themeColor="accent1"/>
      <w:spacing w:val="3"/>
      <w:sz w:val="28"/>
      <w:shd w:val="clear" w:color="auto" w:fill="C1E4F5"/>
    </w:rPr>
  </w:style>
  <w:style w:type="table" w:customStyle="1" w:styleId="TableGridLight3">
    <w:name w:val="Table Grid Light3"/>
    <w:basedOn w:val="TableNormal"/>
    <w:next w:val="TableGridLight"/>
    <w:uiPriority w:val="40"/>
    <w:rsid w:val="00EC484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LineNumber">
    <w:name w:val="line number"/>
    <w:basedOn w:val="DefaultParagraphFont"/>
    <w:uiPriority w:val="99"/>
    <w:semiHidden/>
    <w:unhideWhenUsed/>
    <w:rsid w:val="00430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2a9dd1-6f1c-42a6-8dbe-7204e5445579"/>
    <lcf76f155ced4ddcb4097134ff3c332f xmlns="ff98ff02-0ec4-48dc-8e41-3aa8d8dfdd1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BA464E898B474DB77E107AC365BA45" ma:contentTypeVersion="12" ma:contentTypeDescription="Create a new document." ma:contentTypeScope="" ma:versionID="b75c11efc47f7ca398029fc2aef8373c">
  <xsd:schema xmlns:xsd="http://www.w3.org/2001/XMLSchema" xmlns:xs="http://www.w3.org/2001/XMLSchema" xmlns:p="http://schemas.microsoft.com/office/2006/metadata/properties" xmlns:ns2="ff98ff02-0ec4-48dc-8e41-3aa8d8dfdd12" xmlns:ns3="9c2a9dd1-6f1c-42a6-8dbe-7204e5445579" targetNamespace="http://schemas.microsoft.com/office/2006/metadata/properties" ma:root="true" ma:fieldsID="ab65af0e92d4db714b70b1e5a738a714" ns2:_="" ns3:_="">
    <xsd:import namespace="ff98ff02-0ec4-48dc-8e41-3aa8d8dfdd12"/>
    <xsd:import namespace="9c2a9dd1-6f1c-42a6-8dbe-7204e5445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8ff02-0ec4-48dc-8e41-3aa8d8dfd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a9dd1-6f1c-42a6-8dbe-7204e5445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c8473b-38b6-42ee-99ff-04a1143f9211}" ma:internalName="TaxCatchAll" ma:showField="CatchAllData" ma:web="9c2a9dd1-6f1c-42a6-8dbe-7204e5445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2.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9c2a9dd1-6f1c-42a6-8dbe-7204e5445579"/>
    <ds:schemaRef ds:uri="ff98ff02-0ec4-48dc-8e41-3aa8d8dfdd12"/>
  </ds:schemaRefs>
</ds:datastoreItem>
</file>

<file path=customXml/itemProps3.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4.xml><?xml version="1.0" encoding="utf-8"?>
<ds:datastoreItem xmlns:ds="http://schemas.openxmlformats.org/officeDocument/2006/customXml" ds:itemID="{551F8FF8-95FD-4BAA-8A5B-1A9CC88EC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8ff02-0ec4-48dc-8e41-3aa8d8dfdd12"/>
    <ds:schemaRef ds:uri="9c2a9dd1-6f1c-42a6-8dbe-7204e5445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1003</Words>
  <Characters>5770</Characters>
  <Application>Microsoft Office Word</Application>
  <DocSecurity>0</DocSecurity>
  <Lines>206</Lines>
  <Paragraphs>98</Paragraphs>
  <ScaleCrop>false</ScaleCrop>
  <Company>Department of Social Services</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Outcomes-Based Contracting</dc:title>
  <dc:subject/>
  <dc:creator>WARDROP, Shaye</dc:creator>
  <cp:keywords>[SEC=OFFICIAL]</cp:keywords>
  <cp:lastModifiedBy>MILLER, Vicky</cp:lastModifiedBy>
  <cp:revision>8</cp:revision>
  <cp:lastPrinted>2026-05-12T15:44:00Z</cp:lastPrinted>
  <dcterms:created xsi:type="dcterms:W3CDTF">2026-08-21T08:18:00Z</dcterms:created>
  <dcterms:modified xsi:type="dcterms:W3CDTF">2026-08-23T22:42:00Z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604506F474923A03F2AC5CE8C7B4156F</vt:lpwstr>
  </property>
  <property fmtid="{D5CDD505-2E9C-101B-9397-08002B2CF9AE}" pid="21" name="PM_Hash_Salt">
    <vt:lpwstr>F4B2BE68B7BD4942520A7E9F1EC08C19</vt:lpwstr>
  </property>
  <property fmtid="{D5CDD505-2E9C-101B-9397-08002B2CF9AE}" pid="22" name="PM_Hash_SHA1">
    <vt:lpwstr>5C11A0A4196632114DFE777F6D7E78784DDECC2C</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0x010100C5BA464E898B474DB77E107AC365BA45</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685cacdc4a144bb4844283bbfac77104</vt:lpwstr>
  </property>
  <property fmtid="{D5CDD505-2E9C-101B-9397-08002B2CF9AE}" pid="35" name="MSIP_Label_eb34d90b-fc41-464d-af60-f74d721d0790_ContentBits">
    <vt:lpwstr>3</vt:lpwstr>
  </property>
  <property fmtid="{D5CDD505-2E9C-101B-9397-08002B2CF9AE}" pid="36" name="PMHMAC">
    <vt:lpwstr>v=2024.1;a=SHA256;h=8872721C64FB438A59691D27428BFCC63BCAAF2ACCF60DCDECB55D0C08DE7AB9</vt:lpwstr>
  </property>
  <property fmtid="{D5CDD505-2E9C-101B-9397-08002B2CF9AE}" pid="37" name="PMUuid">
    <vt:lpwstr>v=2022.2;d=gov.au;g=46DD6D7C-8107-577B-BC6E-F348953B2E44</vt:lpwstr>
  </property>
  <property fmtid="{D5CDD505-2E9C-101B-9397-08002B2CF9AE}" pid="38" name="PM_Expires">
    <vt:lpwstr/>
  </property>
  <property fmtid="{D5CDD505-2E9C-101B-9397-08002B2CF9AE}" pid="39" name="PM_DowngradeTo">
    <vt:lpwstr/>
  </property>
  <property fmtid="{D5CDD505-2E9C-101B-9397-08002B2CF9AE}" pid="40" name="PM_DownTo">
    <vt:lpwstr/>
  </property>
</Properties>
</file>