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A7B36" w14:textId="3AC497E1" w:rsidR="00466F1F" w:rsidRDefault="00466F1F" w:rsidP="00466F1F">
      <w:pPr>
        <w:pStyle w:val="Heading1withsubtitle"/>
        <w:ind w:left="742"/>
        <w:rPr>
          <w:color w:val="FFFFFF" w:themeColor="background1"/>
        </w:rPr>
      </w:pPr>
      <w:bookmarkStart w:id="0" w:name="_Toc238140541"/>
      <w:bookmarkStart w:id="1" w:name="_Toc238653258"/>
      <w:bookmarkStart w:id="2" w:name="_Toc140757166"/>
      <w:bookmarkStart w:id="3" w:name="_Toc144375361"/>
      <w:r w:rsidRPr="00466F1F">
        <w:rPr>
          <w:noProof/>
          <w:color w:val="FFFFFF" w:themeColor="background1"/>
        </w:rPr>
        <w:drawing>
          <wp:anchor distT="0" distB="0" distL="114300" distR="114300" simplePos="0" relativeHeight="251676680" behindDoc="1" locked="0" layoutInCell="1" allowOverlap="1" wp14:anchorId="51414DED" wp14:editId="1D68CD1D">
            <wp:simplePos x="0" y="0"/>
            <wp:positionH relativeFrom="page">
              <wp:align>left</wp:align>
            </wp:positionH>
            <wp:positionV relativeFrom="paragraph">
              <wp:posOffset>-540385</wp:posOffset>
            </wp:positionV>
            <wp:extent cx="8108950" cy="12719192"/>
            <wp:effectExtent l="0" t="0" r="6350" b="6350"/>
            <wp:wrapNone/>
            <wp:docPr id="1220693551"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693551" name="Picture 18">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8108950" cy="12719192"/>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44EB162" wp14:editId="681B9AEF">
            <wp:extent cx="2592705" cy="527685"/>
            <wp:effectExtent l="0" t="0" r="0" b="5715"/>
            <wp:docPr id="1494580288" name="Picture 1" descr="Australian Government Department of Social Servic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580288" name="Picture 1" descr="Australian Government Department of Social Services">
                      <a:extLst>
                        <a:ext uri="{C183D7F6-B498-43B3-948B-1728B52AA6E4}">
                          <adec:decorative xmlns:adec="http://schemas.microsoft.com/office/drawing/2017/decorative" val="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2705" cy="527685"/>
                    </a:xfrm>
                    <a:prstGeom prst="rect">
                      <a:avLst/>
                    </a:prstGeom>
                  </pic:spPr>
                </pic:pic>
              </a:graphicData>
            </a:graphic>
          </wp:inline>
        </w:drawing>
      </w:r>
    </w:p>
    <w:p w14:paraId="62CB3BEE" w14:textId="77777777" w:rsidR="00466F1F" w:rsidRDefault="00466F1F" w:rsidP="00D910AD">
      <w:pPr>
        <w:pStyle w:val="Heading1withsubtitle"/>
        <w:rPr>
          <w:color w:val="FFFFFF" w:themeColor="background1"/>
        </w:rPr>
      </w:pPr>
    </w:p>
    <w:p w14:paraId="0045BC28" w14:textId="77777777" w:rsidR="00466F1F" w:rsidRDefault="00466F1F" w:rsidP="00466F1F">
      <w:pPr>
        <w:pStyle w:val="Subtitle"/>
      </w:pPr>
    </w:p>
    <w:p w14:paraId="2D29ABE7" w14:textId="77777777" w:rsidR="00466F1F" w:rsidRDefault="00466F1F" w:rsidP="00466F1F"/>
    <w:p w14:paraId="52B1C519" w14:textId="77777777" w:rsidR="00466F1F" w:rsidRDefault="00466F1F" w:rsidP="00466F1F"/>
    <w:p w14:paraId="101F19A4" w14:textId="77777777" w:rsidR="00466F1F" w:rsidRDefault="00466F1F" w:rsidP="00466F1F"/>
    <w:p w14:paraId="4396472F" w14:textId="77777777" w:rsidR="00466F1F" w:rsidRDefault="00466F1F" w:rsidP="00466F1F"/>
    <w:p w14:paraId="5F8B2E1F" w14:textId="77777777" w:rsidR="00466F1F" w:rsidRPr="00466F1F" w:rsidRDefault="00466F1F" w:rsidP="00466F1F"/>
    <w:p w14:paraId="06D44C22" w14:textId="50F3F9D7" w:rsidR="00663913" w:rsidRPr="00D910AD" w:rsidRDefault="00663913" w:rsidP="00466F1F">
      <w:pPr>
        <w:pStyle w:val="Heading1withsubtitle"/>
        <w:ind w:left="851"/>
      </w:pPr>
      <w:r w:rsidRPr="00466F1F">
        <w:rPr>
          <w:color w:val="FFFFFF" w:themeColor="background1"/>
        </w:rPr>
        <w:t>Corporate</w:t>
      </w:r>
      <w:r w:rsidRPr="00D910AD">
        <w:t xml:space="preserve"> </w:t>
      </w:r>
      <w:r w:rsidRPr="00466F1F">
        <w:rPr>
          <w:color w:val="FFFFFF" w:themeColor="background1"/>
        </w:rPr>
        <w:t>Plan</w:t>
      </w:r>
      <w:bookmarkEnd w:id="0"/>
      <w:bookmarkEnd w:id="1"/>
      <w:r w:rsidRPr="00D910AD">
        <w:t xml:space="preserve"> </w:t>
      </w:r>
    </w:p>
    <w:p w14:paraId="4C006AF9" w14:textId="723F70E5" w:rsidR="00C57001" w:rsidRPr="00E60D1A" w:rsidRDefault="00663913" w:rsidP="00466F1F">
      <w:pPr>
        <w:pStyle w:val="Heading1withsubtitle"/>
        <w:ind w:left="851"/>
        <w:rPr>
          <w:b w:val="0"/>
          <w:bCs w:val="0"/>
          <w:color w:val="FFFFFF" w:themeColor="background1"/>
        </w:rPr>
      </w:pPr>
      <w:bookmarkStart w:id="4" w:name="_Toc238140542"/>
      <w:bookmarkStart w:id="5" w:name="_Toc238653259"/>
      <w:r w:rsidRPr="00E60D1A">
        <w:rPr>
          <w:b w:val="0"/>
          <w:bCs w:val="0"/>
          <w:color w:val="FFFFFF" w:themeColor="background1"/>
        </w:rPr>
        <w:t>2026-27</w:t>
      </w:r>
      <w:bookmarkEnd w:id="2"/>
      <w:bookmarkEnd w:id="3"/>
      <w:bookmarkEnd w:id="4"/>
      <w:bookmarkEnd w:id="5"/>
    </w:p>
    <w:p w14:paraId="4714A8B3" w14:textId="46244A45" w:rsidR="00F148C2" w:rsidRPr="00466F1F" w:rsidRDefault="00663913" w:rsidP="00466F1F">
      <w:pPr>
        <w:pStyle w:val="Subtitle"/>
        <w:ind w:left="851"/>
        <w:rPr>
          <w:color w:val="FFFFFF" w:themeColor="background1"/>
        </w:rPr>
      </w:pPr>
      <w:r w:rsidRPr="00466F1F">
        <w:rPr>
          <w:color w:val="FFFFFF" w:themeColor="background1"/>
          <w:sz w:val="24"/>
        </w:rPr>
        <w:t>Covering reporting period Financial Years 2026-27 to 2029-30</w:t>
      </w:r>
      <w:bookmarkStart w:id="6" w:name="_Toc395536189"/>
    </w:p>
    <w:p w14:paraId="43C415CB" w14:textId="12302E5A" w:rsidR="000E55FE" w:rsidRDefault="000E55FE" w:rsidP="00B20D86">
      <w:pPr>
        <w:spacing w:before="5600"/>
      </w:pPr>
      <w:r>
        <w:br w:type="page"/>
      </w:r>
    </w:p>
    <w:p w14:paraId="38B2F9E8" w14:textId="77777777" w:rsidR="00802998" w:rsidRDefault="00802998" w:rsidP="00DD6FA0">
      <w:pPr>
        <w:pStyle w:val="Heading2"/>
      </w:pPr>
      <w:bookmarkStart w:id="7" w:name="_Toc175821613"/>
      <w:bookmarkStart w:id="8" w:name="_Toc175906037"/>
      <w:bookmarkStart w:id="9" w:name="_Toc238653260"/>
      <w:bookmarkStart w:id="10" w:name="_Toc144375367"/>
      <w:bookmarkEnd w:id="6"/>
      <w:r w:rsidRPr="00802998">
        <w:rPr>
          <w:noProof/>
        </w:rPr>
        <w:lastRenderedPageBreak/>
        <w:drawing>
          <wp:anchor distT="0" distB="0" distL="114300" distR="114300" simplePos="0" relativeHeight="251658240" behindDoc="1" locked="0" layoutInCell="1" allowOverlap="1" wp14:anchorId="4529F9DF" wp14:editId="05359963">
            <wp:simplePos x="0" y="0"/>
            <wp:positionH relativeFrom="column">
              <wp:posOffset>4680849</wp:posOffset>
            </wp:positionH>
            <wp:positionV relativeFrom="paragraph">
              <wp:posOffset>93932</wp:posOffset>
            </wp:positionV>
            <wp:extent cx="1400175" cy="1433830"/>
            <wp:effectExtent l="0" t="0" r="9525" b="0"/>
            <wp:wrapTight wrapText="bothSides">
              <wp:wrapPolygon edited="0">
                <wp:start x="0" y="0"/>
                <wp:lineTo x="0" y="21236"/>
                <wp:lineTo x="21453" y="21236"/>
                <wp:lineTo x="21453" y="0"/>
                <wp:lineTo x="0" y="0"/>
              </wp:wrapPolygon>
            </wp:wrapTight>
            <wp:docPr id="2" name="Picture 2" descr="An image of Australia as an indigenous design&#10;&#10;This is an image of Australia depicted as an indigenous design of paths coming together as connecte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n image of Australia as an indigenous design&#10;&#10;This is an image of Australia depicted as an indigenous design of paths coming together as connected communitie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00175" cy="1433830"/>
                    </a:xfrm>
                    <a:prstGeom prst="rect">
                      <a:avLst/>
                    </a:prstGeom>
                  </pic:spPr>
                </pic:pic>
              </a:graphicData>
            </a:graphic>
            <wp14:sizeRelH relativeFrom="page">
              <wp14:pctWidth>0</wp14:pctWidth>
            </wp14:sizeRelH>
            <wp14:sizeRelV relativeFrom="page">
              <wp14:pctHeight>0</wp14:pctHeight>
            </wp14:sizeRelV>
          </wp:anchor>
        </w:drawing>
      </w:r>
      <w:r w:rsidRPr="00802998">
        <w:t>Acknowledgement</w:t>
      </w:r>
      <w:r w:rsidRPr="00D3778B">
        <w:rPr>
          <w:spacing w:val="-8"/>
        </w:rPr>
        <w:t xml:space="preserve"> </w:t>
      </w:r>
      <w:r w:rsidRPr="00D3778B">
        <w:t>of</w:t>
      </w:r>
      <w:r w:rsidRPr="00D3778B">
        <w:rPr>
          <w:spacing w:val="-8"/>
        </w:rPr>
        <w:t xml:space="preserve"> </w:t>
      </w:r>
      <w:r w:rsidRPr="00D3778B">
        <w:t>Country</w:t>
      </w:r>
      <w:bookmarkEnd w:id="7"/>
      <w:bookmarkEnd w:id="8"/>
      <w:bookmarkEnd w:id="9"/>
    </w:p>
    <w:p w14:paraId="3C55C907" w14:textId="77777777" w:rsidR="00802998" w:rsidRPr="00D3778B" w:rsidRDefault="00802998" w:rsidP="00D46140">
      <w:pPr>
        <w:pStyle w:val="BodyText"/>
      </w:pPr>
      <w:r w:rsidRPr="00D3778B">
        <w:rPr>
          <w:spacing w:val="-2"/>
        </w:rPr>
        <w:t>The</w:t>
      </w:r>
      <w:r w:rsidRPr="00D3778B">
        <w:rPr>
          <w:spacing w:val="-14"/>
        </w:rPr>
        <w:t xml:space="preserve"> </w:t>
      </w:r>
      <w:r w:rsidRPr="00D3778B">
        <w:rPr>
          <w:spacing w:val="-2"/>
        </w:rPr>
        <w:t>Department</w:t>
      </w:r>
      <w:r w:rsidRPr="00D3778B">
        <w:rPr>
          <w:spacing w:val="-14"/>
        </w:rPr>
        <w:t xml:space="preserve"> </w:t>
      </w:r>
      <w:r w:rsidRPr="00D3778B">
        <w:rPr>
          <w:spacing w:val="-2"/>
        </w:rPr>
        <w:t>of</w:t>
      </w:r>
      <w:r w:rsidRPr="00D3778B">
        <w:rPr>
          <w:spacing w:val="-14"/>
        </w:rPr>
        <w:t xml:space="preserve"> </w:t>
      </w:r>
      <w:r w:rsidRPr="00D3778B">
        <w:rPr>
          <w:spacing w:val="-2"/>
        </w:rPr>
        <w:t>Social</w:t>
      </w:r>
      <w:r w:rsidRPr="00D3778B">
        <w:rPr>
          <w:spacing w:val="-14"/>
        </w:rPr>
        <w:t xml:space="preserve"> </w:t>
      </w:r>
      <w:r w:rsidRPr="00D3778B">
        <w:rPr>
          <w:spacing w:val="-2"/>
        </w:rPr>
        <w:t>Services</w:t>
      </w:r>
      <w:r w:rsidRPr="00D3778B">
        <w:rPr>
          <w:spacing w:val="-14"/>
        </w:rPr>
        <w:t xml:space="preserve"> </w:t>
      </w:r>
      <w:r w:rsidRPr="00D3778B">
        <w:rPr>
          <w:spacing w:val="-2"/>
        </w:rPr>
        <w:t>acknowledges</w:t>
      </w:r>
      <w:r w:rsidRPr="00D3778B">
        <w:rPr>
          <w:spacing w:val="-13"/>
        </w:rPr>
        <w:t xml:space="preserve"> </w:t>
      </w:r>
      <w:r w:rsidRPr="00D3778B">
        <w:rPr>
          <w:spacing w:val="-2"/>
        </w:rPr>
        <w:t>Aboriginal</w:t>
      </w:r>
      <w:r w:rsidRPr="00D3778B">
        <w:rPr>
          <w:spacing w:val="-14"/>
        </w:rPr>
        <w:t xml:space="preserve"> </w:t>
      </w:r>
      <w:r w:rsidRPr="00D3778B">
        <w:rPr>
          <w:spacing w:val="-2"/>
        </w:rPr>
        <w:t xml:space="preserve">and </w:t>
      </w:r>
      <w:r w:rsidRPr="00D3778B">
        <w:t>Torres Strait Islander peoples throughout Australia and their continuing</w:t>
      </w:r>
      <w:r w:rsidRPr="00D3778B">
        <w:rPr>
          <w:spacing w:val="-14"/>
        </w:rPr>
        <w:t xml:space="preserve"> </w:t>
      </w:r>
      <w:r w:rsidRPr="00D3778B">
        <w:t>connection</w:t>
      </w:r>
      <w:r w:rsidRPr="00D3778B">
        <w:rPr>
          <w:spacing w:val="-14"/>
        </w:rPr>
        <w:t xml:space="preserve"> </w:t>
      </w:r>
      <w:r w:rsidRPr="00D3778B">
        <w:t>to</w:t>
      </w:r>
      <w:r w:rsidRPr="00D3778B">
        <w:rPr>
          <w:spacing w:val="-14"/>
        </w:rPr>
        <w:t xml:space="preserve"> </w:t>
      </w:r>
      <w:r w:rsidRPr="00D3778B">
        <w:t>land,</w:t>
      </w:r>
      <w:r w:rsidRPr="00D3778B">
        <w:rPr>
          <w:spacing w:val="-14"/>
        </w:rPr>
        <w:t xml:space="preserve"> </w:t>
      </w:r>
      <w:r w:rsidRPr="00D3778B">
        <w:t>water,</w:t>
      </w:r>
      <w:r w:rsidRPr="00D3778B">
        <w:rPr>
          <w:spacing w:val="-14"/>
        </w:rPr>
        <w:t xml:space="preserve"> </w:t>
      </w:r>
      <w:r w:rsidRPr="00D3778B">
        <w:t>culture</w:t>
      </w:r>
      <w:r w:rsidRPr="00D3778B">
        <w:rPr>
          <w:spacing w:val="-14"/>
        </w:rPr>
        <w:t xml:space="preserve"> </w:t>
      </w:r>
      <w:r w:rsidRPr="00D3778B">
        <w:t>and</w:t>
      </w:r>
      <w:r w:rsidRPr="00D3778B">
        <w:rPr>
          <w:spacing w:val="-14"/>
        </w:rPr>
        <w:t xml:space="preserve"> </w:t>
      </w:r>
      <w:r w:rsidRPr="00D3778B">
        <w:t>community.</w:t>
      </w:r>
    </w:p>
    <w:p w14:paraId="420DF3A0" w14:textId="77777777" w:rsidR="00802998" w:rsidRPr="00D3778B" w:rsidRDefault="00802998" w:rsidP="00D46140">
      <w:pPr>
        <w:pStyle w:val="BodyText"/>
      </w:pPr>
      <w:r w:rsidRPr="00D3778B">
        <w:rPr>
          <w:spacing w:val="-2"/>
        </w:rPr>
        <w:t>We</w:t>
      </w:r>
      <w:r w:rsidRPr="00D3778B">
        <w:rPr>
          <w:spacing w:val="-11"/>
        </w:rPr>
        <w:t xml:space="preserve"> </w:t>
      </w:r>
      <w:r w:rsidRPr="00D3778B">
        <w:rPr>
          <w:spacing w:val="-2"/>
        </w:rPr>
        <w:t>pay</w:t>
      </w:r>
      <w:r w:rsidRPr="00D3778B">
        <w:rPr>
          <w:spacing w:val="-10"/>
        </w:rPr>
        <w:t xml:space="preserve"> </w:t>
      </w:r>
      <w:r w:rsidRPr="00D3778B">
        <w:rPr>
          <w:spacing w:val="-2"/>
        </w:rPr>
        <w:t>our</w:t>
      </w:r>
      <w:r w:rsidRPr="00D3778B">
        <w:rPr>
          <w:spacing w:val="-10"/>
        </w:rPr>
        <w:t xml:space="preserve"> </w:t>
      </w:r>
      <w:r w:rsidRPr="00D3778B">
        <w:rPr>
          <w:spacing w:val="-2"/>
        </w:rPr>
        <w:t>respects</w:t>
      </w:r>
      <w:r w:rsidRPr="00D3778B">
        <w:rPr>
          <w:spacing w:val="-10"/>
        </w:rPr>
        <w:t xml:space="preserve"> </w:t>
      </w:r>
      <w:r w:rsidRPr="00D3778B">
        <w:rPr>
          <w:spacing w:val="-2"/>
        </w:rPr>
        <w:t>to</w:t>
      </w:r>
      <w:r w:rsidRPr="00D3778B">
        <w:rPr>
          <w:spacing w:val="-11"/>
        </w:rPr>
        <w:t xml:space="preserve"> </w:t>
      </w:r>
      <w:r w:rsidRPr="00D3778B">
        <w:rPr>
          <w:spacing w:val="-2"/>
        </w:rPr>
        <w:t>the</w:t>
      </w:r>
      <w:r w:rsidRPr="00D3778B">
        <w:rPr>
          <w:spacing w:val="-10"/>
        </w:rPr>
        <w:t xml:space="preserve"> </w:t>
      </w:r>
      <w:r w:rsidRPr="00D3778B">
        <w:rPr>
          <w:spacing w:val="-2"/>
        </w:rPr>
        <w:t>Elders</w:t>
      </w:r>
      <w:r w:rsidRPr="00D3778B">
        <w:rPr>
          <w:spacing w:val="-10"/>
        </w:rPr>
        <w:t xml:space="preserve"> </w:t>
      </w:r>
      <w:r w:rsidRPr="00D3778B">
        <w:rPr>
          <w:spacing w:val="-2"/>
        </w:rPr>
        <w:t>both</w:t>
      </w:r>
      <w:r w:rsidRPr="00D3778B">
        <w:rPr>
          <w:spacing w:val="-10"/>
        </w:rPr>
        <w:t xml:space="preserve"> </w:t>
      </w:r>
      <w:r w:rsidRPr="00D3778B">
        <w:rPr>
          <w:spacing w:val="-2"/>
        </w:rPr>
        <w:t>past</w:t>
      </w:r>
      <w:r w:rsidRPr="00D3778B">
        <w:rPr>
          <w:spacing w:val="-11"/>
        </w:rPr>
        <w:t xml:space="preserve"> </w:t>
      </w:r>
      <w:r w:rsidRPr="00D3778B">
        <w:rPr>
          <w:spacing w:val="-2"/>
        </w:rPr>
        <w:t>and</w:t>
      </w:r>
      <w:r w:rsidRPr="00D3778B">
        <w:rPr>
          <w:spacing w:val="-10"/>
        </w:rPr>
        <w:t xml:space="preserve"> </w:t>
      </w:r>
      <w:r w:rsidRPr="00D3778B">
        <w:rPr>
          <w:spacing w:val="-2"/>
        </w:rPr>
        <w:t>present.</w:t>
      </w:r>
    </w:p>
    <w:p w14:paraId="2C48120D" w14:textId="77777777" w:rsidR="00802998" w:rsidRPr="00D3778B" w:rsidRDefault="00802998" w:rsidP="00D46140">
      <w:pPr>
        <w:pStyle w:val="BodyText"/>
      </w:pPr>
    </w:p>
    <w:p w14:paraId="63E936CA" w14:textId="77777777" w:rsidR="00802998" w:rsidRPr="00D3778B" w:rsidRDefault="00802998" w:rsidP="00D46140">
      <w:pPr>
        <w:pStyle w:val="BodyText"/>
      </w:pPr>
    </w:p>
    <w:p w14:paraId="04E7DAD3" w14:textId="77777777" w:rsidR="00802998" w:rsidRPr="00D3778B" w:rsidRDefault="00802998" w:rsidP="00D46140">
      <w:pPr>
        <w:pStyle w:val="BodyText"/>
      </w:pPr>
      <w:r w:rsidRPr="00D3778B">
        <w:rPr>
          <w:rFonts w:ascii="Arial Black"/>
          <w:spacing w:val="2"/>
          <w:w w:val="90"/>
        </w:rPr>
        <w:t>Artwork:</w:t>
      </w:r>
      <w:r w:rsidRPr="00D3778B">
        <w:rPr>
          <w:rFonts w:ascii="Arial Black"/>
          <w:spacing w:val="25"/>
        </w:rPr>
        <w:t xml:space="preserve"> </w:t>
      </w:r>
      <w:r w:rsidRPr="00D3778B">
        <w:rPr>
          <w:spacing w:val="2"/>
          <w:w w:val="90"/>
        </w:rPr>
        <w:t>Reconciliation</w:t>
      </w:r>
      <w:r w:rsidRPr="00D3778B">
        <w:rPr>
          <w:spacing w:val="29"/>
        </w:rPr>
        <w:t xml:space="preserve"> </w:t>
      </w:r>
      <w:r w:rsidRPr="00D3778B">
        <w:rPr>
          <w:spacing w:val="-2"/>
          <w:w w:val="90"/>
        </w:rPr>
        <w:t>Journeys.</w:t>
      </w:r>
    </w:p>
    <w:p w14:paraId="4DC2724B" w14:textId="162AADBB" w:rsidR="00802998" w:rsidRPr="00D3778B" w:rsidRDefault="00802998" w:rsidP="00D46140">
      <w:pPr>
        <w:pStyle w:val="BodyText"/>
      </w:pPr>
      <w:r w:rsidRPr="00D3778B">
        <w:rPr>
          <w:rFonts w:ascii="Arial Black"/>
          <w:spacing w:val="-6"/>
        </w:rPr>
        <w:t>Artists:</w:t>
      </w:r>
      <w:r w:rsidRPr="00D3778B">
        <w:rPr>
          <w:rFonts w:ascii="Arial Black"/>
          <w:spacing w:val="-10"/>
        </w:rPr>
        <w:t xml:space="preserve"> </w:t>
      </w:r>
      <w:proofErr w:type="spellStart"/>
      <w:r w:rsidRPr="00D3778B">
        <w:rPr>
          <w:spacing w:val="-6"/>
        </w:rPr>
        <w:t>Mr</w:t>
      </w:r>
      <w:proofErr w:type="spellEnd"/>
      <w:r w:rsidRPr="00D3778B">
        <w:rPr>
          <w:spacing w:val="-7"/>
        </w:rPr>
        <w:t xml:space="preserve"> </w:t>
      </w:r>
      <w:r w:rsidRPr="00D3778B">
        <w:rPr>
          <w:spacing w:val="-6"/>
        </w:rPr>
        <w:t>James (Jim)</w:t>
      </w:r>
      <w:r w:rsidRPr="00D3778B">
        <w:rPr>
          <w:spacing w:val="-7"/>
        </w:rPr>
        <w:t xml:space="preserve"> </w:t>
      </w:r>
      <w:r w:rsidRPr="00D3778B">
        <w:rPr>
          <w:spacing w:val="-6"/>
        </w:rPr>
        <w:t>Abednego</w:t>
      </w:r>
      <w:r w:rsidRPr="00D3778B">
        <w:rPr>
          <w:spacing w:val="-7"/>
        </w:rPr>
        <w:t xml:space="preserve"> </w:t>
      </w:r>
      <w:r w:rsidRPr="00D3778B">
        <w:rPr>
          <w:spacing w:val="-6"/>
        </w:rPr>
        <w:t xml:space="preserve">and </w:t>
      </w:r>
      <w:proofErr w:type="spellStart"/>
      <w:r w:rsidRPr="00D3778B">
        <w:rPr>
          <w:spacing w:val="-6"/>
        </w:rPr>
        <w:t>Ms</w:t>
      </w:r>
      <w:proofErr w:type="spellEnd"/>
      <w:r w:rsidRPr="00D3778B">
        <w:rPr>
          <w:spacing w:val="-7"/>
        </w:rPr>
        <w:t xml:space="preserve"> </w:t>
      </w:r>
      <w:r w:rsidRPr="00D3778B">
        <w:rPr>
          <w:spacing w:val="-6"/>
        </w:rPr>
        <w:t>Nikki</w:t>
      </w:r>
      <w:r w:rsidRPr="00D3778B">
        <w:rPr>
          <w:spacing w:val="-7"/>
        </w:rPr>
        <w:t xml:space="preserve"> </w:t>
      </w:r>
      <w:r w:rsidRPr="00D3778B">
        <w:rPr>
          <w:spacing w:val="-6"/>
        </w:rPr>
        <w:t>Gallagher</w:t>
      </w:r>
    </w:p>
    <w:p w14:paraId="37A79671" w14:textId="7826A814" w:rsidR="00802998" w:rsidRPr="00D3778B" w:rsidRDefault="00802998" w:rsidP="00D46140">
      <w:pPr>
        <w:pStyle w:val="BodyText"/>
      </w:pPr>
      <w:r w:rsidRPr="00D3778B">
        <w:t xml:space="preserve">© Commonwealth of Australia (Department of Social Services) </w:t>
      </w:r>
      <w:r w:rsidRPr="00D3778B">
        <w:rPr>
          <w:bCs/>
        </w:rPr>
        <w:t>202</w:t>
      </w:r>
      <w:r w:rsidR="0062178D">
        <w:rPr>
          <w:bCs/>
        </w:rPr>
        <w:t>6</w:t>
      </w:r>
    </w:p>
    <w:p w14:paraId="3FB98188" w14:textId="49A26C85" w:rsidR="00802998" w:rsidRDefault="00802998">
      <w:pPr>
        <w:spacing w:after="240"/>
      </w:pPr>
      <w:r>
        <w:br w:type="page"/>
      </w:r>
    </w:p>
    <w:p w14:paraId="7AB9C7C8" w14:textId="77777777" w:rsidR="00802998" w:rsidRPr="00D46140" w:rsidRDefault="00802998" w:rsidP="00D46140">
      <w:pPr>
        <w:rPr>
          <w:i/>
          <w:iCs/>
          <w:sz w:val="18"/>
          <w:szCs w:val="18"/>
        </w:rPr>
      </w:pPr>
      <w:r w:rsidRPr="00D46140">
        <w:rPr>
          <w:sz w:val="18"/>
          <w:szCs w:val="18"/>
        </w:rPr>
        <w:lastRenderedPageBreak/>
        <w:t>ISSN 2982-1924</w:t>
      </w:r>
    </w:p>
    <w:p w14:paraId="44324715" w14:textId="77777777" w:rsidR="00802998" w:rsidRPr="00D46140" w:rsidRDefault="00802998" w:rsidP="00D46140">
      <w:pPr>
        <w:rPr>
          <w:sz w:val="18"/>
          <w:szCs w:val="18"/>
        </w:rPr>
      </w:pPr>
      <w:r w:rsidRPr="00D46140">
        <w:rPr>
          <w:sz w:val="18"/>
          <w:szCs w:val="18"/>
        </w:rPr>
        <w:t>Copyright notice</w:t>
      </w:r>
    </w:p>
    <w:p w14:paraId="57DDBB2E" w14:textId="77777777" w:rsidR="00802998" w:rsidRPr="00B60C63" w:rsidRDefault="00802998" w:rsidP="00802998">
      <w:pPr>
        <w:spacing w:after="240"/>
        <w:rPr>
          <w:sz w:val="19"/>
          <w:szCs w:val="19"/>
        </w:rPr>
      </w:pPr>
      <w:r w:rsidRPr="0012147A">
        <w:rPr>
          <w:noProof/>
          <w:sz w:val="19"/>
          <w:szCs w:val="19"/>
        </w:rPr>
        <w:drawing>
          <wp:inline distT="0" distB="0" distL="0" distR="0" wp14:anchorId="6C41F9FF" wp14:editId="3A208D92">
            <wp:extent cx="1225550" cy="431800"/>
            <wp:effectExtent l="0" t="0" r="0" b="6350"/>
            <wp:docPr id="1381974424" name="Picture 6" descr="Creative Commons Attribution 4.0 International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ative Commons Attribution 4.0 International Lic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5550" cy="431800"/>
                    </a:xfrm>
                    <a:prstGeom prst="rect">
                      <a:avLst/>
                    </a:prstGeom>
                    <a:noFill/>
                    <a:ln>
                      <a:noFill/>
                    </a:ln>
                  </pic:spPr>
                </pic:pic>
              </a:graphicData>
            </a:graphic>
          </wp:inline>
        </w:drawing>
      </w:r>
    </w:p>
    <w:p w14:paraId="18DEBB66" w14:textId="67015F17" w:rsidR="00802998" w:rsidRPr="00D46140" w:rsidRDefault="00802998" w:rsidP="00D46140">
      <w:pPr>
        <w:rPr>
          <w:sz w:val="18"/>
          <w:szCs w:val="18"/>
          <w:u w:val="single"/>
        </w:rPr>
      </w:pPr>
      <w:r w:rsidRPr="00D46140">
        <w:rPr>
          <w:sz w:val="18"/>
          <w:szCs w:val="18"/>
        </w:rPr>
        <w:t>This document Department of Social Services Corporate Plan 202</w:t>
      </w:r>
      <w:r w:rsidR="0024094E" w:rsidRPr="00D46140">
        <w:rPr>
          <w:sz w:val="18"/>
          <w:szCs w:val="18"/>
        </w:rPr>
        <w:t>6</w:t>
      </w:r>
      <w:r w:rsidRPr="00D46140">
        <w:rPr>
          <w:sz w:val="18"/>
          <w:szCs w:val="18"/>
        </w:rPr>
        <w:t>-202</w:t>
      </w:r>
      <w:r w:rsidR="0024094E" w:rsidRPr="00D46140">
        <w:rPr>
          <w:sz w:val="18"/>
          <w:szCs w:val="18"/>
        </w:rPr>
        <w:t>7</w:t>
      </w:r>
      <w:r w:rsidRPr="00D46140">
        <w:rPr>
          <w:sz w:val="18"/>
          <w:szCs w:val="18"/>
        </w:rPr>
        <w:t xml:space="preserve"> is licensed under the </w:t>
      </w:r>
      <w:hyperlink r:id="rId12" w:history="1">
        <w:r w:rsidRPr="00D46140">
          <w:rPr>
            <w:rStyle w:val="Hyperlink"/>
            <w:sz w:val="18"/>
            <w:szCs w:val="18"/>
          </w:rPr>
          <w:t>Creative Commons Attribution 4.0 International Licence</w:t>
        </w:r>
      </w:hyperlink>
    </w:p>
    <w:p w14:paraId="33C806A8" w14:textId="77777777" w:rsidR="00802998" w:rsidRPr="00D46140" w:rsidRDefault="00802998" w:rsidP="00D46140">
      <w:pPr>
        <w:rPr>
          <w:sz w:val="18"/>
          <w:szCs w:val="18"/>
          <w:u w:val="single"/>
        </w:rPr>
      </w:pPr>
      <w:r w:rsidRPr="00D46140">
        <w:rPr>
          <w:sz w:val="18"/>
          <w:szCs w:val="18"/>
        </w:rPr>
        <w:t xml:space="preserve">Licence URL: </w:t>
      </w:r>
      <w:hyperlink r:id="rId13" w:history="1">
        <w:r w:rsidRPr="00D46140">
          <w:rPr>
            <w:rStyle w:val="Hyperlink"/>
            <w:sz w:val="18"/>
            <w:szCs w:val="18"/>
          </w:rPr>
          <w:t>https://creativecommons.org/licenses/by/4.0/legalcode</w:t>
        </w:r>
      </w:hyperlink>
    </w:p>
    <w:p w14:paraId="1BB42344" w14:textId="3AA9EFCA" w:rsidR="00802998" w:rsidRPr="00D46140" w:rsidRDefault="00802998" w:rsidP="00D46140">
      <w:pPr>
        <w:rPr>
          <w:sz w:val="18"/>
          <w:szCs w:val="18"/>
        </w:rPr>
      </w:pPr>
      <w:r w:rsidRPr="00D46140">
        <w:rPr>
          <w:sz w:val="18"/>
          <w:szCs w:val="18"/>
        </w:rPr>
        <w:t>Please attribute: © Commonwealth of Australia (</w:t>
      </w:r>
      <w:hyperlink r:id="rId14" w:history="1">
        <w:r w:rsidRPr="00D46140">
          <w:rPr>
            <w:rStyle w:val="Hyperlink"/>
            <w:sz w:val="18"/>
            <w:szCs w:val="18"/>
          </w:rPr>
          <w:t>Department of Social Services</w:t>
        </w:r>
      </w:hyperlink>
      <w:r w:rsidRPr="00D46140">
        <w:rPr>
          <w:sz w:val="18"/>
          <w:szCs w:val="18"/>
        </w:rPr>
        <w:t>) 202</w:t>
      </w:r>
      <w:r w:rsidR="0024094E" w:rsidRPr="00D46140">
        <w:rPr>
          <w:sz w:val="18"/>
          <w:szCs w:val="18"/>
        </w:rPr>
        <w:t>6</w:t>
      </w:r>
    </w:p>
    <w:p w14:paraId="68B99F13" w14:textId="77777777" w:rsidR="00802998" w:rsidRPr="00D46140" w:rsidRDefault="00802998" w:rsidP="00D46140">
      <w:pPr>
        <w:rPr>
          <w:sz w:val="18"/>
          <w:szCs w:val="18"/>
        </w:rPr>
      </w:pPr>
      <w:r w:rsidRPr="00D46140">
        <w:rPr>
          <w:sz w:val="18"/>
          <w:szCs w:val="18"/>
        </w:rPr>
        <w:t xml:space="preserve">Notice: </w:t>
      </w:r>
    </w:p>
    <w:p w14:paraId="34187EA9" w14:textId="77777777" w:rsidR="00802998" w:rsidRPr="00D46140" w:rsidRDefault="00802998" w:rsidP="00D46140">
      <w:pPr>
        <w:rPr>
          <w:sz w:val="18"/>
          <w:szCs w:val="18"/>
        </w:rPr>
      </w:pPr>
      <w:r w:rsidRPr="00D46140">
        <w:rPr>
          <w:sz w:val="18"/>
          <w:szCs w:val="18"/>
        </w:rPr>
        <w:t>If you create a derivative of this document, the Department of Social Services requests the following notice be placed on your derivative: Based on Commonwealth of Australia (Department of Social Services) data.</w:t>
      </w:r>
    </w:p>
    <w:p w14:paraId="2ABFDC4F" w14:textId="77777777" w:rsidR="00802998" w:rsidRPr="00D46140" w:rsidRDefault="00802998" w:rsidP="00D46140">
      <w:pPr>
        <w:rPr>
          <w:sz w:val="18"/>
          <w:szCs w:val="18"/>
          <w:u w:val="single"/>
        </w:rPr>
      </w:pPr>
      <w:r w:rsidRPr="00D46140">
        <w:rPr>
          <w:sz w:val="18"/>
          <w:szCs w:val="18"/>
        </w:rPr>
        <w:t xml:space="preserve">Inquiries regarding this licence or any other use of this document are welcome. Please contact: Branch Manager, Communication Services Branch, Department of Social Services. Phone: 1300 653 227. Email: </w:t>
      </w:r>
      <w:hyperlink r:id="rId15" w:history="1">
        <w:r w:rsidRPr="00D46140">
          <w:rPr>
            <w:rStyle w:val="Hyperlink"/>
            <w:sz w:val="18"/>
            <w:szCs w:val="18"/>
          </w:rPr>
          <w:t>communication@dss.gov.au</w:t>
        </w:r>
      </w:hyperlink>
    </w:p>
    <w:p w14:paraId="1D737E0B" w14:textId="77777777" w:rsidR="00802998" w:rsidRPr="00D46140" w:rsidRDefault="00802998" w:rsidP="00D46140">
      <w:pPr>
        <w:rPr>
          <w:sz w:val="18"/>
          <w:szCs w:val="18"/>
        </w:rPr>
      </w:pPr>
      <w:r w:rsidRPr="00D46140">
        <w:rPr>
          <w:sz w:val="18"/>
          <w:szCs w:val="18"/>
        </w:rPr>
        <w:t>Notice identifying other material or rights in this publication:</w:t>
      </w:r>
    </w:p>
    <w:p w14:paraId="72B74070" w14:textId="77777777" w:rsidR="00802998" w:rsidRPr="00D46140" w:rsidRDefault="00802998" w:rsidP="00D46140">
      <w:pPr>
        <w:rPr>
          <w:sz w:val="18"/>
          <w:szCs w:val="18"/>
        </w:rPr>
      </w:pPr>
      <w:r w:rsidRPr="00D46140">
        <w:rPr>
          <w:sz w:val="18"/>
          <w:szCs w:val="18"/>
        </w:rPr>
        <w:t xml:space="preserve">Australian Commonwealth Coat of Arms – not Licensed under Creative Commons, see </w:t>
      </w:r>
      <w:hyperlink r:id="rId16" w:history="1">
        <w:r w:rsidRPr="00D46140">
          <w:rPr>
            <w:rStyle w:val="Hyperlink"/>
            <w:sz w:val="18"/>
            <w:szCs w:val="18"/>
          </w:rPr>
          <w:t>https://www.pmc.gov.au/honours-and-symbols/commonwealth-coat-arms</w:t>
        </w:r>
      </w:hyperlink>
    </w:p>
    <w:p w14:paraId="7B2FFDB9" w14:textId="33DD8F1D" w:rsidR="00802998" w:rsidRPr="00D46140" w:rsidRDefault="00802998" w:rsidP="00D46140">
      <w:pPr>
        <w:rPr>
          <w:sz w:val="18"/>
          <w:szCs w:val="18"/>
        </w:rPr>
      </w:pPr>
      <w:r w:rsidRPr="00D46140">
        <w:rPr>
          <w:sz w:val="18"/>
          <w:szCs w:val="18"/>
        </w:rPr>
        <w:t>Certain images and photographs (as marked) – not licensed under Creative Commons.</w:t>
      </w:r>
    </w:p>
    <w:p w14:paraId="7B2597EB" w14:textId="77777777" w:rsidR="00802998" w:rsidRDefault="00802998" w:rsidP="00802998">
      <w:pPr>
        <w:spacing w:after="240"/>
        <w:rPr>
          <w:szCs w:val="18"/>
        </w:rPr>
      </w:pPr>
      <w:r>
        <w:rPr>
          <w:szCs w:val="18"/>
        </w:rPr>
        <w:br w:type="page"/>
      </w:r>
    </w:p>
    <w:bookmarkEnd w:id="10" w:displacedByCustomXml="next"/>
    <w:bookmarkStart w:id="11" w:name="_Toc238653261" w:displacedByCustomXml="next"/>
    <w:sdt>
      <w:sdtPr>
        <w:rPr>
          <w:rFonts w:asciiTheme="minorHAnsi" w:eastAsiaTheme="minorHAnsi" w:hAnsiTheme="minorHAnsi" w:cstheme="minorBidi"/>
          <w:bCs w:val="0"/>
          <w:color w:val="auto"/>
          <w:sz w:val="22"/>
          <w:szCs w:val="24"/>
        </w:rPr>
        <w:id w:val="-351189564"/>
        <w:docPartObj>
          <w:docPartGallery w:val="Table of Contents"/>
          <w:docPartUnique/>
        </w:docPartObj>
      </w:sdtPr>
      <w:sdtEndPr>
        <w:rPr>
          <w:b/>
          <w:noProof/>
        </w:rPr>
      </w:sdtEndPr>
      <w:sdtContent>
        <w:p w14:paraId="16F28CC6" w14:textId="3D9E1B45" w:rsidR="00C211A9" w:rsidRDefault="00C211A9">
          <w:pPr>
            <w:pStyle w:val="TOCHeading"/>
          </w:pPr>
          <w:r>
            <w:t>Contents</w:t>
          </w:r>
          <w:bookmarkEnd w:id="11"/>
        </w:p>
        <w:p w14:paraId="5919032A" w14:textId="06A2E4CA" w:rsidR="00D25C38" w:rsidRDefault="00DB07B8">
          <w:pPr>
            <w:pStyle w:val="TOC1"/>
            <w:rPr>
              <w:rFonts w:eastAsiaTheme="minorEastAsia"/>
              <w:noProof/>
              <w:spacing w:val="0"/>
              <w:kern w:val="2"/>
              <w:sz w:val="24"/>
              <w:lang w:eastAsia="en-AU"/>
              <w14:ligatures w14:val="standardContextual"/>
            </w:rPr>
          </w:pPr>
          <w:r>
            <w:fldChar w:fldCharType="begin"/>
          </w:r>
          <w:r>
            <w:instrText xml:space="preserve"> TOC \o "1-2" \h \z \t "Heading 3,3,CP Custom 1,3,CP Custom 2,4" </w:instrText>
          </w:r>
          <w:r>
            <w:fldChar w:fldCharType="separate"/>
          </w:r>
          <w:hyperlink w:anchor="_Toc238653258" w:history="1">
            <w:r w:rsidR="00D25C38" w:rsidRPr="00F40590">
              <w:rPr>
                <w:rStyle w:val="Hyperlink"/>
                <w:noProof/>
              </w:rPr>
              <w:t>Corporate Plan</w:t>
            </w:r>
            <w:r w:rsidR="006D476F">
              <w:rPr>
                <w:rStyle w:val="Hyperlink"/>
                <w:noProof/>
              </w:rPr>
              <w:t xml:space="preserve"> 2026-27</w:t>
            </w:r>
            <w:r w:rsidR="00D25C38">
              <w:rPr>
                <w:noProof/>
                <w:webHidden/>
              </w:rPr>
              <w:tab/>
            </w:r>
            <w:r w:rsidR="00D25C38">
              <w:rPr>
                <w:noProof/>
                <w:webHidden/>
              </w:rPr>
              <w:fldChar w:fldCharType="begin"/>
            </w:r>
            <w:r w:rsidR="00D25C38">
              <w:rPr>
                <w:noProof/>
                <w:webHidden/>
              </w:rPr>
              <w:instrText xml:space="preserve"> PAGEREF _Toc238653258 \h </w:instrText>
            </w:r>
            <w:r w:rsidR="00D25C38">
              <w:rPr>
                <w:noProof/>
                <w:webHidden/>
              </w:rPr>
            </w:r>
            <w:r w:rsidR="00D25C38">
              <w:rPr>
                <w:noProof/>
                <w:webHidden/>
              </w:rPr>
              <w:fldChar w:fldCharType="separate"/>
            </w:r>
            <w:r w:rsidR="00E8550C">
              <w:rPr>
                <w:noProof/>
                <w:webHidden/>
              </w:rPr>
              <w:t>i</w:t>
            </w:r>
            <w:r w:rsidR="00D25C38">
              <w:rPr>
                <w:noProof/>
                <w:webHidden/>
              </w:rPr>
              <w:fldChar w:fldCharType="end"/>
            </w:r>
          </w:hyperlink>
        </w:p>
        <w:p w14:paraId="75347086" w14:textId="6E4A4612" w:rsidR="00D25C38" w:rsidRDefault="00D25C38">
          <w:pPr>
            <w:pStyle w:val="TOC2"/>
            <w:rPr>
              <w:rFonts w:eastAsiaTheme="minorEastAsia"/>
              <w:spacing w:val="0"/>
              <w:kern w:val="2"/>
              <w:sz w:val="24"/>
              <w:lang w:eastAsia="en-AU"/>
              <w14:ligatures w14:val="standardContextual"/>
            </w:rPr>
          </w:pPr>
          <w:hyperlink w:anchor="_Toc238653260" w:history="1">
            <w:r w:rsidRPr="00F40590">
              <w:rPr>
                <w:rStyle w:val="Hyperlink"/>
              </w:rPr>
              <w:t>Acknowledgement</w:t>
            </w:r>
            <w:r w:rsidRPr="00F40590">
              <w:rPr>
                <w:rStyle w:val="Hyperlink"/>
                <w:spacing w:val="-8"/>
              </w:rPr>
              <w:t xml:space="preserve"> </w:t>
            </w:r>
            <w:r w:rsidRPr="00F40590">
              <w:rPr>
                <w:rStyle w:val="Hyperlink"/>
              </w:rPr>
              <w:t>of</w:t>
            </w:r>
            <w:r w:rsidRPr="00F40590">
              <w:rPr>
                <w:rStyle w:val="Hyperlink"/>
                <w:spacing w:val="-8"/>
              </w:rPr>
              <w:t xml:space="preserve"> </w:t>
            </w:r>
            <w:r w:rsidRPr="00F40590">
              <w:rPr>
                <w:rStyle w:val="Hyperlink"/>
              </w:rPr>
              <w:t>Country</w:t>
            </w:r>
            <w:r>
              <w:rPr>
                <w:webHidden/>
              </w:rPr>
              <w:tab/>
            </w:r>
            <w:r>
              <w:rPr>
                <w:webHidden/>
              </w:rPr>
              <w:fldChar w:fldCharType="begin"/>
            </w:r>
            <w:r>
              <w:rPr>
                <w:webHidden/>
              </w:rPr>
              <w:instrText xml:space="preserve"> PAGEREF _Toc238653260 \h </w:instrText>
            </w:r>
            <w:r>
              <w:rPr>
                <w:webHidden/>
              </w:rPr>
            </w:r>
            <w:r>
              <w:rPr>
                <w:webHidden/>
              </w:rPr>
              <w:fldChar w:fldCharType="separate"/>
            </w:r>
            <w:r w:rsidR="00E8550C">
              <w:rPr>
                <w:webHidden/>
              </w:rPr>
              <w:t>ii</w:t>
            </w:r>
            <w:r>
              <w:rPr>
                <w:webHidden/>
              </w:rPr>
              <w:fldChar w:fldCharType="end"/>
            </w:r>
          </w:hyperlink>
        </w:p>
        <w:p w14:paraId="77CDA81B" w14:textId="3E17C321" w:rsidR="00D25C38" w:rsidRDefault="00D25C38">
          <w:pPr>
            <w:pStyle w:val="TOC2"/>
            <w:rPr>
              <w:rFonts w:eastAsiaTheme="minorEastAsia"/>
              <w:spacing w:val="0"/>
              <w:kern w:val="2"/>
              <w:sz w:val="24"/>
              <w:lang w:eastAsia="en-AU"/>
              <w14:ligatures w14:val="standardContextual"/>
            </w:rPr>
          </w:pPr>
          <w:hyperlink w:anchor="_Toc238653261" w:history="1">
            <w:r w:rsidRPr="00F40590">
              <w:rPr>
                <w:rStyle w:val="Hyperlink"/>
              </w:rPr>
              <w:t>Contents</w:t>
            </w:r>
            <w:r>
              <w:rPr>
                <w:webHidden/>
              </w:rPr>
              <w:tab/>
            </w:r>
            <w:r>
              <w:rPr>
                <w:webHidden/>
              </w:rPr>
              <w:fldChar w:fldCharType="begin"/>
            </w:r>
            <w:r>
              <w:rPr>
                <w:webHidden/>
              </w:rPr>
              <w:instrText xml:space="preserve"> PAGEREF _Toc238653261 \h </w:instrText>
            </w:r>
            <w:r>
              <w:rPr>
                <w:webHidden/>
              </w:rPr>
            </w:r>
            <w:r>
              <w:rPr>
                <w:webHidden/>
              </w:rPr>
              <w:fldChar w:fldCharType="separate"/>
            </w:r>
            <w:r w:rsidR="00E8550C">
              <w:rPr>
                <w:webHidden/>
              </w:rPr>
              <w:t>iv</w:t>
            </w:r>
            <w:r>
              <w:rPr>
                <w:webHidden/>
              </w:rPr>
              <w:fldChar w:fldCharType="end"/>
            </w:r>
          </w:hyperlink>
        </w:p>
        <w:p w14:paraId="27B71583" w14:textId="53A59AAE" w:rsidR="00D25C38" w:rsidRDefault="00D25C38">
          <w:pPr>
            <w:pStyle w:val="TOC2"/>
            <w:rPr>
              <w:rFonts w:eastAsiaTheme="minorEastAsia"/>
              <w:spacing w:val="0"/>
              <w:kern w:val="2"/>
              <w:sz w:val="24"/>
              <w:lang w:eastAsia="en-AU"/>
              <w14:ligatures w14:val="standardContextual"/>
            </w:rPr>
          </w:pPr>
          <w:hyperlink w:anchor="_Toc238653262" w:history="1">
            <w:r w:rsidRPr="00F40590">
              <w:rPr>
                <w:rStyle w:val="Hyperlink"/>
              </w:rPr>
              <w:t>Part one: Introduction</w:t>
            </w:r>
            <w:r>
              <w:rPr>
                <w:webHidden/>
              </w:rPr>
              <w:tab/>
            </w:r>
            <w:r>
              <w:rPr>
                <w:webHidden/>
              </w:rPr>
              <w:fldChar w:fldCharType="begin"/>
            </w:r>
            <w:r>
              <w:rPr>
                <w:webHidden/>
              </w:rPr>
              <w:instrText xml:space="preserve"> PAGEREF _Toc238653262 \h </w:instrText>
            </w:r>
            <w:r>
              <w:rPr>
                <w:webHidden/>
              </w:rPr>
            </w:r>
            <w:r>
              <w:rPr>
                <w:webHidden/>
              </w:rPr>
              <w:fldChar w:fldCharType="separate"/>
            </w:r>
            <w:r w:rsidR="00E8550C">
              <w:rPr>
                <w:webHidden/>
              </w:rPr>
              <w:t>1</w:t>
            </w:r>
            <w:r>
              <w:rPr>
                <w:webHidden/>
              </w:rPr>
              <w:fldChar w:fldCharType="end"/>
            </w:r>
          </w:hyperlink>
        </w:p>
        <w:p w14:paraId="35C10640" w14:textId="260731EA" w:rsidR="00D25C38" w:rsidRDefault="00D25C38">
          <w:pPr>
            <w:pStyle w:val="TOC3"/>
            <w:tabs>
              <w:tab w:val="right" w:leader="dot" w:pos="10194"/>
            </w:tabs>
            <w:rPr>
              <w:rFonts w:eastAsiaTheme="minorEastAsia"/>
              <w:noProof/>
              <w:spacing w:val="0"/>
              <w:kern w:val="2"/>
              <w:sz w:val="24"/>
              <w:lang w:eastAsia="en-AU"/>
              <w14:ligatures w14:val="standardContextual"/>
            </w:rPr>
          </w:pPr>
          <w:hyperlink w:anchor="_Toc238653263" w:history="1">
            <w:r w:rsidRPr="00F40590">
              <w:rPr>
                <w:rStyle w:val="Hyperlink"/>
                <w:noProof/>
              </w:rPr>
              <w:t>Secretary’s foreword</w:t>
            </w:r>
            <w:r>
              <w:rPr>
                <w:noProof/>
                <w:webHidden/>
              </w:rPr>
              <w:tab/>
            </w:r>
            <w:r>
              <w:rPr>
                <w:noProof/>
                <w:webHidden/>
              </w:rPr>
              <w:fldChar w:fldCharType="begin"/>
            </w:r>
            <w:r>
              <w:rPr>
                <w:noProof/>
                <w:webHidden/>
              </w:rPr>
              <w:instrText xml:space="preserve"> PAGEREF _Toc238653263 \h </w:instrText>
            </w:r>
            <w:r>
              <w:rPr>
                <w:noProof/>
                <w:webHidden/>
              </w:rPr>
            </w:r>
            <w:r>
              <w:rPr>
                <w:noProof/>
                <w:webHidden/>
              </w:rPr>
              <w:fldChar w:fldCharType="separate"/>
            </w:r>
            <w:r w:rsidR="00E8550C">
              <w:rPr>
                <w:noProof/>
                <w:webHidden/>
              </w:rPr>
              <w:t>1</w:t>
            </w:r>
            <w:r>
              <w:rPr>
                <w:noProof/>
                <w:webHidden/>
              </w:rPr>
              <w:fldChar w:fldCharType="end"/>
            </w:r>
          </w:hyperlink>
        </w:p>
        <w:p w14:paraId="49199FEA" w14:textId="283E5B65" w:rsidR="00D25C38" w:rsidRDefault="00D25C38">
          <w:pPr>
            <w:pStyle w:val="TOC3"/>
            <w:tabs>
              <w:tab w:val="right" w:leader="dot" w:pos="10194"/>
            </w:tabs>
            <w:rPr>
              <w:rFonts w:eastAsiaTheme="minorEastAsia"/>
              <w:noProof/>
              <w:spacing w:val="0"/>
              <w:kern w:val="2"/>
              <w:sz w:val="24"/>
              <w:lang w:eastAsia="en-AU"/>
              <w14:ligatures w14:val="standardContextual"/>
            </w:rPr>
          </w:pPr>
          <w:hyperlink w:anchor="_Toc238653264" w:history="1">
            <w:r w:rsidRPr="00F40590">
              <w:rPr>
                <w:rStyle w:val="Hyperlink"/>
                <w:noProof/>
              </w:rPr>
              <w:t>Statement of preparation</w:t>
            </w:r>
            <w:r>
              <w:rPr>
                <w:noProof/>
                <w:webHidden/>
              </w:rPr>
              <w:tab/>
            </w:r>
            <w:r>
              <w:rPr>
                <w:noProof/>
                <w:webHidden/>
              </w:rPr>
              <w:fldChar w:fldCharType="begin"/>
            </w:r>
            <w:r>
              <w:rPr>
                <w:noProof/>
                <w:webHidden/>
              </w:rPr>
              <w:instrText xml:space="preserve"> PAGEREF _Toc238653264 \h </w:instrText>
            </w:r>
            <w:r>
              <w:rPr>
                <w:noProof/>
                <w:webHidden/>
              </w:rPr>
            </w:r>
            <w:r>
              <w:rPr>
                <w:noProof/>
                <w:webHidden/>
              </w:rPr>
              <w:fldChar w:fldCharType="separate"/>
            </w:r>
            <w:r w:rsidR="00E8550C">
              <w:rPr>
                <w:noProof/>
                <w:webHidden/>
              </w:rPr>
              <w:t>2</w:t>
            </w:r>
            <w:r>
              <w:rPr>
                <w:noProof/>
                <w:webHidden/>
              </w:rPr>
              <w:fldChar w:fldCharType="end"/>
            </w:r>
          </w:hyperlink>
        </w:p>
        <w:p w14:paraId="7718A59A" w14:textId="545ED2DC" w:rsidR="00D25C38" w:rsidRDefault="00D25C38">
          <w:pPr>
            <w:pStyle w:val="TOC3"/>
            <w:tabs>
              <w:tab w:val="right" w:leader="dot" w:pos="10194"/>
            </w:tabs>
            <w:rPr>
              <w:rFonts w:eastAsiaTheme="minorEastAsia"/>
              <w:noProof/>
              <w:spacing w:val="0"/>
              <w:kern w:val="2"/>
              <w:sz w:val="24"/>
              <w:lang w:eastAsia="en-AU"/>
              <w14:ligatures w14:val="standardContextual"/>
            </w:rPr>
          </w:pPr>
          <w:hyperlink w:anchor="_Toc238653265" w:history="1">
            <w:r w:rsidRPr="00F40590">
              <w:rPr>
                <w:rStyle w:val="Hyperlink"/>
                <w:noProof/>
              </w:rPr>
              <w:t>Our purpose</w:t>
            </w:r>
            <w:r>
              <w:rPr>
                <w:noProof/>
                <w:webHidden/>
              </w:rPr>
              <w:tab/>
            </w:r>
            <w:r>
              <w:rPr>
                <w:noProof/>
                <w:webHidden/>
              </w:rPr>
              <w:fldChar w:fldCharType="begin"/>
            </w:r>
            <w:r>
              <w:rPr>
                <w:noProof/>
                <w:webHidden/>
              </w:rPr>
              <w:instrText xml:space="preserve"> PAGEREF _Toc238653265 \h </w:instrText>
            </w:r>
            <w:r>
              <w:rPr>
                <w:noProof/>
                <w:webHidden/>
              </w:rPr>
            </w:r>
            <w:r>
              <w:rPr>
                <w:noProof/>
                <w:webHidden/>
              </w:rPr>
              <w:fldChar w:fldCharType="separate"/>
            </w:r>
            <w:r w:rsidR="00E8550C">
              <w:rPr>
                <w:noProof/>
                <w:webHidden/>
              </w:rPr>
              <w:t>3</w:t>
            </w:r>
            <w:r>
              <w:rPr>
                <w:noProof/>
                <w:webHidden/>
              </w:rPr>
              <w:fldChar w:fldCharType="end"/>
            </w:r>
          </w:hyperlink>
        </w:p>
        <w:p w14:paraId="0795FDBC" w14:textId="7852AE97" w:rsidR="00D25C38" w:rsidRDefault="00D25C38">
          <w:pPr>
            <w:pStyle w:val="TOC3"/>
            <w:tabs>
              <w:tab w:val="right" w:leader="dot" w:pos="10194"/>
            </w:tabs>
            <w:rPr>
              <w:rFonts w:eastAsiaTheme="minorEastAsia"/>
              <w:noProof/>
              <w:spacing w:val="0"/>
              <w:kern w:val="2"/>
              <w:sz w:val="24"/>
              <w:lang w:eastAsia="en-AU"/>
              <w14:ligatures w14:val="standardContextual"/>
            </w:rPr>
          </w:pPr>
          <w:hyperlink w:anchor="_Toc238653266" w:history="1">
            <w:r w:rsidRPr="00F40590">
              <w:rPr>
                <w:rStyle w:val="Hyperlink"/>
                <w:noProof/>
              </w:rPr>
              <w:t>Our outcomes</w:t>
            </w:r>
            <w:r>
              <w:rPr>
                <w:noProof/>
                <w:webHidden/>
              </w:rPr>
              <w:tab/>
            </w:r>
            <w:r>
              <w:rPr>
                <w:noProof/>
                <w:webHidden/>
              </w:rPr>
              <w:fldChar w:fldCharType="begin"/>
            </w:r>
            <w:r>
              <w:rPr>
                <w:noProof/>
                <w:webHidden/>
              </w:rPr>
              <w:instrText xml:space="preserve"> PAGEREF _Toc238653266 \h </w:instrText>
            </w:r>
            <w:r>
              <w:rPr>
                <w:noProof/>
                <w:webHidden/>
              </w:rPr>
            </w:r>
            <w:r>
              <w:rPr>
                <w:noProof/>
                <w:webHidden/>
              </w:rPr>
              <w:fldChar w:fldCharType="separate"/>
            </w:r>
            <w:r w:rsidR="00E8550C">
              <w:rPr>
                <w:noProof/>
                <w:webHidden/>
              </w:rPr>
              <w:t>3</w:t>
            </w:r>
            <w:r>
              <w:rPr>
                <w:noProof/>
                <w:webHidden/>
              </w:rPr>
              <w:fldChar w:fldCharType="end"/>
            </w:r>
          </w:hyperlink>
        </w:p>
        <w:p w14:paraId="2033C148" w14:textId="773F5B4A" w:rsidR="00D25C38" w:rsidRDefault="00D25C38">
          <w:pPr>
            <w:pStyle w:val="TOC3"/>
            <w:tabs>
              <w:tab w:val="right" w:leader="dot" w:pos="10194"/>
            </w:tabs>
            <w:rPr>
              <w:rFonts w:eastAsiaTheme="minorEastAsia"/>
              <w:noProof/>
              <w:spacing w:val="0"/>
              <w:kern w:val="2"/>
              <w:sz w:val="24"/>
              <w:lang w:eastAsia="en-AU"/>
              <w14:ligatures w14:val="standardContextual"/>
            </w:rPr>
          </w:pPr>
          <w:hyperlink w:anchor="_Toc238653267" w:history="1">
            <w:r w:rsidRPr="00F40590">
              <w:rPr>
                <w:rStyle w:val="Hyperlink"/>
                <w:noProof/>
              </w:rPr>
              <w:t>Our programs</w:t>
            </w:r>
            <w:r>
              <w:rPr>
                <w:noProof/>
                <w:webHidden/>
              </w:rPr>
              <w:tab/>
            </w:r>
            <w:r>
              <w:rPr>
                <w:noProof/>
                <w:webHidden/>
              </w:rPr>
              <w:fldChar w:fldCharType="begin"/>
            </w:r>
            <w:r>
              <w:rPr>
                <w:noProof/>
                <w:webHidden/>
              </w:rPr>
              <w:instrText xml:space="preserve"> PAGEREF _Toc238653267 \h </w:instrText>
            </w:r>
            <w:r>
              <w:rPr>
                <w:noProof/>
                <w:webHidden/>
              </w:rPr>
            </w:r>
            <w:r>
              <w:rPr>
                <w:noProof/>
                <w:webHidden/>
              </w:rPr>
              <w:fldChar w:fldCharType="separate"/>
            </w:r>
            <w:r w:rsidR="00E8550C">
              <w:rPr>
                <w:noProof/>
                <w:webHidden/>
              </w:rPr>
              <w:t>3</w:t>
            </w:r>
            <w:r>
              <w:rPr>
                <w:noProof/>
                <w:webHidden/>
              </w:rPr>
              <w:fldChar w:fldCharType="end"/>
            </w:r>
          </w:hyperlink>
        </w:p>
        <w:p w14:paraId="7C8AB288" w14:textId="31036CB9" w:rsidR="00D25C38" w:rsidRDefault="00D25C38">
          <w:pPr>
            <w:pStyle w:val="TOC3"/>
            <w:tabs>
              <w:tab w:val="right" w:leader="dot" w:pos="10194"/>
            </w:tabs>
            <w:rPr>
              <w:rFonts w:eastAsiaTheme="minorEastAsia"/>
              <w:noProof/>
              <w:spacing w:val="0"/>
              <w:kern w:val="2"/>
              <w:sz w:val="24"/>
              <w:lang w:eastAsia="en-AU"/>
              <w14:ligatures w14:val="standardContextual"/>
            </w:rPr>
          </w:pPr>
          <w:hyperlink w:anchor="_Toc238653268" w:history="1">
            <w:r w:rsidRPr="00F40590">
              <w:rPr>
                <w:rStyle w:val="Hyperlink"/>
                <w:noProof/>
              </w:rPr>
              <w:t>Our Impact Strategy</w:t>
            </w:r>
            <w:r>
              <w:rPr>
                <w:noProof/>
                <w:webHidden/>
              </w:rPr>
              <w:tab/>
            </w:r>
            <w:r>
              <w:rPr>
                <w:noProof/>
                <w:webHidden/>
              </w:rPr>
              <w:fldChar w:fldCharType="begin"/>
            </w:r>
            <w:r>
              <w:rPr>
                <w:noProof/>
                <w:webHidden/>
              </w:rPr>
              <w:instrText xml:space="preserve"> PAGEREF _Toc238653268 \h </w:instrText>
            </w:r>
            <w:r>
              <w:rPr>
                <w:noProof/>
                <w:webHidden/>
              </w:rPr>
            </w:r>
            <w:r>
              <w:rPr>
                <w:noProof/>
                <w:webHidden/>
              </w:rPr>
              <w:fldChar w:fldCharType="separate"/>
            </w:r>
            <w:r w:rsidR="00E8550C">
              <w:rPr>
                <w:noProof/>
                <w:webHidden/>
              </w:rPr>
              <w:t>3</w:t>
            </w:r>
            <w:r>
              <w:rPr>
                <w:noProof/>
                <w:webHidden/>
              </w:rPr>
              <w:fldChar w:fldCharType="end"/>
            </w:r>
          </w:hyperlink>
        </w:p>
        <w:p w14:paraId="6FF00144" w14:textId="012EA314" w:rsidR="00D25C38" w:rsidRDefault="00D25C38">
          <w:pPr>
            <w:pStyle w:val="TOC3"/>
            <w:tabs>
              <w:tab w:val="right" w:leader="dot" w:pos="10194"/>
            </w:tabs>
            <w:rPr>
              <w:rFonts w:eastAsiaTheme="minorEastAsia"/>
              <w:noProof/>
              <w:spacing w:val="0"/>
              <w:kern w:val="2"/>
              <w:sz w:val="24"/>
              <w:lang w:eastAsia="en-AU"/>
              <w14:ligatures w14:val="standardContextual"/>
            </w:rPr>
          </w:pPr>
          <w:hyperlink w:anchor="_Toc238653269" w:history="1">
            <w:r w:rsidRPr="00F40590">
              <w:rPr>
                <w:rStyle w:val="Hyperlink"/>
                <w:noProof/>
              </w:rPr>
              <w:t>Our priorities</w:t>
            </w:r>
            <w:r>
              <w:rPr>
                <w:noProof/>
                <w:webHidden/>
              </w:rPr>
              <w:tab/>
            </w:r>
            <w:r>
              <w:rPr>
                <w:noProof/>
                <w:webHidden/>
              </w:rPr>
              <w:fldChar w:fldCharType="begin"/>
            </w:r>
            <w:r>
              <w:rPr>
                <w:noProof/>
                <w:webHidden/>
              </w:rPr>
              <w:instrText xml:space="preserve"> PAGEREF _Toc238653269 \h </w:instrText>
            </w:r>
            <w:r>
              <w:rPr>
                <w:noProof/>
                <w:webHidden/>
              </w:rPr>
            </w:r>
            <w:r>
              <w:rPr>
                <w:noProof/>
                <w:webHidden/>
              </w:rPr>
              <w:fldChar w:fldCharType="separate"/>
            </w:r>
            <w:r w:rsidR="00E8550C">
              <w:rPr>
                <w:noProof/>
                <w:webHidden/>
              </w:rPr>
              <w:t>4</w:t>
            </w:r>
            <w:r>
              <w:rPr>
                <w:noProof/>
                <w:webHidden/>
              </w:rPr>
              <w:fldChar w:fldCharType="end"/>
            </w:r>
          </w:hyperlink>
        </w:p>
        <w:p w14:paraId="656D8343" w14:textId="0161A119" w:rsidR="00D25C38" w:rsidRDefault="00D25C38">
          <w:pPr>
            <w:pStyle w:val="TOC3"/>
            <w:tabs>
              <w:tab w:val="right" w:leader="dot" w:pos="10194"/>
            </w:tabs>
            <w:rPr>
              <w:rFonts w:eastAsiaTheme="minorEastAsia"/>
              <w:noProof/>
              <w:spacing w:val="0"/>
              <w:kern w:val="2"/>
              <w:sz w:val="24"/>
              <w:lang w:eastAsia="en-AU"/>
              <w14:ligatures w14:val="standardContextual"/>
            </w:rPr>
          </w:pPr>
          <w:hyperlink w:anchor="_Toc238653270" w:history="1">
            <w:r w:rsidRPr="00F40590">
              <w:rPr>
                <w:rStyle w:val="Hyperlink"/>
                <w:noProof/>
              </w:rPr>
              <w:t>Delivery culture</w:t>
            </w:r>
            <w:r>
              <w:rPr>
                <w:noProof/>
                <w:webHidden/>
              </w:rPr>
              <w:tab/>
            </w:r>
            <w:r>
              <w:rPr>
                <w:noProof/>
                <w:webHidden/>
              </w:rPr>
              <w:fldChar w:fldCharType="begin"/>
            </w:r>
            <w:r>
              <w:rPr>
                <w:noProof/>
                <w:webHidden/>
              </w:rPr>
              <w:instrText xml:space="preserve"> PAGEREF _Toc238653270 \h </w:instrText>
            </w:r>
            <w:r>
              <w:rPr>
                <w:noProof/>
                <w:webHidden/>
              </w:rPr>
            </w:r>
            <w:r>
              <w:rPr>
                <w:noProof/>
                <w:webHidden/>
              </w:rPr>
              <w:fldChar w:fldCharType="separate"/>
            </w:r>
            <w:r w:rsidR="00E8550C">
              <w:rPr>
                <w:noProof/>
                <w:webHidden/>
              </w:rPr>
              <w:t>4</w:t>
            </w:r>
            <w:r>
              <w:rPr>
                <w:noProof/>
                <w:webHidden/>
              </w:rPr>
              <w:fldChar w:fldCharType="end"/>
            </w:r>
          </w:hyperlink>
        </w:p>
        <w:p w14:paraId="3551A165" w14:textId="7B48267F" w:rsidR="00D25C38" w:rsidRDefault="00D25C38">
          <w:pPr>
            <w:pStyle w:val="TOC3"/>
            <w:tabs>
              <w:tab w:val="right" w:leader="dot" w:pos="10194"/>
            </w:tabs>
            <w:rPr>
              <w:rFonts w:eastAsiaTheme="minorEastAsia"/>
              <w:noProof/>
              <w:spacing w:val="0"/>
              <w:kern w:val="2"/>
              <w:sz w:val="24"/>
              <w:lang w:eastAsia="en-AU"/>
              <w14:ligatures w14:val="standardContextual"/>
            </w:rPr>
          </w:pPr>
          <w:hyperlink w:anchor="_Toc238653271" w:history="1">
            <w:r w:rsidRPr="00F40590">
              <w:rPr>
                <w:rStyle w:val="Hyperlink"/>
                <w:noProof/>
              </w:rPr>
              <w:t>Our Capability</w:t>
            </w:r>
            <w:r>
              <w:rPr>
                <w:noProof/>
                <w:webHidden/>
              </w:rPr>
              <w:tab/>
            </w:r>
            <w:r>
              <w:rPr>
                <w:noProof/>
                <w:webHidden/>
              </w:rPr>
              <w:fldChar w:fldCharType="begin"/>
            </w:r>
            <w:r>
              <w:rPr>
                <w:noProof/>
                <w:webHidden/>
              </w:rPr>
              <w:instrText xml:space="preserve"> PAGEREF _Toc238653271 \h </w:instrText>
            </w:r>
            <w:r>
              <w:rPr>
                <w:noProof/>
                <w:webHidden/>
              </w:rPr>
            </w:r>
            <w:r>
              <w:rPr>
                <w:noProof/>
                <w:webHidden/>
              </w:rPr>
              <w:fldChar w:fldCharType="separate"/>
            </w:r>
            <w:r w:rsidR="00E8550C">
              <w:rPr>
                <w:noProof/>
                <w:webHidden/>
              </w:rPr>
              <w:t>4</w:t>
            </w:r>
            <w:r>
              <w:rPr>
                <w:noProof/>
                <w:webHidden/>
              </w:rPr>
              <w:fldChar w:fldCharType="end"/>
            </w:r>
          </w:hyperlink>
        </w:p>
        <w:p w14:paraId="17A9636E" w14:textId="4E4A03F5" w:rsidR="00D25C38" w:rsidRDefault="00D25C38">
          <w:pPr>
            <w:pStyle w:val="TOC3"/>
            <w:tabs>
              <w:tab w:val="right" w:leader="dot" w:pos="10194"/>
            </w:tabs>
            <w:rPr>
              <w:rFonts w:eastAsiaTheme="minorEastAsia"/>
              <w:noProof/>
              <w:spacing w:val="0"/>
              <w:kern w:val="2"/>
              <w:sz w:val="24"/>
              <w:lang w:eastAsia="en-AU"/>
              <w14:ligatures w14:val="standardContextual"/>
            </w:rPr>
          </w:pPr>
          <w:hyperlink w:anchor="_Toc238653272" w:history="1">
            <w:r w:rsidRPr="00F40590">
              <w:rPr>
                <w:rStyle w:val="Hyperlink"/>
                <w:noProof/>
              </w:rPr>
              <w:t>Our planning and reporting framework</w:t>
            </w:r>
            <w:r>
              <w:rPr>
                <w:noProof/>
                <w:webHidden/>
              </w:rPr>
              <w:tab/>
            </w:r>
            <w:r>
              <w:rPr>
                <w:noProof/>
                <w:webHidden/>
              </w:rPr>
              <w:fldChar w:fldCharType="begin"/>
            </w:r>
            <w:r>
              <w:rPr>
                <w:noProof/>
                <w:webHidden/>
              </w:rPr>
              <w:instrText xml:space="preserve"> PAGEREF _Toc238653272 \h </w:instrText>
            </w:r>
            <w:r>
              <w:rPr>
                <w:noProof/>
                <w:webHidden/>
              </w:rPr>
            </w:r>
            <w:r>
              <w:rPr>
                <w:noProof/>
                <w:webHidden/>
              </w:rPr>
              <w:fldChar w:fldCharType="separate"/>
            </w:r>
            <w:r w:rsidR="00E8550C">
              <w:rPr>
                <w:noProof/>
                <w:webHidden/>
              </w:rPr>
              <w:t>5</w:t>
            </w:r>
            <w:r>
              <w:rPr>
                <w:noProof/>
                <w:webHidden/>
              </w:rPr>
              <w:fldChar w:fldCharType="end"/>
            </w:r>
          </w:hyperlink>
        </w:p>
        <w:p w14:paraId="58582E3A" w14:textId="58F86CFE" w:rsidR="00D25C38" w:rsidRDefault="00D25C38">
          <w:pPr>
            <w:pStyle w:val="TOC2"/>
            <w:rPr>
              <w:rFonts w:eastAsiaTheme="minorEastAsia"/>
              <w:spacing w:val="0"/>
              <w:kern w:val="2"/>
              <w:sz w:val="24"/>
              <w:lang w:eastAsia="en-AU"/>
              <w14:ligatures w14:val="standardContextual"/>
            </w:rPr>
          </w:pPr>
          <w:hyperlink w:anchor="_Toc238653273" w:history="1">
            <w:r w:rsidRPr="00F40590">
              <w:rPr>
                <w:rStyle w:val="Hyperlink"/>
              </w:rPr>
              <w:t>Part two: Our operating context</w:t>
            </w:r>
            <w:r>
              <w:rPr>
                <w:webHidden/>
              </w:rPr>
              <w:tab/>
            </w:r>
            <w:r>
              <w:rPr>
                <w:webHidden/>
              </w:rPr>
              <w:fldChar w:fldCharType="begin"/>
            </w:r>
            <w:r>
              <w:rPr>
                <w:webHidden/>
              </w:rPr>
              <w:instrText xml:space="preserve"> PAGEREF _Toc238653273 \h </w:instrText>
            </w:r>
            <w:r>
              <w:rPr>
                <w:webHidden/>
              </w:rPr>
            </w:r>
            <w:r>
              <w:rPr>
                <w:webHidden/>
              </w:rPr>
              <w:fldChar w:fldCharType="separate"/>
            </w:r>
            <w:r w:rsidR="00E8550C">
              <w:rPr>
                <w:webHidden/>
              </w:rPr>
              <w:t>5</w:t>
            </w:r>
            <w:r>
              <w:rPr>
                <w:webHidden/>
              </w:rPr>
              <w:fldChar w:fldCharType="end"/>
            </w:r>
          </w:hyperlink>
        </w:p>
        <w:p w14:paraId="49F25AE9" w14:textId="1B841A22" w:rsidR="00D25C38" w:rsidRDefault="00D25C38">
          <w:pPr>
            <w:pStyle w:val="TOC3"/>
            <w:tabs>
              <w:tab w:val="right" w:leader="dot" w:pos="10194"/>
            </w:tabs>
            <w:rPr>
              <w:rFonts w:eastAsiaTheme="minorEastAsia"/>
              <w:noProof/>
              <w:spacing w:val="0"/>
              <w:kern w:val="2"/>
              <w:sz w:val="24"/>
              <w:lang w:eastAsia="en-AU"/>
              <w14:ligatures w14:val="standardContextual"/>
            </w:rPr>
          </w:pPr>
          <w:hyperlink w:anchor="_Toc238653274" w:history="1">
            <w:r w:rsidRPr="00F40590">
              <w:rPr>
                <w:rStyle w:val="Hyperlink"/>
                <w:noProof/>
              </w:rPr>
              <w:t>Our environment</w:t>
            </w:r>
            <w:r>
              <w:rPr>
                <w:noProof/>
                <w:webHidden/>
              </w:rPr>
              <w:tab/>
            </w:r>
            <w:r>
              <w:rPr>
                <w:noProof/>
                <w:webHidden/>
              </w:rPr>
              <w:fldChar w:fldCharType="begin"/>
            </w:r>
            <w:r>
              <w:rPr>
                <w:noProof/>
                <w:webHidden/>
              </w:rPr>
              <w:instrText xml:space="preserve"> PAGEREF _Toc238653274 \h </w:instrText>
            </w:r>
            <w:r>
              <w:rPr>
                <w:noProof/>
                <w:webHidden/>
              </w:rPr>
            </w:r>
            <w:r>
              <w:rPr>
                <w:noProof/>
                <w:webHidden/>
              </w:rPr>
              <w:fldChar w:fldCharType="separate"/>
            </w:r>
            <w:r w:rsidR="00E8550C">
              <w:rPr>
                <w:noProof/>
                <w:webHidden/>
              </w:rPr>
              <w:t>5</w:t>
            </w:r>
            <w:r>
              <w:rPr>
                <w:noProof/>
                <w:webHidden/>
              </w:rPr>
              <w:fldChar w:fldCharType="end"/>
            </w:r>
          </w:hyperlink>
        </w:p>
        <w:p w14:paraId="71966F70" w14:textId="071EAF91" w:rsidR="00D25C38" w:rsidRDefault="00D25C38">
          <w:pPr>
            <w:pStyle w:val="TOC3"/>
            <w:tabs>
              <w:tab w:val="right" w:leader="dot" w:pos="10194"/>
            </w:tabs>
            <w:rPr>
              <w:rFonts w:eastAsiaTheme="minorEastAsia"/>
              <w:noProof/>
              <w:spacing w:val="0"/>
              <w:kern w:val="2"/>
              <w:sz w:val="24"/>
              <w:lang w:eastAsia="en-AU"/>
              <w14:ligatures w14:val="standardContextual"/>
            </w:rPr>
          </w:pPr>
          <w:hyperlink w:anchor="_Toc238653275" w:history="1">
            <w:r w:rsidRPr="00F40590">
              <w:rPr>
                <w:rStyle w:val="Hyperlink"/>
                <w:noProof/>
              </w:rPr>
              <w:t>Key Activities</w:t>
            </w:r>
            <w:r>
              <w:rPr>
                <w:noProof/>
                <w:webHidden/>
              </w:rPr>
              <w:tab/>
            </w:r>
            <w:r>
              <w:rPr>
                <w:noProof/>
                <w:webHidden/>
              </w:rPr>
              <w:fldChar w:fldCharType="begin"/>
            </w:r>
            <w:r>
              <w:rPr>
                <w:noProof/>
                <w:webHidden/>
              </w:rPr>
              <w:instrText xml:space="preserve"> PAGEREF _Toc238653275 \h </w:instrText>
            </w:r>
            <w:r>
              <w:rPr>
                <w:noProof/>
                <w:webHidden/>
              </w:rPr>
            </w:r>
            <w:r>
              <w:rPr>
                <w:noProof/>
                <w:webHidden/>
              </w:rPr>
              <w:fldChar w:fldCharType="separate"/>
            </w:r>
            <w:r w:rsidR="00E8550C">
              <w:rPr>
                <w:noProof/>
                <w:webHidden/>
              </w:rPr>
              <w:t>9</w:t>
            </w:r>
            <w:r>
              <w:rPr>
                <w:noProof/>
                <w:webHidden/>
              </w:rPr>
              <w:fldChar w:fldCharType="end"/>
            </w:r>
          </w:hyperlink>
        </w:p>
        <w:p w14:paraId="333E10E0" w14:textId="4D9F581C" w:rsidR="00D25C38" w:rsidRDefault="00D25C38">
          <w:pPr>
            <w:pStyle w:val="TOC3"/>
            <w:tabs>
              <w:tab w:val="right" w:leader="dot" w:pos="10194"/>
            </w:tabs>
            <w:rPr>
              <w:rFonts w:eastAsiaTheme="minorEastAsia"/>
              <w:noProof/>
              <w:spacing w:val="0"/>
              <w:kern w:val="2"/>
              <w:sz w:val="24"/>
              <w:lang w:eastAsia="en-AU"/>
              <w14:ligatures w14:val="standardContextual"/>
            </w:rPr>
          </w:pPr>
          <w:hyperlink w:anchor="_Toc238653276" w:history="1">
            <w:r w:rsidRPr="00F40590">
              <w:rPr>
                <w:rStyle w:val="Hyperlink"/>
                <w:noProof/>
              </w:rPr>
              <w:t>DSS and Commonwealth priorities</w:t>
            </w:r>
            <w:r>
              <w:rPr>
                <w:noProof/>
                <w:webHidden/>
              </w:rPr>
              <w:tab/>
            </w:r>
            <w:r>
              <w:rPr>
                <w:noProof/>
                <w:webHidden/>
              </w:rPr>
              <w:fldChar w:fldCharType="begin"/>
            </w:r>
            <w:r>
              <w:rPr>
                <w:noProof/>
                <w:webHidden/>
              </w:rPr>
              <w:instrText xml:space="preserve"> PAGEREF _Toc238653276 \h </w:instrText>
            </w:r>
            <w:r>
              <w:rPr>
                <w:noProof/>
                <w:webHidden/>
              </w:rPr>
            </w:r>
            <w:r>
              <w:rPr>
                <w:noProof/>
                <w:webHidden/>
              </w:rPr>
              <w:fldChar w:fldCharType="separate"/>
            </w:r>
            <w:r w:rsidR="00E8550C">
              <w:rPr>
                <w:noProof/>
                <w:webHidden/>
              </w:rPr>
              <w:t>12</w:t>
            </w:r>
            <w:r>
              <w:rPr>
                <w:noProof/>
                <w:webHidden/>
              </w:rPr>
              <w:fldChar w:fldCharType="end"/>
            </w:r>
          </w:hyperlink>
        </w:p>
        <w:p w14:paraId="6F1A3E82" w14:textId="253046F6" w:rsidR="00D25C38" w:rsidRDefault="00D25C38">
          <w:pPr>
            <w:pStyle w:val="TOC3"/>
            <w:tabs>
              <w:tab w:val="right" w:leader="dot" w:pos="10194"/>
            </w:tabs>
            <w:rPr>
              <w:rFonts w:eastAsiaTheme="minorEastAsia"/>
              <w:noProof/>
              <w:spacing w:val="0"/>
              <w:kern w:val="2"/>
              <w:sz w:val="24"/>
              <w:lang w:eastAsia="en-AU"/>
              <w14:ligatures w14:val="standardContextual"/>
            </w:rPr>
          </w:pPr>
          <w:hyperlink w:anchor="_Toc238653277" w:history="1">
            <w:r w:rsidRPr="00F40590">
              <w:rPr>
                <w:rStyle w:val="Hyperlink"/>
                <w:noProof/>
                <w:lang w:eastAsia="en-AU"/>
              </w:rPr>
              <w:t>Our partners</w:t>
            </w:r>
            <w:r>
              <w:rPr>
                <w:noProof/>
                <w:webHidden/>
              </w:rPr>
              <w:tab/>
            </w:r>
            <w:r>
              <w:rPr>
                <w:noProof/>
                <w:webHidden/>
              </w:rPr>
              <w:fldChar w:fldCharType="begin"/>
            </w:r>
            <w:r>
              <w:rPr>
                <w:noProof/>
                <w:webHidden/>
              </w:rPr>
              <w:instrText xml:space="preserve"> PAGEREF _Toc238653277 \h </w:instrText>
            </w:r>
            <w:r>
              <w:rPr>
                <w:noProof/>
                <w:webHidden/>
              </w:rPr>
            </w:r>
            <w:r>
              <w:rPr>
                <w:noProof/>
                <w:webHidden/>
              </w:rPr>
              <w:fldChar w:fldCharType="separate"/>
            </w:r>
            <w:r w:rsidR="00E8550C">
              <w:rPr>
                <w:noProof/>
                <w:webHidden/>
              </w:rPr>
              <w:t>16</w:t>
            </w:r>
            <w:r>
              <w:rPr>
                <w:noProof/>
                <w:webHidden/>
              </w:rPr>
              <w:fldChar w:fldCharType="end"/>
            </w:r>
          </w:hyperlink>
        </w:p>
        <w:p w14:paraId="5CDCF8F6" w14:textId="5401E0C4" w:rsidR="00D25C38" w:rsidRDefault="00D25C38">
          <w:pPr>
            <w:pStyle w:val="TOC3"/>
            <w:tabs>
              <w:tab w:val="right" w:leader="dot" w:pos="10194"/>
            </w:tabs>
            <w:rPr>
              <w:rFonts w:eastAsiaTheme="minorEastAsia"/>
              <w:noProof/>
              <w:spacing w:val="0"/>
              <w:kern w:val="2"/>
              <w:sz w:val="24"/>
              <w:lang w:eastAsia="en-AU"/>
              <w14:ligatures w14:val="standardContextual"/>
            </w:rPr>
          </w:pPr>
          <w:hyperlink w:anchor="_Toc238653278" w:history="1">
            <w:r w:rsidRPr="00F40590">
              <w:rPr>
                <w:rStyle w:val="Hyperlink"/>
                <w:noProof/>
              </w:rPr>
              <w:t>Relationships across the Commonwealth</w:t>
            </w:r>
            <w:r>
              <w:rPr>
                <w:noProof/>
                <w:webHidden/>
              </w:rPr>
              <w:tab/>
            </w:r>
            <w:r>
              <w:rPr>
                <w:noProof/>
                <w:webHidden/>
              </w:rPr>
              <w:fldChar w:fldCharType="begin"/>
            </w:r>
            <w:r>
              <w:rPr>
                <w:noProof/>
                <w:webHidden/>
              </w:rPr>
              <w:instrText xml:space="preserve"> PAGEREF _Toc238653278 \h </w:instrText>
            </w:r>
            <w:r>
              <w:rPr>
                <w:noProof/>
                <w:webHidden/>
              </w:rPr>
            </w:r>
            <w:r>
              <w:rPr>
                <w:noProof/>
                <w:webHidden/>
              </w:rPr>
              <w:fldChar w:fldCharType="separate"/>
            </w:r>
            <w:r w:rsidR="00E8550C">
              <w:rPr>
                <w:noProof/>
                <w:webHidden/>
              </w:rPr>
              <w:t>16</w:t>
            </w:r>
            <w:r>
              <w:rPr>
                <w:noProof/>
                <w:webHidden/>
              </w:rPr>
              <w:fldChar w:fldCharType="end"/>
            </w:r>
          </w:hyperlink>
        </w:p>
        <w:p w14:paraId="2447D966" w14:textId="3506D761" w:rsidR="00D25C38" w:rsidRDefault="00D25C38">
          <w:pPr>
            <w:pStyle w:val="TOC3"/>
            <w:tabs>
              <w:tab w:val="right" w:leader="dot" w:pos="10194"/>
            </w:tabs>
            <w:rPr>
              <w:rFonts w:eastAsiaTheme="minorEastAsia"/>
              <w:noProof/>
              <w:spacing w:val="0"/>
              <w:kern w:val="2"/>
              <w:sz w:val="24"/>
              <w:lang w:eastAsia="en-AU"/>
              <w14:ligatures w14:val="standardContextual"/>
            </w:rPr>
          </w:pPr>
          <w:hyperlink w:anchor="_Toc238653279" w:history="1">
            <w:r w:rsidRPr="00F40590">
              <w:rPr>
                <w:rStyle w:val="Hyperlink"/>
                <w:noProof/>
              </w:rPr>
              <w:t>Portfolio agencies</w:t>
            </w:r>
            <w:r>
              <w:rPr>
                <w:noProof/>
                <w:webHidden/>
              </w:rPr>
              <w:tab/>
            </w:r>
            <w:r>
              <w:rPr>
                <w:noProof/>
                <w:webHidden/>
              </w:rPr>
              <w:fldChar w:fldCharType="begin"/>
            </w:r>
            <w:r>
              <w:rPr>
                <w:noProof/>
                <w:webHidden/>
              </w:rPr>
              <w:instrText xml:space="preserve"> PAGEREF _Toc238653279 \h </w:instrText>
            </w:r>
            <w:r>
              <w:rPr>
                <w:noProof/>
                <w:webHidden/>
              </w:rPr>
            </w:r>
            <w:r>
              <w:rPr>
                <w:noProof/>
                <w:webHidden/>
              </w:rPr>
              <w:fldChar w:fldCharType="separate"/>
            </w:r>
            <w:r w:rsidR="00E8550C">
              <w:rPr>
                <w:noProof/>
                <w:webHidden/>
              </w:rPr>
              <w:t>16</w:t>
            </w:r>
            <w:r>
              <w:rPr>
                <w:noProof/>
                <w:webHidden/>
              </w:rPr>
              <w:fldChar w:fldCharType="end"/>
            </w:r>
          </w:hyperlink>
        </w:p>
        <w:p w14:paraId="736BE456" w14:textId="37FE318D" w:rsidR="00D25C38" w:rsidRDefault="00D25C38">
          <w:pPr>
            <w:pStyle w:val="TOC3"/>
            <w:tabs>
              <w:tab w:val="right" w:leader="dot" w:pos="10194"/>
            </w:tabs>
            <w:rPr>
              <w:rFonts w:eastAsiaTheme="minorEastAsia"/>
              <w:noProof/>
              <w:spacing w:val="0"/>
              <w:kern w:val="2"/>
              <w:sz w:val="24"/>
              <w:lang w:eastAsia="en-AU"/>
              <w14:ligatures w14:val="standardContextual"/>
            </w:rPr>
          </w:pPr>
          <w:hyperlink w:anchor="_Toc238653280" w:history="1">
            <w:r w:rsidRPr="00F40590">
              <w:rPr>
                <w:rStyle w:val="Hyperlink"/>
                <w:noProof/>
                <w:lang w:eastAsia="en-AU"/>
              </w:rPr>
              <w:t>Our capability</w:t>
            </w:r>
            <w:r>
              <w:rPr>
                <w:noProof/>
                <w:webHidden/>
              </w:rPr>
              <w:tab/>
            </w:r>
            <w:r>
              <w:rPr>
                <w:noProof/>
                <w:webHidden/>
              </w:rPr>
              <w:fldChar w:fldCharType="begin"/>
            </w:r>
            <w:r>
              <w:rPr>
                <w:noProof/>
                <w:webHidden/>
              </w:rPr>
              <w:instrText xml:space="preserve"> PAGEREF _Toc238653280 \h </w:instrText>
            </w:r>
            <w:r>
              <w:rPr>
                <w:noProof/>
                <w:webHidden/>
              </w:rPr>
            </w:r>
            <w:r>
              <w:rPr>
                <w:noProof/>
                <w:webHidden/>
              </w:rPr>
              <w:fldChar w:fldCharType="separate"/>
            </w:r>
            <w:r w:rsidR="00E8550C">
              <w:rPr>
                <w:noProof/>
                <w:webHidden/>
              </w:rPr>
              <w:t>17</w:t>
            </w:r>
            <w:r>
              <w:rPr>
                <w:noProof/>
                <w:webHidden/>
              </w:rPr>
              <w:fldChar w:fldCharType="end"/>
            </w:r>
          </w:hyperlink>
        </w:p>
        <w:p w14:paraId="0D239F9F" w14:textId="38AB9D5A" w:rsidR="00D25C38" w:rsidRDefault="00D25C38">
          <w:pPr>
            <w:pStyle w:val="TOC3"/>
            <w:tabs>
              <w:tab w:val="right" w:leader="dot" w:pos="10194"/>
            </w:tabs>
            <w:rPr>
              <w:rFonts w:eastAsiaTheme="minorEastAsia"/>
              <w:noProof/>
              <w:spacing w:val="0"/>
              <w:kern w:val="2"/>
              <w:sz w:val="24"/>
              <w:lang w:eastAsia="en-AU"/>
              <w14:ligatures w14:val="standardContextual"/>
            </w:rPr>
          </w:pPr>
          <w:hyperlink w:anchor="_Toc238653281" w:history="1">
            <w:r w:rsidRPr="00F40590">
              <w:rPr>
                <w:rStyle w:val="Hyperlink"/>
                <w:noProof/>
                <w:lang w:eastAsia="en-AU"/>
              </w:rPr>
              <w:t>Our governance and risk management</w:t>
            </w:r>
            <w:r>
              <w:rPr>
                <w:noProof/>
                <w:webHidden/>
              </w:rPr>
              <w:tab/>
            </w:r>
            <w:r>
              <w:rPr>
                <w:noProof/>
                <w:webHidden/>
              </w:rPr>
              <w:fldChar w:fldCharType="begin"/>
            </w:r>
            <w:r>
              <w:rPr>
                <w:noProof/>
                <w:webHidden/>
              </w:rPr>
              <w:instrText xml:space="preserve"> PAGEREF _Toc238653281 \h </w:instrText>
            </w:r>
            <w:r>
              <w:rPr>
                <w:noProof/>
                <w:webHidden/>
              </w:rPr>
            </w:r>
            <w:r>
              <w:rPr>
                <w:noProof/>
                <w:webHidden/>
              </w:rPr>
              <w:fldChar w:fldCharType="separate"/>
            </w:r>
            <w:r w:rsidR="00E8550C">
              <w:rPr>
                <w:noProof/>
                <w:webHidden/>
              </w:rPr>
              <w:t>23</w:t>
            </w:r>
            <w:r>
              <w:rPr>
                <w:noProof/>
                <w:webHidden/>
              </w:rPr>
              <w:fldChar w:fldCharType="end"/>
            </w:r>
          </w:hyperlink>
        </w:p>
        <w:p w14:paraId="2AAF4B4A" w14:textId="5819757A" w:rsidR="00D25C38" w:rsidRDefault="00D25C38">
          <w:pPr>
            <w:pStyle w:val="TOC3"/>
            <w:tabs>
              <w:tab w:val="right" w:leader="dot" w:pos="10194"/>
            </w:tabs>
            <w:rPr>
              <w:rFonts w:eastAsiaTheme="minorEastAsia"/>
              <w:noProof/>
              <w:spacing w:val="0"/>
              <w:kern w:val="2"/>
              <w:sz w:val="24"/>
              <w:lang w:eastAsia="en-AU"/>
              <w14:ligatures w14:val="standardContextual"/>
            </w:rPr>
          </w:pPr>
          <w:hyperlink w:anchor="_Toc238653282" w:history="1">
            <w:r w:rsidRPr="00F40590">
              <w:rPr>
                <w:rStyle w:val="Hyperlink"/>
                <w:noProof/>
              </w:rPr>
              <w:t>Our risk management</w:t>
            </w:r>
            <w:r>
              <w:rPr>
                <w:noProof/>
                <w:webHidden/>
              </w:rPr>
              <w:tab/>
            </w:r>
            <w:r>
              <w:rPr>
                <w:noProof/>
                <w:webHidden/>
              </w:rPr>
              <w:fldChar w:fldCharType="begin"/>
            </w:r>
            <w:r>
              <w:rPr>
                <w:noProof/>
                <w:webHidden/>
              </w:rPr>
              <w:instrText xml:space="preserve"> PAGEREF _Toc238653282 \h </w:instrText>
            </w:r>
            <w:r>
              <w:rPr>
                <w:noProof/>
                <w:webHidden/>
              </w:rPr>
            </w:r>
            <w:r>
              <w:rPr>
                <w:noProof/>
                <w:webHidden/>
              </w:rPr>
              <w:fldChar w:fldCharType="separate"/>
            </w:r>
            <w:r w:rsidR="00E8550C">
              <w:rPr>
                <w:noProof/>
                <w:webHidden/>
              </w:rPr>
              <w:t>23</w:t>
            </w:r>
            <w:r>
              <w:rPr>
                <w:noProof/>
                <w:webHidden/>
              </w:rPr>
              <w:fldChar w:fldCharType="end"/>
            </w:r>
          </w:hyperlink>
        </w:p>
        <w:p w14:paraId="21E81606" w14:textId="19796342" w:rsidR="00D25C38" w:rsidRDefault="00D25C38">
          <w:pPr>
            <w:pStyle w:val="TOC3"/>
            <w:tabs>
              <w:tab w:val="right" w:leader="dot" w:pos="10194"/>
            </w:tabs>
            <w:rPr>
              <w:rFonts w:eastAsiaTheme="minorEastAsia"/>
              <w:noProof/>
              <w:spacing w:val="0"/>
              <w:kern w:val="2"/>
              <w:sz w:val="24"/>
              <w:lang w:eastAsia="en-AU"/>
              <w14:ligatures w14:val="standardContextual"/>
            </w:rPr>
          </w:pPr>
          <w:hyperlink w:anchor="_Toc238653283" w:history="1">
            <w:r w:rsidRPr="00F40590">
              <w:rPr>
                <w:rStyle w:val="Hyperlink"/>
                <w:noProof/>
              </w:rPr>
              <w:t>Fraud and Corruption</w:t>
            </w:r>
            <w:r>
              <w:rPr>
                <w:noProof/>
                <w:webHidden/>
              </w:rPr>
              <w:tab/>
            </w:r>
            <w:r>
              <w:rPr>
                <w:noProof/>
                <w:webHidden/>
              </w:rPr>
              <w:fldChar w:fldCharType="begin"/>
            </w:r>
            <w:r>
              <w:rPr>
                <w:noProof/>
                <w:webHidden/>
              </w:rPr>
              <w:instrText xml:space="preserve"> PAGEREF _Toc238653283 \h </w:instrText>
            </w:r>
            <w:r>
              <w:rPr>
                <w:noProof/>
                <w:webHidden/>
              </w:rPr>
            </w:r>
            <w:r>
              <w:rPr>
                <w:noProof/>
                <w:webHidden/>
              </w:rPr>
              <w:fldChar w:fldCharType="separate"/>
            </w:r>
            <w:r w:rsidR="00E8550C">
              <w:rPr>
                <w:noProof/>
                <w:webHidden/>
              </w:rPr>
              <w:t>25</w:t>
            </w:r>
            <w:r>
              <w:rPr>
                <w:noProof/>
                <w:webHidden/>
              </w:rPr>
              <w:fldChar w:fldCharType="end"/>
            </w:r>
          </w:hyperlink>
        </w:p>
        <w:p w14:paraId="5FA1AA3C" w14:textId="16B6A0A0" w:rsidR="00D25C38" w:rsidRDefault="00D25C38">
          <w:pPr>
            <w:pStyle w:val="TOC3"/>
            <w:tabs>
              <w:tab w:val="right" w:leader="dot" w:pos="10194"/>
            </w:tabs>
            <w:rPr>
              <w:rFonts w:eastAsiaTheme="minorEastAsia"/>
              <w:noProof/>
              <w:spacing w:val="0"/>
              <w:kern w:val="2"/>
              <w:sz w:val="24"/>
              <w:lang w:eastAsia="en-AU"/>
              <w14:ligatures w14:val="standardContextual"/>
            </w:rPr>
          </w:pPr>
          <w:hyperlink w:anchor="_Toc238653284" w:history="1">
            <w:r w:rsidRPr="00F40590">
              <w:rPr>
                <w:rStyle w:val="Hyperlink"/>
                <w:noProof/>
              </w:rPr>
              <w:t>Our integrity</w:t>
            </w:r>
            <w:r>
              <w:rPr>
                <w:noProof/>
                <w:webHidden/>
              </w:rPr>
              <w:tab/>
            </w:r>
            <w:r>
              <w:rPr>
                <w:noProof/>
                <w:webHidden/>
              </w:rPr>
              <w:fldChar w:fldCharType="begin"/>
            </w:r>
            <w:r>
              <w:rPr>
                <w:noProof/>
                <w:webHidden/>
              </w:rPr>
              <w:instrText xml:space="preserve"> PAGEREF _Toc238653284 \h </w:instrText>
            </w:r>
            <w:r>
              <w:rPr>
                <w:noProof/>
                <w:webHidden/>
              </w:rPr>
            </w:r>
            <w:r>
              <w:rPr>
                <w:noProof/>
                <w:webHidden/>
              </w:rPr>
              <w:fldChar w:fldCharType="separate"/>
            </w:r>
            <w:r w:rsidR="00E8550C">
              <w:rPr>
                <w:noProof/>
                <w:webHidden/>
              </w:rPr>
              <w:t>26</w:t>
            </w:r>
            <w:r>
              <w:rPr>
                <w:noProof/>
                <w:webHidden/>
              </w:rPr>
              <w:fldChar w:fldCharType="end"/>
            </w:r>
          </w:hyperlink>
        </w:p>
        <w:p w14:paraId="580CB9A1" w14:textId="047199F9" w:rsidR="00D25C38" w:rsidRDefault="00D25C38">
          <w:pPr>
            <w:pStyle w:val="TOC2"/>
            <w:rPr>
              <w:rFonts w:eastAsiaTheme="minorEastAsia"/>
              <w:spacing w:val="0"/>
              <w:kern w:val="2"/>
              <w:sz w:val="24"/>
              <w:lang w:eastAsia="en-AU"/>
              <w14:ligatures w14:val="standardContextual"/>
            </w:rPr>
          </w:pPr>
          <w:hyperlink w:anchor="_Toc238653285" w:history="1">
            <w:r w:rsidRPr="00F40590">
              <w:rPr>
                <w:rStyle w:val="Hyperlink"/>
              </w:rPr>
              <w:t>Part three: Our performance</w:t>
            </w:r>
            <w:r>
              <w:rPr>
                <w:webHidden/>
              </w:rPr>
              <w:tab/>
            </w:r>
            <w:r>
              <w:rPr>
                <w:webHidden/>
              </w:rPr>
              <w:fldChar w:fldCharType="begin"/>
            </w:r>
            <w:r>
              <w:rPr>
                <w:webHidden/>
              </w:rPr>
              <w:instrText xml:space="preserve"> PAGEREF _Toc238653285 \h </w:instrText>
            </w:r>
            <w:r>
              <w:rPr>
                <w:webHidden/>
              </w:rPr>
            </w:r>
            <w:r>
              <w:rPr>
                <w:webHidden/>
              </w:rPr>
              <w:fldChar w:fldCharType="separate"/>
            </w:r>
            <w:r w:rsidR="00E8550C">
              <w:rPr>
                <w:webHidden/>
              </w:rPr>
              <w:t>27</w:t>
            </w:r>
            <w:r>
              <w:rPr>
                <w:webHidden/>
              </w:rPr>
              <w:fldChar w:fldCharType="end"/>
            </w:r>
          </w:hyperlink>
        </w:p>
        <w:p w14:paraId="0436242C" w14:textId="32FC0E39" w:rsidR="00D25C38" w:rsidRDefault="00D25C38">
          <w:pPr>
            <w:pStyle w:val="TOC3"/>
            <w:tabs>
              <w:tab w:val="right" w:leader="dot" w:pos="10194"/>
            </w:tabs>
            <w:rPr>
              <w:rFonts w:eastAsiaTheme="minorEastAsia"/>
              <w:noProof/>
              <w:spacing w:val="0"/>
              <w:kern w:val="2"/>
              <w:sz w:val="24"/>
              <w:lang w:eastAsia="en-AU"/>
              <w14:ligatures w14:val="standardContextual"/>
            </w:rPr>
          </w:pPr>
          <w:hyperlink w:anchor="_Toc238653287" w:history="1">
            <w:r w:rsidRPr="00F40590">
              <w:rPr>
                <w:rStyle w:val="Hyperlink"/>
                <w:noProof/>
                <w:lang w:eastAsia="en-AU"/>
              </w:rPr>
              <w:t>Outcome 1: Social Security</w:t>
            </w:r>
            <w:r>
              <w:rPr>
                <w:noProof/>
                <w:webHidden/>
              </w:rPr>
              <w:tab/>
            </w:r>
            <w:r>
              <w:rPr>
                <w:noProof/>
                <w:webHidden/>
              </w:rPr>
              <w:fldChar w:fldCharType="begin"/>
            </w:r>
            <w:r>
              <w:rPr>
                <w:noProof/>
                <w:webHidden/>
              </w:rPr>
              <w:instrText xml:space="preserve"> PAGEREF _Toc238653287 \h </w:instrText>
            </w:r>
            <w:r>
              <w:rPr>
                <w:noProof/>
                <w:webHidden/>
              </w:rPr>
            </w:r>
            <w:r>
              <w:rPr>
                <w:noProof/>
                <w:webHidden/>
              </w:rPr>
              <w:fldChar w:fldCharType="separate"/>
            </w:r>
            <w:r w:rsidR="00E8550C">
              <w:rPr>
                <w:noProof/>
                <w:webHidden/>
              </w:rPr>
              <w:t>28</w:t>
            </w:r>
            <w:r>
              <w:rPr>
                <w:noProof/>
                <w:webHidden/>
              </w:rPr>
              <w:fldChar w:fldCharType="end"/>
            </w:r>
          </w:hyperlink>
        </w:p>
        <w:p w14:paraId="5D88631E" w14:textId="7FD75BDA" w:rsidR="00D25C38" w:rsidRDefault="00D25C38">
          <w:pPr>
            <w:pStyle w:val="TOC3"/>
            <w:tabs>
              <w:tab w:val="right" w:leader="dot" w:pos="10194"/>
            </w:tabs>
            <w:rPr>
              <w:rFonts w:eastAsiaTheme="minorEastAsia"/>
              <w:noProof/>
              <w:spacing w:val="0"/>
              <w:kern w:val="2"/>
              <w:sz w:val="24"/>
              <w:lang w:eastAsia="en-AU"/>
              <w14:ligatures w14:val="standardContextual"/>
            </w:rPr>
          </w:pPr>
          <w:hyperlink w:anchor="_Toc238653300" w:history="1">
            <w:r w:rsidRPr="00F40590">
              <w:rPr>
                <w:rStyle w:val="Hyperlink"/>
                <w:noProof/>
              </w:rPr>
              <w:t>Outcome 2: Families and Communities</w:t>
            </w:r>
            <w:r>
              <w:rPr>
                <w:noProof/>
                <w:webHidden/>
              </w:rPr>
              <w:tab/>
            </w:r>
            <w:r>
              <w:rPr>
                <w:noProof/>
                <w:webHidden/>
              </w:rPr>
              <w:fldChar w:fldCharType="begin"/>
            </w:r>
            <w:r>
              <w:rPr>
                <w:noProof/>
                <w:webHidden/>
              </w:rPr>
              <w:instrText xml:space="preserve"> PAGEREF _Toc238653300 \h </w:instrText>
            </w:r>
            <w:r>
              <w:rPr>
                <w:noProof/>
                <w:webHidden/>
              </w:rPr>
            </w:r>
            <w:r>
              <w:rPr>
                <w:noProof/>
                <w:webHidden/>
              </w:rPr>
              <w:fldChar w:fldCharType="separate"/>
            </w:r>
            <w:r w:rsidR="00E8550C">
              <w:rPr>
                <w:noProof/>
                <w:webHidden/>
              </w:rPr>
              <w:t>52</w:t>
            </w:r>
            <w:r>
              <w:rPr>
                <w:noProof/>
                <w:webHidden/>
              </w:rPr>
              <w:fldChar w:fldCharType="end"/>
            </w:r>
          </w:hyperlink>
        </w:p>
        <w:p w14:paraId="720F5089" w14:textId="552622D0" w:rsidR="00C211A9" w:rsidRDefault="00DB07B8">
          <w:r>
            <w:fldChar w:fldCharType="end"/>
          </w:r>
        </w:p>
      </w:sdtContent>
    </w:sdt>
    <w:p w14:paraId="479E0A6E" w14:textId="77777777" w:rsidR="00E60D1A" w:rsidRDefault="00E60D1A" w:rsidP="00D910AD">
      <w:pPr>
        <w:pStyle w:val="Heading2"/>
        <w:rPr>
          <w:sz w:val="48"/>
          <w:szCs w:val="48"/>
        </w:rPr>
        <w:sectPr w:rsidR="00E60D1A" w:rsidSect="00E60D1A">
          <w:footerReference w:type="default" r:id="rId17"/>
          <w:footerReference w:type="first" r:id="rId18"/>
          <w:pgSz w:w="11906" w:h="16838"/>
          <w:pgMar w:top="851" w:right="851" w:bottom="1134" w:left="851" w:header="0" w:footer="281" w:gutter="0"/>
          <w:pgNumType w:fmt="lowerRoman" w:start="1"/>
          <w:cols w:space="708"/>
          <w:titlePg/>
          <w:docGrid w:linePitch="360"/>
        </w:sectPr>
      </w:pPr>
      <w:bookmarkStart w:id="12" w:name="_Toc238140543"/>
      <w:bookmarkStart w:id="13" w:name="_Toc238653262"/>
    </w:p>
    <w:p w14:paraId="09590DB5" w14:textId="69B49093" w:rsidR="00A73FA3" w:rsidRDefault="00A73FA3" w:rsidP="00D910AD">
      <w:pPr>
        <w:pStyle w:val="Heading2"/>
        <w:rPr>
          <w:sz w:val="48"/>
          <w:szCs w:val="48"/>
        </w:rPr>
      </w:pPr>
      <w:r w:rsidRPr="002F62DE">
        <w:rPr>
          <w:sz w:val="48"/>
          <w:szCs w:val="48"/>
        </w:rPr>
        <w:lastRenderedPageBreak/>
        <w:t>Part one: Introduction</w:t>
      </w:r>
      <w:bookmarkEnd w:id="12"/>
      <w:bookmarkEnd w:id="13"/>
    </w:p>
    <w:p w14:paraId="71AF96D8" w14:textId="03843A6C" w:rsidR="00CE7514" w:rsidRPr="00D910AD" w:rsidRDefault="00A73FA3" w:rsidP="00D910AD">
      <w:pPr>
        <w:pStyle w:val="Heading3"/>
        <w:spacing w:before="240" w:after="120"/>
        <w:rPr>
          <w:szCs w:val="32"/>
        </w:rPr>
      </w:pPr>
      <w:bookmarkStart w:id="14" w:name="_Toc238140544"/>
      <w:bookmarkStart w:id="15" w:name="_Toc238653263"/>
      <w:r w:rsidRPr="00D910AD">
        <w:rPr>
          <w:rStyle w:val="Heading2Char"/>
          <w:sz w:val="32"/>
          <w:szCs w:val="32"/>
        </w:rPr>
        <w:t>Secretary’s foreword</w:t>
      </w:r>
      <w:bookmarkEnd w:id="14"/>
      <w:bookmarkEnd w:id="15"/>
    </w:p>
    <w:p w14:paraId="3A84E3D9" w14:textId="69A1F7E6" w:rsidR="00673BB3" w:rsidRDefault="00A73FA3" w:rsidP="00D910AD">
      <w:pPr>
        <w:spacing w:before="120" w:after="160"/>
      </w:pPr>
      <w:r w:rsidRPr="00D71365">
        <w:t xml:space="preserve">I am pleased to present the Department of Social Services (the </w:t>
      </w:r>
      <w:r w:rsidR="00C9349F">
        <w:t>d</w:t>
      </w:r>
      <w:r w:rsidRPr="00D71365">
        <w:t>epartment) 202</w:t>
      </w:r>
      <w:r w:rsidR="00F01E7B">
        <w:t>6</w:t>
      </w:r>
      <w:r w:rsidRPr="00D71365">
        <w:t>-2</w:t>
      </w:r>
      <w:r w:rsidR="00F01E7B">
        <w:t>7</w:t>
      </w:r>
      <w:r w:rsidRPr="00D71365">
        <w:t xml:space="preserve"> Corporate Plan</w:t>
      </w:r>
      <w:r w:rsidR="002C512C">
        <w:rPr>
          <w:noProof/>
        </w:rPr>
        <w:drawing>
          <wp:anchor distT="0" distB="0" distL="114300" distR="114300" simplePos="0" relativeHeight="251677704" behindDoc="1" locked="0" layoutInCell="1" allowOverlap="1" wp14:anchorId="05B0256C" wp14:editId="235883E7">
            <wp:simplePos x="542925" y="1704975"/>
            <wp:positionH relativeFrom="margin">
              <wp:align>right</wp:align>
            </wp:positionH>
            <wp:positionV relativeFrom="margin">
              <wp:align>top</wp:align>
            </wp:positionV>
            <wp:extent cx="1799590" cy="1799590"/>
            <wp:effectExtent l="0" t="0" r="0" b="0"/>
            <wp:wrapSquare wrapText="bothSides"/>
            <wp:docPr id="1783113374" name="Picture 18" descr="Photograph of Michael Lye, Secretar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113374" name="Picture 18" descr="Photograph of Michael Lye, Secretary">
                      <a:extLst>
                        <a:ext uri="{C183D7F6-B498-43B3-948B-1728B52AA6E4}">
                          <adec:decorative xmlns:adec="http://schemas.microsoft.com/office/drawing/2017/decorative" val="0"/>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99590" cy="1799590"/>
                    </a:xfrm>
                    <a:prstGeom prst="rect">
                      <a:avLst/>
                    </a:prstGeom>
                  </pic:spPr>
                </pic:pic>
              </a:graphicData>
            </a:graphic>
            <wp14:sizeRelH relativeFrom="margin">
              <wp14:pctWidth>0</wp14:pctWidth>
            </wp14:sizeRelH>
            <wp14:sizeRelV relativeFrom="margin">
              <wp14:pctHeight>0</wp14:pctHeight>
            </wp14:sizeRelV>
          </wp:anchor>
        </w:drawing>
      </w:r>
      <w:r w:rsidRPr="00D71365">
        <w:t xml:space="preserve"> (the plan)</w:t>
      </w:r>
      <w:r>
        <w:t xml:space="preserve">. </w:t>
      </w:r>
      <w:r w:rsidR="00673BB3">
        <w:t xml:space="preserve">The department is the Australian Government’s lead agency for </w:t>
      </w:r>
      <w:r w:rsidR="00AB45D6">
        <w:t>s</w:t>
      </w:r>
      <w:r w:rsidR="00673BB3">
        <w:t xml:space="preserve">ocial </w:t>
      </w:r>
      <w:r w:rsidR="00AB45D6">
        <w:t>p</w:t>
      </w:r>
      <w:r w:rsidR="00673BB3">
        <w:t>olicy, committed to improving the economic and social wellbeing of individuals, families and vulnerable members of Australian communities.</w:t>
      </w:r>
    </w:p>
    <w:p w14:paraId="2A8EA32B" w14:textId="11C60A3D" w:rsidR="00A73FA3" w:rsidRDefault="00A73FA3" w:rsidP="00D910AD">
      <w:pPr>
        <w:spacing w:before="120" w:after="160"/>
      </w:pPr>
      <w:r w:rsidRPr="00D71365">
        <w:t xml:space="preserve">The plan </w:t>
      </w:r>
      <w:r w:rsidR="00EE0C5B">
        <w:t>sets out</w:t>
      </w:r>
      <w:r w:rsidR="00EE0C5B" w:rsidRPr="00D71365">
        <w:t xml:space="preserve"> </w:t>
      </w:r>
      <w:r w:rsidRPr="00D71365">
        <w:t xml:space="preserve">our purpose, </w:t>
      </w:r>
      <w:r w:rsidR="00673BB3">
        <w:t xml:space="preserve">outcomes, </w:t>
      </w:r>
      <w:r>
        <w:t xml:space="preserve">priorities, </w:t>
      </w:r>
      <w:r w:rsidRPr="00D71365">
        <w:t>capabilit</w:t>
      </w:r>
      <w:r w:rsidR="00673BB3">
        <w:t>y investments</w:t>
      </w:r>
      <w:r w:rsidRPr="00D71365">
        <w:t xml:space="preserve"> and key activities over the next 4 years. </w:t>
      </w:r>
      <w:r>
        <w:t>It</w:t>
      </w:r>
      <w:r w:rsidRPr="00D71365">
        <w:t xml:space="preserve"> </w:t>
      </w:r>
      <w:r w:rsidR="00277FE4">
        <w:t xml:space="preserve">outlines our operating environment, risks, measures of </w:t>
      </w:r>
      <w:r w:rsidRPr="00D71365">
        <w:t xml:space="preserve">success </w:t>
      </w:r>
      <w:r>
        <w:t>and ensures we are accountable</w:t>
      </w:r>
      <w:r w:rsidR="00DF4D37">
        <w:t xml:space="preserve"> to the Parliament and the public</w:t>
      </w:r>
      <w:r>
        <w:t>.</w:t>
      </w:r>
    </w:p>
    <w:p w14:paraId="1F46F3F9" w14:textId="65E7A534" w:rsidR="00277FE4" w:rsidRDefault="00277FE4" w:rsidP="00D910AD">
      <w:pPr>
        <w:spacing w:before="120" w:after="160"/>
      </w:pPr>
      <w:r>
        <w:t>The previous year was one of change for the department as our policy responsibility was refined following the Machinery of Government changes.</w:t>
      </w:r>
    </w:p>
    <w:p w14:paraId="62EFFD52" w14:textId="36F72F26" w:rsidR="00277FE4" w:rsidRDefault="002D1DA8" w:rsidP="00D910AD">
      <w:pPr>
        <w:spacing w:before="120" w:after="160"/>
      </w:pPr>
      <w:r>
        <w:t>T</w:t>
      </w:r>
      <w:r w:rsidR="00277FE4">
        <w:t xml:space="preserve">he department had the opportunity to undertake an independent Capability Review, led by the </w:t>
      </w:r>
      <w:r w:rsidR="0023630E">
        <w:t>Australian Public Service Commission (</w:t>
      </w:r>
      <w:r w:rsidR="00277FE4">
        <w:t>APSC</w:t>
      </w:r>
      <w:r w:rsidR="0023630E">
        <w:t>)</w:t>
      </w:r>
      <w:r w:rsidR="00277FE4">
        <w:t xml:space="preserve"> as part of the APS Reform Agenda. The Capability Review informed our department’s two guiding strategic documents: </w:t>
      </w:r>
    </w:p>
    <w:p w14:paraId="36FC9595" w14:textId="43D8A05E" w:rsidR="00277FE4" w:rsidRDefault="00277FE4" w:rsidP="006778D7">
      <w:pPr>
        <w:pStyle w:val="ListParagraph"/>
        <w:numPr>
          <w:ilvl w:val="0"/>
          <w:numId w:val="17"/>
        </w:numPr>
        <w:spacing w:before="120" w:after="160"/>
      </w:pPr>
      <w:r>
        <w:t>our Action Plan</w:t>
      </w:r>
      <w:r w:rsidR="0042466D">
        <w:t xml:space="preserve"> responding to the Capability Review (Action Plan)</w:t>
      </w:r>
      <w:r>
        <w:t xml:space="preserve"> – which outlines our capability uplift priorities, and</w:t>
      </w:r>
    </w:p>
    <w:p w14:paraId="466612B3" w14:textId="31FAFE5C" w:rsidR="00277FE4" w:rsidRDefault="00277FE4" w:rsidP="006778D7">
      <w:pPr>
        <w:pStyle w:val="ListParagraph"/>
        <w:numPr>
          <w:ilvl w:val="0"/>
          <w:numId w:val="17"/>
        </w:numPr>
        <w:spacing w:before="120" w:after="160"/>
      </w:pPr>
      <w:r>
        <w:t>our Impact Strategy on a page which summarises at a high level our policy and delivery priorities.</w:t>
      </w:r>
    </w:p>
    <w:p w14:paraId="66A93917" w14:textId="49FA074A" w:rsidR="00EF1106" w:rsidRDefault="00EF1106" w:rsidP="00D910AD">
      <w:pPr>
        <w:spacing w:before="120" w:after="160"/>
        <w:rPr>
          <w:lang w:eastAsia="en-AU"/>
        </w:rPr>
      </w:pPr>
      <w:r>
        <w:rPr>
          <w:lang w:eastAsia="en-AU"/>
        </w:rPr>
        <w:t>Details of both these policies are outlined within this 2026-27 Corporate Plan.</w:t>
      </w:r>
    </w:p>
    <w:p w14:paraId="600CD6DA" w14:textId="067770EA" w:rsidR="00EF1106" w:rsidRDefault="00EF1106" w:rsidP="00D910AD">
      <w:pPr>
        <w:spacing w:before="120" w:after="160"/>
        <w:rPr>
          <w:lang w:eastAsia="en-AU"/>
        </w:rPr>
      </w:pPr>
      <w:r>
        <w:rPr>
          <w:lang w:eastAsia="en-AU"/>
        </w:rPr>
        <w:t xml:space="preserve">This year we focus on the implementation of these policies and delivery of these priorities and on our continued role as steward of Australian </w:t>
      </w:r>
      <w:r w:rsidR="002D1DA8">
        <w:rPr>
          <w:lang w:eastAsia="en-AU"/>
        </w:rPr>
        <w:t>s</w:t>
      </w:r>
      <w:r>
        <w:rPr>
          <w:lang w:eastAsia="en-AU"/>
        </w:rPr>
        <w:t xml:space="preserve">ocial </w:t>
      </w:r>
      <w:r w:rsidR="002D1DA8">
        <w:rPr>
          <w:lang w:eastAsia="en-AU"/>
        </w:rPr>
        <w:t>p</w:t>
      </w:r>
      <w:r>
        <w:rPr>
          <w:lang w:eastAsia="en-AU"/>
        </w:rPr>
        <w:t>olicy. Our priorities include:</w:t>
      </w:r>
    </w:p>
    <w:p w14:paraId="00C94438" w14:textId="15B91D8B" w:rsidR="002D1DA8" w:rsidRDefault="002D1DA8" w:rsidP="006778D7">
      <w:pPr>
        <w:pStyle w:val="ListParagraph"/>
        <w:numPr>
          <w:ilvl w:val="0"/>
          <w:numId w:val="18"/>
        </w:numPr>
        <w:spacing w:before="120" w:after="160"/>
        <w:rPr>
          <w:lang w:eastAsia="en-AU"/>
        </w:rPr>
      </w:pPr>
      <w:r>
        <w:rPr>
          <w:lang w:eastAsia="en-AU"/>
        </w:rPr>
        <w:t>delivering the Second Action Plan under the National Plan to End Violence against Women and Children 2022-2032</w:t>
      </w:r>
      <w:r w:rsidR="005F49E8">
        <w:rPr>
          <w:lang w:eastAsia="en-AU"/>
        </w:rPr>
        <w:t xml:space="preserve"> and associated plans</w:t>
      </w:r>
      <w:r>
        <w:rPr>
          <w:lang w:eastAsia="en-AU"/>
        </w:rPr>
        <w:t xml:space="preserve"> to end gender-based violence and ensure people live free from fear and violence</w:t>
      </w:r>
    </w:p>
    <w:p w14:paraId="409861A2" w14:textId="700C5525" w:rsidR="002D1DA8" w:rsidRDefault="002D1DA8" w:rsidP="006778D7">
      <w:pPr>
        <w:pStyle w:val="ListParagraph"/>
        <w:numPr>
          <w:ilvl w:val="0"/>
          <w:numId w:val="18"/>
        </w:numPr>
        <w:spacing w:before="120" w:after="160"/>
        <w:rPr>
          <w:lang w:eastAsia="en-AU"/>
        </w:rPr>
      </w:pPr>
      <w:r>
        <w:rPr>
          <w:lang w:eastAsia="en-AU"/>
        </w:rPr>
        <w:t>e</w:t>
      </w:r>
      <w:r w:rsidRPr="00904CB3">
        <w:rPr>
          <w:lang w:eastAsia="en-AU"/>
        </w:rPr>
        <w:t>nsur</w:t>
      </w:r>
      <w:r>
        <w:rPr>
          <w:lang w:eastAsia="en-AU"/>
        </w:rPr>
        <w:t>ing</w:t>
      </w:r>
      <w:r w:rsidRPr="00904CB3">
        <w:rPr>
          <w:lang w:eastAsia="en-AU"/>
        </w:rPr>
        <w:t xml:space="preserve"> children are safe and supported to </w:t>
      </w:r>
      <w:r w:rsidRPr="00AF64EC">
        <w:rPr>
          <w:lang w:eastAsia="en-AU"/>
        </w:rPr>
        <w:t>develop well in their own homes</w:t>
      </w:r>
      <w:r w:rsidRPr="00904CB3">
        <w:rPr>
          <w:lang w:eastAsia="en-AU"/>
        </w:rPr>
        <w:t xml:space="preserve"> by strengthening support for parents and carers and reducing entries into out-of-home care</w:t>
      </w:r>
    </w:p>
    <w:p w14:paraId="59335E33" w14:textId="10853655" w:rsidR="002D1DA8" w:rsidRDefault="002D1DA8" w:rsidP="006778D7">
      <w:pPr>
        <w:pStyle w:val="ListParagraph"/>
        <w:numPr>
          <w:ilvl w:val="0"/>
          <w:numId w:val="18"/>
        </w:numPr>
        <w:spacing w:before="120" w:after="160"/>
        <w:rPr>
          <w:lang w:eastAsia="en-AU"/>
        </w:rPr>
      </w:pPr>
      <w:r>
        <w:rPr>
          <w:lang w:eastAsia="en-AU"/>
        </w:rPr>
        <w:t xml:space="preserve">instituting </w:t>
      </w:r>
      <w:r w:rsidR="006A19A2">
        <w:rPr>
          <w:lang w:eastAsia="en-AU"/>
        </w:rPr>
        <w:t>outcomes</w:t>
      </w:r>
      <w:r>
        <w:rPr>
          <w:lang w:eastAsia="en-AU"/>
        </w:rPr>
        <w:t xml:space="preserve"> contracting to enable a more flexible partnership approach between government and providers, one which focuses on delivering clear and practical outcomes for people and communities</w:t>
      </w:r>
    </w:p>
    <w:p w14:paraId="02D425DF" w14:textId="18CD3704" w:rsidR="00EF1106" w:rsidRDefault="00AB45D6" w:rsidP="006778D7">
      <w:pPr>
        <w:pStyle w:val="ListParagraph"/>
        <w:numPr>
          <w:ilvl w:val="0"/>
          <w:numId w:val="18"/>
        </w:numPr>
        <w:spacing w:before="120" w:after="160"/>
        <w:rPr>
          <w:lang w:eastAsia="en-AU"/>
        </w:rPr>
      </w:pPr>
      <w:r>
        <w:rPr>
          <w:lang w:eastAsia="en-AU"/>
        </w:rPr>
        <w:t>w</w:t>
      </w:r>
      <w:r w:rsidR="00EF1106">
        <w:rPr>
          <w:lang w:eastAsia="en-AU"/>
        </w:rPr>
        <w:t>orking in partnership with the Department of Employment and Workplace Relations, Services Australia and other commonwealth agencies to support more people to find meaningful work and enable young people to transition into a modern job market</w:t>
      </w:r>
    </w:p>
    <w:p w14:paraId="159FF370" w14:textId="77777777" w:rsidR="00676CBE" w:rsidRDefault="002D1DA8" w:rsidP="006778D7">
      <w:pPr>
        <w:pStyle w:val="ListParagraph"/>
        <w:numPr>
          <w:ilvl w:val="0"/>
          <w:numId w:val="18"/>
        </w:numPr>
        <w:spacing w:before="120" w:after="160"/>
        <w:rPr>
          <w:lang w:eastAsia="en-AU"/>
        </w:rPr>
      </w:pPr>
      <w:r>
        <w:rPr>
          <w:lang w:eastAsia="en-AU"/>
        </w:rPr>
        <w:t>supporting survivors of child sexual abuse through the National Redress Scheme</w:t>
      </w:r>
      <w:r w:rsidDel="002D1DA8">
        <w:rPr>
          <w:lang w:eastAsia="en-AU"/>
        </w:rPr>
        <w:t xml:space="preserve"> </w:t>
      </w:r>
    </w:p>
    <w:p w14:paraId="3FFD1A23" w14:textId="138CA4EE" w:rsidR="00EF1106" w:rsidRDefault="00AB45D6" w:rsidP="006778D7">
      <w:pPr>
        <w:pStyle w:val="ListParagraph"/>
        <w:numPr>
          <w:ilvl w:val="0"/>
          <w:numId w:val="18"/>
        </w:numPr>
        <w:spacing w:before="120" w:after="160"/>
        <w:rPr>
          <w:lang w:eastAsia="en-AU"/>
        </w:rPr>
      </w:pPr>
      <w:r>
        <w:rPr>
          <w:lang w:eastAsia="en-AU"/>
        </w:rPr>
        <w:t>c</w:t>
      </w:r>
      <w:r w:rsidR="00EF1106">
        <w:rPr>
          <w:lang w:eastAsia="en-AU"/>
        </w:rPr>
        <w:t>ontinuing to identify and deliver local solutions that help break cycles of entrenched disadvantage</w:t>
      </w:r>
      <w:r w:rsidR="002D1DA8">
        <w:rPr>
          <w:lang w:eastAsia="en-AU"/>
        </w:rPr>
        <w:t>.</w:t>
      </w:r>
    </w:p>
    <w:p w14:paraId="1CED37AD" w14:textId="6639E078" w:rsidR="00004EC4" w:rsidRPr="00004EC4" w:rsidRDefault="00004EC4" w:rsidP="00D910AD">
      <w:pPr>
        <w:spacing w:before="120" w:after="160"/>
        <w:rPr>
          <w:lang w:eastAsia="en-AU"/>
        </w:rPr>
      </w:pPr>
      <w:r>
        <w:rPr>
          <w:lang w:eastAsia="en-AU"/>
        </w:rPr>
        <w:t>The d</w:t>
      </w:r>
      <w:r w:rsidRPr="00004EC4">
        <w:rPr>
          <w:lang w:eastAsia="en-AU"/>
        </w:rPr>
        <w:t xml:space="preserve">epartment will continue to </w:t>
      </w:r>
      <w:r w:rsidR="00A72B0F">
        <w:rPr>
          <w:lang w:eastAsia="en-AU"/>
        </w:rPr>
        <w:t>advance</w:t>
      </w:r>
      <w:r w:rsidRPr="00004EC4">
        <w:rPr>
          <w:lang w:eastAsia="en-AU"/>
        </w:rPr>
        <w:t xml:space="preserve"> its </w:t>
      </w:r>
      <w:r w:rsidR="00A72B0F" w:rsidRPr="00AF64EC">
        <w:rPr>
          <w:lang w:eastAsia="en-AU"/>
        </w:rPr>
        <w:t>commitment</w:t>
      </w:r>
      <w:r w:rsidR="00A72B0F" w:rsidRPr="00004EC4">
        <w:rPr>
          <w:lang w:eastAsia="en-AU"/>
        </w:rPr>
        <w:t xml:space="preserve"> to </w:t>
      </w:r>
      <w:r w:rsidRPr="00AF64EC">
        <w:rPr>
          <w:lang w:eastAsia="en-AU"/>
        </w:rPr>
        <w:t xml:space="preserve">whole-of-government </w:t>
      </w:r>
      <w:r w:rsidRPr="00004EC4">
        <w:rPr>
          <w:lang w:eastAsia="en-AU"/>
        </w:rPr>
        <w:t>Closing the Gap</w:t>
      </w:r>
      <w:r w:rsidR="006A19A2">
        <w:rPr>
          <w:lang w:eastAsia="en-AU"/>
        </w:rPr>
        <w:t xml:space="preserve"> Priority Reforms</w:t>
      </w:r>
      <w:r w:rsidRPr="00004EC4">
        <w:rPr>
          <w:lang w:eastAsia="en-AU"/>
        </w:rPr>
        <w:t xml:space="preserve">. Our particular focus </w:t>
      </w:r>
      <w:r>
        <w:rPr>
          <w:lang w:eastAsia="en-AU"/>
        </w:rPr>
        <w:t>remains on</w:t>
      </w:r>
      <w:r w:rsidRPr="00004EC4">
        <w:rPr>
          <w:lang w:eastAsia="en-AU"/>
        </w:rPr>
        <w:t xml:space="preserve"> reducing the over-representation of Aboriginal and </w:t>
      </w:r>
      <w:r w:rsidRPr="00004EC4">
        <w:rPr>
          <w:lang w:eastAsia="en-AU"/>
        </w:rPr>
        <w:lastRenderedPageBreak/>
        <w:t>Torres Strait Islander children in out-of-home care (Outcome 12)</w:t>
      </w:r>
      <w:r w:rsidR="00E5040F">
        <w:rPr>
          <w:lang w:eastAsia="en-AU"/>
        </w:rPr>
        <w:t xml:space="preserve"> </w:t>
      </w:r>
      <w:r w:rsidRPr="00004EC4">
        <w:rPr>
          <w:lang w:eastAsia="en-AU"/>
        </w:rPr>
        <w:t xml:space="preserve">and reducing all forms of family violence and abuse against Aboriginal and Torres Strait Islander women and children (Outcome 13). We will also continue to support the development of the </w:t>
      </w:r>
      <w:r w:rsidRPr="00AF64EC">
        <w:rPr>
          <w:lang w:eastAsia="en-AU"/>
        </w:rPr>
        <w:t>Aboriginal Community Controlled Organisation sector</w:t>
      </w:r>
      <w:r w:rsidRPr="00004EC4">
        <w:rPr>
          <w:lang w:eastAsia="en-AU"/>
        </w:rPr>
        <w:t>, in line with Closing the Gap Priority Reform 2.</w:t>
      </w:r>
    </w:p>
    <w:p w14:paraId="58FA0528" w14:textId="0CBF4E0C" w:rsidR="00F01E7B" w:rsidRDefault="00EE0C5B" w:rsidP="00D910AD">
      <w:pPr>
        <w:spacing w:before="120" w:after="160"/>
        <w:rPr>
          <w:lang w:eastAsia="en-AU"/>
        </w:rPr>
      </w:pPr>
      <w:r>
        <w:rPr>
          <w:lang w:eastAsia="en-AU"/>
        </w:rPr>
        <w:t xml:space="preserve">We will report on our progress against </w:t>
      </w:r>
      <w:r w:rsidR="00F01E7B" w:rsidRPr="005153CD">
        <w:rPr>
          <w:lang w:eastAsia="en-AU"/>
        </w:rPr>
        <w:t xml:space="preserve">the </w:t>
      </w:r>
      <w:r w:rsidR="00C9349F">
        <w:rPr>
          <w:lang w:eastAsia="en-AU"/>
        </w:rPr>
        <w:t>d</w:t>
      </w:r>
      <w:r w:rsidR="00F01E7B" w:rsidRPr="005153CD">
        <w:rPr>
          <w:lang w:eastAsia="en-AU"/>
        </w:rPr>
        <w:t>epartment’s priorities</w:t>
      </w:r>
      <w:r w:rsidR="00DF4D37">
        <w:rPr>
          <w:lang w:eastAsia="en-AU"/>
        </w:rPr>
        <w:t xml:space="preserve"> in the Annual Report, which includes our Annual Performance Statements and our Annual Financial Statements</w:t>
      </w:r>
      <w:r w:rsidR="00F01E7B" w:rsidRPr="005153CD">
        <w:rPr>
          <w:lang w:eastAsia="en-AU"/>
        </w:rPr>
        <w:t xml:space="preserve">, released in October </w:t>
      </w:r>
      <w:r w:rsidR="00F01E7B" w:rsidRPr="009F2496">
        <w:rPr>
          <w:lang w:eastAsia="en-AU"/>
        </w:rPr>
        <w:t xml:space="preserve">each year.  </w:t>
      </w:r>
    </w:p>
    <w:p w14:paraId="36102F25" w14:textId="13AD9BED" w:rsidR="006D476F" w:rsidRDefault="00EF1106" w:rsidP="006D476F">
      <w:pPr>
        <w:spacing w:before="120" w:after="160"/>
        <w:rPr>
          <w:lang w:eastAsia="en-AU"/>
        </w:rPr>
      </w:pPr>
      <w:r>
        <w:rPr>
          <w:lang w:eastAsia="en-AU"/>
        </w:rPr>
        <w:t>We look forward to working with our stakeholders to deliver these outcomes to improve the wellbeing of all Australians and presenting our progress in our 2026-27 Annual Report.</w:t>
      </w:r>
    </w:p>
    <w:p w14:paraId="25ED6FE4" w14:textId="77777777" w:rsidR="006D476F" w:rsidRPr="00D910AD" w:rsidRDefault="006D476F" w:rsidP="006D476F">
      <w:pPr>
        <w:pStyle w:val="Heading3"/>
        <w:spacing w:before="240" w:after="120"/>
      </w:pPr>
      <w:bookmarkStart w:id="16" w:name="_Toc238653264"/>
      <w:r w:rsidRPr="00D910AD">
        <w:t>Statement of preparation</w:t>
      </w:r>
      <w:bookmarkEnd w:id="16"/>
    </w:p>
    <w:p w14:paraId="20EA4251" w14:textId="77777777" w:rsidR="006D476F" w:rsidRPr="006E07A7" w:rsidRDefault="006D476F" w:rsidP="006D476F">
      <w:pPr>
        <w:spacing w:before="120" w:after="160"/>
        <w:rPr>
          <w:i/>
          <w:iCs/>
          <w:lang w:eastAsia="en-AU"/>
        </w:rPr>
      </w:pPr>
      <w:r w:rsidRPr="00ED76FE">
        <w:rPr>
          <w:lang w:eastAsia="en-AU"/>
        </w:rPr>
        <w:t xml:space="preserve">As the accountable authority of the Department of Social Services, I present the </w:t>
      </w:r>
      <w:r>
        <w:rPr>
          <w:lang w:eastAsia="en-AU"/>
        </w:rPr>
        <w:t>2026-27</w:t>
      </w:r>
      <w:r w:rsidRPr="00ED76FE">
        <w:rPr>
          <w:lang w:eastAsia="en-AU"/>
        </w:rPr>
        <w:t xml:space="preserve"> Department of Social Services Corporate Plan, covering the financial years 202</w:t>
      </w:r>
      <w:r>
        <w:rPr>
          <w:lang w:eastAsia="en-AU"/>
        </w:rPr>
        <w:t>6</w:t>
      </w:r>
      <w:r w:rsidRPr="00ED76FE">
        <w:rPr>
          <w:lang w:eastAsia="en-AU"/>
        </w:rPr>
        <w:t>-2</w:t>
      </w:r>
      <w:r>
        <w:rPr>
          <w:lang w:eastAsia="en-AU"/>
        </w:rPr>
        <w:t>7</w:t>
      </w:r>
      <w:r w:rsidRPr="00ED76FE">
        <w:rPr>
          <w:lang w:eastAsia="en-AU"/>
        </w:rPr>
        <w:t xml:space="preserve"> to 202</w:t>
      </w:r>
      <w:r>
        <w:rPr>
          <w:lang w:eastAsia="en-AU"/>
        </w:rPr>
        <w:t>9</w:t>
      </w:r>
      <w:r w:rsidRPr="00ED76FE">
        <w:rPr>
          <w:lang w:eastAsia="en-AU"/>
        </w:rPr>
        <w:t>-</w:t>
      </w:r>
      <w:r>
        <w:rPr>
          <w:lang w:eastAsia="en-AU"/>
        </w:rPr>
        <w:t>30</w:t>
      </w:r>
      <w:r w:rsidRPr="00ED76FE">
        <w:rPr>
          <w:lang w:eastAsia="en-AU"/>
        </w:rPr>
        <w:t xml:space="preserve">, as required under paragraph 35(1)(b) of the </w:t>
      </w:r>
      <w:r w:rsidRPr="006E07A7">
        <w:rPr>
          <w:i/>
          <w:iCs/>
          <w:lang w:eastAsia="en-AU"/>
        </w:rPr>
        <w:t>Public Governance, Performance and Accountability Act 2013.</w:t>
      </w:r>
    </w:p>
    <w:p w14:paraId="55FED1A6" w14:textId="77777777" w:rsidR="006D476F" w:rsidRPr="00ED76FE" w:rsidRDefault="006D476F" w:rsidP="006D476F">
      <w:pPr>
        <w:spacing w:before="120" w:after="160"/>
        <w:rPr>
          <w:rFonts w:eastAsiaTheme="minorEastAsia" w:cs="Arial"/>
          <w:szCs w:val="22"/>
          <w:lang w:eastAsia="en-AU"/>
        </w:rPr>
      </w:pPr>
    </w:p>
    <w:p w14:paraId="2BBDBE4C" w14:textId="77777777" w:rsidR="006D476F" w:rsidRPr="00D71365" w:rsidRDefault="006D476F" w:rsidP="006D476F">
      <w:pPr>
        <w:spacing w:before="120" w:after="160"/>
        <w:rPr>
          <w:color w:val="000000" w:themeColor="text1"/>
          <w:szCs w:val="22"/>
          <w:lang w:eastAsia="en-AU"/>
        </w:rPr>
      </w:pPr>
    </w:p>
    <w:p w14:paraId="1B4DA2ED" w14:textId="7B6A4D3D" w:rsidR="006D476F" w:rsidRDefault="006D476F" w:rsidP="006D476F">
      <w:pPr>
        <w:spacing w:before="120" w:after="160"/>
        <w:rPr>
          <w:lang w:eastAsia="en-AU"/>
        </w:rPr>
      </w:pPr>
      <w:r w:rsidRPr="00656956">
        <w:rPr>
          <w:b/>
          <w:bCs/>
          <w:lang w:eastAsia="en-AU"/>
        </w:rPr>
        <w:t>Michael Lye</w:t>
      </w:r>
      <w:r w:rsidRPr="00D71365">
        <w:rPr>
          <w:lang w:eastAsia="en-AU"/>
        </w:rPr>
        <w:br/>
        <w:t>Secretary</w:t>
      </w:r>
    </w:p>
    <w:p w14:paraId="38220A7B" w14:textId="77777777" w:rsidR="006D476F" w:rsidRDefault="006D476F">
      <w:pPr>
        <w:spacing w:after="240"/>
        <w:rPr>
          <w:lang w:eastAsia="en-AU"/>
        </w:rPr>
      </w:pPr>
      <w:r>
        <w:rPr>
          <w:lang w:eastAsia="en-AU"/>
        </w:rPr>
        <w:br w:type="page"/>
      </w:r>
    </w:p>
    <w:p w14:paraId="48E2D69A" w14:textId="7BB195B1" w:rsidR="00DB2B49" w:rsidRPr="00D910AD" w:rsidRDefault="00DB2B49" w:rsidP="00D910AD">
      <w:pPr>
        <w:pStyle w:val="Heading3"/>
        <w:spacing w:before="240" w:after="120"/>
      </w:pPr>
      <w:bookmarkStart w:id="17" w:name="_Toc238653265"/>
      <w:r w:rsidRPr="00D910AD">
        <w:lastRenderedPageBreak/>
        <w:t>Our purpose</w:t>
      </w:r>
      <w:bookmarkEnd w:id="17"/>
    </w:p>
    <w:p w14:paraId="414FBE38" w14:textId="77777777" w:rsidR="00DB2B49" w:rsidRPr="009F2496" w:rsidRDefault="00DB2B49" w:rsidP="00D910AD">
      <w:pPr>
        <w:spacing w:before="120" w:after="160"/>
        <w:rPr>
          <w:lang w:eastAsia="en-AU"/>
        </w:rPr>
      </w:pPr>
      <w:r w:rsidRPr="005153CD">
        <w:rPr>
          <w:lang w:eastAsia="en-AU"/>
        </w:rPr>
        <w:t>T</w:t>
      </w:r>
      <w:r>
        <w:rPr>
          <w:lang w:eastAsia="en-AU"/>
        </w:rPr>
        <w:t>he department’s purpose is t</w:t>
      </w:r>
      <w:r w:rsidRPr="005153CD">
        <w:rPr>
          <w:lang w:eastAsia="en-AU"/>
        </w:rPr>
        <w:t>o improve the economic and social wellbeing of individuals, families and vulnerable members of Australian communities.</w:t>
      </w:r>
    </w:p>
    <w:p w14:paraId="08F0B069" w14:textId="1B200250" w:rsidR="00DB2B49" w:rsidRPr="00D910AD" w:rsidRDefault="00DB2B49" w:rsidP="00D910AD">
      <w:pPr>
        <w:pStyle w:val="Heading3"/>
        <w:spacing w:before="240" w:after="120"/>
      </w:pPr>
      <w:bookmarkStart w:id="18" w:name="_Toc238653266"/>
      <w:r w:rsidRPr="00D910AD">
        <w:t>Our outcomes</w:t>
      </w:r>
      <w:bookmarkEnd w:id="18"/>
    </w:p>
    <w:p w14:paraId="5F6A9095" w14:textId="3638AD56" w:rsidR="00DB2B49" w:rsidRPr="009F2496" w:rsidRDefault="00DB2B49" w:rsidP="00740C88">
      <w:pPr>
        <w:spacing w:before="120" w:after="160"/>
        <w:rPr>
          <w:lang w:eastAsia="en-AU"/>
        </w:rPr>
      </w:pPr>
      <w:r>
        <w:rPr>
          <w:lang w:eastAsia="en-AU"/>
        </w:rPr>
        <w:t xml:space="preserve">The department is responsible </w:t>
      </w:r>
      <w:r w:rsidR="0082537E">
        <w:rPr>
          <w:lang w:eastAsia="en-AU"/>
        </w:rPr>
        <w:t xml:space="preserve">for </w:t>
      </w:r>
      <w:r>
        <w:rPr>
          <w:lang w:eastAsia="en-AU"/>
        </w:rPr>
        <w:t>2 outcome domains in our 2026-27 Portfolio Budget Statement.</w:t>
      </w:r>
    </w:p>
    <w:p w14:paraId="1639931A" w14:textId="23CD0A0D" w:rsidR="00DB2B49" w:rsidRPr="00A323BA" w:rsidRDefault="00DB2B49" w:rsidP="00740C88">
      <w:pPr>
        <w:spacing w:before="120" w:after="160"/>
        <w:rPr>
          <w:rFonts w:eastAsiaTheme="minorEastAsia" w:cs="Arial"/>
          <w:szCs w:val="22"/>
          <w:lang w:eastAsia="en-AU"/>
        </w:rPr>
      </w:pPr>
      <w:r w:rsidRPr="00656956">
        <w:rPr>
          <w:rStyle w:val="Heading5Char"/>
          <w:lang w:eastAsia="en-AU"/>
        </w:rPr>
        <w:t>Social Security</w:t>
      </w:r>
      <w:r w:rsidRPr="007417DC">
        <w:rPr>
          <w:rFonts w:eastAsia="Arial" w:cstheme="minorHAnsi"/>
          <w:spacing w:val="-2"/>
          <w:lang w:eastAsia="en-AU"/>
        </w:rPr>
        <w:t xml:space="preserve"> – </w:t>
      </w:r>
      <w:r w:rsidRPr="003E6F7D">
        <w:t>Support the financial wellbeing and self-sufficiency of people when they cannot fully support themselves, by providing targeted payments and assistance through the social security system, and disability employment services.</w:t>
      </w:r>
    </w:p>
    <w:p w14:paraId="39CD004C" w14:textId="3D12592A" w:rsidR="00DB2B49" w:rsidRPr="004702D2" w:rsidRDefault="00DB2B49" w:rsidP="00740C88">
      <w:pPr>
        <w:spacing w:before="120" w:after="160"/>
        <w:rPr>
          <w:lang w:eastAsia="en-AU"/>
        </w:rPr>
      </w:pPr>
      <w:r w:rsidRPr="00656956">
        <w:rPr>
          <w:rStyle w:val="Heading5Char"/>
          <w:lang w:eastAsia="en-AU"/>
        </w:rPr>
        <w:t>Families and Communities</w:t>
      </w:r>
      <w:r w:rsidRPr="007417DC">
        <w:rPr>
          <w:rFonts w:eastAsia="Arial" w:cstheme="minorHAnsi"/>
          <w:spacing w:val="-2"/>
          <w:lang w:eastAsia="en-AU"/>
        </w:rPr>
        <w:t xml:space="preserve"> – </w:t>
      </w:r>
      <w:r w:rsidRPr="00ED76FE">
        <w:rPr>
          <w:lang w:eastAsia="en-AU"/>
        </w:rPr>
        <w:t>Promote stronger and more resilient families, children, individuals and communities by providing targeted supports.</w:t>
      </w:r>
    </w:p>
    <w:p w14:paraId="089131C3" w14:textId="442BD1CB" w:rsidR="00DB2B49" w:rsidRPr="00740C88" w:rsidRDefault="00DB2B49" w:rsidP="00740C88">
      <w:pPr>
        <w:pStyle w:val="Heading3"/>
        <w:spacing w:before="240" w:after="120"/>
      </w:pPr>
      <w:bookmarkStart w:id="19" w:name="_Toc238653267"/>
      <w:r w:rsidRPr="00740C88">
        <w:t>Our programs</w:t>
      </w:r>
      <w:bookmarkEnd w:id="19"/>
    </w:p>
    <w:p w14:paraId="452ECAA0" w14:textId="77777777" w:rsidR="00DB2B49" w:rsidRPr="00ED76FE" w:rsidRDefault="00DB2B49" w:rsidP="00740C88">
      <w:pPr>
        <w:spacing w:before="120" w:after="160"/>
        <w:rPr>
          <w:lang w:eastAsia="en-AU"/>
        </w:rPr>
      </w:pPr>
      <w:r w:rsidRPr="00656956">
        <w:rPr>
          <w:rStyle w:val="Heading5Char"/>
          <w:lang w:eastAsia="en-AU"/>
        </w:rPr>
        <w:t>Social Security</w:t>
      </w:r>
      <w:r w:rsidRPr="007417DC">
        <w:rPr>
          <w:rFonts w:eastAsia="Arial" w:cstheme="minorHAnsi"/>
          <w:spacing w:val="-2"/>
          <w:lang w:eastAsia="en-AU"/>
        </w:rPr>
        <w:t xml:space="preserve"> </w:t>
      </w:r>
      <w:r w:rsidRPr="005035DA">
        <w:rPr>
          <w:rFonts w:eastAsia="Arial" w:cstheme="minorHAnsi"/>
          <w:spacing w:val="-4"/>
          <w:lang w:eastAsia="en-AU"/>
        </w:rPr>
        <w:t xml:space="preserve">– </w:t>
      </w:r>
      <w:r w:rsidRPr="00ED76FE">
        <w:rPr>
          <w:lang w:eastAsia="en-AU"/>
        </w:rPr>
        <w:t xml:space="preserve">1.1 Support for Families, 1.2 Paid Parental Leave, 1.3 Support for Seniors, </w:t>
      </w:r>
      <w:r>
        <w:rPr>
          <w:lang w:eastAsia="en-AU"/>
        </w:rPr>
        <w:br/>
      </w:r>
      <w:r w:rsidRPr="00ED76FE">
        <w:rPr>
          <w:lang w:eastAsia="en-AU"/>
        </w:rPr>
        <w:t>1.4 Financial Support for People with Disability, 1.5 Financial Support for Carers, 1.6 Working Age Payments, 1.7 Student Payments, 1.8 Disability Employment Services</w:t>
      </w:r>
      <w:r>
        <w:rPr>
          <w:lang w:eastAsia="en-AU"/>
        </w:rPr>
        <w:t>, 1.9 Income Apportionment Resolution Payment</w:t>
      </w:r>
      <w:r w:rsidRPr="00ED76FE">
        <w:rPr>
          <w:lang w:eastAsia="en-AU"/>
        </w:rPr>
        <w:t>.</w:t>
      </w:r>
    </w:p>
    <w:p w14:paraId="7A55DFEE" w14:textId="10B5E647" w:rsidR="00EF1106" w:rsidRDefault="00DB2B49" w:rsidP="00740C88">
      <w:pPr>
        <w:spacing w:before="120" w:after="160"/>
        <w:rPr>
          <w:lang w:eastAsia="en-AU"/>
        </w:rPr>
      </w:pPr>
      <w:r w:rsidRPr="00656956">
        <w:rPr>
          <w:rStyle w:val="Heading5Char"/>
          <w:lang w:eastAsia="en-AU"/>
        </w:rPr>
        <w:t>Families and Communities</w:t>
      </w:r>
      <w:r w:rsidRPr="007417DC">
        <w:rPr>
          <w:rFonts w:eastAsia="Arial" w:cstheme="minorHAnsi"/>
          <w:spacing w:val="-2"/>
          <w:lang w:eastAsia="en-AU"/>
        </w:rPr>
        <w:t xml:space="preserve"> </w:t>
      </w:r>
      <w:r w:rsidRPr="007417DC">
        <w:rPr>
          <w:rFonts w:ascii="Calibri" w:eastAsia="Arial" w:hAnsi="Calibri" w:cs="Calibri"/>
          <w:b/>
          <w:bCs/>
          <w:spacing w:val="-2"/>
          <w:lang w:eastAsia="en-AU"/>
        </w:rPr>
        <w:t>–</w:t>
      </w:r>
      <w:r w:rsidRPr="007417DC">
        <w:rPr>
          <w:rFonts w:ascii="Calibri" w:eastAsia="Arial" w:hAnsi="Calibri" w:cs="Calibri"/>
          <w:spacing w:val="-2"/>
          <w:lang w:eastAsia="en-AU"/>
        </w:rPr>
        <w:t xml:space="preserve"> </w:t>
      </w:r>
      <w:r w:rsidRPr="00ED76FE">
        <w:rPr>
          <w:lang w:eastAsia="en-AU"/>
        </w:rPr>
        <w:t>2.1 Families and Communities.</w:t>
      </w:r>
    </w:p>
    <w:p w14:paraId="014CD6DF" w14:textId="79E833DF" w:rsidR="00DB2B49" w:rsidRPr="005153CD" w:rsidRDefault="00DB2B49" w:rsidP="00740C88">
      <w:pPr>
        <w:spacing w:before="120" w:after="160"/>
        <w:rPr>
          <w:lang w:eastAsia="en-AU"/>
        </w:rPr>
      </w:pPr>
      <w:r>
        <w:rPr>
          <w:lang w:eastAsia="en-AU"/>
        </w:rPr>
        <w:t>For more detail on key activities under our programs, see Part 3.</w:t>
      </w:r>
    </w:p>
    <w:p w14:paraId="3FBF4E54" w14:textId="7FEB3CB4" w:rsidR="00DB2B49" w:rsidRDefault="00BB077F" w:rsidP="00A16629">
      <w:pPr>
        <w:pStyle w:val="Heading3"/>
        <w:spacing w:before="240" w:after="120"/>
      </w:pPr>
      <w:bookmarkStart w:id="20" w:name="_Toc238653268"/>
      <w:r w:rsidRPr="0082537E">
        <w:t>Our Impact Strategy</w:t>
      </w:r>
      <w:bookmarkEnd w:id="20"/>
    </w:p>
    <w:p w14:paraId="3078D6E3" w14:textId="6D3230AE" w:rsidR="00BB077F" w:rsidRDefault="00BB077F" w:rsidP="00A16629">
      <w:pPr>
        <w:spacing w:before="120" w:after="160"/>
      </w:pPr>
      <w:r>
        <w:t>The department’s Impact Strategy 2025-2030 sets out the policy outcomes we are working to achieve throughout the next 5 years and the capabilities we are investing in to deliver them. It guides where we focus our resources and efforts in 2026-27 and beyond.</w:t>
      </w:r>
    </w:p>
    <w:p w14:paraId="2901FAC7" w14:textId="7CC3A4D8" w:rsidR="00BB077F" w:rsidRDefault="0042466D" w:rsidP="00A16629">
      <w:pPr>
        <w:spacing w:before="120" w:after="160"/>
        <w:rPr>
          <w:rStyle w:val="eop"/>
          <w:rFonts w:cstheme="minorHAnsi"/>
        </w:rPr>
      </w:pPr>
      <w:r>
        <w:rPr>
          <w:rFonts w:cstheme="minorHAnsi"/>
        </w:rPr>
        <w:t xml:space="preserve">Figure </w:t>
      </w:r>
      <w:r w:rsidR="00A16629">
        <w:rPr>
          <w:rFonts w:cstheme="minorHAnsi"/>
        </w:rPr>
        <w:t>1</w:t>
      </w:r>
      <w:r w:rsidR="00BB077F">
        <w:rPr>
          <w:rFonts w:cstheme="minorHAnsi"/>
        </w:rPr>
        <w:t xml:space="preserve"> below is</w:t>
      </w:r>
      <w:r w:rsidR="00BB077F" w:rsidRPr="00BC3B9C">
        <w:rPr>
          <w:rFonts w:cstheme="minorHAnsi"/>
        </w:rPr>
        <w:t xml:space="preserve"> an extract from the department’s Impact Strategy 2025-2030</w:t>
      </w:r>
      <w:r w:rsidR="00BB077F">
        <w:rPr>
          <w:rFonts w:cstheme="minorHAnsi"/>
        </w:rPr>
        <w:t xml:space="preserve">. </w:t>
      </w:r>
      <w:r w:rsidR="00BB077F" w:rsidRPr="00BC3B9C">
        <w:rPr>
          <w:rFonts w:cstheme="minorHAnsi"/>
        </w:rPr>
        <w:t xml:space="preserve">It depicts our </w:t>
      </w:r>
      <w:r w:rsidR="00BB077F">
        <w:rPr>
          <w:rFonts w:cstheme="minorHAnsi"/>
        </w:rPr>
        <w:t xml:space="preserve">legislated </w:t>
      </w:r>
      <w:r w:rsidR="00BB077F" w:rsidRPr="00BC3B9C">
        <w:rPr>
          <w:rFonts w:cstheme="minorHAnsi"/>
        </w:rPr>
        <w:t xml:space="preserve">outcome domains and </w:t>
      </w:r>
      <w:r w:rsidR="00BB077F">
        <w:rPr>
          <w:rFonts w:cstheme="minorHAnsi"/>
        </w:rPr>
        <w:t xml:space="preserve">the policy </w:t>
      </w:r>
      <w:r w:rsidR="00BB077F" w:rsidRPr="00BC3B9C">
        <w:rPr>
          <w:rFonts w:cstheme="minorHAnsi"/>
        </w:rPr>
        <w:t>outcomes we are aiming to deliver.</w:t>
      </w:r>
    </w:p>
    <w:p w14:paraId="3D71C995" w14:textId="61C77E1B" w:rsidR="00A16629" w:rsidRDefault="00A16629" w:rsidP="00A16629">
      <w:pPr>
        <w:pStyle w:val="Caption"/>
        <w:keepNext/>
      </w:pPr>
      <w:r>
        <w:t xml:space="preserve">Figure </w:t>
      </w:r>
      <w:fldSimple w:instr=" SEQ Figure \* ARABIC ">
        <w:r w:rsidR="002103DD">
          <w:rPr>
            <w:noProof/>
          </w:rPr>
          <w:t>1</w:t>
        </w:r>
      </w:fldSimple>
    </w:p>
    <w:p w14:paraId="4BFE7FDB" w14:textId="77777777" w:rsidR="00BB077F" w:rsidRDefault="00BB077F" w:rsidP="00BB077F">
      <w:pPr>
        <w:rPr>
          <w:rStyle w:val="eop"/>
          <w:rFonts w:cstheme="minorHAnsi"/>
        </w:rPr>
      </w:pPr>
      <w:r w:rsidRPr="005331F8">
        <w:rPr>
          <w:rStyle w:val="eop"/>
          <w:rFonts w:cstheme="minorHAnsi"/>
          <w:noProof/>
        </w:rPr>
        <w:drawing>
          <wp:inline distT="0" distB="0" distL="0" distR="0" wp14:anchorId="7AE3B57A" wp14:editId="66BFFB5E">
            <wp:extent cx="6479540" cy="1522095"/>
            <wp:effectExtent l="0" t="0" r="0" b="1905"/>
            <wp:docPr id="856698134" name="Picture 1" descr="Figure 1 below is an extract from the department’s Impact Strategy 2025-2030. It depicts our legislated outcome domains and the policy outcomes we are aiming to deliver. For a detailed description, refer to the strategy document via the link provided in the next sec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698134" name="Picture 1" descr="Figure 1 below is an extract from the department’s Impact Strategy 2025-2030. It depicts our legislated outcome domains and the policy outcomes we are aiming to deliver. For a detailed description, refer to the strategy document via the link provided in the next section.&#10;"/>
                    <pic:cNvPicPr/>
                  </pic:nvPicPr>
                  <pic:blipFill>
                    <a:blip r:embed="rId20"/>
                    <a:stretch>
                      <a:fillRect/>
                    </a:stretch>
                  </pic:blipFill>
                  <pic:spPr>
                    <a:xfrm>
                      <a:off x="0" y="0"/>
                      <a:ext cx="6479540" cy="1522095"/>
                    </a:xfrm>
                    <a:prstGeom prst="rect">
                      <a:avLst/>
                    </a:prstGeom>
                  </pic:spPr>
                </pic:pic>
              </a:graphicData>
            </a:graphic>
          </wp:inline>
        </w:drawing>
      </w:r>
    </w:p>
    <w:p w14:paraId="7D7BCD0C" w14:textId="6168CFBF" w:rsidR="00BB077F" w:rsidRPr="0082537E" w:rsidRDefault="00BB077F" w:rsidP="00A16629">
      <w:pPr>
        <w:spacing w:before="120" w:after="160"/>
        <w:rPr>
          <w:lang w:eastAsia="en-AU"/>
        </w:rPr>
      </w:pPr>
      <w:r w:rsidRPr="0082537E">
        <w:rPr>
          <w:lang w:eastAsia="en-AU"/>
        </w:rPr>
        <w:t xml:space="preserve">The Impact Strategy aligns with the </w:t>
      </w:r>
      <w:r w:rsidR="00602666">
        <w:rPr>
          <w:lang w:eastAsia="en-AU"/>
        </w:rPr>
        <w:t>d</w:t>
      </w:r>
      <w:r w:rsidRPr="0082537E">
        <w:rPr>
          <w:lang w:eastAsia="en-AU"/>
        </w:rPr>
        <w:t xml:space="preserve">epartment’s responsibility for: </w:t>
      </w:r>
    </w:p>
    <w:p w14:paraId="1176330F" w14:textId="77777777" w:rsidR="00BB077F" w:rsidRPr="00D366AF" w:rsidRDefault="00BB077F" w:rsidP="006778D7">
      <w:pPr>
        <w:pStyle w:val="ListParagraph"/>
        <w:numPr>
          <w:ilvl w:val="0"/>
          <w:numId w:val="19"/>
        </w:numPr>
        <w:spacing w:before="120" w:after="160"/>
        <w:rPr>
          <w:lang w:eastAsia="en-AU"/>
        </w:rPr>
      </w:pPr>
      <w:r w:rsidRPr="00D366AF">
        <w:rPr>
          <w:rFonts w:eastAsiaTheme="minorEastAsia" w:cs="Arial"/>
          <w:szCs w:val="22"/>
          <w:lang w:eastAsia="en-AU"/>
        </w:rPr>
        <w:t xml:space="preserve">Closing the Gap </w:t>
      </w:r>
      <w:r w:rsidRPr="00D366AF">
        <w:rPr>
          <w:lang w:eastAsia="en-AU"/>
        </w:rPr>
        <w:t xml:space="preserve">Target 12 - Reducing the overrepresentation of Aboriginal and Torres Strait Islander children in out-of-home care by 45% over 10 years, and </w:t>
      </w:r>
    </w:p>
    <w:p w14:paraId="7E9176ED" w14:textId="77777777" w:rsidR="00BB077F" w:rsidRPr="00D366AF" w:rsidRDefault="00BB077F" w:rsidP="006778D7">
      <w:pPr>
        <w:pStyle w:val="ListParagraph"/>
        <w:numPr>
          <w:ilvl w:val="0"/>
          <w:numId w:val="19"/>
        </w:numPr>
        <w:spacing w:before="120" w:after="160"/>
        <w:rPr>
          <w:lang w:eastAsia="en-AU"/>
        </w:rPr>
      </w:pPr>
      <w:r w:rsidRPr="00D366AF">
        <w:rPr>
          <w:rFonts w:eastAsiaTheme="minorEastAsia" w:cs="Arial"/>
          <w:szCs w:val="22"/>
          <w:lang w:eastAsia="en-AU"/>
        </w:rPr>
        <w:lastRenderedPageBreak/>
        <w:t xml:space="preserve">Closing the Gap </w:t>
      </w:r>
      <w:r w:rsidRPr="00D366AF">
        <w:rPr>
          <w:lang w:eastAsia="en-AU"/>
        </w:rPr>
        <w:t>Target 13 - Reducing the rate of family violence and abuse against Aboriginal and Torres Strait Islander women and children.</w:t>
      </w:r>
    </w:p>
    <w:p w14:paraId="2D8C4FF2" w14:textId="77777777" w:rsidR="00BB077F" w:rsidRDefault="00BB077F" w:rsidP="00A16629">
      <w:pPr>
        <w:spacing w:before="120" w:after="160"/>
        <w:rPr>
          <w:rStyle w:val="eop"/>
          <w:rFonts w:cstheme="minorHAnsi"/>
        </w:rPr>
      </w:pPr>
      <w:r>
        <w:rPr>
          <w:rStyle w:val="eop"/>
          <w:rFonts w:cstheme="minorHAnsi"/>
        </w:rPr>
        <w:t xml:space="preserve">Further details are available in our </w:t>
      </w:r>
      <w:hyperlink r:id="rId21" w:history="1">
        <w:r w:rsidRPr="0020180A">
          <w:rPr>
            <w:rStyle w:val="Hyperlink"/>
            <w:rFonts w:cstheme="minorHAnsi"/>
          </w:rPr>
          <w:t>Impact Strategy 2025-2030</w:t>
        </w:r>
      </w:hyperlink>
      <w:r>
        <w:rPr>
          <w:rStyle w:val="normaltextrun"/>
          <w:rFonts w:cstheme="minorHAnsi"/>
          <w:color w:val="000000"/>
        </w:rPr>
        <w:t>.</w:t>
      </w:r>
    </w:p>
    <w:p w14:paraId="16463096" w14:textId="77777777" w:rsidR="0022799F" w:rsidRPr="00A16629" w:rsidRDefault="00A73FA3" w:rsidP="00A16629">
      <w:pPr>
        <w:pStyle w:val="Heading3"/>
        <w:spacing w:before="240" w:after="120"/>
        <w:rPr>
          <w:rStyle w:val="Heading2Char"/>
          <w:sz w:val="32"/>
          <w:szCs w:val="32"/>
        </w:rPr>
      </w:pPr>
      <w:bookmarkStart w:id="21" w:name="_Toc238140545"/>
      <w:bookmarkStart w:id="22" w:name="_Toc238653269"/>
      <w:r w:rsidRPr="00A16629">
        <w:rPr>
          <w:rStyle w:val="Heading2Char"/>
          <w:sz w:val="32"/>
          <w:szCs w:val="32"/>
        </w:rPr>
        <w:t>Our priorities</w:t>
      </w:r>
      <w:bookmarkEnd w:id="21"/>
      <w:bookmarkEnd w:id="22"/>
    </w:p>
    <w:p w14:paraId="428DF8DD" w14:textId="6BB4E871" w:rsidR="00D14145" w:rsidRPr="008E6379" w:rsidRDefault="009746AB" w:rsidP="00A16629">
      <w:pPr>
        <w:spacing w:before="120" w:after="160"/>
        <w:rPr>
          <w:sz w:val="18"/>
          <w:szCs w:val="18"/>
        </w:rPr>
      </w:pPr>
      <w:r>
        <w:rPr>
          <w:rStyle w:val="normaltextrun"/>
          <w:rFonts w:cstheme="minorHAnsi"/>
        </w:rPr>
        <w:t xml:space="preserve">In </w:t>
      </w:r>
      <w:r w:rsidRPr="008E6379">
        <w:rPr>
          <w:rStyle w:val="normaltextrun"/>
          <w:rFonts w:cstheme="minorHAnsi"/>
        </w:rPr>
        <w:t>2026–27</w:t>
      </w:r>
      <w:r>
        <w:rPr>
          <w:rStyle w:val="normaltextrun"/>
          <w:rFonts w:cstheme="minorHAnsi"/>
        </w:rPr>
        <w:t xml:space="preserve">, we will focus on </w:t>
      </w:r>
      <w:r w:rsidR="00D14145" w:rsidRPr="008E6379">
        <w:rPr>
          <w:rStyle w:val="normaltextrun"/>
          <w:rFonts w:cstheme="minorHAnsi"/>
        </w:rPr>
        <w:t>key deliverables </w:t>
      </w:r>
      <w:r>
        <w:rPr>
          <w:rStyle w:val="normaltextrun"/>
          <w:rFonts w:cstheme="minorHAnsi"/>
        </w:rPr>
        <w:t>that support the department’s long-term policy outcomes, including</w:t>
      </w:r>
      <w:r w:rsidR="00D14145" w:rsidRPr="008E6379">
        <w:rPr>
          <w:rStyle w:val="normaltextrun"/>
          <w:rFonts w:cstheme="minorHAnsi"/>
        </w:rPr>
        <w:t>:</w:t>
      </w:r>
      <w:r w:rsidR="00D14145" w:rsidRPr="008E6379">
        <w:rPr>
          <w:rStyle w:val="eop"/>
          <w:rFonts w:cstheme="minorHAnsi"/>
        </w:rPr>
        <w:t> </w:t>
      </w:r>
    </w:p>
    <w:p w14:paraId="5B911FC8" w14:textId="31849AAE" w:rsidR="00D14145" w:rsidRPr="005153CD" w:rsidRDefault="00113DEF" w:rsidP="006778D7">
      <w:pPr>
        <w:pStyle w:val="ListParagraph"/>
        <w:numPr>
          <w:ilvl w:val="0"/>
          <w:numId w:val="20"/>
        </w:numPr>
        <w:spacing w:before="120" w:after="160"/>
        <w:rPr>
          <w:rFonts w:cstheme="minorHAnsi"/>
        </w:rPr>
      </w:pPr>
      <w:r>
        <w:rPr>
          <w:rStyle w:val="normaltextrun"/>
          <w:rFonts w:cstheme="minorHAnsi"/>
        </w:rPr>
        <w:t>r</w:t>
      </w:r>
      <w:r w:rsidR="00D14145" w:rsidRPr="008E6379">
        <w:rPr>
          <w:rStyle w:val="normaltextrun"/>
          <w:rFonts w:cstheme="minorHAnsi"/>
        </w:rPr>
        <w:t>educing Family, Domestic and Sexual Violence (and progress towards Closing the Gap Target 13)</w:t>
      </w:r>
      <w:r w:rsidR="00D14145" w:rsidRPr="008E6379">
        <w:rPr>
          <w:rStyle w:val="eop"/>
          <w:rFonts w:cstheme="minorHAnsi"/>
        </w:rPr>
        <w:t> </w:t>
      </w:r>
    </w:p>
    <w:p w14:paraId="697D3244" w14:textId="472ED323" w:rsidR="00D14145" w:rsidRPr="005153CD" w:rsidRDefault="00113DEF" w:rsidP="006778D7">
      <w:pPr>
        <w:pStyle w:val="ListParagraph"/>
        <w:numPr>
          <w:ilvl w:val="0"/>
          <w:numId w:val="20"/>
        </w:numPr>
        <w:spacing w:before="120" w:after="160"/>
        <w:rPr>
          <w:rFonts w:cstheme="minorHAnsi"/>
        </w:rPr>
      </w:pPr>
      <w:r>
        <w:rPr>
          <w:rStyle w:val="normaltextrun"/>
          <w:rFonts w:cstheme="minorHAnsi"/>
        </w:rPr>
        <w:t>k</w:t>
      </w:r>
      <w:r w:rsidR="00D14145" w:rsidRPr="008E6379">
        <w:rPr>
          <w:rStyle w:val="normaltextrun"/>
          <w:rFonts w:cstheme="minorHAnsi"/>
        </w:rPr>
        <w:t>eeping children safely at home (and progress towards Closing the Gap Target 12)</w:t>
      </w:r>
      <w:r w:rsidR="00D14145" w:rsidRPr="008E6379">
        <w:rPr>
          <w:rStyle w:val="eop"/>
          <w:rFonts w:cstheme="minorHAnsi"/>
        </w:rPr>
        <w:t> </w:t>
      </w:r>
    </w:p>
    <w:p w14:paraId="02FE4927" w14:textId="6A66BBF4" w:rsidR="00D14145" w:rsidRPr="005153CD" w:rsidRDefault="00113DEF" w:rsidP="006778D7">
      <w:pPr>
        <w:pStyle w:val="ListParagraph"/>
        <w:numPr>
          <w:ilvl w:val="0"/>
          <w:numId w:val="20"/>
        </w:numPr>
        <w:spacing w:before="120" w:after="160"/>
        <w:rPr>
          <w:rFonts w:cstheme="minorHAnsi"/>
        </w:rPr>
      </w:pPr>
      <w:r>
        <w:rPr>
          <w:rStyle w:val="normaltextrun"/>
          <w:rFonts w:cstheme="minorHAnsi"/>
        </w:rPr>
        <w:t>p</w:t>
      </w:r>
      <w:r w:rsidR="00D14145" w:rsidRPr="008E6379">
        <w:rPr>
          <w:rStyle w:val="normaltextrun"/>
          <w:rFonts w:cstheme="minorHAnsi"/>
        </w:rPr>
        <w:t>utting kids first by reducing weaponis</w:t>
      </w:r>
      <w:r w:rsidR="00D14145" w:rsidRPr="00F61CE7">
        <w:rPr>
          <w:rStyle w:val="normaltextrun"/>
          <w:rFonts w:cstheme="minorHAnsi"/>
        </w:rPr>
        <w:t>ation of the child support scheme and helping parents meet their child support obligations</w:t>
      </w:r>
      <w:r w:rsidR="00D14145" w:rsidRPr="008E6379">
        <w:rPr>
          <w:rStyle w:val="eop"/>
          <w:rFonts w:cstheme="minorHAnsi"/>
        </w:rPr>
        <w:t> </w:t>
      </w:r>
    </w:p>
    <w:p w14:paraId="7049069A" w14:textId="605D0242" w:rsidR="00D14145" w:rsidRPr="005153CD" w:rsidRDefault="009746AB" w:rsidP="006778D7">
      <w:pPr>
        <w:pStyle w:val="ListParagraph"/>
        <w:numPr>
          <w:ilvl w:val="0"/>
          <w:numId w:val="20"/>
        </w:numPr>
        <w:spacing w:before="120" w:after="160"/>
        <w:rPr>
          <w:rFonts w:cstheme="minorHAnsi"/>
        </w:rPr>
      </w:pPr>
      <w:r>
        <w:rPr>
          <w:rStyle w:val="normaltextrun"/>
          <w:rFonts w:cstheme="minorHAnsi"/>
        </w:rPr>
        <w:t xml:space="preserve">supporting </w:t>
      </w:r>
      <w:r w:rsidR="00113DEF">
        <w:rPr>
          <w:rStyle w:val="normaltextrun"/>
          <w:rFonts w:cstheme="minorHAnsi"/>
        </w:rPr>
        <w:t>m</w:t>
      </w:r>
      <w:r w:rsidR="00D14145" w:rsidRPr="008E6379">
        <w:rPr>
          <w:rStyle w:val="normaltextrun"/>
          <w:rFonts w:cstheme="minorHAnsi"/>
        </w:rPr>
        <w:t>ore people to</w:t>
      </w:r>
      <w:r w:rsidR="00EA24B5">
        <w:rPr>
          <w:rStyle w:val="normaltextrun"/>
          <w:rFonts w:cstheme="minorHAnsi"/>
        </w:rPr>
        <w:t xml:space="preserve"> </w:t>
      </w:r>
      <w:r w:rsidR="00D14145" w:rsidRPr="008E6379">
        <w:rPr>
          <w:rStyle w:val="normaltextrun"/>
          <w:rFonts w:cstheme="minorHAnsi"/>
        </w:rPr>
        <w:t>find meaningful work</w:t>
      </w:r>
    </w:p>
    <w:p w14:paraId="3C8F2CF2" w14:textId="4E1F39D2" w:rsidR="00D14145" w:rsidRDefault="00EA24B5" w:rsidP="006778D7">
      <w:pPr>
        <w:pStyle w:val="ListParagraph"/>
        <w:numPr>
          <w:ilvl w:val="0"/>
          <w:numId w:val="20"/>
        </w:numPr>
        <w:spacing w:before="120" w:after="160"/>
        <w:rPr>
          <w:rStyle w:val="eop"/>
          <w:rFonts w:cstheme="minorHAnsi"/>
        </w:rPr>
      </w:pPr>
      <w:r>
        <w:rPr>
          <w:rStyle w:val="normaltextrun"/>
          <w:rFonts w:cstheme="minorHAnsi"/>
        </w:rPr>
        <w:t>identifying and delivering</w:t>
      </w:r>
      <w:r w:rsidR="009746AB">
        <w:rPr>
          <w:rStyle w:val="normaltextrun"/>
          <w:rFonts w:cstheme="minorHAnsi"/>
        </w:rPr>
        <w:t xml:space="preserve"> loca</w:t>
      </w:r>
      <w:r w:rsidR="00C4208E">
        <w:rPr>
          <w:rStyle w:val="normaltextrun"/>
          <w:rFonts w:cstheme="minorHAnsi"/>
        </w:rPr>
        <w:t xml:space="preserve">l </w:t>
      </w:r>
      <w:r w:rsidR="00D14145">
        <w:rPr>
          <w:rStyle w:val="normaltextrun"/>
          <w:rFonts w:cstheme="minorHAnsi"/>
        </w:rPr>
        <w:t>solutions</w:t>
      </w:r>
      <w:r w:rsidR="00D14145" w:rsidRPr="008E6379">
        <w:rPr>
          <w:rStyle w:val="normaltextrun"/>
          <w:rFonts w:cstheme="minorHAnsi"/>
        </w:rPr>
        <w:t> </w:t>
      </w:r>
      <w:r w:rsidR="009746AB">
        <w:rPr>
          <w:rStyle w:val="normaltextrun"/>
          <w:rFonts w:cstheme="minorHAnsi"/>
        </w:rPr>
        <w:t>that</w:t>
      </w:r>
      <w:r w:rsidR="00D14145" w:rsidRPr="008E6379">
        <w:rPr>
          <w:rStyle w:val="normaltextrun"/>
          <w:rFonts w:cstheme="minorHAnsi"/>
        </w:rPr>
        <w:t xml:space="preserve"> </w:t>
      </w:r>
      <w:r w:rsidR="009746AB">
        <w:rPr>
          <w:rStyle w:val="normaltextrun"/>
          <w:rFonts w:cstheme="minorHAnsi"/>
        </w:rPr>
        <w:t xml:space="preserve">help </w:t>
      </w:r>
      <w:r w:rsidR="00D14145" w:rsidRPr="008E6379">
        <w:rPr>
          <w:rStyle w:val="normaltextrun"/>
          <w:rFonts w:cstheme="minorHAnsi"/>
        </w:rPr>
        <w:t>break cycles of entrenched disadvantage</w:t>
      </w:r>
      <w:r w:rsidR="00D14145" w:rsidRPr="008E6379">
        <w:rPr>
          <w:rStyle w:val="eop"/>
          <w:rFonts w:cstheme="minorHAnsi"/>
        </w:rPr>
        <w:t> </w:t>
      </w:r>
    </w:p>
    <w:p w14:paraId="50EF0ACC" w14:textId="59EB7A1F" w:rsidR="00D779AD" w:rsidRDefault="0042466D" w:rsidP="006778D7">
      <w:pPr>
        <w:pStyle w:val="ListParagraph"/>
        <w:numPr>
          <w:ilvl w:val="0"/>
          <w:numId w:val="20"/>
        </w:numPr>
        <w:spacing w:before="120" w:after="160"/>
        <w:rPr>
          <w:rStyle w:val="eop"/>
          <w:rFonts w:cstheme="minorHAnsi"/>
        </w:rPr>
      </w:pPr>
      <w:r>
        <w:rPr>
          <w:rStyle w:val="eop"/>
          <w:rFonts w:cstheme="minorHAnsi"/>
        </w:rPr>
        <w:t xml:space="preserve">supporting </w:t>
      </w:r>
      <w:r w:rsidR="00D779AD">
        <w:rPr>
          <w:rStyle w:val="eop"/>
          <w:rFonts w:cstheme="minorHAnsi"/>
        </w:rPr>
        <w:t>survivors through the National Redress Scheme.</w:t>
      </w:r>
    </w:p>
    <w:p w14:paraId="00D2014F" w14:textId="77777777" w:rsidR="00AB45D6" w:rsidRPr="00A16629" w:rsidRDefault="00D779AD" w:rsidP="00A16629">
      <w:pPr>
        <w:pStyle w:val="Heading3"/>
        <w:spacing w:before="240" w:after="120"/>
        <w:rPr>
          <w:rStyle w:val="Heading2Char"/>
          <w:sz w:val="32"/>
          <w:szCs w:val="32"/>
        </w:rPr>
      </w:pPr>
      <w:bookmarkStart w:id="23" w:name="_Toc238140546"/>
      <w:bookmarkStart w:id="24" w:name="_Toc238653270"/>
      <w:r w:rsidRPr="00A16629">
        <w:rPr>
          <w:rStyle w:val="Heading2Char"/>
          <w:sz w:val="32"/>
          <w:szCs w:val="32"/>
        </w:rPr>
        <w:t>Delivery culture</w:t>
      </w:r>
      <w:bookmarkEnd w:id="23"/>
      <w:bookmarkEnd w:id="24"/>
    </w:p>
    <w:p w14:paraId="2A082B7C" w14:textId="09BF441F" w:rsidR="00D779AD" w:rsidRDefault="00D779AD" w:rsidP="00A16629">
      <w:pPr>
        <w:spacing w:before="120" w:after="160"/>
      </w:pPr>
      <w:r>
        <w:t xml:space="preserve">The </w:t>
      </w:r>
      <w:r w:rsidR="00602666">
        <w:t>d</w:t>
      </w:r>
      <w:r>
        <w:t xml:space="preserve">epartment is committed to </w:t>
      </w:r>
      <w:r w:rsidRPr="005C2AB0">
        <w:t>a delivery culture</w:t>
      </w:r>
      <w:r>
        <w:t>, by investing in our</w:t>
      </w:r>
      <w:r w:rsidRPr="005C2AB0">
        <w:t xml:space="preserve"> delivery capability </w:t>
      </w:r>
      <w:r>
        <w:t xml:space="preserve">and </w:t>
      </w:r>
      <w:r w:rsidRPr="00154CE1">
        <w:t>strengthen</w:t>
      </w:r>
      <w:r>
        <w:t>ing</w:t>
      </w:r>
      <w:r w:rsidRPr="00154CE1">
        <w:t xml:space="preserve"> our focus on </w:t>
      </w:r>
      <w:r>
        <w:t>achieving</w:t>
      </w:r>
      <w:r w:rsidRPr="00154CE1">
        <w:t xml:space="preserve"> outcomes</w:t>
      </w:r>
      <w:r>
        <w:t xml:space="preserve"> for the people we serve</w:t>
      </w:r>
      <w:r w:rsidRPr="00154CE1">
        <w:t>.</w:t>
      </w:r>
    </w:p>
    <w:p w14:paraId="1683B58F" w14:textId="047F4950" w:rsidR="00D779AD" w:rsidRDefault="00D779AD" w:rsidP="00A16629">
      <w:pPr>
        <w:spacing w:before="120" w:after="160"/>
        <w:rPr>
          <w:lang w:eastAsia="en-AU"/>
        </w:rPr>
      </w:pPr>
      <w:r>
        <w:rPr>
          <w:lang w:eastAsia="en-AU"/>
        </w:rPr>
        <w:t xml:space="preserve">The </w:t>
      </w:r>
      <w:r w:rsidR="00602666">
        <w:rPr>
          <w:lang w:eastAsia="en-AU"/>
        </w:rPr>
        <w:t>d</w:t>
      </w:r>
      <w:r>
        <w:rPr>
          <w:lang w:eastAsia="en-AU"/>
        </w:rPr>
        <w:t>epartment</w:t>
      </w:r>
      <w:r w:rsidRPr="005153CD">
        <w:rPr>
          <w:lang w:eastAsia="en-AU"/>
        </w:rPr>
        <w:t xml:space="preserve"> work</w:t>
      </w:r>
      <w:r>
        <w:rPr>
          <w:lang w:eastAsia="en-AU"/>
        </w:rPr>
        <w:t>s</w:t>
      </w:r>
      <w:r w:rsidRPr="005153CD">
        <w:rPr>
          <w:lang w:eastAsia="en-AU"/>
        </w:rPr>
        <w:t xml:space="preserve"> in partnership with government</w:t>
      </w:r>
      <w:r>
        <w:rPr>
          <w:lang w:eastAsia="en-AU"/>
        </w:rPr>
        <w:t>s</w:t>
      </w:r>
      <w:r w:rsidRPr="005153CD">
        <w:rPr>
          <w:lang w:eastAsia="en-AU"/>
        </w:rPr>
        <w:t xml:space="preserve"> and non-government organisations and communities to ensure the effective development, management and delivery of payments, evidence-based policies, programs and services to support </w:t>
      </w:r>
      <w:r>
        <w:rPr>
          <w:lang w:eastAsia="en-AU"/>
        </w:rPr>
        <w:t xml:space="preserve">Australian communities, </w:t>
      </w:r>
      <w:r w:rsidRPr="005153CD">
        <w:rPr>
          <w:lang w:eastAsia="en-AU"/>
        </w:rPr>
        <w:t>individuals and families.</w:t>
      </w:r>
    </w:p>
    <w:p w14:paraId="4A4DE333" w14:textId="3D8999AC" w:rsidR="00D779AD" w:rsidRPr="00D47178" w:rsidRDefault="00D779AD" w:rsidP="00A16629">
      <w:pPr>
        <w:spacing w:before="120" w:after="160"/>
      </w:pPr>
      <w:r>
        <w:t xml:space="preserve">A dedicated Delivery Unit </w:t>
      </w:r>
      <w:r w:rsidRPr="001056AB">
        <w:t>wor</w:t>
      </w:r>
      <w:r>
        <w:t xml:space="preserve">ks </w:t>
      </w:r>
      <w:r w:rsidRPr="001056AB">
        <w:t xml:space="preserve">closely with policy and program teams to drive the </w:t>
      </w:r>
      <w:r w:rsidR="00602666">
        <w:t>d</w:t>
      </w:r>
      <w:r w:rsidRPr="001056AB">
        <w:t xml:space="preserve">epartment’s key </w:t>
      </w:r>
      <w:r>
        <w:t>delivery</w:t>
      </w:r>
      <w:r w:rsidRPr="001056AB">
        <w:t xml:space="preserve"> priorities</w:t>
      </w:r>
      <w:r>
        <w:t xml:space="preserve"> and a</w:t>
      </w:r>
      <w:r w:rsidRPr="00D47178">
        <w:t xml:space="preserve">lign effort and resources to where the </w:t>
      </w:r>
      <w:r w:rsidR="00602666">
        <w:t>d</w:t>
      </w:r>
      <w:r w:rsidRPr="00D47178">
        <w:t>epartment wants to make an impact. </w:t>
      </w:r>
    </w:p>
    <w:p w14:paraId="10CE749A" w14:textId="43860FD0" w:rsidR="00D779AD" w:rsidRDefault="00D779AD" w:rsidP="00A16629">
      <w:pPr>
        <w:spacing w:before="120" w:after="160"/>
      </w:pPr>
      <w:r>
        <w:t>This includes work</w:t>
      </w:r>
      <w:r w:rsidRPr="00D47178">
        <w:t xml:space="preserve"> with program areas to develop Delivery Plans which are</w:t>
      </w:r>
      <w:r>
        <w:t xml:space="preserve"> regularly</w:t>
      </w:r>
      <w:r w:rsidRPr="00D47178">
        <w:t xml:space="preserve"> tracked and </w:t>
      </w:r>
      <w:r>
        <w:t>used to support monitoring, evaluation and learning.</w:t>
      </w:r>
      <w:r w:rsidRPr="00D47178">
        <w:t xml:space="preserve"> Where implementation is delayed, remedial action is identified and support provided to program areas to get implementation on track.</w:t>
      </w:r>
      <w:r>
        <w:t xml:space="preserve"> This is overseen by the </w:t>
      </w:r>
      <w:r w:rsidR="00602666">
        <w:t>d</w:t>
      </w:r>
      <w:r>
        <w:t>epartment’s Delivery Committee.</w:t>
      </w:r>
    </w:p>
    <w:p w14:paraId="5B5BFC5A" w14:textId="0BB675EA" w:rsidR="00D779AD" w:rsidRPr="00FC6D3B" w:rsidRDefault="00D779AD" w:rsidP="00A16629">
      <w:pPr>
        <w:spacing w:before="120" w:after="160"/>
        <w:rPr>
          <w:rStyle w:val="eop"/>
        </w:rPr>
      </w:pPr>
      <w:r w:rsidRPr="00856488">
        <w:t xml:space="preserve">The </w:t>
      </w:r>
      <w:r w:rsidR="00602666">
        <w:t>d</w:t>
      </w:r>
      <w:r w:rsidRPr="00856488">
        <w:t>epartment’s delivery work links to broader government delivery efforts as needed, such as the Department of the Prime Minister and Cabinet’s Implementation Inter-Departmental Committee (IDC) to drive delivery and implementation of election commitments and strategic objectives.</w:t>
      </w:r>
      <w:r w:rsidRPr="00D47178">
        <w:t xml:space="preserve"> </w:t>
      </w:r>
    </w:p>
    <w:p w14:paraId="14B74052" w14:textId="77777777" w:rsidR="00B11557" w:rsidRPr="00A16629" w:rsidRDefault="00D779AD" w:rsidP="00A16629">
      <w:pPr>
        <w:pStyle w:val="Heading3"/>
        <w:spacing w:before="240" w:after="120"/>
        <w:rPr>
          <w:rStyle w:val="Heading2Char"/>
          <w:sz w:val="32"/>
          <w:szCs w:val="32"/>
        </w:rPr>
      </w:pPr>
      <w:bookmarkStart w:id="25" w:name="_Toc236217480"/>
      <w:bookmarkStart w:id="26" w:name="_Toc238140547"/>
      <w:bookmarkStart w:id="27" w:name="_Toc238653271"/>
      <w:r w:rsidRPr="00A16629">
        <w:rPr>
          <w:rStyle w:val="Heading2Char"/>
          <w:sz w:val="32"/>
          <w:szCs w:val="32"/>
        </w:rPr>
        <w:t>Our Capability</w:t>
      </w:r>
      <w:bookmarkEnd w:id="25"/>
      <w:bookmarkEnd w:id="26"/>
      <w:bookmarkEnd w:id="27"/>
    </w:p>
    <w:p w14:paraId="79787C02" w14:textId="27A92154" w:rsidR="00C92E01" w:rsidRDefault="00C92E01" w:rsidP="00A16629">
      <w:pPr>
        <w:spacing w:before="120" w:after="160"/>
        <w:rPr>
          <w:rStyle w:val="normaltextrun"/>
          <w:rFonts w:cstheme="minorHAnsi"/>
        </w:rPr>
      </w:pPr>
      <w:r w:rsidRPr="0047382C">
        <w:rPr>
          <w:rStyle w:val="normaltextrun"/>
          <w:rFonts w:cstheme="minorHAnsi"/>
        </w:rPr>
        <w:t>Invest</w:t>
      </w:r>
      <w:r w:rsidR="009746AB">
        <w:rPr>
          <w:rStyle w:val="normaltextrun"/>
          <w:rFonts w:cstheme="minorHAnsi"/>
        </w:rPr>
        <w:t>ing</w:t>
      </w:r>
      <w:r w:rsidRPr="0047382C">
        <w:rPr>
          <w:rStyle w:val="normaltextrun"/>
          <w:rFonts w:cstheme="minorHAnsi"/>
        </w:rPr>
        <w:t xml:space="preserve"> in our people and systems is critical to deliver</w:t>
      </w:r>
      <w:r w:rsidR="009746AB">
        <w:rPr>
          <w:rStyle w:val="normaltextrun"/>
          <w:rFonts w:cstheme="minorHAnsi"/>
        </w:rPr>
        <w:t>ing</w:t>
      </w:r>
      <w:r w:rsidRPr="0047382C">
        <w:rPr>
          <w:rStyle w:val="normaltextrun"/>
          <w:rFonts w:cstheme="minorHAnsi"/>
        </w:rPr>
        <w:t> the</w:t>
      </w:r>
      <w:r w:rsidR="00F05F87">
        <w:rPr>
          <w:rStyle w:val="normaltextrun"/>
          <w:rFonts w:cstheme="minorHAnsi"/>
        </w:rPr>
        <w:t xml:space="preserve"> </w:t>
      </w:r>
      <w:r w:rsidR="00F002FC">
        <w:rPr>
          <w:rStyle w:val="normaltextrun"/>
          <w:rFonts w:cstheme="minorHAnsi"/>
        </w:rPr>
        <w:t>government’s</w:t>
      </w:r>
      <w:r w:rsidRPr="0047382C">
        <w:rPr>
          <w:rStyle w:val="normaltextrun"/>
          <w:rFonts w:cstheme="minorHAnsi"/>
        </w:rPr>
        <w:t> policy priorities. </w:t>
      </w:r>
      <w:r w:rsidR="009746AB">
        <w:rPr>
          <w:rStyle w:val="normaltextrun"/>
          <w:rFonts w:cstheme="minorHAnsi"/>
        </w:rPr>
        <w:t>T</w:t>
      </w:r>
      <w:r>
        <w:t xml:space="preserve">he </w:t>
      </w:r>
      <w:r w:rsidR="0013399D">
        <w:t>d</w:t>
      </w:r>
      <w:r>
        <w:t>epartment’s</w:t>
      </w:r>
      <w:r w:rsidRPr="00F721AA">
        <w:t xml:space="preserve"> </w:t>
      </w:r>
      <w:r>
        <w:t>A</w:t>
      </w:r>
      <w:r w:rsidRPr="00F721AA">
        <w:t xml:space="preserve">ction </w:t>
      </w:r>
      <w:r>
        <w:t>P</w:t>
      </w:r>
      <w:r w:rsidRPr="00F721AA">
        <w:t>lan</w:t>
      </w:r>
      <w:r w:rsidR="0042466D">
        <w:t xml:space="preserve"> </w:t>
      </w:r>
      <w:r w:rsidR="002D1DA8">
        <w:t>respond</w:t>
      </w:r>
      <w:r w:rsidR="0042466D">
        <w:t>ing</w:t>
      </w:r>
      <w:r w:rsidR="002D1DA8">
        <w:t xml:space="preserve"> to the Capability </w:t>
      </w:r>
      <w:r w:rsidR="00BF3370">
        <w:t>Review,</w:t>
      </w:r>
      <w:r w:rsidR="00D779AD">
        <w:t xml:space="preserve"> </w:t>
      </w:r>
      <w:r>
        <w:t>identif</w:t>
      </w:r>
      <w:r w:rsidR="009746AB">
        <w:t>ies</w:t>
      </w:r>
      <w:r>
        <w:t xml:space="preserve"> </w:t>
      </w:r>
      <w:r w:rsidR="0013399D">
        <w:t>the</w:t>
      </w:r>
      <w:r w:rsidRPr="00F721AA">
        <w:t xml:space="preserve"> areas </w:t>
      </w:r>
      <w:r w:rsidR="009746AB" w:rsidRPr="009746AB">
        <w:t xml:space="preserve">where we </w:t>
      </w:r>
      <w:r w:rsidR="00D779AD">
        <w:t>are</w:t>
      </w:r>
      <w:r w:rsidR="009746AB">
        <w:t xml:space="preserve"> </w:t>
      </w:r>
      <w:r w:rsidR="009746AB" w:rsidRPr="009746AB">
        <w:t>strengthen</w:t>
      </w:r>
      <w:r w:rsidR="00D779AD">
        <w:t>ing</w:t>
      </w:r>
      <w:r w:rsidR="009746AB" w:rsidRPr="009746AB">
        <w:t xml:space="preserve"> our capability and support organisation change</w:t>
      </w:r>
      <w:r w:rsidRPr="00F721AA">
        <w:t>.</w:t>
      </w:r>
      <w:r>
        <w:t xml:space="preserve"> </w:t>
      </w:r>
    </w:p>
    <w:p w14:paraId="1E3A49A5" w14:textId="7D8C41A7" w:rsidR="00C92E01" w:rsidRPr="0047382C" w:rsidRDefault="00C92E01" w:rsidP="00A16629">
      <w:pPr>
        <w:spacing w:before="120" w:after="160"/>
        <w:rPr>
          <w:rFonts w:ascii="Times New Roman" w:hAnsi="Times New Roman"/>
          <w:sz w:val="18"/>
          <w:szCs w:val="18"/>
        </w:rPr>
      </w:pPr>
      <w:r>
        <w:rPr>
          <w:rStyle w:val="normaltextrun"/>
          <w:rFonts w:cstheme="minorHAnsi"/>
        </w:rPr>
        <w:t xml:space="preserve">The </w:t>
      </w:r>
      <w:r w:rsidRPr="0047382C">
        <w:rPr>
          <w:rStyle w:val="normaltextrun"/>
          <w:rFonts w:cstheme="minorHAnsi"/>
        </w:rPr>
        <w:t>Action Plan focus</w:t>
      </w:r>
      <w:r>
        <w:rPr>
          <w:rStyle w:val="normaltextrun"/>
          <w:rFonts w:cstheme="minorHAnsi"/>
        </w:rPr>
        <w:t>es our capability efforts</w:t>
      </w:r>
      <w:r w:rsidRPr="0047382C">
        <w:rPr>
          <w:rStyle w:val="normaltextrun"/>
          <w:rFonts w:cstheme="minorHAnsi"/>
        </w:rPr>
        <w:t xml:space="preserve"> on </w:t>
      </w:r>
      <w:r w:rsidR="0032089F">
        <w:rPr>
          <w:rStyle w:val="normaltextrun"/>
          <w:rFonts w:cstheme="minorHAnsi"/>
        </w:rPr>
        <w:t>4</w:t>
      </w:r>
      <w:r>
        <w:rPr>
          <w:rStyle w:val="normaltextrun"/>
          <w:rFonts w:cstheme="minorHAnsi"/>
        </w:rPr>
        <w:t xml:space="preserve"> key areas</w:t>
      </w:r>
      <w:r w:rsidRPr="0047382C">
        <w:rPr>
          <w:rStyle w:val="normaltextrun"/>
          <w:rFonts w:cstheme="minorHAnsi"/>
        </w:rPr>
        <w:t>:</w:t>
      </w:r>
      <w:r w:rsidRPr="0047382C">
        <w:rPr>
          <w:rStyle w:val="eop"/>
          <w:rFonts w:cstheme="minorHAnsi"/>
        </w:rPr>
        <w:t> </w:t>
      </w:r>
    </w:p>
    <w:p w14:paraId="3D280E97" w14:textId="77777777" w:rsidR="00C92E01" w:rsidRPr="005153CD" w:rsidRDefault="00C92E01" w:rsidP="001359B8">
      <w:pPr>
        <w:pStyle w:val="ListNumber"/>
        <w:spacing w:before="120" w:after="160"/>
      </w:pPr>
      <w:r w:rsidRPr="00230E55">
        <w:rPr>
          <w:rStyle w:val="normaltextrun"/>
          <w:rFonts w:cstheme="minorHAnsi"/>
          <w:b/>
          <w:bCs/>
        </w:rPr>
        <w:t>lead strategic social policy</w:t>
      </w:r>
      <w:r w:rsidRPr="0047382C">
        <w:rPr>
          <w:rStyle w:val="normaltextrun"/>
          <w:rFonts w:cstheme="minorHAnsi"/>
        </w:rPr>
        <w:t xml:space="preserve"> to create beneficial change</w:t>
      </w:r>
      <w:r w:rsidRPr="0047382C">
        <w:rPr>
          <w:rStyle w:val="eop"/>
          <w:rFonts w:cstheme="minorHAnsi"/>
        </w:rPr>
        <w:t> </w:t>
      </w:r>
    </w:p>
    <w:p w14:paraId="44C493EB" w14:textId="77777777" w:rsidR="00C92E01" w:rsidRPr="005153CD" w:rsidRDefault="00C92E01" w:rsidP="001359B8">
      <w:pPr>
        <w:pStyle w:val="ListNumber"/>
        <w:spacing w:before="120" w:after="160"/>
      </w:pPr>
      <w:r w:rsidRPr="00230E55">
        <w:rPr>
          <w:rStyle w:val="normaltextrun"/>
          <w:rFonts w:cstheme="minorHAnsi"/>
          <w:b/>
          <w:bCs/>
        </w:rPr>
        <w:t>drive delivery</w:t>
      </w:r>
      <w:r w:rsidRPr="0047382C">
        <w:rPr>
          <w:rStyle w:val="normaltextrun"/>
          <w:rFonts w:cstheme="minorHAnsi"/>
        </w:rPr>
        <w:t xml:space="preserve"> to achieve real impact</w:t>
      </w:r>
      <w:r w:rsidRPr="0047382C">
        <w:rPr>
          <w:rStyle w:val="eop"/>
          <w:rFonts w:cstheme="minorHAnsi"/>
        </w:rPr>
        <w:t> </w:t>
      </w:r>
    </w:p>
    <w:p w14:paraId="446B68C6" w14:textId="77777777" w:rsidR="00C92E01" w:rsidRPr="005153CD" w:rsidRDefault="00C92E01" w:rsidP="001359B8">
      <w:pPr>
        <w:pStyle w:val="ListNumber"/>
        <w:spacing w:before="120" w:after="160"/>
      </w:pPr>
      <w:r w:rsidRPr="00230E55">
        <w:rPr>
          <w:rStyle w:val="normaltextrun"/>
          <w:rFonts w:cstheme="minorHAnsi"/>
          <w:b/>
          <w:bCs/>
        </w:rPr>
        <w:lastRenderedPageBreak/>
        <w:t>embed supportive systems</w:t>
      </w:r>
      <w:r w:rsidRPr="0047382C">
        <w:rPr>
          <w:rStyle w:val="normaltextrun"/>
          <w:rFonts w:cstheme="minorHAnsi"/>
        </w:rPr>
        <w:t xml:space="preserve"> to work smarter</w:t>
      </w:r>
      <w:r w:rsidRPr="0047382C">
        <w:rPr>
          <w:rStyle w:val="eop"/>
          <w:rFonts w:cstheme="minorHAnsi"/>
        </w:rPr>
        <w:t> </w:t>
      </w:r>
    </w:p>
    <w:p w14:paraId="679F5BEE" w14:textId="77777777" w:rsidR="00C92E01" w:rsidRPr="005153CD" w:rsidRDefault="00C92E01" w:rsidP="001359B8">
      <w:pPr>
        <w:pStyle w:val="ListNumber"/>
        <w:spacing w:before="120" w:after="160"/>
      </w:pPr>
      <w:r w:rsidRPr="00230E55">
        <w:rPr>
          <w:rStyle w:val="normaltextrun"/>
          <w:rFonts w:cstheme="minorHAnsi"/>
          <w:b/>
          <w:bCs/>
        </w:rPr>
        <w:t>collaborate meaningfully</w:t>
      </w:r>
      <w:r w:rsidRPr="0047382C">
        <w:rPr>
          <w:rStyle w:val="normaltextrun"/>
          <w:rFonts w:cstheme="minorHAnsi"/>
        </w:rPr>
        <w:t xml:space="preserve"> to build shared purpose and influence. </w:t>
      </w:r>
      <w:r w:rsidRPr="0047382C">
        <w:rPr>
          <w:rStyle w:val="eop"/>
          <w:rFonts w:cstheme="minorHAnsi"/>
        </w:rPr>
        <w:t> </w:t>
      </w:r>
    </w:p>
    <w:p w14:paraId="679697CB" w14:textId="56D89FF9" w:rsidR="00C92E01" w:rsidRPr="0047382C" w:rsidRDefault="00C92E01" w:rsidP="001359B8">
      <w:pPr>
        <w:spacing w:before="120" w:after="160"/>
        <w:rPr>
          <w:rFonts w:ascii="Times New Roman" w:hAnsi="Times New Roman"/>
          <w:sz w:val="18"/>
          <w:szCs w:val="18"/>
        </w:rPr>
      </w:pPr>
      <w:r w:rsidRPr="0047382C">
        <w:rPr>
          <w:rStyle w:val="normaltextrun"/>
          <w:rFonts w:cstheme="minorHAnsi"/>
        </w:rPr>
        <w:t>Over the </w:t>
      </w:r>
      <w:r w:rsidR="0032089F">
        <w:rPr>
          <w:rStyle w:val="normaltextrun"/>
          <w:rFonts w:cstheme="minorHAnsi"/>
        </w:rPr>
        <w:t>5</w:t>
      </w:r>
      <w:r>
        <w:rPr>
          <w:rStyle w:val="normaltextrun"/>
          <w:rFonts w:cstheme="minorHAnsi"/>
        </w:rPr>
        <w:t xml:space="preserve">-year </w:t>
      </w:r>
      <w:r w:rsidRPr="0047382C">
        <w:rPr>
          <w:rStyle w:val="normaltextrun"/>
          <w:rFonts w:cstheme="minorHAnsi"/>
        </w:rPr>
        <w:t>term of the</w:t>
      </w:r>
      <w:r>
        <w:rPr>
          <w:rStyle w:val="normaltextrun"/>
          <w:rFonts w:cstheme="minorHAnsi"/>
        </w:rPr>
        <w:t xml:space="preserve"> Impact Strategy and</w:t>
      </w:r>
      <w:r w:rsidRPr="0047382C">
        <w:rPr>
          <w:rStyle w:val="normaltextrun"/>
          <w:rFonts w:cstheme="minorHAnsi"/>
        </w:rPr>
        <w:t xml:space="preserve"> Action Plan the </w:t>
      </w:r>
      <w:r w:rsidR="00200EA1">
        <w:rPr>
          <w:rStyle w:val="normaltextrun"/>
          <w:rFonts w:cstheme="minorHAnsi"/>
        </w:rPr>
        <w:t>d</w:t>
      </w:r>
      <w:r w:rsidRPr="0047382C">
        <w:rPr>
          <w:rStyle w:val="normaltextrun"/>
          <w:rFonts w:cstheme="minorHAnsi"/>
        </w:rPr>
        <w:t xml:space="preserve">epartment will </w:t>
      </w:r>
      <w:r>
        <w:rPr>
          <w:rStyle w:val="normaltextrun"/>
          <w:rFonts w:cstheme="minorHAnsi"/>
        </w:rPr>
        <w:t xml:space="preserve">continue to </w:t>
      </w:r>
      <w:r w:rsidR="009746AB">
        <w:rPr>
          <w:rStyle w:val="normaltextrun"/>
          <w:rFonts w:cstheme="minorHAnsi"/>
        </w:rPr>
        <w:t>respond to</w:t>
      </w:r>
      <w:r w:rsidR="009746AB" w:rsidRPr="0047382C">
        <w:rPr>
          <w:rStyle w:val="normaltextrun"/>
          <w:rFonts w:cstheme="minorHAnsi"/>
        </w:rPr>
        <w:t xml:space="preserve"> </w:t>
      </w:r>
      <w:r w:rsidRPr="0047382C">
        <w:rPr>
          <w:rStyle w:val="normaltextrun"/>
          <w:rFonts w:cstheme="minorHAnsi"/>
        </w:rPr>
        <w:t xml:space="preserve">challenges and opportunities </w:t>
      </w:r>
      <w:r w:rsidR="009746AB">
        <w:rPr>
          <w:rStyle w:val="normaltextrun"/>
          <w:rFonts w:cstheme="minorHAnsi"/>
        </w:rPr>
        <w:t>across</w:t>
      </w:r>
      <w:r w:rsidR="009746AB" w:rsidRPr="0047382C">
        <w:rPr>
          <w:rStyle w:val="normaltextrun"/>
          <w:rFonts w:cstheme="minorHAnsi"/>
        </w:rPr>
        <w:t xml:space="preserve"> </w:t>
      </w:r>
      <w:r w:rsidRPr="0047382C">
        <w:rPr>
          <w:rStyle w:val="normaltextrun"/>
          <w:rFonts w:cstheme="minorHAnsi"/>
        </w:rPr>
        <w:t xml:space="preserve">the social services </w:t>
      </w:r>
      <w:r w:rsidR="009746AB">
        <w:rPr>
          <w:rStyle w:val="normaltextrun"/>
          <w:rFonts w:cstheme="minorHAnsi"/>
        </w:rPr>
        <w:t>environment</w:t>
      </w:r>
      <w:r w:rsidRPr="0047382C">
        <w:rPr>
          <w:rStyle w:val="normaltextrun"/>
          <w:rFonts w:cstheme="minorHAnsi"/>
        </w:rPr>
        <w:t>, including changing community expectations, global disruption and emerging technologies.</w:t>
      </w:r>
      <w:r w:rsidR="00D779AD">
        <w:rPr>
          <w:rStyle w:val="normaltextrun"/>
          <w:rFonts w:cstheme="minorHAnsi"/>
        </w:rPr>
        <w:t xml:space="preserve"> </w:t>
      </w:r>
      <w:r w:rsidR="00D779AD" w:rsidRPr="00D366AF">
        <w:rPr>
          <w:rStyle w:val="normaltextrun"/>
          <w:rFonts w:cstheme="minorHAnsi"/>
        </w:rPr>
        <w:t>We will focus on continuing to build our priority capabilities to support our people to thrive in their roles and deliver meaningful impact for communities.</w:t>
      </w:r>
      <w:r w:rsidRPr="0047382C">
        <w:rPr>
          <w:rStyle w:val="normaltextrun"/>
          <w:rFonts w:cstheme="minorHAnsi"/>
        </w:rPr>
        <w:t> </w:t>
      </w:r>
      <w:r w:rsidRPr="0047382C">
        <w:rPr>
          <w:rStyle w:val="eop"/>
          <w:rFonts w:cstheme="minorHAnsi"/>
        </w:rPr>
        <w:t> </w:t>
      </w:r>
    </w:p>
    <w:p w14:paraId="2A4A5810" w14:textId="77777777" w:rsidR="00B11557" w:rsidRPr="004F0D2C" w:rsidRDefault="00CB1321" w:rsidP="004F0D2C">
      <w:pPr>
        <w:pStyle w:val="Heading3"/>
        <w:spacing w:before="240" w:after="120"/>
        <w:rPr>
          <w:rStyle w:val="Heading2Char"/>
          <w:sz w:val="32"/>
          <w:szCs w:val="32"/>
        </w:rPr>
      </w:pPr>
      <w:bookmarkStart w:id="28" w:name="_Toc238140548"/>
      <w:bookmarkStart w:id="29" w:name="_Toc238653272"/>
      <w:r w:rsidRPr="004F0D2C">
        <w:rPr>
          <w:rStyle w:val="Heading2Char"/>
          <w:sz w:val="32"/>
          <w:szCs w:val="32"/>
        </w:rPr>
        <w:t>Our planning and reporting framework</w:t>
      </w:r>
      <w:bookmarkEnd w:id="28"/>
      <w:bookmarkEnd w:id="29"/>
    </w:p>
    <w:p w14:paraId="5E821BCE" w14:textId="77777777" w:rsidR="00CB1321" w:rsidRPr="00ED76FE" w:rsidRDefault="00CB1321" w:rsidP="004F0D2C">
      <w:pPr>
        <w:spacing w:before="120" w:after="160"/>
      </w:pPr>
      <w:r w:rsidRPr="00ED76FE">
        <w:t xml:space="preserve">The </w:t>
      </w:r>
      <w:r>
        <w:t>d</w:t>
      </w:r>
      <w:r w:rsidRPr="00ED76FE">
        <w:t xml:space="preserve">epartment’s planning and reporting framework supports the delivery of our obligations under the </w:t>
      </w:r>
      <w:r w:rsidRPr="00ED76FE">
        <w:rPr>
          <w:i/>
          <w:iCs/>
        </w:rPr>
        <w:t>Public Governance, Performance and Accountability Act 2013 (PGPA Act)</w:t>
      </w:r>
      <w:r w:rsidRPr="00ED76FE">
        <w:t xml:space="preserve"> and ensures the business planning, performance measurement and budget processes are aligned.</w:t>
      </w:r>
    </w:p>
    <w:p w14:paraId="4071892C" w14:textId="77777777" w:rsidR="00CB1321" w:rsidRDefault="00CB1321" w:rsidP="004F0D2C">
      <w:pPr>
        <w:spacing w:before="120" w:after="160"/>
      </w:pPr>
      <w:r w:rsidRPr="00ED76FE">
        <w:t>Th</w:t>
      </w:r>
      <w:r>
        <w:t>is</w:t>
      </w:r>
      <w:r w:rsidRPr="00ED76FE">
        <w:t xml:space="preserve"> plan is our primary planning document. It integrates our outcomes, performance, priorities, and workplace values. Detailed group business plans and individual performance plans cascade down from the plan, providing the </w:t>
      </w:r>
      <w:r>
        <w:t>d</w:t>
      </w:r>
      <w:r w:rsidRPr="00ED76FE">
        <w:t>epartment with a clear line of sight between our purpose and performance. We measure and assess our performance in contributing to government policy objectives.</w:t>
      </w:r>
    </w:p>
    <w:p w14:paraId="254D2373" w14:textId="4E740A7B" w:rsidR="00A73FA3" w:rsidRPr="002F62DE" w:rsidRDefault="00A73FA3" w:rsidP="004F0D2C">
      <w:pPr>
        <w:pStyle w:val="Heading2"/>
        <w:rPr>
          <w:b/>
          <w:sz w:val="48"/>
          <w:szCs w:val="48"/>
        </w:rPr>
      </w:pPr>
      <w:bookmarkStart w:id="30" w:name="_Toc238140549"/>
      <w:bookmarkStart w:id="31" w:name="_Toc238653273"/>
      <w:r w:rsidRPr="002F62DE">
        <w:rPr>
          <w:sz w:val="48"/>
          <w:szCs w:val="48"/>
        </w:rPr>
        <w:t>Part two: Our operating context</w:t>
      </w:r>
      <w:bookmarkEnd w:id="30"/>
      <w:bookmarkEnd w:id="31"/>
    </w:p>
    <w:p w14:paraId="248EFDED" w14:textId="0E907E03" w:rsidR="00CB1321" w:rsidRPr="000545CF" w:rsidRDefault="00CB1321" w:rsidP="001A7D1D">
      <w:pPr>
        <w:pStyle w:val="Heading3"/>
        <w:spacing w:before="240" w:after="120"/>
      </w:pPr>
      <w:bookmarkStart w:id="32" w:name="_Toc238653274"/>
      <w:r w:rsidRPr="00680CB8">
        <w:t>Our environment</w:t>
      </w:r>
      <w:bookmarkEnd w:id="32"/>
    </w:p>
    <w:p w14:paraId="1CB025D2" w14:textId="5712B2D5" w:rsidR="00CB1321" w:rsidRPr="00707F30" w:rsidRDefault="00CB1321" w:rsidP="001A7D1D">
      <w:pPr>
        <w:spacing w:before="120" w:after="160"/>
        <w:rPr>
          <w:lang w:eastAsia="en-AU"/>
        </w:rPr>
      </w:pPr>
      <w:r w:rsidRPr="00705235">
        <w:rPr>
          <w:lang w:eastAsia="en-AU"/>
        </w:rPr>
        <w:t xml:space="preserve">Australia </w:t>
      </w:r>
      <w:r w:rsidR="005F49E8">
        <w:rPr>
          <w:lang w:eastAsia="en-AU"/>
        </w:rPr>
        <w:t>is facing complex and rapid challenges</w:t>
      </w:r>
      <w:r>
        <w:rPr>
          <w:lang w:eastAsia="en-AU"/>
        </w:rPr>
        <w:t xml:space="preserve">. </w:t>
      </w:r>
      <w:r w:rsidR="005F49E8">
        <w:rPr>
          <w:lang w:eastAsia="en-AU"/>
        </w:rPr>
        <w:t>The social security system is dealing with increased demand for support</w:t>
      </w:r>
      <w:r w:rsidR="005F49E8">
        <w:rPr>
          <w:rStyle w:val="FootnoteReference"/>
          <w:lang w:eastAsia="en-AU"/>
        </w:rPr>
        <w:footnoteReference w:id="2"/>
      </w:r>
      <w:r w:rsidR="005F49E8">
        <w:rPr>
          <w:lang w:eastAsia="en-AU"/>
        </w:rPr>
        <w:t xml:space="preserve"> and governments must find new ways </w:t>
      </w:r>
      <w:r w:rsidRPr="00705235">
        <w:rPr>
          <w:lang w:eastAsia="en-AU"/>
        </w:rPr>
        <w:t>to deliver lasting outcomes for communities.</w:t>
      </w:r>
      <w:r>
        <w:rPr>
          <w:lang w:eastAsia="en-AU"/>
        </w:rPr>
        <w:t xml:space="preserve"> </w:t>
      </w:r>
      <w:r w:rsidRPr="00705235">
        <w:rPr>
          <w:lang w:eastAsia="en-AU"/>
        </w:rPr>
        <w:t>Government policies and programs have an important role</w:t>
      </w:r>
      <w:r w:rsidR="00BF3370">
        <w:rPr>
          <w:lang w:eastAsia="en-AU"/>
        </w:rPr>
        <w:t xml:space="preserve"> to play</w:t>
      </w:r>
      <w:r w:rsidRPr="00705235">
        <w:rPr>
          <w:lang w:eastAsia="en-AU"/>
        </w:rPr>
        <w:t xml:space="preserve"> in building</w:t>
      </w:r>
      <w:r w:rsidR="0042466D">
        <w:rPr>
          <w:lang w:eastAsia="en-AU"/>
        </w:rPr>
        <w:t xml:space="preserve"> individual and community</w:t>
      </w:r>
      <w:r w:rsidRPr="00705235">
        <w:rPr>
          <w:lang w:eastAsia="en-AU"/>
        </w:rPr>
        <w:t xml:space="preserve"> resilience</w:t>
      </w:r>
      <w:r w:rsidR="005F49E8">
        <w:rPr>
          <w:lang w:eastAsia="en-AU"/>
        </w:rPr>
        <w:t xml:space="preserve"> and social cohesion</w:t>
      </w:r>
      <w:r w:rsidR="0042466D">
        <w:rPr>
          <w:lang w:eastAsia="en-AU"/>
        </w:rPr>
        <w:t xml:space="preserve">. They also have a critical function in </w:t>
      </w:r>
      <w:r w:rsidR="00BF3370">
        <w:rPr>
          <w:lang w:eastAsia="en-AU"/>
        </w:rPr>
        <w:t xml:space="preserve">enabling people to take </w:t>
      </w:r>
      <w:r w:rsidR="005F49E8">
        <w:rPr>
          <w:lang w:eastAsia="en-AU"/>
        </w:rPr>
        <w:t xml:space="preserve">the </w:t>
      </w:r>
      <w:r w:rsidR="00BF3370">
        <w:rPr>
          <w:lang w:eastAsia="en-AU"/>
        </w:rPr>
        <w:t>opportunities</w:t>
      </w:r>
      <w:r w:rsidR="00E75CEA">
        <w:rPr>
          <w:lang w:eastAsia="en-AU"/>
        </w:rPr>
        <w:t xml:space="preserve"> </w:t>
      </w:r>
      <w:r w:rsidR="0042466D">
        <w:rPr>
          <w:lang w:eastAsia="en-AU"/>
        </w:rPr>
        <w:t xml:space="preserve">which </w:t>
      </w:r>
      <w:r w:rsidR="005F49E8">
        <w:rPr>
          <w:lang w:eastAsia="en-AU"/>
        </w:rPr>
        <w:t xml:space="preserve">improve </w:t>
      </w:r>
      <w:r w:rsidR="0042466D">
        <w:rPr>
          <w:lang w:eastAsia="en-AU"/>
        </w:rPr>
        <w:t>their economic participation and social wellbeing.</w:t>
      </w:r>
      <w:r>
        <w:rPr>
          <w:lang w:eastAsia="en-AU"/>
        </w:rPr>
        <w:t xml:space="preserve"> </w:t>
      </w:r>
    </w:p>
    <w:p w14:paraId="2CA7B006" w14:textId="6020DC39" w:rsidR="00CB1321" w:rsidRPr="00707F30" w:rsidRDefault="00CB1321" w:rsidP="001A7D1D">
      <w:pPr>
        <w:spacing w:before="120" w:after="160"/>
        <w:rPr>
          <w:lang w:eastAsia="en-AU"/>
        </w:rPr>
      </w:pPr>
      <w:r>
        <w:rPr>
          <w:lang w:eastAsia="en-AU"/>
        </w:rPr>
        <w:t xml:space="preserve">As identified in our </w:t>
      </w:r>
      <w:r w:rsidRPr="00707F30">
        <w:rPr>
          <w:lang w:eastAsia="en-AU"/>
        </w:rPr>
        <w:t>Impact Strategy</w:t>
      </w:r>
      <w:r w:rsidR="005F49E8">
        <w:rPr>
          <w:rStyle w:val="FootnoteReference"/>
          <w:lang w:eastAsia="en-AU"/>
        </w:rPr>
        <w:footnoteReference w:id="3"/>
      </w:r>
      <w:r>
        <w:rPr>
          <w:lang w:eastAsia="en-AU"/>
        </w:rPr>
        <w:t xml:space="preserve">, the challenges and opportunities </w:t>
      </w:r>
      <w:r w:rsidRPr="00707F30">
        <w:rPr>
          <w:lang w:eastAsia="en-AU"/>
        </w:rPr>
        <w:t>in our environment, includ</w:t>
      </w:r>
      <w:r>
        <w:rPr>
          <w:lang w:eastAsia="en-AU"/>
        </w:rPr>
        <w:t>e</w:t>
      </w:r>
      <w:r w:rsidRPr="00707F30">
        <w:rPr>
          <w:lang w:eastAsia="en-AU"/>
        </w:rPr>
        <w:t>:</w:t>
      </w:r>
    </w:p>
    <w:p w14:paraId="38189BA4" w14:textId="77777777" w:rsidR="00CB1321" w:rsidRPr="001A7D1D" w:rsidRDefault="00CB1321" w:rsidP="006778D7">
      <w:pPr>
        <w:pStyle w:val="ListParagraph"/>
        <w:numPr>
          <w:ilvl w:val="0"/>
          <w:numId w:val="21"/>
        </w:numPr>
      </w:pPr>
      <w:r w:rsidRPr="001A7D1D">
        <w:t>widening inequality, across communities and generations</w:t>
      </w:r>
    </w:p>
    <w:p w14:paraId="2317A4AB" w14:textId="77777777" w:rsidR="00CB1321" w:rsidRPr="001A7D1D" w:rsidRDefault="00CB1321" w:rsidP="006778D7">
      <w:pPr>
        <w:pStyle w:val="ListParagraph"/>
        <w:numPr>
          <w:ilvl w:val="0"/>
          <w:numId w:val="21"/>
        </w:numPr>
      </w:pPr>
      <w:r w:rsidRPr="001A7D1D">
        <w:t>global disruption to culture, security and the economy</w:t>
      </w:r>
    </w:p>
    <w:p w14:paraId="5D14EF8A" w14:textId="77777777" w:rsidR="00CB1321" w:rsidRPr="001A7D1D" w:rsidRDefault="00CB1321" w:rsidP="006778D7">
      <w:pPr>
        <w:pStyle w:val="ListParagraph"/>
        <w:numPr>
          <w:ilvl w:val="0"/>
          <w:numId w:val="21"/>
        </w:numPr>
      </w:pPr>
      <w:r w:rsidRPr="001A7D1D">
        <w:t>declining public trust in government and institutions</w:t>
      </w:r>
    </w:p>
    <w:p w14:paraId="07365C8D" w14:textId="77777777" w:rsidR="00CB1321" w:rsidRPr="001A7D1D" w:rsidRDefault="00CB1321" w:rsidP="006778D7">
      <w:pPr>
        <w:pStyle w:val="ListParagraph"/>
        <w:numPr>
          <w:ilvl w:val="0"/>
          <w:numId w:val="21"/>
        </w:numPr>
      </w:pPr>
      <w:r w:rsidRPr="001A7D1D">
        <w:t>digital transformation, including use of AI and automation</w:t>
      </w:r>
    </w:p>
    <w:p w14:paraId="4B89316A" w14:textId="77777777" w:rsidR="00CB1321" w:rsidRPr="001A7D1D" w:rsidRDefault="00CB1321" w:rsidP="006778D7">
      <w:pPr>
        <w:pStyle w:val="ListParagraph"/>
        <w:numPr>
          <w:ilvl w:val="0"/>
          <w:numId w:val="21"/>
        </w:numPr>
      </w:pPr>
      <w:r w:rsidRPr="001A7D1D">
        <w:t>user expectations of supports tailored to need.</w:t>
      </w:r>
    </w:p>
    <w:p w14:paraId="69397F14" w14:textId="77777777" w:rsidR="00CB1321" w:rsidRPr="001A7D1D" w:rsidRDefault="00CB1321" w:rsidP="001A7D1D">
      <w:pPr>
        <w:pStyle w:val="Heading4"/>
        <w:spacing w:before="240" w:after="120"/>
        <w:rPr>
          <w:sz w:val="22"/>
          <w:szCs w:val="22"/>
        </w:rPr>
      </w:pPr>
      <w:r w:rsidRPr="001A7D1D">
        <w:rPr>
          <w:sz w:val="22"/>
          <w:szCs w:val="22"/>
        </w:rPr>
        <w:t>Widening inequality, across communities and generations</w:t>
      </w:r>
    </w:p>
    <w:p w14:paraId="21206DBC" w14:textId="0B3BBCA2" w:rsidR="00CB1321" w:rsidRDefault="005F49E8" w:rsidP="001A7D1D">
      <w:pPr>
        <w:spacing w:before="120" w:after="160"/>
      </w:pPr>
      <w:r>
        <w:t>If left unchecked, w</w:t>
      </w:r>
      <w:r w:rsidR="00CB1321" w:rsidRPr="005C6436">
        <w:t xml:space="preserve">idening inequality </w:t>
      </w:r>
      <w:r w:rsidR="00CB1321">
        <w:t>has the potential to</w:t>
      </w:r>
      <w:r w:rsidR="00CB1321" w:rsidRPr="005C6436">
        <w:t xml:space="preserve"> weaken social cohesion </w:t>
      </w:r>
      <w:r w:rsidR="00CB1321">
        <w:t>between</w:t>
      </w:r>
      <w:r w:rsidR="00CB1321" w:rsidRPr="005C6436">
        <w:t xml:space="preserve"> communities and generations. </w:t>
      </w:r>
      <w:r w:rsidR="001E2D3B">
        <w:t xml:space="preserve">Over the course of decades </w:t>
      </w:r>
      <w:r w:rsidR="001E2D3B">
        <w:rPr>
          <w:rFonts w:cstheme="minorHAnsi"/>
        </w:rPr>
        <w:t>c</w:t>
      </w:r>
      <w:r w:rsidR="00CB1321" w:rsidRPr="005C6436">
        <w:t>hanging household structures</w:t>
      </w:r>
      <w:r w:rsidR="00CB1321">
        <w:rPr>
          <w:rFonts w:cstheme="minorHAnsi"/>
        </w:rPr>
        <w:t xml:space="preserve">, </w:t>
      </w:r>
      <w:r w:rsidR="001E2D3B">
        <w:rPr>
          <w:rFonts w:cstheme="minorHAnsi"/>
        </w:rPr>
        <w:t xml:space="preserve">challenges with </w:t>
      </w:r>
      <w:r w:rsidR="00CB1321">
        <w:rPr>
          <w:rFonts w:cstheme="minorHAnsi"/>
        </w:rPr>
        <w:t>housing affordability</w:t>
      </w:r>
      <w:r w:rsidR="00CB1321" w:rsidRPr="005C6436">
        <w:rPr>
          <w:rFonts w:cstheme="minorHAnsi"/>
        </w:rPr>
        <w:t xml:space="preserve"> and </w:t>
      </w:r>
      <w:r w:rsidR="001E2D3B">
        <w:rPr>
          <w:rFonts w:cstheme="minorHAnsi"/>
        </w:rPr>
        <w:t xml:space="preserve">inflation can lead </w:t>
      </w:r>
      <w:proofErr w:type="gramStart"/>
      <w:r w:rsidR="001E2D3B">
        <w:rPr>
          <w:rFonts w:cstheme="minorHAnsi"/>
        </w:rPr>
        <w:t xml:space="preserve">to </w:t>
      </w:r>
      <w:r w:rsidR="00CB1321" w:rsidRPr="005C6436">
        <w:rPr>
          <w:rFonts w:cstheme="minorHAnsi"/>
        </w:rPr>
        <w:t xml:space="preserve"> pressure</w:t>
      </w:r>
      <w:proofErr w:type="gramEnd"/>
      <w:r w:rsidR="00CB1321" w:rsidRPr="005C6436">
        <w:rPr>
          <w:rFonts w:cstheme="minorHAnsi"/>
        </w:rPr>
        <w:t xml:space="preserve"> on families, carers and those living </w:t>
      </w:r>
      <w:r w:rsidR="00CB1321" w:rsidRPr="005C6436">
        <w:rPr>
          <w:rFonts w:cstheme="minorHAnsi"/>
        </w:rPr>
        <w:lastRenderedPageBreak/>
        <w:t>alone.</w:t>
      </w:r>
      <w:r w:rsidR="00CD4EE5">
        <w:rPr>
          <w:rFonts w:cstheme="minorHAnsi"/>
        </w:rPr>
        <w:t xml:space="preserve"> </w:t>
      </w:r>
      <w:r w:rsidR="001E2D3B">
        <w:t xml:space="preserve"> </w:t>
      </w:r>
      <w:r w:rsidR="00CB1321">
        <w:t>V</w:t>
      </w:r>
      <w:r w:rsidR="00CB1321" w:rsidRPr="005C6436">
        <w:t>ulnerable groups, including renters, single parents, young adults, people with disability and some regional communities</w:t>
      </w:r>
      <w:r w:rsidR="00CB1321" w:rsidRPr="000B3396">
        <w:t xml:space="preserve"> </w:t>
      </w:r>
      <w:r w:rsidR="00CB1321">
        <w:t xml:space="preserve">are </w:t>
      </w:r>
      <w:r w:rsidR="006A19A2">
        <w:t xml:space="preserve">likely to be </w:t>
      </w:r>
      <w:r w:rsidR="00CB1321">
        <w:t xml:space="preserve">hit </w:t>
      </w:r>
      <w:r w:rsidR="00CB1321" w:rsidRPr="005C6436">
        <w:t>hardest</w:t>
      </w:r>
      <w:r w:rsidR="006A19A2" w:rsidRPr="006A19A2">
        <w:rPr>
          <w:rStyle w:val="FootnoteReference"/>
        </w:rPr>
        <w:footnoteReference w:id="4"/>
      </w:r>
      <w:r w:rsidR="006A19A2" w:rsidRPr="006A19A2">
        <w:rPr>
          <w:vertAlign w:val="superscript"/>
        </w:rPr>
        <w:t>,</w:t>
      </w:r>
      <w:r w:rsidR="006A19A2" w:rsidRPr="006A19A2">
        <w:rPr>
          <w:rStyle w:val="FootnoteReference"/>
        </w:rPr>
        <w:footnoteReference w:id="5"/>
      </w:r>
      <w:r w:rsidR="00BE4407">
        <w:t>.</w:t>
      </w:r>
    </w:p>
    <w:p w14:paraId="3AD87DD6" w14:textId="3A500D79" w:rsidR="001E2D3B" w:rsidRDefault="001E2D3B" w:rsidP="001A7D1D">
      <w:pPr>
        <w:spacing w:before="120" w:after="160"/>
        <w:rPr>
          <w:rFonts w:cstheme="minorHAnsi"/>
        </w:rPr>
      </w:pPr>
      <w:r>
        <w:t>Recent government actions have sought to mitigate these trends, including increases to key income support payments, boosting housing supply, tax cuts, cheaper medicines and an expansion of Paid Parental Leave.</w:t>
      </w:r>
    </w:p>
    <w:p w14:paraId="10954DFB" w14:textId="3D08C35A" w:rsidR="0042466D" w:rsidRPr="00965D4B" w:rsidRDefault="001E2D3B" w:rsidP="001A7D1D">
      <w:pPr>
        <w:spacing w:before="120" w:after="160"/>
      </w:pPr>
      <w:r>
        <w:t>T</w:t>
      </w:r>
      <w:r w:rsidR="0042466D">
        <w:t xml:space="preserve">here have </w:t>
      </w:r>
      <w:proofErr w:type="gramStart"/>
      <w:r w:rsidR="0042466D">
        <w:t>been  signs</w:t>
      </w:r>
      <w:proofErr w:type="gramEnd"/>
      <w:r w:rsidR="0042466D">
        <w:t xml:space="preserve"> of improvement in</w:t>
      </w:r>
      <w:r w:rsidR="0042466D" w:rsidRPr="00FF2D2E">
        <w:t xml:space="preserve"> women’s workforce participation and First Nations employment. </w:t>
      </w:r>
      <w:r w:rsidR="0042466D" w:rsidRPr="00FF2D2E">
        <w:rPr>
          <w:lang w:eastAsia="en-AU"/>
        </w:rPr>
        <w:t>Women’s workforce participation has reached record highs of 63.5%</w:t>
      </w:r>
      <w:r w:rsidR="0042466D">
        <w:rPr>
          <w:lang w:eastAsia="en-AU"/>
        </w:rPr>
        <w:t>. T</w:t>
      </w:r>
      <w:r w:rsidR="0042466D" w:rsidRPr="00FF2D2E">
        <w:rPr>
          <w:lang w:eastAsia="en-AU"/>
        </w:rPr>
        <w:t xml:space="preserve">he trajectory </w:t>
      </w:r>
      <w:r w:rsidR="0042466D">
        <w:rPr>
          <w:lang w:eastAsia="en-AU"/>
        </w:rPr>
        <w:t>of</w:t>
      </w:r>
      <w:r w:rsidR="0042466D" w:rsidRPr="00FF2D2E">
        <w:rPr>
          <w:lang w:eastAsia="en-AU"/>
        </w:rPr>
        <w:t xml:space="preserve"> employment for First Nations peoples aged 25-64 (Closing the Gap - Outcome 8) is </w:t>
      </w:r>
      <w:r w:rsidR="0042466D">
        <w:rPr>
          <w:lang w:eastAsia="en-AU"/>
        </w:rPr>
        <w:t xml:space="preserve">promising – </w:t>
      </w:r>
      <w:r w:rsidR="0042466D" w:rsidRPr="00FF2D2E">
        <w:rPr>
          <w:lang w:eastAsia="en-AU"/>
        </w:rPr>
        <w:t xml:space="preserve">tracking towards the target rate of 62% by 2031. </w:t>
      </w:r>
      <w:r w:rsidR="0042466D">
        <w:t>However, c</w:t>
      </w:r>
      <w:r w:rsidR="0042466D" w:rsidRPr="00965D4B">
        <w:t xml:space="preserve">ontinued effort is needed to ensure that </w:t>
      </w:r>
      <w:r w:rsidR="0042466D">
        <w:t xml:space="preserve">progress continues and that </w:t>
      </w:r>
      <w:r w:rsidR="0042466D" w:rsidRPr="00965D4B">
        <w:t>these gains are broadly shared.</w:t>
      </w:r>
    </w:p>
    <w:p w14:paraId="741E868E" w14:textId="143B2C0A" w:rsidR="00CB1321" w:rsidRPr="00FF2D2E" w:rsidRDefault="001E2D3B" w:rsidP="001A7D1D">
      <w:pPr>
        <w:spacing w:before="120" w:after="160"/>
        <w:rPr>
          <w:rFonts w:eastAsiaTheme="minorEastAsia" w:cstheme="minorHAnsi"/>
          <w:szCs w:val="22"/>
          <w:lang w:eastAsia="en-AU"/>
        </w:rPr>
      </w:pPr>
      <w:r>
        <w:rPr>
          <w:rFonts w:eastAsiaTheme="minorEastAsia" w:cstheme="minorHAnsi"/>
          <w:szCs w:val="22"/>
          <w:lang w:eastAsia="en-AU"/>
        </w:rPr>
        <w:t>A</w:t>
      </w:r>
      <w:r w:rsidR="00CB1321" w:rsidRPr="00FF2D2E">
        <w:rPr>
          <w:rFonts w:eastAsiaTheme="minorEastAsia" w:cstheme="minorHAnsi"/>
          <w:szCs w:val="22"/>
          <w:lang w:eastAsia="en-AU"/>
        </w:rPr>
        <w:t>round 5.5 million people receive an income support payment, including over 1.4 million people on working age payments (</w:t>
      </w:r>
      <w:proofErr w:type="spellStart"/>
      <w:r w:rsidR="00CB1321" w:rsidRPr="00FF2D2E">
        <w:rPr>
          <w:rFonts w:eastAsiaTheme="minorEastAsia" w:cstheme="minorHAnsi"/>
          <w:szCs w:val="22"/>
          <w:lang w:eastAsia="en-AU"/>
        </w:rPr>
        <w:t>JobSeeker</w:t>
      </w:r>
      <w:proofErr w:type="spellEnd"/>
      <w:r w:rsidR="00CB1321" w:rsidRPr="00FF2D2E">
        <w:rPr>
          <w:rFonts w:eastAsiaTheme="minorEastAsia" w:cstheme="minorHAnsi"/>
          <w:szCs w:val="22"/>
          <w:lang w:eastAsia="en-AU"/>
        </w:rPr>
        <w:t xml:space="preserve"> Payment, Youth Allowance (other), Parenting Payment) and over 2.7 million on Age Pension and around 850</w:t>
      </w:r>
      <w:r w:rsidR="00A251AE">
        <w:rPr>
          <w:rFonts w:eastAsiaTheme="minorEastAsia" w:cstheme="minorHAnsi"/>
          <w:szCs w:val="22"/>
          <w:lang w:eastAsia="en-AU"/>
        </w:rPr>
        <w:t>,000</w:t>
      </w:r>
      <w:r w:rsidR="00CB1321" w:rsidRPr="00FF2D2E">
        <w:rPr>
          <w:rFonts w:eastAsiaTheme="minorEastAsia" w:cstheme="minorHAnsi"/>
          <w:szCs w:val="22"/>
          <w:lang w:eastAsia="en-AU"/>
        </w:rPr>
        <w:t xml:space="preserve"> people who receive </w:t>
      </w:r>
      <w:r w:rsidR="00A251AE">
        <w:rPr>
          <w:rFonts w:eastAsiaTheme="minorEastAsia" w:cstheme="minorHAnsi"/>
          <w:szCs w:val="22"/>
          <w:lang w:eastAsia="en-AU"/>
        </w:rPr>
        <w:t>D</w:t>
      </w:r>
      <w:r w:rsidR="00CB1321" w:rsidRPr="00FF2D2E">
        <w:rPr>
          <w:rFonts w:eastAsiaTheme="minorEastAsia" w:cstheme="minorHAnsi"/>
          <w:szCs w:val="22"/>
          <w:lang w:eastAsia="en-AU"/>
        </w:rPr>
        <w:t xml:space="preserve">isability </w:t>
      </w:r>
      <w:r w:rsidR="00A251AE">
        <w:rPr>
          <w:rFonts w:eastAsiaTheme="minorEastAsia" w:cstheme="minorHAnsi"/>
          <w:szCs w:val="22"/>
          <w:lang w:eastAsia="en-AU"/>
        </w:rPr>
        <w:t>S</w:t>
      </w:r>
      <w:r w:rsidR="00CB1321" w:rsidRPr="00FF2D2E">
        <w:rPr>
          <w:rFonts w:eastAsiaTheme="minorEastAsia" w:cstheme="minorHAnsi"/>
          <w:szCs w:val="22"/>
          <w:lang w:eastAsia="en-AU"/>
        </w:rPr>
        <w:t xml:space="preserve">upport </w:t>
      </w:r>
      <w:r w:rsidR="00A251AE">
        <w:rPr>
          <w:rFonts w:eastAsiaTheme="minorEastAsia" w:cstheme="minorHAnsi"/>
          <w:szCs w:val="22"/>
          <w:lang w:eastAsia="en-AU"/>
        </w:rPr>
        <w:t>P</w:t>
      </w:r>
      <w:r w:rsidR="00CB1321" w:rsidRPr="00FF2D2E">
        <w:rPr>
          <w:rFonts w:eastAsiaTheme="minorEastAsia" w:cstheme="minorHAnsi"/>
          <w:szCs w:val="22"/>
          <w:lang w:eastAsia="en-AU"/>
        </w:rPr>
        <w:t xml:space="preserve">ension. </w:t>
      </w:r>
    </w:p>
    <w:p w14:paraId="32D122BC" w14:textId="3D153507" w:rsidR="00455F30" w:rsidRDefault="00053F9C" w:rsidP="001A7D1D">
      <w:pPr>
        <w:spacing w:before="120" w:after="160"/>
        <w:rPr>
          <w:rFonts w:eastAsiaTheme="minorEastAsia" w:cstheme="minorHAnsi"/>
          <w:szCs w:val="22"/>
          <w:lang w:eastAsia="en-AU"/>
        </w:rPr>
      </w:pPr>
      <w:r>
        <w:rPr>
          <w:rFonts w:eastAsiaTheme="minorEastAsia" w:cstheme="minorHAnsi"/>
          <w:szCs w:val="22"/>
          <w:lang w:eastAsia="en-AU"/>
        </w:rPr>
        <w:t>While unemployment remains at historic lows</w:t>
      </w:r>
      <w:r w:rsidR="00750F30">
        <w:rPr>
          <w:rStyle w:val="FootnoteReference"/>
          <w:rFonts w:eastAsiaTheme="minorEastAsia" w:cstheme="minorHAnsi"/>
          <w:szCs w:val="22"/>
          <w:lang w:eastAsia="en-AU"/>
        </w:rPr>
        <w:footnoteReference w:id="6"/>
      </w:r>
      <w:r>
        <w:rPr>
          <w:rFonts w:eastAsiaTheme="minorEastAsia" w:cstheme="minorHAnsi"/>
          <w:szCs w:val="22"/>
          <w:lang w:eastAsia="en-AU"/>
        </w:rPr>
        <w:t xml:space="preserve">, </w:t>
      </w:r>
      <w:r w:rsidR="00CB1321" w:rsidRPr="0050498E">
        <w:rPr>
          <w:rFonts w:eastAsiaTheme="minorEastAsia" w:cstheme="minorHAnsi"/>
          <w:szCs w:val="22"/>
          <w:lang w:eastAsia="en-AU"/>
        </w:rPr>
        <w:t xml:space="preserve">the number of people aged under 35 on unemployment benefits has grown by 40% since </w:t>
      </w:r>
      <w:r w:rsidR="004E15CA">
        <w:rPr>
          <w:rFonts w:eastAsiaTheme="minorEastAsia" w:cstheme="minorHAnsi"/>
          <w:szCs w:val="22"/>
          <w:lang w:eastAsia="en-AU"/>
        </w:rPr>
        <w:t>COVID</w:t>
      </w:r>
      <w:r w:rsidR="00020EEE">
        <w:rPr>
          <w:rFonts w:eastAsiaTheme="minorEastAsia" w:cstheme="minorHAnsi"/>
          <w:szCs w:val="22"/>
          <w:lang w:eastAsia="en-AU"/>
        </w:rPr>
        <w:t xml:space="preserve"> (March 2026 data)</w:t>
      </w:r>
      <w:r w:rsidR="00750F30" w:rsidRPr="00750F30">
        <w:rPr>
          <w:rStyle w:val="FootnoteReference"/>
          <w:rFonts w:eastAsiaTheme="minorEastAsia"/>
          <w:lang w:eastAsia="en-AU"/>
        </w:rPr>
        <w:footnoteReference w:id="7"/>
      </w:r>
      <w:r w:rsidR="00CB1321" w:rsidRPr="0050498E">
        <w:rPr>
          <w:rFonts w:eastAsiaTheme="minorEastAsia" w:cstheme="minorHAnsi"/>
          <w:szCs w:val="22"/>
          <w:lang w:eastAsia="en-AU"/>
        </w:rPr>
        <w:t>.</w:t>
      </w:r>
      <w:r w:rsidR="00CB1321">
        <w:rPr>
          <w:rFonts w:eastAsiaTheme="minorEastAsia" w:cstheme="minorHAnsi"/>
          <w:szCs w:val="22"/>
          <w:lang w:eastAsia="en-AU"/>
        </w:rPr>
        <w:t xml:space="preserve"> </w:t>
      </w:r>
      <w:r w:rsidR="004E15CA">
        <w:rPr>
          <w:rFonts w:eastAsiaTheme="minorEastAsia" w:cstheme="minorHAnsi"/>
          <w:szCs w:val="22"/>
          <w:lang w:eastAsia="en-AU"/>
        </w:rPr>
        <w:t xml:space="preserve">This trend points to a range of factors that can affect workforce participation among younger people, including labour market transitions, the impact of COVID on skills formation and the changing nature of work. </w:t>
      </w:r>
    </w:p>
    <w:p w14:paraId="3D41AA5E" w14:textId="1C2E4538" w:rsidR="00CB1321" w:rsidRPr="00FC6D3B" w:rsidRDefault="00CB1321" w:rsidP="001A7D1D">
      <w:pPr>
        <w:spacing w:before="120" w:after="160"/>
        <w:rPr>
          <w:rFonts w:eastAsiaTheme="minorEastAsia" w:cstheme="minorHAnsi"/>
          <w:szCs w:val="22"/>
          <w:lang w:eastAsia="en-AU"/>
        </w:rPr>
      </w:pPr>
      <w:r>
        <w:t xml:space="preserve">Ensuring that people with disability </w:t>
      </w:r>
      <w:proofErr w:type="gramStart"/>
      <w:r>
        <w:t>are able to</w:t>
      </w:r>
      <w:proofErr w:type="gramEnd"/>
      <w:r>
        <w:t xml:space="preserve"> access sustained and meaningful work is a priority. </w:t>
      </w:r>
      <w:r w:rsidRPr="00A739D9">
        <w:t xml:space="preserve">In 2022, 60.5% of people aged 15–64 years with disability were in the labour force, compared with 84.9% of those without disability. </w:t>
      </w:r>
      <w:r>
        <w:t xml:space="preserve">Additionally, </w:t>
      </w:r>
      <w:r w:rsidRPr="00A739D9">
        <w:t>people aged 15–64 with disability were more than twice as likely to be unemployed than those without disability</w:t>
      </w:r>
      <w:r>
        <w:t>.</w:t>
      </w:r>
    </w:p>
    <w:p w14:paraId="1B31AC85" w14:textId="49D87221" w:rsidR="00CB1321" w:rsidRDefault="00CB1321" w:rsidP="001A7D1D">
      <w:pPr>
        <w:spacing w:before="120" w:after="160"/>
        <w:rPr>
          <w:rFonts w:eastAsiaTheme="minorEastAsia" w:cstheme="minorHAnsi"/>
          <w:szCs w:val="22"/>
          <w:lang w:eastAsia="en-AU"/>
        </w:rPr>
      </w:pPr>
      <w:r>
        <w:rPr>
          <w:rFonts w:eastAsiaTheme="minorEastAsia" w:cstheme="minorHAnsi"/>
          <w:szCs w:val="22"/>
          <w:lang w:eastAsia="en-AU"/>
        </w:rPr>
        <w:t xml:space="preserve">Australia’s extensive and targeted social security system </w:t>
      </w:r>
      <w:r w:rsidR="00750F30">
        <w:rPr>
          <w:rFonts w:eastAsiaTheme="minorEastAsia" w:cstheme="minorHAnsi"/>
          <w:szCs w:val="22"/>
          <w:lang w:eastAsia="en-AU"/>
        </w:rPr>
        <w:t xml:space="preserve">provides </w:t>
      </w:r>
      <w:r>
        <w:rPr>
          <w:rFonts w:eastAsiaTheme="minorEastAsia" w:cstheme="minorHAnsi"/>
          <w:szCs w:val="22"/>
          <w:lang w:eastAsia="en-AU"/>
        </w:rPr>
        <w:t xml:space="preserve">strong </w:t>
      </w:r>
      <w:r w:rsidR="00A251AE">
        <w:rPr>
          <w:rFonts w:eastAsiaTheme="minorEastAsia" w:cstheme="minorHAnsi"/>
          <w:szCs w:val="22"/>
          <w:lang w:eastAsia="en-AU"/>
        </w:rPr>
        <w:t>support</w:t>
      </w:r>
      <w:r>
        <w:rPr>
          <w:rFonts w:eastAsiaTheme="minorEastAsia" w:cstheme="minorHAnsi"/>
          <w:szCs w:val="22"/>
          <w:lang w:eastAsia="en-AU"/>
        </w:rPr>
        <w:t xml:space="preserve"> for those unable to support themselves due to </w:t>
      </w:r>
      <w:r w:rsidRPr="008809D5">
        <w:rPr>
          <w:rFonts w:eastAsiaTheme="minorEastAsia" w:cstheme="minorHAnsi"/>
          <w:szCs w:val="22"/>
          <w:lang w:eastAsia="en-AU"/>
        </w:rPr>
        <w:t>age, disability, caring responsibilities or unemployment.</w:t>
      </w:r>
    </w:p>
    <w:p w14:paraId="64500B2B" w14:textId="77777777" w:rsidR="001521BF" w:rsidRPr="001A7D1D" w:rsidRDefault="001521BF" w:rsidP="001A7D1D">
      <w:pPr>
        <w:pStyle w:val="Heading4"/>
        <w:spacing w:before="240" w:after="120"/>
        <w:rPr>
          <w:sz w:val="22"/>
          <w:szCs w:val="22"/>
        </w:rPr>
      </w:pPr>
      <w:r w:rsidRPr="001A7D1D">
        <w:rPr>
          <w:sz w:val="22"/>
          <w:szCs w:val="22"/>
        </w:rPr>
        <w:t>Global disruption to culture, security and the economy</w:t>
      </w:r>
    </w:p>
    <w:p w14:paraId="6DC950C0" w14:textId="28DCE339" w:rsidR="001521BF" w:rsidRPr="00CB4597" w:rsidRDefault="00A251AE" w:rsidP="001A7D1D">
      <w:pPr>
        <w:spacing w:before="120" w:after="160"/>
      </w:pPr>
      <w:r>
        <w:t xml:space="preserve">Global </w:t>
      </w:r>
      <w:r w:rsidR="00053F9C">
        <w:t>g</w:t>
      </w:r>
      <w:r w:rsidR="001521BF" w:rsidRPr="00CB4597">
        <w:t xml:space="preserve">eopolitical tensions and structural volatility are disrupting supply chains, affecting fuel and food prices, </w:t>
      </w:r>
      <w:proofErr w:type="gramStart"/>
      <w:r w:rsidR="001E2D3B">
        <w:t xml:space="preserve">impacting </w:t>
      </w:r>
      <w:r w:rsidR="001521BF" w:rsidRPr="00CB4597">
        <w:t xml:space="preserve"> economic</w:t>
      </w:r>
      <w:proofErr w:type="gramEnd"/>
      <w:r w:rsidR="001521BF" w:rsidRPr="00CB4597">
        <w:t xml:space="preserve"> growth and contributing to cost-of-living pressures, which often have a disproportionate impact on lower-income households. </w:t>
      </w:r>
    </w:p>
    <w:p w14:paraId="5F2BD7AD" w14:textId="1A0D0BA1" w:rsidR="001521BF" w:rsidRPr="00CB4597" w:rsidRDefault="001521BF" w:rsidP="001A7D1D">
      <w:pPr>
        <w:spacing w:before="120" w:after="160"/>
      </w:pPr>
      <w:r w:rsidRPr="00CB4597">
        <w:t xml:space="preserve">Climate change and natural disasters pose risks to housing, livelihoods, food and water security, and access to affordable insurance. These impacts are often greatest for communities that are already vulnerable. At the same time, the transition to </w:t>
      </w:r>
      <w:r w:rsidR="001E2D3B">
        <w:t xml:space="preserve">renewable energy </w:t>
      </w:r>
      <w:r w:rsidRPr="00CB4597">
        <w:t xml:space="preserve">is reshaping industries, jobs and regions. </w:t>
      </w:r>
    </w:p>
    <w:p w14:paraId="2FFDE07D" w14:textId="0183EF11" w:rsidR="001521BF" w:rsidRPr="00CB4597" w:rsidRDefault="001521BF" w:rsidP="001A7D1D">
      <w:pPr>
        <w:spacing w:before="120" w:after="160"/>
      </w:pPr>
      <w:r w:rsidRPr="00CB4597">
        <w:lastRenderedPageBreak/>
        <w:t xml:space="preserve">Community expectations are increasingly influenced by transnational ideas and forms of expression, which are disseminated and amplified through social media in an increasingly connected world. </w:t>
      </w:r>
    </w:p>
    <w:p w14:paraId="61B311CF" w14:textId="77777777" w:rsidR="001521BF" w:rsidRPr="001A7D1D" w:rsidRDefault="001521BF" w:rsidP="001A7D1D">
      <w:pPr>
        <w:pStyle w:val="Heading4"/>
        <w:spacing w:before="240" w:after="120"/>
        <w:rPr>
          <w:sz w:val="22"/>
          <w:szCs w:val="22"/>
        </w:rPr>
      </w:pPr>
      <w:r w:rsidRPr="001A7D1D">
        <w:rPr>
          <w:sz w:val="22"/>
          <w:szCs w:val="22"/>
        </w:rPr>
        <w:t>Declining public trust in government and institutions</w:t>
      </w:r>
    </w:p>
    <w:p w14:paraId="1859E97C" w14:textId="432DB3F0" w:rsidR="001521BF" w:rsidRPr="0008520D" w:rsidRDefault="001521BF" w:rsidP="001A7D1D">
      <w:pPr>
        <w:spacing w:before="120" w:after="160"/>
      </w:pPr>
      <w:r w:rsidRPr="0008520D">
        <w:t xml:space="preserve">Trust in government and public institutions </w:t>
      </w:r>
      <w:proofErr w:type="gramStart"/>
      <w:r w:rsidR="001E2D3B">
        <w:t xml:space="preserve">remains </w:t>
      </w:r>
      <w:r w:rsidRPr="0008520D">
        <w:t xml:space="preserve"> under</w:t>
      </w:r>
      <w:proofErr w:type="gramEnd"/>
      <w:r w:rsidRPr="0008520D">
        <w:t xml:space="preserve"> pressure due to rapid change, misinformation, social polarisation</w:t>
      </w:r>
      <w:r w:rsidR="001E2D3B">
        <w:t xml:space="preserve"> and</w:t>
      </w:r>
      <w:r w:rsidRPr="0008520D">
        <w:t xml:space="preserve"> fragmented information sources</w:t>
      </w:r>
      <w:r w:rsidR="001E2D3B">
        <w:rPr>
          <w:rStyle w:val="FootnoteReference"/>
        </w:rPr>
        <w:footnoteReference w:id="8"/>
      </w:r>
      <w:r w:rsidR="001E2D3B">
        <w:t xml:space="preserve">. </w:t>
      </w:r>
      <w:r w:rsidRPr="0008520D">
        <w:t xml:space="preserve">Government’s role as a reliable and authoritative source of information </w:t>
      </w:r>
      <w:r w:rsidR="001E2D3B">
        <w:t xml:space="preserve">and its ability to reach Australians </w:t>
      </w:r>
      <w:r w:rsidRPr="0008520D">
        <w:t>is increasingly important</w:t>
      </w:r>
      <w:r w:rsidR="00D638F8">
        <w:t>.</w:t>
      </w:r>
    </w:p>
    <w:p w14:paraId="4C5EF670" w14:textId="77777777" w:rsidR="001521BF" w:rsidRDefault="001521BF" w:rsidP="001A7D1D">
      <w:pPr>
        <w:spacing w:before="120" w:after="160"/>
      </w:pPr>
      <w:r w:rsidRPr="0008520D">
        <w:t>Effective responses to complex social issues, including family, domestic and sexual violence, are critical to maintaining public confidence in government. This includes ensuring that engagement with external stakeholders is transparent</w:t>
      </w:r>
      <w:r>
        <w:t xml:space="preserve"> and</w:t>
      </w:r>
      <w:r w:rsidRPr="0008520D">
        <w:t xml:space="preserve"> inclusive.</w:t>
      </w:r>
    </w:p>
    <w:p w14:paraId="398529D2" w14:textId="77777777" w:rsidR="001E2D3B" w:rsidRDefault="001E2D3B" w:rsidP="001E2D3B">
      <w:pPr>
        <w:spacing w:before="120" w:after="160"/>
      </w:pPr>
      <w:r w:rsidRPr="00163DB1">
        <w:t>This has been reflected in how the department undertakes best practice policy engagement, for example development of the Second Action Plan under the National Plan to End Violence Against Women and Children 2022-2032 has included more than 160 roundtables nationwide with frontline services and victim-survivors.</w:t>
      </w:r>
    </w:p>
    <w:p w14:paraId="72210FF6" w14:textId="2E27CC1E" w:rsidR="001521BF" w:rsidRPr="0008520D" w:rsidRDefault="00A25C2C" w:rsidP="001A7D1D">
      <w:pPr>
        <w:spacing w:before="120" w:after="160"/>
      </w:pPr>
      <w:r>
        <w:t xml:space="preserve">Labour market inclusion is also important to ensure institutional trust. </w:t>
      </w:r>
      <w:r w:rsidR="001521BF" w:rsidRPr="0008520D">
        <w:t>Although unemployment remains relatively</w:t>
      </w:r>
      <w:r w:rsidR="00D638F8">
        <w:t xml:space="preserve"> low</w:t>
      </w:r>
      <w:r w:rsidR="001521BF" w:rsidRPr="0008520D">
        <w:t xml:space="preserve">, many vulnerable cohorts require additional support to overcome barriers to participation. </w:t>
      </w:r>
      <w:r>
        <w:t xml:space="preserve">As part of the government’s response to this challenge, </w:t>
      </w:r>
      <w:r w:rsidR="004E15CA">
        <w:t>employment and support services are increasingly being delivered through partnerships with local organisations</w:t>
      </w:r>
      <w:r>
        <w:t xml:space="preserve"> and</w:t>
      </w:r>
      <w:r w:rsidR="00EB6E82">
        <w:t xml:space="preserve"> </w:t>
      </w:r>
      <w:r w:rsidR="004E15CA">
        <w:t xml:space="preserve">First Nations </w:t>
      </w:r>
      <w:proofErr w:type="gramStart"/>
      <w:r w:rsidR="004E15CA">
        <w:t>communities ,</w:t>
      </w:r>
      <w:proofErr w:type="gramEnd"/>
      <w:r w:rsidR="004E15CA">
        <w:t xml:space="preserve"> helping to provide more coordinated and place-based support.</w:t>
      </w:r>
    </w:p>
    <w:p w14:paraId="796E3212" w14:textId="77777777" w:rsidR="001521BF" w:rsidRPr="006245EA" w:rsidRDefault="001521BF" w:rsidP="001A7D1D">
      <w:pPr>
        <w:spacing w:before="120" w:after="160"/>
      </w:pPr>
      <w:r w:rsidRPr="0008520D">
        <w:t>These developments create opportunities to achieve better outcomes for communities. They also require greater coordination and consistency to ensure that people receive the support they need to overcome barriers.</w:t>
      </w:r>
    </w:p>
    <w:p w14:paraId="36022682" w14:textId="77777777" w:rsidR="00CB1321" w:rsidRPr="001A7D1D" w:rsidRDefault="00CB1321" w:rsidP="001A7D1D">
      <w:pPr>
        <w:pStyle w:val="Heading4"/>
        <w:spacing w:before="240" w:after="120"/>
        <w:rPr>
          <w:sz w:val="22"/>
          <w:szCs w:val="22"/>
        </w:rPr>
      </w:pPr>
      <w:r w:rsidRPr="001A7D1D">
        <w:rPr>
          <w:sz w:val="22"/>
          <w:szCs w:val="22"/>
        </w:rPr>
        <w:t>Digital transformation, including use of AI and automation</w:t>
      </w:r>
    </w:p>
    <w:p w14:paraId="0B8C1129" w14:textId="721DF9A7" w:rsidR="00CB1321" w:rsidRDefault="00CB1321" w:rsidP="001A7D1D">
      <w:pPr>
        <w:spacing w:before="120" w:after="160"/>
      </w:pPr>
      <w:r w:rsidRPr="005C6436">
        <w:t>Digital transformation is reshaping the</w:t>
      </w:r>
      <w:r>
        <w:t xml:space="preserve"> </w:t>
      </w:r>
      <w:r w:rsidRPr="005C6436">
        <w:t>economy, government and service delivery, creating both opportunity and risk. AI and automation are expected to disrupt many jobs by 2030</w:t>
      </w:r>
      <w:r w:rsidR="003640AC" w:rsidRPr="003640AC">
        <w:rPr>
          <w:rStyle w:val="FootnoteReference"/>
        </w:rPr>
        <w:footnoteReference w:id="9"/>
      </w:r>
      <w:r w:rsidRPr="005C6436">
        <w:t xml:space="preserve">, with women and </w:t>
      </w:r>
      <w:r>
        <w:t xml:space="preserve">some </w:t>
      </w:r>
      <w:r w:rsidRPr="005C6436">
        <w:t xml:space="preserve">young </w:t>
      </w:r>
      <w:r>
        <w:t>and older</w:t>
      </w:r>
      <w:r w:rsidRPr="005C6436">
        <w:t xml:space="preserve"> people more exposed to displacement</w:t>
      </w:r>
      <w:r w:rsidR="003640AC" w:rsidRPr="003640AC">
        <w:rPr>
          <w:rStyle w:val="FootnoteReference"/>
        </w:rPr>
        <w:footnoteReference w:id="10"/>
      </w:r>
      <w:r w:rsidR="003640AC" w:rsidRPr="003640AC">
        <w:rPr>
          <w:vertAlign w:val="superscript"/>
        </w:rPr>
        <w:t>,</w:t>
      </w:r>
      <w:r w:rsidR="003640AC" w:rsidRPr="003640AC">
        <w:rPr>
          <w:rStyle w:val="FootnoteReference"/>
        </w:rPr>
        <w:footnoteReference w:id="11"/>
      </w:r>
      <w:r w:rsidRPr="005C6436">
        <w:t xml:space="preserve">. At the same time, digital-first government services are raising expectations for faster, more seamless and user-centred experiences. </w:t>
      </w:r>
    </w:p>
    <w:p w14:paraId="177B13C2" w14:textId="41F2E4B0" w:rsidR="00EB6E82" w:rsidRDefault="00CB1321" w:rsidP="001A7D1D">
      <w:pPr>
        <w:spacing w:before="120" w:after="160"/>
      </w:pPr>
      <w:r w:rsidRPr="005C6436">
        <w:t xml:space="preserve">To deliver </w:t>
      </w:r>
      <w:r>
        <w:t>effective services</w:t>
      </w:r>
      <w:r w:rsidRPr="005C6436">
        <w:t xml:space="preserve">, governments must adapt systems, skills and policy while balancing innovation with inclusion. </w:t>
      </w:r>
      <w:r w:rsidR="00A25C2C">
        <w:t xml:space="preserve">The social security system touches the lives of Australians in </w:t>
      </w:r>
      <w:proofErr w:type="gramStart"/>
      <w:r w:rsidR="00A25C2C">
        <w:t>many different ways</w:t>
      </w:r>
      <w:proofErr w:type="gramEnd"/>
      <w:r w:rsidR="00A25C2C">
        <w:t>, and at different points of their lives.  It is important that user experience of the system evolves with technological change, while ensuring vulnerable cohorts with limited access to digital tools, capabilities and support ar</w:t>
      </w:r>
      <w:r w:rsidR="00AB5223">
        <w:t>e</w:t>
      </w:r>
      <w:r w:rsidR="00A25C2C">
        <w:t xml:space="preserve"> not le</w:t>
      </w:r>
      <w:r w:rsidR="00AB5223">
        <w:t>f</w:t>
      </w:r>
      <w:r w:rsidR="00A25C2C">
        <w:t xml:space="preserve">t behind. </w:t>
      </w:r>
    </w:p>
    <w:p w14:paraId="1E3C0BAE" w14:textId="77777777" w:rsidR="00EB6E82" w:rsidRDefault="00EB6E82">
      <w:pPr>
        <w:spacing w:after="240"/>
      </w:pPr>
      <w:r>
        <w:br w:type="page"/>
      </w:r>
    </w:p>
    <w:p w14:paraId="67B1C65A" w14:textId="77777777" w:rsidR="00CB1321" w:rsidRPr="001A7D1D" w:rsidRDefault="00CB1321" w:rsidP="001A7D1D">
      <w:pPr>
        <w:pStyle w:val="Heading4"/>
        <w:spacing w:before="240" w:after="120"/>
        <w:rPr>
          <w:sz w:val="22"/>
          <w:szCs w:val="22"/>
        </w:rPr>
      </w:pPr>
      <w:r w:rsidRPr="001A7D1D">
        <w:rPr>
          <w:sz w:val="22"/>
          <w:szCs w:val="22"/>
        </w:rPr>
        <w:lastRenderedPageBreak/>
        <w:t>User expectations of supports tailored to need</w:t>
      </w:r>
    </w:p>
    <w:p w14:paraId="2A135279" w14:textId="2E35701A" w:rsidR="00CB1321" w:rsidRDefault="00CB1321" w:rsidP="001A7D1D">
      <w:pPr>
        <w:spacing w:before="120" w:after="160"/>
      </w:pPr>
      <w:r w:rsidRPr="005C6436">
        <w:t xml:space="preserve">Australians increasingly expect social supports that are personalised, accessible and easy to navigate. Demand is growing for more holistic, responsive services that reflect people’s diverse and intersecting needs. </w:t>
      </w:r>
    </w:p>
    <w:p w14:paraId="33A8CBCC" w14:textId="3FCFBFAD" w:rsidR="00A25C2C" w:rsidRDefault="00CB1321" w:rsidP="00A25C2C">
      <w:pPr>
        <w:spacing w:before="120" w:after="160"/>
        <w:rPr>
          <w:lang w:eastAsia="en-AU"/>
        </w:rPr>
      </w:pPr>
      <w:r w:rsidRPr="005C6436">
        <w:t>As demographic pressures grow</w:t>
      </w:r>
      <w:r>
        <w:rPr>
          <w:lang w:eastAsia="en-AU"/>
        </w:rPr>
        <w:t xml:space="preserve">, the </w:t>
      </w:r>
      <w:r w:rsidR="00602666">
        <w:rPr>
          <w:lang w:eastAsia="en-AU"/>
        </w:rPr>
        <w:t>d</w:t>
      </w:r>
      <w:r>
        <w:rPr>
          <w:lang w:eastAsia="en-AU"/>
        </w:rPr>
        <w:t xml:space="preserve">epartment </w:t>
      </w:r>
      <w:r w:rsidRPr="00A165B4">
        <w:rPr>
          <w:lang w:eastAsia="en-AU"/>
        </w:rPr>
        <w:t xml:space="preserve">must remain responsive to demand for services and </w:t>
      </w:r>
      <w:r>
        <w:rPr>
          <w:lang w:eastAsia="en-AU"/>
        </w:rPr>
        <w:t>effective targeting of</w:t>
      </w:r>
      <w:r w:rsidRPr="00A165B4">
        <w:rPr>
          <w:lang w:eastAsia="en-AU"/>
        </w:rPr>
        <w:t xml:space="preserve"> social security </w:t>
      </w:r>
      <w:r>
        <w:rPr>
          <w:lang w:eastAsia="en-AU"/>
        </w:rPr>
        <w:t>payments and assistance</w:t>
      </w:r>
      <w:r w:rsidRPr="00A165B4">
        <w:rPr>
          <w:lang w:eastAsia="en-AU"/>
        </w:rPr>
        <w:t xml:space="preserve">. </w:t>
      </w:r>
    </w:p>
    <w:p w14:paraId="06EE711B" w14:textId="45E66B22" w:rsidR="00614697" w:rsidRDefault="00CB1321" w:rsidP="00A25C2C">
      <w:pPr>
        <w:spacing w:before="120" w:after="160"/>
        <w:rPr>
          <w:lang w:eastAsia="en-AU"/>
        </w:rPr>
      </w:pPr>
      <w:r w:rsidRPr="00A165B4">
        <w:rPr>
          <w:lang w:eastAsia="en-AU"/>
        </w:rPr>
        <w:t xml:space="preserve">Future productivity will depend on strategic </w:t>
      </w:r>
      <w:r>
        <w:rPr>
          <w:lang w:eastAsia="en-AU"/>
        </w:rPr>
        <w:t xml:space="preserve">collaboration and </w:t>
      </w:r>
      <w:r w:rsidRPr="00A165B4">
        <w:rPr>
          <w:lang w:eastAsia="en-AU"/>
        </w:rPr>
        <w:t>investment in social services</w:t>
      </w:r>
      <w:r>
        <w:rPr>
          <w:lang w:eastAsia="en-AU"/>
        </w:rPr>
        <w:t xml:space="preserve"> across employment,</w:t>
      </w:r>
      <w:r w:rsidRPr="00A165B4">
        <w:rPr>
          <w:lang w:eastAsia="en-AU"/>
        </w:rPr>
        <w:t> health and education, to support all Australians to fulfil their potential.</w:t>
      </w:r>
    </w:p>
    <w:p w14:paraId="3AD14DCB" w14:textId="77777777" w:rsidR="00614697" w:rsidRDefault="00614697">
      <w:pPr>
        <w:spacing w:after="240"/>
        <w:rPr>
          <w:lang w:eastAsia="en-AU"/>
        </w:rPr>
      </w:pPr>
      <w:r>
        <w:rPr>
          <w:lang w:eastAsia="en-AU"/>
        </w:rPr>
        <w:br w:type="page"/>
      </w:r>
    </w:p>
    <w:p w14:paraId="1613D458" w14:textId="0B73D644" w:rsidR="00D3565B" w:rsidRPr="000545CF" w:rsidRDefault="009D2B65" w:rsidP="001A7D1D">
      <w:pPr>
        <w:pStyle w:val="Heading3"/>
        <w:spacing w:before="240" w:after="120"/>
        <w:rPr>
          <w:b/>
          <w:color w:val="auto"/>
          <w:sz w:val="20"/>
          <w:szCs w:val="20"/>
        </w:rPr>
      </w:pPr>
      <w:bookmarkStart w:id="33" w:name="_Toc238653275"/>
      <w:r w:rsidRPr="00680CB8">
        <w:lastRenderedPageBreak/>
        <w:t>Key</w:t>
      </w:r>
      <w:r w:rsidR="00D3565B" w:rsidRPr="00680CB8">
        <w:t xml:space="preserve"> </w:t>
      </w:r>
      <w:r w:rsidRPr="00680CB8">
        <w:t>A</w:t>
      </w:r>
      <w:r w:rsidR="00D3565B" w:rsidRPr="00680CB8">
        <w:t>ctivities</w:t>
      </w:r>
      <w:bookmarkEnd w:id="33"/>
    </w:p>
    <w:p w14:paraId="6EED1FAB" w14:textId="6296E8D0" w:rsidR="00CB1321" w:rsidRDefault="00CB1321" w:rsidP="001A7D1D">
      <w:pPr>
        <w:spacing w:before="120" w:after="160"/>
        <w:rPr>
          <w:lang w:eastAsia="en-AU"/>
        </w:rPr>
      </w:pPr>
      <w:r w:rsidRPr="00FF2D2E">
        <w:rPr>
          <w:lang w:eastAsia="en-AU"/>
        </w:rPr>
        <w:t xml:space="preserve">The </w:t>
      </w:r>
      <w:r w:rsidR="00602666">
        <w:rPr>
          <w:lang w:eastAsia="en-AU"/>
        </w:rPr>
        <w:t>d</w:t>
      </w:r>
      <w:r w:rsidRPr="00FF2D2E">
        <w:rPr>
          <w:lang w:eastAsia="en-AU"/>
        </w:rPr>
        <w:t xml:space="preserve">epartment undertakes key activities that support the achievement of our priorities and purpose. Key activities are a function of our funded programs as outlined in the Portfolio Budget Statements. Details of our key activities are listed under each program in Part Three: Our performance section of this document. </w:t>
      </w:r>
      <w:r w:rsidRPr="00FF2D2E">
        <w:rPr>
          <w:rFonts w:eastAsia="Arial" w:cstheme="minorHAnsi"/>
          <w:spacing w:val="-2"/>
          <w:lang w:eastAsia="en-AU"/>
        </w:rPr>
        <w:t xml:space="preserve">These key activities </w:t>
      </w:r>
      <w:r w:rsidRPr="00FF2D2E">
        <w:rPr>
          <w:lang w:eastAsia="en-AU"/>
        </w:rPr>
        <w:t>are aligned to our Impact Strategy outcomes.</w:t>
      </w:r>
      <w:r>
        <w:rPr>
          <w:lang w:eastAsia="en-AU"/>
        </w:rPr>
        <w:t xml:space="preserve"> </w:t>
      </w:r>
    </w:p>
    <w:p w14:paraId="5C7E0701" w14:textId="35161C95" w:rsidR="00E935D9" w:rsidRDefault="00C4034D" w:rsidP="001A7D1D">
      <w:pPr>
        <w:spacing w:before="120" w:after="160"/>
        <w:rPr>
          <w:lang w:eastAsia="en-AU"/>
        </w:rPr>
        <w:sectPr w:rsidR="00E935D9" w:rsidSect="00E60D1A">
          <w:pgSz w:w="11906" w:h="16838"/>
          <w:pgMar w:top="851" w:right="851" w:bottom="1134" w:left="851" w:header="0" w:footer="281" w:gutter="0"/>
          <w:pgNumType w:start="1"/>
          <w:cols w:space="708"/>
          <w:titlePg/>
          <w:docGrid w:linePitch="360"/>
        </w:sectPr>
      </w:pPr>
      <w:r>
        <w:rPr>
          <w:lang w:eastAsia="en-AU"/>
        </w:rPr>
        <w:t xml:space="preserve">Figure </w:t>
      </w:r>
      <w:r w:rsidR="001A7D1D">
        <w:rPr>
          <w:lang w:eastAsia="en-AU"/>
        </w:rPr>
        <w:t>2</w:t>
      </w:r>
      <w:r w:rsidR="00085E52" w:rsidRPr="005153CD">
        <w:rPr>
          <w:lang w:eastAsia="en-AU"/>
        </w:rPr>
        <w:t xml:space="preserve"> </w:t>
      </w:r>
      <w:r w:rsidR="009D2B65" w:rsidRPr="005153CD">
        <w:rPr>
          <w:lang w:eastAsia="en-AU"/>
        </w:rPr>
        <w:t>below</w:t>
      </w:r>
      <w:r>
        <w:rPr>
          <w:lang w:eastAsia="en-AU"/>
        </w:rPr>
        <w:t xml:space="preserve"> lists ou</w:t>
      </w:r>
      <w:r w:rsidR="00B87CB4">
        <w:rPr>
          <w:lang w:eastAsia="en-AU"/>
        </w:rPr>
        <w:t>r</w:t>
      </w:r>
      <w:r>
        <w:rPr>
          <w:lang w:eastAsia="en-AU"/>
        </w:rPr>
        <w:t xml:space="preserve"> key activities and how they contribute either </w:t>
      </w:r>
      <w:r w:rsidR="00935CE2">
        <w:rPr>
          <w:lang w:eastAsia="en-AU"/>
        </w:rPr>
        <w:t xml:space="preserve">explicitly </w:t>
      </w:r>
      <w:r>
        <w:rPr>
          <w:lang w:eastAsia="en-AU"/>
        </w:rPr>
        <w:t xml:space="preserve">or </w:t>
      </w:r>
      <w:r w:rsidR="00935CE2">
        <w:rPr>
          <w:lang w:eastAsia="en-AU"/>
        </w:rPr>
        <w:t xml:space="preserve">partially </w:t>
      </w:r>
      <w:r w:rsidRPr="005153CD">
        <w:rPr>
          <w:lang w:eastAsia="en-AU"/>
        </w:rPr>
        <w:t xml:space="preserve">to the Impact Strategy </w:t>
      </w:r>
      <w:r>
        <w:rPr>
          <w:lang w:eastAsia="en-AU"/>
        </w:rPr>
        <w:t xml:space="preserve">policy </w:t>
      </w:r>
      <w:r w:rsidRPr="005153CD">
        <w:rPr>
          <w:lang w:eastAsia="en-AU"/>
        </w:rPr>
        <w:t>outcomes.</w:t>
      </w:r>
    </w:p>
    <w:p w14:paraId="680B3534" w14:textId="36EEB8C8" w:rsidR="001A7D1D" w:rsidRDefault="001A7D1D" w:rsidP="001A7D1D">
      <w:pPr>
        <w:pStyle w:val="Caption"/>
        <w:keepNext/>
        <w:rPr>
          <w:b w:val="0"/>
          <w:bCs w:val="0"/>
        </w:rPr>
      </w:pPr>
      <w:r>
        <w:lastRenderedPageBreak/>
        <w:t xml:space="preserve">Figure </w:t>
      </w:r>
      <w:fldSimple w:instr=" SEQ Figure \* ARABIC ">
        <w:r w:rsidR="002103DD">
          <w:rPr>
            <w:noProof/>
          </w:rPr>
          <w:t>2</w:t>
        </w:r>
      </w:fldSimple>
      <w:r w:rsidR="00FC79FA">
        <w:t>:</w:t>
      </w:r>
      <w:r>
        <w:t xml:space="preserve"> </w:t>
      </w:r>
      <w:r w:rsidRPr="001A7D1D">
        <w:rPr>
          <w:b w:val="0"/>
          <w:bCs w:val="0"/>
        </w:rPr>
        <w:t>Department of Social Service’s key activities and how they contribute to the Impact Strategy policy outcomes</w:t>
      </w:r>
    </w:p>
    <w:p w14:paraId="24C62143" w14:textId="77777777" w:rsidR="00935CE2" w:rsidRPr="00FC79FA" w:rsidRDefault="00935CE2" w:rsidP="00BF6FCE">
      <w:pPr>
        <w:spacing w:before="240" w:after="120"/>
        <w:rPr>
          <w:b/>
          <w:bCs/>
          <w:lang w:eastAsia="en-AU"/>
        </w:rPr>
      </w:pPr>
      <w:r w:rsidRPr="00FC79FA">
        <w:rPr>
          <w:b/>
          <w:bCs/>
          <w:lang w:eastAsia="en-AU"/>
        </w:rPr>
        <w:t>Legend</w:t>
      </w:r>
    </w:p>
    <w:p w14:paraId="5FF6D6E9" w14:textId="165FFE89" w:rsidR="00935CE2" w:rsidRPr="00BF6FCE" w:rsidRDefault="00935CE2" w:rsidP="00876B8E">
      <w:pPr>
        <w:ind w:left="720" w:hanging="360"/>
        <w:rPr>
          <w:rFonts w:eastAsiaTheme="minorEastAsia" w:cs="Arial"/>
          <w:szCs w:val="22"/>
          <w:lang w:eastAsia="en-AU"/>
        </w:rPr>
      </w:pPr>
      <w:r>
        <w:rPr>
          <w:rFonts w:eastAsiaTheme="minorEastAsia" w:cs="Arial"/>
          <w:szCs w:val="22"/>
          <w:lang w:eastAsia="en-AU"/>
        </w:rPr>
        <w:t xml:space="preserve">Explicit contribution - </w:t>
      </w:r>
      <w:r w:rsidRPr="00BF6FCE">
        <w:rPr>
          <w:rFonts w:eastAsiaTheme="minorEastAsia" w:cs="Arial"/>
          <w:szCs w:val="22"/>
          <w:lang w:eastAsia="en-AU"/>
        </w:rPr>
        <w:t xml:space="preserve">Has a clear and explicit objective linked to the policy outcome, is a major driver of that outcome. </w:t>
      </w:r>
    </w:p>
    <w:p w14:paraId="1B9FA51A" w14:textId="489A74C4" w:rsidR="00935CE2" w:rsidRPr="00BF6FCE" w:rsidRDefault="00935CE2" w:rsidP="00876B8E">
      <w:pPr>
        <w:ind w:left="720" w:hanging="360"/>
        <w:rPr>
          <w:rFonts w:eastAsiaTheme="minorEastAsia" w:cs="Arial"/>
          <w:szCs w:val="22"/>
          <w:lang w:eastAsia="en-AU"/>
        </w:rPr>
      </w:pPr>
      <w:r>
        <w:rPr>
          <w:rFonts w:eastAsiaTheme="minorEastAsia" w:cs="Arial"/>
          <w:szCs w:val="22"/>
          <w:lang w:eastAsia="en-AU"/>
        </w:rPr>
        <w:t xml:space="preserve">Partial contribution - </w:t>
      </w:r>
      <w:r w:rsidRPr="00BF6FCE">
        <w:rPr>
          <w:rFonts w:eastAsiaTheme="minorEastAsia" w:cs="Arial"/>
          <w:szCs w:val="22"/>
          <w:lang w:eastAsia="en-AU"/>
        </w:rPr>
        <w:t>Has partial connection to the policy outcome, influences it indirectly through flow-on effects or other factors.</w:t>
      </w:r>
    </w:p>
    <w:tbl>
      <w:tblPr>
        <w:tblStyle w:val="GridTable5Dark-Accent3"/>
        <w:tblW w:w="5000" w:type="pct"/>
        <w:tblLook w:val="04A0" w:firstRow="1" w:lastRow="0" w:firstColumn="1" w:lastColumn="0" w:noHBand="0" w:noVBand="1"/>
        <w:tblCaption w:val="Figure 2"/>
        <w:tblDescription w:val="Figure 2: Department of Social Service’s key activities and how they contribute to the Impact Strategy policy outcomes"/>
      </w:tblPr>
      <w:tblGrid>
        <w:gridCol w:w="3116"/>
        <w:gridCol w:w="1838"/>
        <w:gridCol w:w="1093"/>
        <w:gridCol w:w="585"/>
        <w:gridCol w:w="2304"/>
        <w:gridCol w:w="45"/>
        <w:gridCol w:w="2010"/>
        <w:gridCol w:w="1826"/>
        <w:gridCol w:w="2031"/>
      </w:tblGrid>
      <w:tr w:rsidR="00D42BC4" w14:paraId="41E98890" w14:textId="77777777" w:rsidTr="00D42BC4">
        <w:trPr>
          <w:cnfStyle w:val="100000000000" w:firstRow="1" w:lastRow="0" w:firstColumn="0" w:lastColumn="0" w:oddVBand="0" w:evenVBand="0" w:oddHBand="0" w:evenHBand="0" w:firstRowFirstColumn="0" w:firstRowLastColumn="0" w:lastRowFirstColumn="0" w:lastRowLastColumn="0"/>
          <w:trHeight w:val="602"/>
          <w:tblHeader/>
        </w:trPr>
        <w:tc>
          <w:tcPr>
            <w:cnfStyle w:val="001000000000" w:firstRow="0" w:lastRow="0" w:firstColumn="1" w:lastColumn="0" w:oddVBand="0" w:evenVBand="0" w:oddHBand="0" w:evenHBand="0" w:firstRowFirstColumn="0" w:firstRowLastColumn="0" w:lastRowFirstColumn="0" w:lastRowLastColumn="0"/>
            <w:tcW w:w="1049" w:type="pct"/>
            <w:tcBorders>
              <w:top w:val="nil"/>
              <w:left w:val="nil"/>
            </w:tcBorders>
            <w:vAlign w:val="center"/>
          </w:tcPr>
          <w:p w14:paraId="0C09A016" w14:textId="77777777" w:rsidR="00D42BC4" w:rsidRPr="00363F01" w:rsidRDefault="00D42BC4" w:rsidP="00B25302">
            <w:pPr>
              <w:spacing w:before="60" w:after="60"/>
              <w:rPr>
                <w:rFonts w:eastAsia="Times New Roman" w:cstheme="minorHAnsi"/>
                <w:color w:val="000000"/>
                <w:spacing w:val="0"/>
                <w:sz w:val="20"/>
                <w:szCs w:val="20"/>
              </w:rPr>
            </w:pPr>
          </w:p>
        </w:tc>
        <w:tc>
          <w:tcPr>
            <w:tcW w:w="987" w:type="pct"/>
            <w:gridSpan w:val="2"/>
            <w:tcBorders>
              <w:bottom w:val="single" w:sz="4" w:space="0" w:color="auto"/>
            </w:tcBorders>
            <w:vAlign w:val="center"/>
          </w:tcPr>
          <w:p w14:paraId="69379E96" w14:textId="77777777" w:rsidR="00D42BC4" w:rsidRDefault="00D42BC4" w:rsidP="00935CE2">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pacing w:val="0"/>
                <w:sz w:val="20"/>
                <w:szCs w:val="20"/>
              </w:rPr>
            </w:pPr>
            <w:r>
              <w:rPr>
                <w:rFonts w:eastAsia="Times New Roman" w:cstheme="minorHAnsi"/>
                <w:color w:val="000000"/>
                <w:spacing w:val="0"/>
                <w:sz w:val="20"/>
                <w:szCs w:val="20"/>
              </w:rPr>
              <w:t xml:space="preserve">Impact Strategy </w:t>
            </w:r>
          </w:p>
          <w:p w14:paraId="59E73B74" w14:textId="4742D023" w:rsidR="00D42BC4" w:rsidRPr="00363F01" w:rsidRDefault="00D42BC4" w:rsidP="00935CE2">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pacing w:val="0"/>
                <w:sz w:val="20"/>
                <w:szCs w:val="20"/>
              </w:rPr>
            </w:pPr>
            <w:r>
              <w:rPr>
                <w:rFonts w:eastAsia="Times New Roman" w:cstheme="minorHAnsi"/>
                <w:color w:val="000000"/>
                <w:spacing w:val="0"/>
                <w:sz w:val="20"/>
                <w:szCs w:val="20"/>
              </w:rPr>
              <w:t>Sub-Outcomes</w:t>
            </w:r>
          </w:p>
        </w:tc>
        <w:tc>
          <w:tcPr>
            <w:tcW w:w="988" w:type="pct"/>
            <w:gridSpan w:val="3"/>
            <w:tcBorders>
              <w:bottom w:val="single" w:sz="4" w:space="0" w:color="auto"/>
            </w:tcBorders>
            <w:vAlign w:val="center"/>
          </w:tcPr>
          <w:p w14:paraId="68EA4ADC" w14:textId="14389635" w:rsidR="00D42BC4" w:rsidRPr="00363F01" w:rsidRDefault="00D42BC4" w:rsidP="00BF6FCE">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pacing w:val="0"/>
                <w:sz w:val="20"/>
                <w:szCs w:val="20"/>
              </w:rPr>
            </w:pPr>
          </w:p>
        </w:tc>
        <w:tc>
          <w:tcPr>
            <w:tcW w:w="1976" w:type="pct"/>
            <w:gridSpan w:val="3"/>
            <w:tcBorders>
              <w:bottom w:val="single" w:sz="4" w:space="0" w:color="auto"/>
            </w:tcBorders>
            <w:vAlign w:val="center"/>
          </w:tcPr>
          <w:p w14:paraId="684F3678" w14:textId="13E23A7B" w:rsidR="00D42BC4" w:rsidRPr="00363F01" w:rsidRDefault="00D42BC4" w:rsidP="00B25302">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pacing w:val="0"/>
                <w:sz w:val="20"/>
                <w:szCs w:val="20"/>
              </w:rPr>
            </w:pPr>
          </w:p>
        </w:tc>
      </w:tr>
      <w:tr w:rsidR="009D2B65" w14:paraId="477A786C" w14:textId="77777777" w:rsidTr="00B25302">
        <w:trPr>
          <w:cnfStyle w:val="100000000000" w:firstRow="1" w:lastRow="0" w:firstColumn="0" w:lastColumn="0" w:oddVBand="0" w:evenVBand="0" w:oddHBand="0" w:evenHBand="0" w:firstRowFirstColumn="0" w:firstRowLastColumn="0" w:lastRowFirstColumn="0" w:lastRowLastColumn="0"/>
          <w:trHeight w:val="602"/>
          <w:tblHeader/>
        </w:trPr>
        <w:tc>
          <w:tcPr>
            <w:cnfStyle w:val="001000000000" w:firstRow="0" w:lastRow="0" w:firstColumn="1" w:lastColumn="0" w:oddVBand="0" w:evenVBand="0" w:oddHBand="0" w:evenHBand="0" w:firstRowFirstColumn="0" w:firstRowLastColumn="0" w:lastRowFirstColumn="0" w:lastRowLastColumn="0"/>
            <w:tcW w:w="1049" w:type="pct"/>
            <w:tcBorders>
              <w:left w:val="nil"/>
              <w:bottom w:val="nil"/>
              <w:right w:val="single" w:sz="4" w:space="0" w:color="auto"/>
            </w:tcBorders>
            <w:vAlign w:val="center"/>
            <w:hideMark/>
          </w:tcPr>
          <w:p w14:paraId="3728D687" w14:textId="77777777" w:rsidR="009D2B65" w:rsidRPr="00363F01" w:rsidRDefault="009D2B65" w:rsidP="00B25302">
            <w:pPr>
              <w:spacing w:before="60" w:after="60"/>
              <w:rPr>
                <w:rFonts w:eastAsia="Times New Roman" w:cstheme="minorHAnsi"/>
                <w:color w:val="000000"/>
                <w:spacing w:val="0"/>
                <w:sz w:val="20"/>
                <w:szCs w:val="20"/>
              </w:rPr>
            </w:pPr>
            <w:r w:rsidRPr="00363F01">
              <w:rPr>
                <w:rFonts w:eastAsia="Times New Roman" w:cstheme="minorHAnsi"/>
                <w:color w:val="000000"/>
                <w:spacing w:val="0"/>
                <w:sz w:val="20"/>
                <w:szCs w:val="20"/>
              </w:rPr>
              <w:t>Key Activity</w:t>
            </w:r>
          </w:p>
        </w:tc>
        <w:tc>
          <w:tcPr>
            <w:tcW w:w="619" w:type="pct"/>
            <w:tcBorders>
              <w:top w:val="single" w:sz="4" w:space="0" w:color="auto"/>
              <w:left w:val="single" w:sz="4" w:space="0" w:color="auto"/>
            </w:tcBorders>
            <w:vAlign w:val="center"/>
            <w:hideMark/>
          </w:tcPr>
          <w:p w14:paraId="34BAC732" w14:textId="77777777" w:rsidR="009D2B65" w:rsidRPr="00363F01" w:rsidRDefault="009D2B65" w:rsidP="00B25302">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pacing w:val="0"/>
                <w:sz w:val="20"/>
                <w:szCs w:val="20"/>
              </w:rPr>
            </w:pPr>
            <w:r w:rsidRPr="00363F01">
              <w:rPr>
                <w:rFonts w:eastAsia="Times New Roman" w:cstheme="minorHAnsi"/>
                <w:color w:val="000000"/>
                <w:spacing w:val="0"/>
                <w:sz w:val="20"/>
                <w:szCs w:val="20"/>
              </w:rPr>
              <w:t>More people in work</w:t>
            </w:r>
          </w:p>
        </w:tc>
        <w:tc>
          <w:tcPr>
            <w:tcW w:w="565" w:type="pct"/>
            <w:gridSpan w:val="2"/>
            <w:tcBorders>
              <w:top w:val="single" w:sz="4" w:space="0" w:color="auto"/>
            </w:tcBorders>
            <w:vAlign w:val="center"/>
            <w:hideMark/>
          </w:tcPr>
          <w:p w14:paraId="7C788DF2" w14:textId="77777777" w:rsidR="009D2B65" w:rsidRPr="00363F01" w:rsidRDefault="009D2B65" w:rsidP="00B25302">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pacing w:val="0"/>
                <w:sz w:val="20"/>
                <w:szCs w:val="20"/>
              </w:rPr>
            </w:pPr>
            <w:r>
              <w:rPr>
                <w:rFonts w:eastAsia="Times New Roman" w:cstheme="minorHAnsi"/>
                <w:color w:val="000000"/>
                <w:spacing w:val="0"/>
                <w:sz w:val="20"/>
                <w:szCs w:val="20"/>
              </w:rPr>
              <w:t>A</w:t>
            </w:r>
            <w:r>
              <w:rPr>
                <w:rFonts w:eastAsia="Times New Roman"/>
                <w:color w:val="000000"/>
                <w:spacing w:val="0"/>
                <w:sz w:val="20"/>
                <w:szCs w:val="20"/>
              </w:rPr>
              <w:t xml:space="preserve"> f</w:t>
            </w:r>
            <w:r w:rsidRPr="00363F01">
              <w:rPr>
                <w:rFonts w:eastAsia="Times New Roman" w:cstheme="minorHAnsi"/>
                <w:color w:val="000000"/>
                <w:spacing w:val="0"/>
                <w:sz w:val="20"/>
                <w:szCs w:val="20"/>
              </w:rPr>
              <w:t>air social security</w:t>
            </w:r>
            <w:r>
              <w:rPr>
                <w:rFonts w:eastAsia="Times New Roman" w:cstheme="minorHAnsi"/>
                <w:color w:val="000000"/>
                <w:spacing w:val="0"/>
                <w:sz w:val="20"/>
                <w:szCs w:val="20"/>
              </w:rPr>
              <w:t xml:space="preserve"> </w:t>
            </w:r>
            <w:r>
              <w:rPr>
                <w:rFonts w:eastAsia="Times New Roman"/>
                <w:color w:val="000000"/>
                <w:spacing w:val="0"/>
                <w:sz w:val="20"/>
                <w:szCs w:val="20"/>
              </w:rPr>
              <w:t>system</w:t>
            </w:r>
          </w:p>
        </w:tc>
        <w:tc>
          <w:tcPr>
            <w:tcW w:w="776" w:type="pct"/>
            <w:tcBorders>
              <w:top w:val="single" w:sz="4" w:space="0" w:color="auto"/>
            </w:tcBorders>
            <w:vAlign w:val="center"/>
            <w:hideMark/>
          </w:tcPr>
          <w:p w14:paraId="37EA7360" w14:textId="77777777" w:rsidR="009D2B65" w:rsidRPr="00363F01" w:rsidRDefault="009D2B65" w:rsidP="00B25302">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pacing w:val="0"/>
                <w:sz w:val="20"/>
                <w:szCs w:val="20"/>
              </w:rPr>
            </w:pPr>
            <w:r w:rsidRPr="00363F01">
              <w:rPr>
                <w:rFonts w:eastAsia="Times New Roman" w:cstheme="minorHAnsi"/>
                <w:color w:val="000000"/>
                <w:spacing w:val="0"/>
                <w:sz w:val="20"/>
                <w:szCs w:val="20"/>
              </w:rPr>
              <w:t xml:space="preserve">Break </w:t>
            </w:r>
            <w:r>
              <w:rPr>
                <w:rFonts w:eastAsia="Times New Roman" w:cstheme="minorHAnsi"/>
                <w:color w:val="000000"/>
                <w:spacing w:val="0"/>
                <w:sz w:val="20"/>
                <w:szCs w:val="20"/>
              </w:rPr>
              <w:t>t</w:t>
            </w:r>
            <w:r>
              <w:rPr>
                <w:rFonts w:eastAsia="Times New Roman"/>
                <w:color w:val="000000"/>
                <w:spacing w:val="0"/>
                <w:sz w:val="20"/>
                <w:szCs w:val="20"/>
              </w:rPr>
              <w:t xml:space="preserve">he cycle of </w:t>
            </w:r>
            <w:r w:rsidRPr="00363F01">
              <w:rPr>
                <w:rFonts w:eastAsia="Times New Roman" w:cstheme="minorHAnsi"/>
                <w:color w:val="000000"/>
                <w:spacing w:val="0"/>
                <w:sz w:val="20"/>
                <w:szCs w:val="20"/>
              </w:rPr>
              <w:t>entrenched disadvantage</w:t>
            </w:r>
          </w:p>
        </w:tc>
        <w:tc>
          <w:tcPr>
            <w:tcW w:w="692" w:type="pct"/>
            <w:gridSpan w:val="2"/>
            <w:tcBorders>
              <w:top w:val="single" w:sz="4" w:space="0" w:color="auto"/>
            </w:tcBorders>
            <w:vAlign w:val="center"/>
            <w:hideMark/>
          </w:tcPr>
          <w:p w14:paraId="38590A75" w14:textId="77777777" w:rsidR="009D2B65" w:rsidRPr="00363F01" w:rsidRDefault="009D2B65" w:rsidP="00B25302">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pacing w:val="0"/>
                <w:sz w:val="20"/>
                <w:szCs w:val="20"/>
              </w:rPr>
            </w:pPr>
            <w:r>
              <w:rPr>
                <w:rFonts w:eastAsia="Times New Roman" w:cstheme="minorHAnsi"/>
                <w:color w:val="000000"/>
                <w:spacing w:val="0"/>
                <w:sz w:val="20"/>
                <w:szCs w:val="20"/>
              </w:rPr>
              <w:t xml:space="preserve">People are connected to their community </w:t>
            </w:r>
          </w:p>
        </w:tc>
        <w:tc>
          <w:tcPr>
            <w:tcW w:w="615" w:type="pct"/>
            <w:tcBorders>
              <w:top w:val="single" w:sz="4" w:space="0" w:color="auto"/>
            </w:tcBorders>
            <w:vAlign w:val="center"/>
            <w:hideMark/>
          </w:tcPr>
          <w:p w14:paraId="4AF30983" w14:textId="77777777" w:rsidR="009D2B65" w:rsidRPr="00363F01" w:rsidRDefault="009D2B65" w:rsidP="00B25302">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pacing w:val="0"/>
                <w:sz w:val="20"/>
                <w:szCs w:val="20"/>
              </w:rPr>
            </w:pPr>
            <w:r w:rsidRPr="00363F01">
              <w:rPr>
                <w:rFonts w:eastAsia="Times New Roman" w:cstheme="minorHAnsi"/>
                <w:color w:val="000000"/>
                <w:spacing w:val="0"/>
                <w:sz w:val="20"/>
                <w:szCs w:val="20"/>
              </w:rPr>
              <w:t>End violence</w:t>
            </w:r>
            <w:r>
              <w:rPr>
                <w:rFonts w:eastAsia="Times New Roman" w:cstheme="minorHAnsi"/>
                <w:color w:val="000000"/>
                <w:spacing w:val="0"/>
                <w:sz w:val="20"/>
                <w:szCs w:val="20"/>
              </w:rPr>
              <w:t xml:space="preserve"> in families and relationships</w:t>
            </w:r>
          </w:p>
        </w:tc>
        <w:tc>
          <w:tcPr>
            <w:tcW w:w="684" w:type="pct"/>
            <w:tcBorders>
              <w:top w:val="single" w:sz="4" w:space="0" w:color="auto"/>
            </w:tcBorders>
            <w:vAlign w:val="center"/>
            <w:hideMark/>
          </w:tcPr>
          <w:p w14:paraId="68C0CCB7" w14:textId="77777777" w:rsidR="009D2B65" w:rsidRPr="00363F01" w:rsidRDefault="009D2B65" w:rsidP="00B25302">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pacing w:val="0"/>
                <w:sz w:val="20"/>
                <w:szCs w:val="20"/>
              </w:rPr>
            </w:pPr>
            <w:r w:rsidRPr="00363F01">
              <w:rPr>
                <w:rFonts w:eastAsia="Times New Roman" w:cstheme="minorHAnsi"/>
                <w:color w:val="000000"/>
                <w:spacing w:val="0"/>
                <w:sz w:val="20"/>
                <w:szCs w:val="20"/>
              </w:rPr>
              <w:t xml:space="preserve">Parents &amp; carers support </w:t>
            </w:r>
            <w:r>
              <w:rPr>
                <w:rFonts w:eastAsia="Times New Roman" w:cstheme="minorHAnsi"/>
                <w:color w:val="000000"/>
                <w:spacing w:val="0"/>
                <w:sz w:val="20"/>
                <w:szCs w:val="20"/>
              </w:rPr>
              <w:t xml:space="preserve">their </w:t>
            </w:r>
            <w:r w:rsidRPr="00363F01">
              <w:rPr>
                <w:rFonts w:eastAsia="Times New Roman" w:cstheme="minorHAnsi"/>
                <w:color w:val="000000"/>
                <w:spacing w:val="0"/>
                <w:sz w:val="20"/>
                <w:szCs w:val="20"/>
              </w:rPr>
              <w:t>children</w:t>
            </w:r>
            <w:r>
              <w:rPr>
                <w:rFonts w:eastAsia="Times New Roman" w:cstheme="minorHAnsi"/>
                <w:color w:val="000000"/>
                <w:spacing w:val="0"/>
                <w:sz w:val="20"/>
                <w:szCs w:val="20"/>
              </w:rPr>
              <w:t xml:space="preserve"> to be safe and develop</w:t>
            </w:r>
          </w:p>
        </w:tc>
      </w:tr>
      <w:tr w:rsidR="009D2B65" w14:paraId="42CFE21E" w14:textId="77777777" w:rsidTr="00B25302">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9" w:type="pct"/>
            <w:tcBorders>
              <w:top w:val="nil"/>
            </w:tcBorders>
            <w:vAlign w:val="center"/>
            <w:hideMark/>
          </w:tcPr>
          <w:p w14:paraId="406AAF4F" w14:textId="77777777" w:rsidR="009D2B65" w:rsidRPr="00363F01" w:rsidRDefault="009D2B65" w:rsidP="00B25302">
            <w:pPr>
              <w:spacing w:before="60" w:after="60"/>
              <w:rPr>
                <w:rFonts w:eastAsia="Times New Roman" w:cstheme="minorHAnsi"/>
                <w:color w:val="000000"/>
                <w:spacing w:val="0"/>
                <w:sz w:val="20"/>
                <w:szCs w:val="20"/>
              </w:rPr>
            </w:pPr>
            <w:r w:rsidRPr="00363F01">
              <w:rPr>
                <w:rFonts w:eastAsia="Times New Roman" w:cstheme="minorHAnsi"/>
                <w:color w:val="000000"/>
                <w:spacing w:val="0"/>
                <w:sz w:val="20"/>
                <w:szCs w:val="20"/>
              </w:rPr>
              <w:t>1.1.1 Family Tax Benefit</w:t>
            </w:r>
          </w:p>
        </w:tc>
        <w:tc>
          <w:tcPr>
            <w:tcW w:w="619" w:type="pct"/>
            <w:vAlign w:val="center"/>
            <w:hideMark/>
          </w:tcPr>
          <w:p w14:paraId="57D44F00" w14:textId="40B6C464" w:rsidR="009D2B65" w:rsidRPr="00BF6FCE" w:rsidRDefault="00D42BC4"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Cs w:val="22"/>
              </w:rPr>
            </w:pPr>
            <w:r w:rsidRPr="00D42BC4">
              <w:rPr>
                <w:rFonts w:eastAsia="Times New Roman" w:cstheme="minorHAnsi"/>
                <w:color w:val="000000"/>
                <w:spacing w:val="0"/>
                <w:szCs w:val="22"/>
              </w:rPr>
              <w:t>Partial contribution</w:t>
            </w:r>
          </w:p>
        </w:tc>
        <w:tc>
          <w:tcPr>
            <w:tcW w:w="565" w:type="pct"/>
            <w:gridSpan w:val="2"/>
            <w:vAlign w:val="center"/>
            <w:hideMark/>
          </w:tcPr>
          <w:p w14:paraId="06E7A306" w14:textId="1B3EF737" w:rsidR="009D2B65" w:rsidRPr="00BF6FCE" w:rsidRDefault="00D42BC4"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20"/>
                <w:szCs w:val="20"/>
              </w:rPr>
            </w:pPr>
            <w:r w:rsidRPr="00BF6FCE">
              <w:rPr>
                <w:rFonts w:eastAsia="Times New Roman" w:cstheme="minorHAnsi"/>
                <w:color w:val="000000"/>
                <w:spacing w:val="0"/>
                <w:szCs w:val="22"/>
              </w:rPr>
              <w:t>Explicit contribution</w:t>
            </w:r>
          </w:p>
        </w:tc>
        <w:tc>
          <w:tcPr>
            <w:tcW w:w="776" w:type="pct"/>
            <w:vAlign w:val="center"/>
            <w:hideMark/>
          </w:tcPr>
          <w:p w14:paraId="7F65BF7E" w14:textId="041CD080"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692" w:type="pct"/>
            <w:gridSpan w:val="2"/>
            <w:vAlign w:val="center"/>
            <w:hideMark/>
          </w:tcPr>
          <w:p w14:paraId="7D704C51" w14:textId="4526EBB7"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615" w:type="pct"/>
            <w:vAlign w:val="center"/>
            <w:hideMark/>
          </w:tcPr>
          <w:p w14:paraId="582CAFE4" w14:textId="3ED9B11E"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684" w:type="pct"/>
            <w:vAlign w:val="center"/>
            <w:hideMark/>
          </w:tcPr>
          <w:p w14:paraId="4564B065" w14:textId="0735FFC3" w:rsidR="009D2B65" w:rsidRPr="00BF6FCE" w:rsidRDefault="00D42BC4"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20"/>
                <w:szCs w:val="20"/>
              </w:rPr>
            </w:pPr>
            <w:r w:rsidRPr="00756A3A">
              <w:rPr>
                <w:rFonts w:eastAsia="Times New Roman" w:cstheme="minorHAnsi"/>
                <w:color w:val="000000"/>
                <w:spacing w:val="0"/>
                <w:szCs w:val="22"/>
              </w:rPr>
              <w:t>Explicit contribution</w:t>
            </w:r>
          </w:p>
        </w:tc>
      </w:tr>
      <w:tr w:rsidR="009D2B65" w14:paraId="5B38800E" w14:textId="77777777" w:rsidTr="00B25302">
        <w:trPr>
          <w:trHeight w:val="301"/>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3C22610E" w14:textId="77777777" w:rsidR="009D2B65" w:rsidRPr="00363F01" w:rsidRDefault="009D2B65" w:rsidP="00B25302">
            <w:pPr>
              <w:spacing w:before="60" w:after="60"/>
              <w:rPr>
                <w:rFonts w:eastAsia="Times New Roman" w:cstheme="minorHAnsi"/>
                <w:color w:val="000000"/>
                <w:spacing w:val="0"/>
                <w:sz w:val="20"/>
                <w:szCs w:val="20"/>
              </w:rPr>
            </w:pPr>
            <w:r w:rsidRPr="00363F01">
              <w:rPr>
                <w:rFonts w:eastAsia="Times New Roman" w:cstheme="minorHAnsi"/>
                <w:color w:val="000000"/>
                <w:spacing w:val="0"/>
                <w:sz w:val="20"/>
                <w:szCs w:val="20"/>
              </w:rPr>
              <w:t>1.1.2 Child Support Scheme</w:t>
            </w:r>
          </w:p>
        </w:tc>
        <w:tc>
          <w:tcPr>
            <w:tcW w:w="619" w:type="pct"/>
            <w:vAlign w:val="center"/>
            <w:hideMark/>
          </w:tcPr>
          <w:p w14:paraId="0DF22CDB" w14:textId="36000FE5" w:rsidR="009D2B65" w:rsidRPr="0047382C" w:rsidRDefault="00876B8E"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565" w:type="pct"/>
            <w:gridSpan w:val="2"/>
            <w:vAlign w:val="center"/>
            <w:hideMark/>
          </w:tcPr>
          <w:p w14:paraId="1EAF8E13" w14:textId="19190902" w:rsidR="009D2B65" w:rsidRPr="0047382C" w:rsidRDefault="00D42BC4"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sidRPr="00756A3A">
              <w:rPr>
                <w:rFonts w:eastAsia="Times New Roman" w:cstheme="minorHAnsi"/>
                <w:color w:val="000000"/>
                <w:spacing w:val="0"/>
                <w:szCs w:val="22"/>
              </w:rPr>
              <w:t>Explicit contribution</w:t>
            </w:r>
          </w:p>
        </w:tc>
        <w:tc>
          <w:tcPr>
            <w:tcW w:w="776" w:type="pct"/>
            <w:vAlign w:val="center"/>
            <w:hideMark/>
          </w:tcPr>
          <w:p w14:paraId="4FEA3170" w14:textId="65317416" w:rsidR="009D2B65" w:rsidRPr="0047382C" w:rsidRDefault="00D42BC4"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sidRPr="00D42BC4">
              <w:rPr>
                <w:rFonts w:eastAsia="Times New Roman" w:cstheme="minorHAnsi"/>
                <w:color w:val="000000"/>
                <w:spacing w:val="0"/>
                <w:szCs w:val="22"/>
              </w:rPr>
              <w:t>Partial contribution</w:t>
            </w:r>
          </w:p>
        </w:tc>
        <w:tc>
          <w:tcPr>
            <w:tcW w:w="692" w:type="pct"/>
            <w:gridSpan w:val="2"/>
            <w:vAlign w:val="center"/>
            <w:hideMark/>
          </w:tcPr>
          <w:p w14:paraId="66777AEA" w14:textId="6D29CB88" w:rsidR="009D2B65" w:rsidRPr="0047382C" w:rsidRDefault="00876B8E"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615" w:type="pct"/>
            <w:vAlign w:val="center"/>
            <w:hideMark/>
          </w:tcPr>
          <w:p w14:paraId="10B34C0F" w14:textId="599686F2" w:rsidR="009D2B65" w:rsidRPr="0047382C" w:rsidRDefault="00D42BC4"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sidRPr="00D42BC4">
              <w:rPr>
                <w:rFonts w:eastAsia="Times New Roman" w:cstheme="minorHAnsi"/>
                <w:color w:val="000000"/>
                <w:spacing w:val="0"/>
                <w:szCs w:val="22"/>
              </w:rPr>
              <w:t>Partial contribution</w:t>
            </w:r>
          </w:p>
        </w:tc>
        <w:tc>
          <w:tcPr>
            <w:tcW w:w="684" w:type="pct"/>
            <w:vAlign w:val="center"/>
            <w:hideMark/>
          </w:tcPr>
          <w:p w14:paraId="4979A840" w14:textId="7829D817" w:rsidR="009D2B65" w:rsidRPr="0047382C" w:rsidRDefault="00D42BC4"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sidRPr="00756A3A">
              <w:rPr>
                <w:rFonts w:eastAsia="Times New Roman" w:cstheme="minorHAnsi"/>
                <w:color w:val="000000"/>
                <w:spacing w:val="0"/>
                <w:szCs w:val="22"/>
              </w:rPr>
              <w:t>Explicit contribution</w:t>
            </w:r>
          </w:p>
        </w:tc>
      </w:tr>
      <w:tr w:rsidR="009D2B65" w14:paraId="2714BE43" w14:textId="77777777" w:rsidTr="00B25302">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21958D01" w14:textId="77777777" w:rsidR="009D2B65" w:rsidRPr="00363F01" w:rsidRDefault="009D2B65" w:rsidP="00B25302">
            <w:pPr>
              <w:spacing w:before="60" w:after="60"/>
              <w:rPr>
                <w:rFonts w:eastAsia="Times New Roman" w:cstheme="minorHAnsi"/>
                <w:color w:val="000000"/>
                <w:spacing w:val="0"/>
                <w:sz w:val="20"/>
                <w:szCs w:val="20"/>
              </w:rPr>
            </w:pPr>
            <w:r w:rsidRPr="00363F01">
              <w:rPr>
                <w:rFonts w:eastAsia="Times New Roman" w:cstheme="minorHAnsi"/>
                <w:color w:val="000000"/>
                <w:spacing w:val="0"/>
                <w:sz w:val="20"/>
                <w:szCs w:val="20"/>
              </w:rPr>
              <w:t>1.2.1 Paid Parental Leave</w:t>
            </w:r>
          </w:p>
        </w:tc>
        <w:tc>
          <w:tcPr>
            <w:tcW w:w="619" w:type="pct"/>
            <w:vAlign w:val="center"/>
            <w:hideMark/>
          </w:tcPr>
          <w:p w14:paraId="014F12C5" w14:textId="750A0E56" w:rsidR="009D2B65" w:rsidRPr="0047382C" w:rsidRDefault="00D42BC4"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sidRPr="00756A3A">
              <w:rPr>
                <w:rFonts w:eastAsia="Times New Roman" w:cstheme="minorHAnsi"/>
                <w:color w:val="000000"/>
                <w:spacing w:val="0"/>
                <w:szCs w:val="22"/>
              </w:rPr>
              <w:t>Explicit contribution</w:t>
            </w:r>
          </w:p>
        </w:tc>
        <w:tc>
          <w:tcPr>
            <w:tcW w:w="565" w:type="pct"/>
            <w:gridSpan w:val="2"/>
            <w:vAlign w:val="center"/>
            <w:hideMark/>
          </w:tcPr>
          <w:p w14:paraId="518FB3E8" w14:textId="787B4229" w:rsidR="009D2B65" w:rsidRPr="0047382C" w:rsidRDefault="00D42BC4"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sidRPr="00756A3A">
              <w:rPr>
                <w:rFonts w:eastAsia="Times New Roman" w:cstheme="minorHAnsi"/>
                <w:color w:val="000000"/>
                <w:spacing w:val="0"/>
                <w:szCs w:val="22"/>
              </w:rPr>
              <w:t>Explicit contribution</w:t>
            </w:r>
          </w:p>
        </w:tc>
        <w:tc>
          <w:tcPr>
            <w:tcW w:w="776" w:type="pct"/>
            <w:vAlign w:val="center"/>
            <w:hideMark/>
          </w:tcPr>
          <w:p w14:paraId="10F5A8CC" w14:textId="22472C5B" w:rsidR="009D2B65" w:rsidRPr="0047382C" w:rsidRDefault="00D42BC4"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sidRPr="00D42BC4">
              <w:rPr>
                <w:rFonts w:eastAsia="Times New Roman" w:cstheme="minorHAnsi"/>
                <w:color w:val="000000"/>
                <w:spacing w:val="0"/>
                <w:szCs w:val="22"/>
              </w:rPr>
              <w:t>Partial contribution</w:t>
            </w:r>
          </w:p>
        </w:tc>
        <w:tc>
          <w:tcPr>
            <w:tcW w:w="692" w:type="pct"/>
            <w:gridSpan w:val="2"/>
            <w:vAlign w:val="center"/>
            <w:hideMark/>
          </w:tcPr>
          <w:p w14:paraId="3B594D10" w14:textId="755FAFDE"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615" w:type="pct"/>
            <w:vAlign w:val="center"/>
            <w:hideMark/>
          </w:tcPr>
          <w:p w14:paraId="6BEE2611" w14:textId="73442D4A"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684" w:type="pct"/>
            <w:vAlign w:val="center"/>
            <w:hideMark/>
          </w:tcPr>
          <w:p w14:paraId="2A37506A" w14:textId="1A29E2D0" w:rsidR="009D2B65" w:rsidRPr="0047382C" w:rsidRDefault="00D42BC4"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sidRPr="00756A3A">
              <w:rPr>
                <w:rFonts w:eastAsia="Times New Roman" w:cstheme="minorHAnsi"/>
                <w:color w:val="000000"/>
                <w:spacing w:val="0"/>
                <w:szCs w:val="22"/>
              </w:rPr>
              <w:t>Explicit contribution</w:t>
            </w:r>
          </w:p>
        </w:tc>
      </w:tr>
      <w:tr w:rsidR="009D2B65" w14:paraId="7C429E67" w14:textId="77777777" w:rsidTr="00B25302">
        <w:trPr>
          <w:trHeight w:val="301"/>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61D3DC51" w14:textId="77777777" w:rsidR="009D2B65" w:rsidRPr="00363F01" w:rsidRDefault="009D2B65" w:rsidP="00B25302">
            <w:pPr>
              <w:spacing w:before="60" w:after="60"/>
              <w:rPr>
                <w:rFonts w:eastAsia="Times New Roman" w:cstheme="minorHAnsi"/>
                <w:color w:val="000000"/>
                <w:spacing w:val="0"/>
                <w:sz w:val="20"/>
                <w:szCs w:val="20"/>
              </w:rPr>
            </w:pPr>
            <w:r w:rsidRPr="00363F01">
              <w:rPr>
                <w:rFonts w:eastAsia="Times New Roman" w:cstheme="minorHAnsi"/>
                <w:color w:val="000000"/>
                <w:spacing w:val="0"/>
                <w:sz w:val="20"/>
                <w:szCs w:val="20"/>
              </w:rPr>
              <w:t>1.3.1 Age Pension</w:t>
            </w:r>
          </w:p>
        </w:tc>
        <w:tc>
          <w:tcPr>
            <w:tcW w:w="619" w:type="pct"/>
            <w:vAlign w:val="center"/>
            <w:hideMark/>
          </w:tcPr>
          <w:p w14:paraId="17B7F050" w14:textId="5354D3C8" w:rsidR="009D2B65" w:rsidRPr="0047382C" w:rsidRDefault="00876B8E"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565" w:type="pct"/>
            <w:gridSpan w:val="2"/>
            <w:vAlign w:val="center"/>
            <w:hideMark/>
          </w:tcPr>
          <w:p w14:paraId="068ADB39" w14:textId="749FC296" w:rsidR="009D2B65" w:rsidRPr="0047382C" w:rsidRDefault="00D42BC4"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sidRPr="00756A3A">
              <w:rPr>
                <w:rFonts w:eastAsia="Times New Roman" w:cstheme="minorHAnsi"/>
                <w:color w:val="000000"/>
                <w:spacing w:val="0"/>
                <w:szCs w:val="22"/>
              </w:rPr>
              <w:t>Explicit contribution</w:t>
            </w:r>
          </w:p>
        </w:tc>
        <w:tc>
          <w:tcPr>
            <w:tcW w:w="776" w:type="pct"/>
            <w:vAlign w:val="center"/>
            <w:hideMark/>
          </w:tcPr>
          <w:p w14:paraId="1808C8FD" w14:textId="19452E7E" w:rsidR="009D2B65" w:rsidRPr="0047382C" w:rsidRDefault="00876B8E"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692" w:type="pct"/>
            <w:gridSpan w:val="2"/>
            <w:vAlign w:val="center"/>
            <w:hideMark/>
          </w:tcPr>
          <w:p w14:paraId="24135CFE" w14:textId="032BC980" w:rsidR="009D2B65" w:rsidRPr="0047382C" w:rsidRDefault="00876B8E"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615" w:type="pct"/>
            <w:vAlign w:val="center"/>
            <w:hideMark/>
          </w:tcPr>
          <w:p w14:paraId="15E32FE7" w14:textId="6642E681" w:rsidR="009D2B65" w:rsidRPr="0047382C" w:rsidRDefault="00876B8E"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684" w:type="pct"/>
            <w:vAlign w:val="center"/>
            <w:hideMark/>
          </w:tcPr>
          <w:p w14:paraId="47B16A2A" w14:textId="6A806551" w:rsidR="009D2B65" w:rsidRPr="0047382C" w:rsidRDefault="00876B8E"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r>
      <w:tr w:rsidR="009D2B65" w14:paraId="5BB832DA" w14:textId="77777777" w:rsidTr="00B25302">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22C3CAC2" w14:textId="77777777" w:rsidR="009D2B65" w:rsidRPr="00363F01" w:rsidRDefault="009D2B65" w:rsidP="00B25302">
            <w:pPr>
              <w:spacing w:before="60" w:after="60"/>
              <w:rPr>
                <w:rFonts w:eastAsia="Times New Roman" w:cstheme="minorHAnsi"/>
                <w:color w:val="000000"/>
                <w:spacing w:val="0"/>
                <w:sz w:val="20"/>
                <w:szCs w:val="20"/>
              </w:rPr>
            </w:pPr>
            <w:r w:rsidRPr="00363F01">
              <w:rPr>
                <w:rFonts w:eastAsia="Times New Roman" w:cstheme="minorHAnsi"/>
                <w:color w:val="000000"/>
                <w:spacing w:val="0"/>
                <w:sz w:val="20"/>
                <w:szCs w:val="20"/>
              </w:rPr>
              <w:t>1.4.1 Disability Support Pension</w:t>
            </w:r>
          </w:p>
        </w:tc>
        <w:tc>
          <w:tcPr>
            <w:tcW w:w="619" w:type="pct"/>
            <w:vAlign w:val="center"/>
            <w:hideMark/>
          </w:tcPr>
          <w:p w14:paraId="4C463956" w14:textId="04C204AB"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565" w:type="pct"/>
            <w:gridSpan w:val="2"/>
            <w:vAlign w:val="center"/>
            <w:hideMark/>
          </w:tcPr>
          <w:p w14:paraId="3D126F4F" w14:textId="57AD241A" w:rsidR="009D2B65" w:rsidRPr="0047382C" w:rsidRDefault="00D42BC4"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sidRPr="00756A3A">
              <w:rPr>
                <w:rFonts w:eastAsia="Times New Roman" w:cstheme="minorHAnsi"/>
                <w:color w:val="000000"/>
                <w:spacing w:val="0"/>
                <w:szCs w:val="22"/>
              </w:rPr>
              <w:t>Explicit contribution</w:t>
            </w:r>
          </w:p>
        </w:tc>
        <w:tc>
          <w:tcPr>
            <w:tcW w:w="776" w:type="pct"/>
            <w:vAlign w:val="center"/>
            <w:hideMark/>
          </w:tcPr>
          <w:p w14:paraId="07450617" w14:textId="123DE3AA"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692" w:type="pct"/>
            <w:gridSpan w:val="2"/>
            <w:vAlign w:val="center"/>
            <w:hideMark/>
          </w:tcPr>
          <w:p w14:paraId="7E075267" w14:textId="4D974B53"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615" w:type="pct"/>
            <w:vAlign w:val="center"/>
            <w:hideMark/>
          </w:tcPr>
          <w:p w14:paraId="79F14681" w14:textId="0FC17F30"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684" w:type="pct"/>
            <w:vAlign w:val="center"/>
            <w:hideMark/>
          </w:tcPr>
          <w:p w14:paraId="382AC444" w14:textId="6829DDC3"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r>
      <w:tr w:rsidR="009D2B65" w14:paraId="4C665961" w14:textId="77777777" w:rsidTr="00B25302">
        <w:trPr>
          <w:trHeight w:val="301"/>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4483C058" w14:textId="77777777" w:rsidR="009D2B65" w:rsidRPr="00363F01" w:rsidRDefault="009D2B65" w:rsidP="00B25302">
            <w:pPr>
              <w:spacing w:before="60" w:after="60"/>
              <w:rPr>
                <w:rFonts w:eastAsia="Times New Roman" w:cstheme="minorHAnsi"/>
                <w:color w:val="000000"/>
                <w:spacing w:val="0"/>
                <w:sz w:val="20"/>
                <w:szCs w:val="20"/>
              </w:rPr>
            </w:pPr>
            <w:r w:rsidRPr="00363F01">
              <w:rPr>
                <w:rFonts w:eastAsia="Times New Roman" w:cstheme="minorHAnsi"/>
                <w:color w:val="000000"/>
                <w:spacing w:val="0"/>
                <w:sz w:val="20"/>
                <w:szCs w:val="20"/>
              </w:rPr>
              <w:t>1.5.1 Carer Payment &amp; Carer Allowance</w:t>
            </w:r>
          </w:p>
        </w:tc>
        <w:tc>
          <w:tcPr>
            <w:tcW w:w="619" w:type="pct"/>
            <w:vAlign w:val="center"/>
            <w:hideMark/>
          </w:tcPr>
          <w:p w14:paraId="0D76C012" w14:textId="057E32AB" w:rsidR="009D2B65" w:rsidRPr="0047382C" w:rsidRDefault="00876B8E"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565" w:type="pct"/>
            <w:gridSpan w:val="2"/>
            <w:vAlign w:val="center"/>
            <w:hideMark/>
          </w:tcPr>
          <w:p w14:paraId="1FB32CB0" w14:textId="0642E14C" w:rsidR="009D2B65" w:rsidRPr="0047382C" w:rsidRDefault="00D42BC4"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sidRPr="00756A3A">
              <w:rPr>
                <w:rFonts w:eastAsia="Times New Roman" w:cstheme="minorHAnsi"/>
                <w:color w:val="000000"/>
                <w:spacing w:val="0"/>
                <w:szCs w:val="22"/>
              </w:rPr>
              <w:t>Explicit contribution</w:t>
            </w:r>
          </w:p>
        </w:tc>
        <w:tc>
          <w:tcPr>
            <w:tcW w:w="776" w:type="pct"/>
            <w:vAlign w:val="center"/>
            <w:hideMark/>
          </w:tcPr>
          <w:p w14:paraId="37C60D9E" w14:textId="425331C0" w:rsidR="009D2B65" w:rsidRPr="0047382C" w:rsidRDefault="00876B8E"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692" w:type="pct"/>
            <w:gridSpan w:val="2"/>
            <w:vAlign w:val="center"/>
            <w:hideMark/>
          </w:tcPr>
          <w:p w14:paraId="44052A49" w14:textId="600E0436" w:rsidR="009D2B65" w:rsidRPr="0047382C" w:rsidRDefault="00876B8E"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615" w:type="pct"/>
            <w:vAlign w:val="center"/>
            <w:hideMark/>
          </w:tcPr>
          <w:p w14:paraId="1533FBBA" w14:textId="6761DC29" w:rsidR="009D2B65" w:rsidRPr="0047382C" w:rsidRDefault="00876B8E"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684" w:type="pct"/>
            <w:vAlign w:val="center"/>
            <w:hideMark/>
          </w:tcPr>
          <w:p w14:paraId="064CD3CF" w14:textId="1D758DD9" w:rsidR="009D2B65" w:rsidRPr="0047382C" w:rsidRDefault="00D42BC4"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sidRPr="00756A3A">
              <w:rPr>
                <w:rFonts w:eastAsia="Times New Roman" w:cstheme="minorHAnsi"/>
                <w:color w:val="000000"/>
                <w:spacing w:val="0"/>
                <w:szCs w:val="22"/>
              </w:rPr>
              <w:t>Explicit contribution</w:t>
            </w:r>
          </w:p>
        </w:tc>
      </w:tr>
      <w:tr w:rsidR="009D2B65" w14:paraId="12D36128" w14:textId="77777777" w:rsidTr="00B25302">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0D7FCC63" w14:textId="77777777" w:rsidR="009D2B65" w:rsidRPr="00363F01" w:rsidRDefault="009D2B65" w:rsidP="00B25302">
            <w:pPr>
              <w:spacing w:before="60" w:after="60"/>
              <w:rPr>
                <w:rFonts w:eastAsia="Times New Roman" w:cstheme="minorHAnsi"/>
                <w:color w:val="000000"/>
                <w:spacing w:val="0"/>
                <w:sz w:val="20"/>
                <w:szCs w:val="20"/>
              </w:rPr>
            </w:pPr>
            <w:r w:rsidRPr="00363F01">
              <w:rPr>
                <w:rFonts w:eastAsia="Times New Roman" w:cstheme="minorHAnsi"/>
                <w:color w:val="000000"/>
                <w:spacing w:val="0"/>
                <w:sz w:val="20"/>
                <w:szCs w:val="20"/>
              </w:rPr>
              <w:t xml:space="preserve">1.6.1 </w:t>
            </w:r>
            <w:proofErr w:type="spellStart"/>
            <w:r w:rsidRPr="00363F01">
              <w:rPr>
                <w:rFonts w:eastAsia="Times New Roman" w:cstheme="minorHAnsi"/>
                <w:color w:val="000000"/>
                <w:spacing w:val="0"/>
                <w:sz w:val="20"/>
                <w:szCs w:val="20"/>
              </w:rPr>
              <w:t>JobSeeker</w:t>
            </w:r>
            <w:proofErr w:type="spellEnd"/>
            <w:r w:rsidRPr="00363F01">
              <w:rPr>
                <w:rFonts w:eastAsia="Times New Roman" w:cstheme="minorHAnsi"/>
                <w:color w:val="000000"/>
                <w:spacing w:val="0"/>
                <w:sz w:val="20"/>
                <w:szCs w:val="20"/>
              </w:rPr>
              <w:t xml:space="preserve"> Payment, Youth Allowance (other) &amp; Parenting Payment</w:t>
            </w:r>
          </w:p>
        </w:tc>
        <w:tc>
          <w:tcPr>
            <w:tcW w:w="619" w:type="pct"/>
            <w:vAlign w:val="center"/>
            <w:hideMark/>
          </w:tcPr>
          <w:p w14:paraId="7AD0A5E3" w14:textId="0D8980A5" w:rsidR="009D2B65" w:rsidRPr="0047382C" w:rsidRDefault="00D42BC4"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sidRPr="00756A3A">
              <w:rPr>
                <w:rFonts w:eastAsia="Times New Roman" w:cstheme="minorHAnsi"/>
                <w:color w:val="000000"/>
                <w:spacing w:val="0"/>
                <w:szCs w:val="22"/>
              </w:rPr>
              <w:t>Explicit contribution</w:t>
            </w:r>
          </w:p>
        </w:tc>
        <w:tc>
          <w:tcPr>
            <w:tcW w:w="565" w:type="pct"/>
            <w:gridSpan w:val="2"/>
            <w:vAlign w:val="center"/>
            <w:hideMark/>
          </w:tcPr>
          <w:p w14:paraId="3178F0F3" w14:textId="2B51E324" w:rsidR="009D2B65" w:rsidRPr="0047382C" w:rsidRDefault="00D42BC4"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sidRPr="00756A3A">
              <w:rPr>
                <w:rFonts w:eastAsia="Times New Roman" w:cstheme="minorHAnsi"/>
                <w:color w:val="000000"/>
                <w:spacing w:val="0"/>
                <w:szCs w:val="22"/>
              </w:rPr>
              <w:t>Explicit contribution</w:t>
            </w:r>
          </w:p>
        </w:tc>
        <w:tc>
          <w:tcPr>
            <w:tcW w:w="776" w:type="pct"/>
            <w:vAlign w:val="center"/>
            <w:hideMark/>
          </w:tcPr>
          <w:p w14:paraId="07C05AF2" w14:textId="5FF30B1E"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692" w:type="pct"/>
            <w:gridSpan w:val="2"/>
            <w:vAlign w:val="center"/>
            <w:hideMark/>
          </w:tcPr>
          <w:p w14:paraId="796DA005" w14:textId="3C68AB0C"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pacing w:val="0"/>
                <w:sz w:val="40"/>
                <w:szCs w:val="40"/>
              </w:rPr>
            </w:pPr>
            <w:r>
              <w:rPr>
                <w:rFonts w:eastAsia="Times New Roman" w:cstheme="minorHAnsi"/>
                <w:color w:val="000000" w:themeColor="text1"/>
                <w:spacing w:val="0"/>
                <w:sz w:val="40"/>
                <w:szCs w:val="40"/>
              </w:rPr>
              <w:t>-</w:t>
            </w:r>
          </w:p>
        </w:tc>
        <w:tc>
          <w:tcPr>
            <w:tcW w:w="615" w:type="pct"/>
            <w:vAlign w:val="center"/>
            <w:hideMark/>
          </w:tcPr>
          <w:p w14:paraId="7DA0E32A" w14:textId="0393B8FB"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684" w:type="pct"/>
            <w:vAlign w:val="center"/>
            <w:hideMark/>
          </w:tcPr>
          <w:p w14:paraId="2037AC22" w14:textId="26785138" w:rsidR="009D2B65" w:rsidRPr="0047382C" w:rsidRDefault="00D42BC4"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sidRPr="00756A3A">
              <w:rPr>
                <w:rFonts w:eastAsia="Times New Roman" w:cstheme="minorHAnsi"/>
                <w:color w:val="000000"/>
                <w:spacing w:val="0"/>
                <w:szCs w:val="22"/>
              </w:rPr>
              <w:t>Explicit contribution</w:t>
            </w:r>
          </w:p>
        </w:tc>
      </w:tr>
      <w:tr w:rsidR="009D2B65" w14:paraId="6622E728" w14:textId="77777777" w:rsidTr="00B25302">
        <w:trPr>
          <w:trHeight w:val="301"/>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5242F5F9" w14:textId="77777777" w:rsidR="009D2B65" w:rsidRPr="00363F01" w:rsidRDefault="009D2B65" w:rsidP="00B25302">
            <w:pPr>
              <w:spacing w:before="60" w:after="60"/>
              <w:rPr>
                <w:rFonts w:eastAsia="Times New Roman" w:cstheme="minorHAnsi"/>
                <w:color w:val="000000"/>
                <w:spacing w:val="0"/>
                <w:sz w:val="20"/>
                <w:szCs w:val="20"/>
              </w:rPr>
            </w:pPr>
            <w:r w:rsidRPr="00363F01">
              <w:rPr>
                <w:rFonts w:eastAsia="Times New Roman" w:cstheme="minorHAnsi"/>
                <w:color w:val="000000"/>
                <w:spacing w:val="0"/>
                <w:sz w:val="20"/>
                <w:szCs w:val="20"/>
              </w:rPr>
              <w:t xml:space="preserve">1.7.1 Youth Allowance (Student), </w:t>
            </w:r>
            <w:proofErr w:type="spellStart"/>
            <w:r w:rsidRPr="00363F01">
              <w:rPr>
                <w:rFonts w:eastAsia="Times New Roman" w:cstheme="minorHAnsi"/>
                <w:color w:val="000000"/>
                <w:spacing w:val="0"/>
                <w:sz w:val="20"/>
                <w:szCs w:val="20"/>
              </w:rPr>
              <w:t>Austudy</w:t>
            </w:r>
            <w:proofErr w:type="spellEnd"/>
            <w:r w:rsidRPr="00363F01">
              <w:rPr>
                <w:rFonts w:eastAsia="Times New Roman" w:cstheme="minorHAnsi"/>
                <w:color w:val="000000"/>
                <w:spacing w:val="0"/>
                <w:sz w:val="20"/>
                <w:szCs w:val="20"/>
              </w:rPr>
              <w:t xml:space="preserve"> &amp; ABSTUDY</w:t>
            </w:r>
          </w:p>
        </w:tc>
        <w:tc>
          <w:tcPr>
            <w:tcW w:w="619" w:type="pct"/>
            <w:vAlign w:val="center"/>
            <w:hideMark/>
          </w:tcPr>
          <w:p w14:paraId="6DE3455E" w14:textId="1ACE7DF5" w:rsidR="009D2B65" w:rsidRPr="0047382C" w:rsidRDefault="00D42BC4"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sidRPr="00756A3A">
              <w:rPr>
                <w:rFonts w:eastAsia="Times New Roman" w:cstheme="minorHAnsi"/>
                <w:color w:val="000000"/>
                <w:spacing w:val="0"/>
                <w:szCs w:val="22"/>
              </w:rPr>
              <w:t>Explicit contribution</w:t>
            </w:r>
            <w:r w:rsidR="009D2B65" w:rsidRPr="0047382C">
              <w:rPr>
                <w:rFonts w:eastAsia="Times New Roman" w:cstheme="minorHAnsi"/>
                <w:color w:val="000000"/>
                <w:spacing w:val="0"/>
                <w:sz w:val="40"/>
                <w:szCs w:val="40"/>
              </w:rPr>
              <w:t xml:space="preserve"> </w:t>
            </w:r>
          </w:p>
        </w:tc>
        <w:tc>
          <w:tcPr>
            <w:tcW w:w="565" w:type="pct"/>
            <w:gridSpan w:val="2"/>
            <w:vAlign w:val="center"/>
            <w:hideMark/>
          </w:tcPr>
          <w:p w14:paraId="42E92747" w14:textId="222D766F" w:rsidR="009D2B65" w:rsidRPr="0047382C" w:rsidRDefault="00D42BC4"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sidRPr="00756A3A">
              <w:rPr>
                <w:rFonts w:eastAsia="Times New Roman" w:cstheme="minorHAnsi"/>
                <w:color w:val="000000"/>
                <w:spacing w:val="0"/>
                <w:szCs w:val="22"/>
              </w:rPr>
              <w:t>Explicit contribution</w:t>
            </w:r>
          </w:p>
        </w:tc>
        <w:tc>
          <w:tcPr>
            <w:tcW w:w="776" w:type="pct"/>
            <w:vAlign w:val="center"/>
            <w:hideMark/>
          </w:tcPr>
          <w:p w14:paraId="059499A6" w14:textId="29A84BF3" w:rsidR="009D2B65" w:rsidRPr="0047382C" w:rsidRDefault="00D42BC4"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sidRPr="00D42BC4">
              <w:rPr>
                <w:rFonts w:eastAsia="Times New Roman" w:cstheme="minorHAnsi"/>
                <w:color w:val="000000"/>
                <w:spacing w:val="0"/>
                <w:szCs w:val="22"/>
              </w:rPr>
              <w:t>Partial contribution</w:t>
            </w:r>
            <w:r w:rsidR="009D2B65" w:rsidRPr="0047382C">
              <w:rPr>
                <w:rFonts w:eastAsia="Times New Roman" w:cstheme="minorHAnsi"/>
                <w:color w:val="000000"/>
                <w:spacing w:val="0"/>
                <w:sz w:val="40"/>
                <w:szCs w:val="40"/>
              </w:rPr>
              <w:t xml:space="preserve"> </w:t>
            </w:r>
          </w:p>
        </w:tc>
        <w:tc>
          <w:tcPr>
            <w:tcW w:w="692" w:type="pct"/>
            <w:gridSpan w:val="2"/>
            <w:vAlign w:val="center"/>
            <w:hideMark/>
          </w:tcPr>
          <w:p w14:paraId="30D73A64" w14:textId="4DDDF619" w:rsidR="009D2B65" w:rsidRPr="0047382C" w:rsidRDefault="00876B8E"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pacing w:val="0"/>
                <w:sz w:val="40"/>
                <w:szCs w:val="40"/>
              </w:rPr>
            </w:pPr>
            <w:r>
              <w:rPr>
                <w:rFonts w:eastAsia="Times New Roman" w:cstheme="minorHAnsi"/>
                <w:color w:val="000000" w:themeColor="text1"/>
                <w:spacing w:val="0"/>
                <w:sz w:val="40"/>
                <w:szCs w:val="40"/>
              </w:rPr>
              <w:t>-</w:t>
            </w:r>
          </w:p>
        </w:tc>
        <w:tc>
          <w:tcPr>
            <w:tcW w:w="615" w:type="pct"/>
            <w:vAlign w:val="center"/>
            <w:hideMark/>
          </w:tcPr>
          <w:p w14:paraId="4BE7D3F0" w14:textId="4ABC25BA" w:rsidR="009D2B65" w:rsidRPr="0047382C" w:rsidRDefault="00876B8E"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684" w:type="pct"/>
            <w:vAlign w:val="center"/>
            <w:hideMark/>
          </w:tcPr>
          <w:p w14:paraId="17BA6E37" w14:textId="0ED5F73F" w:rsidR="009D2B65" w:rsidRPr="0047382C" w:rsidRDefault="00876B8E"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r>
      <w:tr w:rsidR="009D2B65" w14:paraId="5E8555AF" w14:textId="77777777" w:rsidTr="00B25302">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640AC5B1" w14:textId="77777777" w:rsidR="009D2B65" w:rsidRPr="00363F01" w:rsidRDefault="009D2B65" w:rsidP="00B25302">
            <w:pPr>
              <w:spacing w:before="60" w:after="60"/>
              <w:rPr>
                <w:rFonts w:eastAsia="Times New Roman" w:cstheme="minorHAnsi"/>
                <w:color w:val="000000"/>
                <w:spacing w:val="0"/>
                <w:sz w:val="20"/>
                <w:szCs w:val="20"/>
              </w:rPr>
            </w:pPr>
            <w:r w:rsidRPr="00363F01">
              <w:rPr>
                <w:rFonts w:eastAsia="Times New Roman" w:cstheme="minorHAnsi"/>
                <w:color w:val="000000"/>
                <w:spacing w:val="0"/>
                <w:sz w:val="20"/>
                <w:szCs w:val="20"/>
              </w:rPr>
              <w:lastRenderedPageBreak/>
              <w:t>1.8.1 Inclusive Employment Australia</w:t>
            </w:r>
          </w:p>
        </w:tc>
        <w:tc>
          <w:tcPr>
            <w:tcW w:w="619" w:type="pct"/>
            <w:vAlign w:val="center"/>
            <w:hideMark/>
          </w:tcPr>
          <w:p w14:paraId="0C4F012E" w14:textId="6A3B9BFD" w:rsidR="009D2B65" w:rsidRPr="0047382C" w:rsidRDefault="00D42BC4"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sidRPr="00756A3A">
              <w:rPr>
                <w:rFonts w:eastAsia="Times New Roman" w:cstheme="minorHAnsi"/>
                <w:color w:val="000000"/>
                <w:spacing w:val="0"/>
                <w:szCs w:val="22"/>
              </w:rPr>
              <w:t>Explicit contribution</w:t>
            </w:r>
          </w:p>
        </w:tc>
        <w:tc>
          <w:tcPr>
            <w:tcW w:w="565" w:type="pct"/>
            <w:gridSpan w:val="2"/>
            <w:vAlign w:val="center"/>
            <w:hideMark/>
          </w:tcPr>
          <w:p w14:paraId="4DECE813" w14:textId="3FCE52E4"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776" w:type="pct"/>
            <w:vAlign w:val="center"/>
            <w:hideMark/>
          </w:tcPr>
          <w:p w14:paraId="148FFABF" w14:textId="5552F1C0" w:rsidR="009D2B65" w:rsidRPr="0047382C" w:rsidRDefault="00D42BC4"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sidRPr="00D42BC4">
              <w:rPr>
                <w:rFonts w:eastAsia="Times New Roman" w:cstheme="minorHAnsi"/>
                <w:color w:val="000000"/>
                <w:spacing w:val="0"/>
                <w:szCs w:val="22"/>
              </w:rPr>
              <w:t>Partial contribution</w:t>
            </w:r>
          </w:p>
        </w:tc>
        <w:tc>
          <w:tcPr>
            <w:tcW w:w="692" w:type="pct"/>
            <w:gridSpan w:val="2"/>
            <w:vAlign w:val="center"/>
            <w:hideMark/>
          </w:tcPr>
          <w:p w14:paraId="72931CB1" w14:textId="6EF6BF7C" w:rsidR="009D2B65" w:rsidRPr="0047382C" w:rsidRDefault="00D42BC4"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pacing w:val="0"/>
                <w:sz w:val="40"/>
                <w:szCs w:val="40"/>
              </w:rPr>
            </w:pPr>
            <w:r w:rsidRPr="00D42BC4">
              <w:rPr>
                <w:rFonts w:eastAsia="Times New Roman" w:cstheme="minorHAnsi"/>
                <w:color w:val="000000"/>
                <w:spacing w:val="0"/>
                <w:szCs w:val="22"/>
              </w:rPr>
              <w:t>Partial contribution</w:t>
            </w:r>
          </w:p>
        </w:tc>
        <w:tc>
          <w:tcPr>
            <w:tcW w:w="615" w:type="pct"/>
            <w:vAlign w:val="center"/>
            <w:hideMark/>
          </w:tcPr>
          <w:p w14:paraId="10C0B20F" w14:textId="0F4FDFEE"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684" w:type="pct"/>
            <w:vAlign w:val="center"/>
            <w:hideMark/>
          </w:tcPr>
          <w:p w14:paraId="4B7B9163" w14:textId="4DFD75D0"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r>
      <w:tr w:rsidR="009D2B65" w14:paraId="115CAB43" w14:textId="77777777" w:rsidTr="00B25302">
        <w:trPr>
          <w:trHeight w:val="301"/>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3C3508CB" w14:textId="77777777" w:rsidR="009D2B65" w:rsidRPr="00363F01" w:rsidRDefault="009D2B65" w:rsidP="00B25302">
            <w:pPr>
              <w:spacing w:before="60" w:after="60"/>
              <w:rPr>
                <w:rFonts w:eastAsia="Times New Roman" w:cstheme="minorHAnsi"/>
                <w:color w:val="000000"/>
                <w:spacing w:val="0"/>
                <w:sz w:val="20"/>
                <w:szCs w:val="20"/>
              </w:rPr>
            </w:pPr>
            <w:r w:rsidRPr="00363F01">
              <w:rPr>
                <w:rFonts w:eastAsia="Times New Roman" w:cstheme="minorHAnsi"/>
                <w:color w:val="000000"/>
                <w:spacing w:val="0"/>
                <w:sz w:val="20"/>
                <w:szCs w:val="20"/>
              </w:rPr>
              <w:t>1.9.1 Income Apportionment Resolution Payment</w:t>
            </w:r>
          </w:p>
        </w:tc>
        <w:tc>
          <w:tcPr>
            <w:tcW w:w="619" w:type="pct"/>
            <w:vAlign w:val="center"/>
            <w:hideMark/>
          </w:tcPr>
          <w:p w14:paraId="599F3500" w14:textId="72530D4C" w:rsidR="009D2B65" w:rsidRPr="0047382C" w:rsidRDefault="00876B8E"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565" w:type="pct"/>
            <w:gridSpan w:val="2"/>
            <w:vAlign w:val="center"/>
            <w:hideMark/>
          </w:tcPr>
          <w:p w14:paraId="4BC1385C" w14:textId="09C0C00F" w:rsidR="009D2B65" w:rsidRPr="0047382C" w:rsidRDefault="00D42BC4"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sidRPr="00756A3A">
              <w:rPr>
                <w:rFonts w:eastAsia="Times New Roman" w:cstheme="minorHAnsi"/>
                <w:color w:val="000000"/>
                <w:spacing w:val="0"/>
                <w:szCs w:val="22"/>
              </w:rPr>
              <w:t>Explicit contribution</w:t>
            </w:r>
          </w:p>
        </w:tc>
        <w:tc>
          <w:tcPr>
            <w:tcW w:w="776" w:type="pct"/>
            <w:vAlign w:val="center"/>
            <w:hideMark/>
          </w:tcPr>
          <w:p w14:paraId="4E9C08D3" w14:textId="7332CF45" w:rsidR="009D2B65" w:rsidRPr="0047382C" w:rsidRDefault="00876B8E"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692" w:type="pct"/>
            <w:gridSpan w:val="2"/>
            <w:vAlign w:val="center"/>
            <w:hideMark/>
          </w:tcPr>
          <w:p w14:paraId="530B539A" w14:textId="56CE3A79" w:rsidR="009D2B65" w:rsidRPr="0047382C" w:rsidRDefault="00876B8E"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pacing w:val="0"/>
                <w:sz w:val="40"/>
                <w:szCs w:val="40"/>
              </w:rPr>
            </w:pPr>
            <w:r>
              <w:rPr>
                <w:rFonts w:eastAsia="Times New Roman" w:cstheme="minorHAnsi"/>
                <w:color w:val="000000" w:themeColor="text1"/>
                <w:spacing w:val="0"/>
                <w:sz w:val="40"/>
                <w:szCs w:val="40"/>
              </w:rPr>
              <w:t>-</w:t>
            </w:r>
          </w:p>
        </w:tc>
        <w:tc>
          <w:tcPr>
            <w:tcW w:w="615" w:type="pct"/>
            <w:vAlign w:val="center"/>
            <w:hideMark/>
          </w:tcPr>
          <w:p w14:paraId="749329B0" w14:textId="00644205" w:rsidR="009D2B65" w:rsidRPr="0047382C" w:rsidRDefault="00876B8E"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684" w:type="pct"/>
            <w:vAlign w:val="center"/>
            <w:hideMark/>
          </w:tcPr>
          <w:p w14:paraId="4CB3309C" w14:textId="5EEF4B3A" w:rsidR="009D2B65" w:rsidRPr="0047382C" w:rsidRDefault="00876B8E"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r>
      <w:tr w:rsidR="009D2B65" w14:paraId="2EA11166" w14:textId="77777777" w:rsidTr="00B25302">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2B22F3F8" w14:textId="77777777" w:rsidR="009D2B65" w:rsidRPr="00363F01" w:rsidRDefault="009D2B65" w:rsidP="00B25302">
            <w:pPr>
              <w:spacing w:before="60" w:after="60"/>
              <w:rPr>
                <w:rFonts w:eastAsia="Times New Roman" w:cstheme="minorHAnsi"/>
                <w:color w:val="000000"/>
                <w:spacing w:val="0"/>
                <w:sz w:val="20"/>
                <w:szCs w:val="20"/>
              </w:rPr>
            </w:pPr>
            <w:r w:rsidRPr="00363F01">
              <w:rPr>
                <w:rFonts w:eastAsia="Times New Roman" w:cstheme="minorHAnsi"/>
                <w:color w:val="000000"/>
                <w:spacing w:val="0"/>
                <w:sz w:val="20"/>
                <w:szCs w:val="20"/>
              </w:rPr>
              <w:t>Cross Program – Rent Assistance</w:t>
            </w:r>
          </w:p>
        </w:tc>
        <w:tc>
          <w:tcPr>
            <w:tcW w:w="619" w:type="pct"/>
            <w:vAlign w:val="center"/>
            <w:hideMark/>
          </w:tcPr>
          <w:p w14:paraId="76F647A2" w14:textId="5E16D1F3"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565" w:type="pct"/>
            <w:gridSpan w:val="2"/>
            <w:vAlign w:val="center"/>
            <w:hideMark/>
          </w:tcPr>
          <w:p w14:paraId="61270A2F" w14:textId="31DBF15E" w:rsidR="009D2B65" w:rsidRPr="0047382C" w:rsidRDefault="00D42BC4"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sidRPr="00756A3A">
              <w:rPr>
                <w:rFonts w:eastAsia="Times New Roman" w:cstheme="minorHAnsi"/>
                <w:color w:val="000000"/>
                <w:spacing w:val="0"/>
                <w:szCs w:val="22"/>
              </w:rPr>
              <w:t>Explicit contribution</w:t>
            </w:r>
          </w:p>
        </w:tc>
        <w:tc>
          <w:tcPr>
            <w:tcW w:w="776" w:type="pct"/>
            <w:vAlign w:val="center"/>
            <w:hideMark/>
          </w:tcPr>
          <w:p w14:paraId="31BEA27D" w14:textId="503E0F15"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692" w:type="pct"/>
            <w:gridSpan w:val="2"/>
            <w:vAlign w:val="center"/>
            <w:hideMark/>
          </w:tcPr>
          <w:p w14:paraId="796C6116" w14:textId="3F5E3220"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pacing w:val="0"/>
                <w:sz w:val="40"/>
                <w:szCs w:val="40"/>
              </w:rPr>
            </w:pPr>
            <w:r>
              <w:rPr>
                <w:rFonts w:eastAsia="Times New Roman" w:cstheme="minorHAnsi"/>
                <w:color w:val="000000" w:themeColor="text1"/>
                <w:spacing w:val="0"/>
                <w:sz w:val="40"/>
                <w:szCs w:val="40"/>
              </w:rPr>
              <w:t>-</w:t>
            </w:r>
          </w:p>
        </w:tc>
        <w:tc>
          <w:tcPr>
            <w:tcW w:w="615" w:type="pct"/>
            <w:vAlign w:val="center"/>
            <w:hideMark/>
          </w:tcPr>
          <w:p w14:paraId="4DD5745D" w14:textId="37B663C8"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684" w:type="pct"/>
            <w:vAlign w:val="center"/>
            <w:hideMark/>
          </w:tcPr>
          <w:p w14:paraId="10DDF8DE" w14:textId="441D910E"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r>
      <w:tr w:rsidR="009D2B65" w14:paraId="5108B0ED" w14:textId="77777777" w:rsidTr="00B25302">
        <w:trPr>
          <w:trHeight w:val="301"/>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74254B18" w14:textId="77777777" w:rsidR="009D2B65" w:rsidRPr="00363F01" w:rsidRDefault="009D2B65" w:rsidP="00B25302">
            <w:pPr>
              <w:spacing w:before="60" w:after="60"/>
              <w:rPr>
                <w:rFonts w:eastAsia="Times New Roman" w:cstheme="minorHAnsi"/>
                <w:color w:val="000000"/>
                <w:spacing w:val="0"/>
                <w:sz w:val="20"/>
                <w:szCs w:val="20"/>
              </w:rPr>
            </w:pPr>
            <w:r w:rsidRPr="00363F01">
              <w:rPr>
                <w:rFonts w:eastAsia="Times New Roman" w:cstheme="minorHAnsi"/>
                <w:color w:val="000000"/>
                <w:spacing w:val="0"/>
                <w:sz w:val="20"/>
                <w:szCs w:val="20"/>
              </w:rPr>
              <w:t>2.1.1 Families and Children</w:t>
            </w:r>
          </w:p>
        </w:tc>
        <w:tc>
          <w:tcPr>
            <w:tcW w:w="619" w:type="pct"/>
            <w:vAlign w:val="center"/>
            <w:hideMark/>
          </w:tcPr>
          <w:p w14:paraId="55BEDE24" w14:textId="6A97B3C5" w:rsidR="009D2B65" w:rsidRPr="0047382C" w:rsidRDefault="00D42BC4"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sidRPr="00D42BC4">
              <w:rPr>
                <w:rFonts w:eastAsia="Times New Roman" w:cstheme="minorHAnsi"/>
                <w:color w:val="000000"/>
                <w:spacing w:val="0"/>
                <w:szCs w:val="22"/>
              </w:rPr>
              <w:t>Partial contribution</w:t>
            </w:r>
          </w:p>
        </w:tc>
        <w:tc>
          <w:tcPr>
            <w:tcW w:w="565" w:type="pct"/>
            <w:gridSpan w:val="2"/>
            <w:vAlign w:val="center"/>
            <w:hideMark/>
          </w:tcPr>
          <w:p w14:paraId="165CDFD3" w14:textId="77777777" w:rsidR="009D2B65" w:rsidRPr="0047382C" w:rsidRDefault="009D2B65"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p>
        </w:tc>
        <w:tc>
          <w:tcPr>
            <w:tcW w:w="776" w:type="pct"/>
            <w:vAlign w:val="center"/>
            <w:hideMark/>
          </w:tcPr>
          <w:p w14:paraId="040365D7" w14:textId="65070356" w:rsidR="009D2B65" w:rsidRPr="0047382C" w:rsidRDefault="00D42BC4"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sidRPr="00756A3A">
              <w:rPr>
                <w:rFonts w:eastAsia="Times New Roman" w:cstheme="minorHAnsi"/>
                <w:color w:val="000000"/>
                <w:spacing w:val="0"/>
                <w:szCs w:val="22"/>
              </w:rPr>
              <w:t>Explicit contribution</w:t>
            </w:r>
          </w:p>
        </w:tc>
        <w:tc>
          <w:tcPr>
            <w:tcW w:w="692" w:type="pct"/>
            <w:gridSpan w:val="2"/>
            <w:vAlign w:val="center"/>
            <w:hideMark/>
          </w:tcPr>
          <w:p w14:paraId="1166A7D3" w14:textId="648B4405" w:rsidR="009D2B65" w:rsidRPr="0047382C" w:rsidRDefault="00D42BC4"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pacing w:val="0"/>
                <w:sz w:val="40"/>
                <w:szCs w:val="40"/>
              </w:rPr>
            </w:pPr>
            <w:r w:rsidRPr="00756A3A">
              <w:rPr>
                <w:rFonts w:eastAsia="Times New Roman" w:cstheme="minorHAnsi"/>
                <w:color w:val="000000"/>
                <w:spacing w:val="0"/>
                <w:szCs w:val="22"/>
              </w:rPr>
              <w:t>Explicit contribution</w:t>
            </w:r>
          </w:p>
        </w:tc>
        <w:tc>
          <w:tcPr>
            <w:tcW w:w="615" w:type="pct"/>
            <w:vAlign w:val="center"/>
            <w:hideMark/>
          </w:tcPr>
          <w:p w14:paraId="2A40FE67" w14:textId="43E56577" w:rsidR="009D2B65" w:rsidRPr="0047382C" w:rsidRDefault="00D42BC4"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sidRPr="00756A3A">
              <w:rPr>
                <w:rFonts w:eastAsia="Times New Roman" w:cstheme="minorHAnsi"/>
                <w:color w:val="000000"/>
                <w:spacing w:val="0"/>
                <w:szCs w:val="22"/>
              </w:rPr>
              <w:t>Explicit contribution</w:t>
            </w:r>
          </w:p>
        </w:tc>
        <w:tc>
          <w:tcPr>
            <w:tcW w:w="684" w:type="pct"/>
            <w:vAlign w:val="center"/>
            <w:hideMark/>
          </w:tcPr>
          <w:p w14:paraId="1A6C8A77" w14:textId="10BC433F" w:rsidR="009D2B65" w:rsidRPr="0047382C" w:rsidRDefault="00D42BC4"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sidRPr="00756A3A">
              <w:rPr>
                <w:rFonts w:eastAsia="Times New Roman" w:cstheme="minorHAnsi"/>
                <w:color w:val="000000"/>
                <w:spacing w:val="0"/>
                <w:szCs w:val="22"/>
              </w:rPr>
              <w:t>Explicit contribution</w:t>
            </w:r>
          </w:p>
        </w:tc>
      </w:tr>
      <w:tr w:rsidR="009D2B65" w14:paraId="5662D801" w14:textId="77777777" w:rsidTr="00B25302">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9" w:type="pct"/>
            <w:vAlign w:val="center"/>
          </w:tcPr>
          <w:p w14:paraId="557848B1" w14:textId="77777777" w:rsidR="009D2B65" w:rsidRPr="00363F01" w:rsidRDefault="009D2B65" w:rsidP="00B25302">
            <w:pPr>
              <w:spacing w:before="60" w:after="60"/>
              <w:rPr>
                <w:rFonts w:eastAsia="Times New Roman" w:cstheme="minorHAnsi"/>
                <w:color w:val="000000"/>
                <w:spacing w:val="0"/>
                <w:sz w:val="20"/>
                <w:szCs w:val="20"/>
              </w:rPr>
            </w:pPr>
            <w:r w:rsidRPr="00363F01">
              <w:rPr>
                <w:rFonts w:eastAsia="Times New Roman" w:cstheme="minorHAnsi"/>
                <w:color w:val="000000"/>
                <w:spacing w:val="0"/>
                <w:sz w:val="20"/>
                <w:szCs w:val="20"/>
              </w:rPr>
              <w:t>2.1.2 Family Safety</w:t>
            </w:r>
          </w:p>
        </w:tc>
        <w:tc>
          <w:tcPr>
            <w:tcW w:w="619" w:type="pct"/>
            <w:vAlign w:val="center"/>
          </w:tcPr>
          <w:p w14:paraId="02898AEB" w14:textId="628E1AAA"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565" w:type="pct"/>
            <w:gridSpan w:val="2"/>
            <w:vAlign w:val="center"/>
          </w:tcPr>
          <w:p w14:paraId="71A2F9F6" w14:textId="72E54A06"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776" w:type="pct"/>
            <w:vAlign w:val="center"/>
          </w:tcPr>
          <w:p w14:paraId="145C5319" w14:textId="4242F81E" w:rsidR="009D2B65" w:rsidRPr="0047382C" w:rsidRDefault="00D42BC4"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sidRPr="00756A3A">
              <w:rPr>
                <w:rFonts w:eastAsia="Times New Roman" w:cstheme="minorHAnsi"/>
                <w:color w:val="000000"/>
                <w:spacing w:val="0"/>
                <w:szCs w:val="22"/>
              </w:rPr>
              <w:t>Explicit contribution</w:t>
            </w:r>
          </w:p>
        </w:tc>
        <w:tc>
          <w:tcPr>
            <w:tcW w:w="692" w:type="pct"/>
            <w:gridSpan w:val="2"/>
            <w:vAlign w:val="center"/>
          </w:tcPr>
          <w:p w14:paraId="34ECB2E2" w14:textId="49E15B35" w:rsidR="009D2B65" w:rsidRPr="0047382C" w:rsidRDefault="00D42BC4"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pacing w:val="0"/>
                <w:sz w:val="40"/>
                <w:szCs w:val="40"/>
              </w:rPr>
            </w:pPr>
            <w:r w:rsidRPr="00756A3A">
              <w:rPr>
                <w:rFonts w:eastAsia="Times New Roman" w:cstheme="minorHAnsi"/>
                <w:color w:val="000000"/>
                <w:spacing w:val="0"/>
                <w:szCs w:val="22"/>
              </w:rPr>
              <w:t>Explicit contribution</w:t>
            </w:r>
          </w:p>
        </w:tc>
        <w:tc>
          <w:tcPr>
            <w:tcW w:w="615" w:type="pct"/>
            <w:vAlign w:val="center"/>
          </w:tcPr>
          <w:p w14:paraId="779768E8" w14:textId="18FB4AAB" w:rsidR="009D2B65" w:rsidRPr="0047382C" w:rsidRDefault="00D42BC4"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sidRPr="00756A3A">
              <w:rPr>
                <w:rFonts w:eastAsia="Times New Roman" w:cstheme="minorHAnsi"/>
                <w:color w:val="000000"/>
                <w:spacing w:val="0"/>
                <w:szCs w:val="22"/>
              </w:rPr>
              <w:t>Explicit contribution</w:t>
            </w:r>
          </w:p>
        </w:tc>
        <w:tc>
          <w:tcPr>
            <w:tcW w:w="684" w:type="pct"/>
            <w:vAlign w:val="center"/>
          </w:tcPr>
          <w:p w14:paraId="06A08033" w14:textId="73E3ABD6" w:rsidR="009D2B65" w:rsidRPr="0047382C" w:rsidRDefault="00D42BC4"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sidRPr="00756A3A">
              <w:rPr>
                <w:rFonts w:eastAsia="Times New Roman" w:cstheme="minorHAnsi"/>
                <w:color w:val="000000"/>
                <w:spacing w:val="0"/>
                <w:szCs w:val="22"/>
              </w:rPr>
              <w:t>Explicit contribution</w:t>
            </w:r>
          </w:p>
        </w:tc>
      </w:tr>
      <w:tr w:rsidR="009D2B65" w14:paraId="5FD154FF" w14:textId="77777777" w:rsidTr="00B25302">
        <w:trPr>
          <w:trHeight w:val="301"/>
        </w:trPr>
        <w:tc>
          <w:tcPr>
            <w:cnfStyle w:val="001000000000" w:firstRow="0" w:lastRow="0" w:firstColumn="1" w:lastColumn="0" w:oddVBand="0" w:evenVBand="0" w:oddHBand="0" w:evenHBand="0" w:firstRowFirstColumn="0" w:firstRowLastColumn="0" w:lastRowFirstColumn="0" w:lastRowLastColumn="0"/>
            <w:tcW w:w="1049" w:type="pct"/>
            <w:vAlign w:val="center"/>
          </w:tcPr>
          <w:p w14:paraId="29057009" w14:textId="77777777" w:rsidR="009D2B65" w:rsidRPr="00363F01" w:rsidRDefault="009D2B65" w:rsidP="00B25302">
            <w:pPr>
              <w:spacing w:before="60" w:after="60"/>
              <w:rPr>
                <w:rFonts w:eastAsia="Times New Roman" w:cstheme="minorHAnsi"/>
                <w:color w:val="000000"/>
                <w:spacing w:val="0"/>
                <w:sz w:val="20"/>
                <w:szCs w:val="20"/>
              </w:rPr>
            </w:pPr>
            <w:r w:rsidRPr="00363F01">
              <w:rPr>
                <w:rFonts w:eastAsia="Times New Roman" w:cstheme="minorHAnsi"/>
                <w:color w:val="000000"/>
                <w:spacing w:val="0"/>
                <w:sz w:val="20"/>
                <w:szCs w:val="20"/>
              </w:rPr>
              <w:t>2.1.5 Financial Wellbeing and Capability</w:t>
            </w:r>
          </w:p>
        </w:tc>
        <w:tc>
          <w:tcPr>
            <w:tcW w:w="619" w:type="pct"/>
            <w:vAlign w:val="center"/>
          </w:tcPr>
          <w:p w14:paraId="50A7E2A9" w14:textId="045B8BEE" w:rsidR="009D2B65" w:rsidRPr="0047382C" w:rsidRDefault="00D42BC4"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sidRPr="00D42BC4">
              <w:rPr>
                <w:rFonts w:eastAsia="Times New Roman" w:cstheme="minorHAnsi"/>
                <w:color w:val="000000"/>
                <w:spacing w:val="0"/>
                <w:szCs w:val="22"/>
              </w:rPr>
              <w:t>Partial contribution</w:t>
            </w:r>
          </w:p>
        </w:tc>
        <w:tc>
          <w:tcPr>
            <w:tcW w:w="565" w:type="pct"/>
            <w:gridSpan w:val="2"/>
            <w:vAlign w:val="center"/>
          </w:tcPr>
          <w:p w14:paraId="53AF3B9E" w14:textId="3C7D785C" w:rsidR="009D2B65" w:rsidRPr="0047382C" w:rsidRDefault="00876B8E"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776" w:type="pct"/>
            <w:vAlign w:val="center"/>
          </w:tcPr>
          <w:p w14:paraId="048F0E85" w14:textId="7E6311DF" w:rsidR="009D2B65" w:rsidRPr="0047382C" w:rsidRDefault="00D42BC4"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sidRPr="00756A3A">
              <w:rPr>
                <w:rFonts w:eastAsia="Times New Roman" w:cstheme="minorHAnsi"/>
                <w:color w:val="000000"/>
                <w:spacing w:val="0"/>
                <w:szCs w:val="22"/>
              </w:rPr>
              <w:t>Explicit contribution</w:t>
            </w:r>
          </w:p>
        </w:tc>
        <w:tc>
          <w:tcPr>
            <w:tcW w:w="692" w:type="pct"/>
            <w:gridSpan w:val="2"/>
            <w:vAlign w:val="center"/>
          </w:tcPr>
          <w:p w14:paraId="7F2CA9ED" w14:textId="6DD16BEA" w:rsidR="009D2B65" w:rsidRPr="0047382C" w:rsidRDefault="00D42BC4"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pacing w:val="0"/>
                <w:sz w:val="40"/>
                <w:szCs w:val="40"/>
              </w:rPr>
            </w:pPr>
            <w:r w:rsidRPr="00D42BC4">
              <w:rPr>
                <w:rFonts w:eastAsia="Times New Roman" w:cstheme="minorHAnsi"/>
                <w:color w:val="000000"/>
                <w:spacing w:val="0"/>
                <w:szCs w:val="22"/>
              </w:rPr>
              <w:t>Partial contribution</w:t>
            </w:r>
          </w:p>
        </w:tc>
        <w:tc>
          <w:tcPr>
            <w:tcW w:w="615" w:type="pct"/>
            <w:vAlign w:val="center"/>
          </w:tcPr>
          <w:p w14:paraId="6F7FF057" w14:textId="402EE758" w:rsidR="009D2B65" w:rsidRPr="0047382C" w:rsidRDefault="00D42BC4"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sidRPr="00D42BC4">
              <w:rPr>
                <w:rFonts w:eastAsia="Times New Roman" w:cstheme="minorHAnsi"/>
                <w:color w:val="000000"/>
                <w:spacing w:val="0"/>
                <w:szCs w:val="22"/>
              </w:rPr>
              <w:t>Partial contribution</w:t>
            </w:r>
          </w:p>
        </w:tc>
        <w:tc>
          <w:tcPr>
            <w:tcW w:w="684" w:type="pct"/>
            <w:vAlign w:val="center"/>
          </w:tcPr>
          <w:p w14:paraId="1A343491" w14:textId="671558F4" w:rsidR="009D2B65" w:rsidRPr="0047382C" w:rsidRDefault="00D42BC4" w:rsidP="00B2530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pacing w:val="0"/>
                <w:sz w:val="40"/>
                <w:szCs w:val="40"/>
              </w:rPr>
            </w:pPr>
            <w:r w:rsidRPr="00D42BC4">
              <w:rPr>
                <w:rFonts w:eastAsia="Times New Roman" w:cstheme="minorHAnsi"/>
                <w:color w:val="000000"/>
                <w:spacing w:val="0"/>
                <w:szCs w:val="22"/>
              </w:rPr>
              <w:t>Partial contribution</w:t>
            </w:r>
          </w:p>
        </w:tc>
      </w:tr>
      <w:tr w:rsidR="009D2B65" w14:paraId="7CBFB62C" w14:textId="77777777" w:rsidTr="00B25302">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9" w:type="pct"/>
            <w:vAlign w:val="center"/>
          </w:tcPr>
          <w:p w14:paraId="7CB6AEEC" w14:textId="77777777" w:rsidR="009D2B65" w:rsidRPr="00363F01" w:rsidRDefault="009D2B65" w:rsidP="00B25302">
            <w:pPr>
              <w:spacing w:before="60" w:after="60"/>
              <w:rPr>
                <w:rFonts w:eastAsia="Times New Roman" w:cstheme="minorHAnsi"/>
                <w:color w:val="000000"/>
                <w:spacing w:val="0"/>
                <w:sz w:val="20"/>
                <w:szCs w:val="20"/>
              </w:rPr>
            </w:pPr>
            <w:r w:rsidRPr="00363F01">
              <w:rPr>
                <w:rFonts w:eastAsia="Times New Roman" w:cstheme="minorHAnsi"/>
                <w:color w:val="000000"/>
                <w:spacing w:val="0"/>
                <w:sz w:val="20"/>
                <w:szCs w:val="20"/>
              </w:rPr>
              <w:t>2.1.7 National Redress Scheme for Institutional Child Sexual Abuse</w:t>
            </w:r>
          </w:p>
        </w:tc>
        <w:tc>
          <w:tcPr>
            <w:tcW w:w="619" w:type="pct"/>
            <w:vAlign w:val="center"/>
          </w:tcPr>
          <w:p w14:paraId="07619058" w14:textId="1A3EAEB3"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565" w:type="pct"/>
            <w:gridSpan w:val="2"/>
            <w:vAlign w:val="center"/>
          </w:tcPr>
          <w:p w14:paraId="44EB3624" w14:textId="7426B4B2"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c>
          <w:tcPr>
            <w:tcW w:w="776" w:type="pct"/>
            <w:vAlign w:val="center"/>
          </w:tcPr>
          <w:p w14:paraId="0E88E96F" w14:textId="7EF12F82" w:rsidR="009D2B65" w:rsidRPr="0047382C" w:rsidRDefault="00D42BC4"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sidRPr="00D42BC4">
              <w:rPr>
                <w:rFonts w:eastAsia="Times New Roman" w:cstheme="minorHAnsi"/>
                <w:color w:val="000000"/>
                <w:spacing w:val="0"/>
                <w:szCs w:val="22"/>
              </w:rPr>
              <w:t>Partial contribution</w:t>
            </w:r>
          </w:p>
        </w:tc>
        <w:tc>
          <w:tcPr>
            <w:tcW w:w="692" w:type="pct"/>
            <w:gridSpan w:val="2"/>
            <w:vAlign w:val="center"/>
          </w:tcPr>
          <w:p w14:paraId="356FFF72" w14:textId="5548FA4E" w:rsidR="009D2B65" w:rsidRPr="00617CBC" w:rsidRDefault="00D42BC4"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pacing w:val="0"/>
                <w:sz w:val="40"/>
                <w:szCs w:val="40"/>
              </w:rPr>
            </w:pPr>
            <w:r w:rsidRPr="00756A3A">
              <w:rPr>
                <w:rFonts w:eastAsia="Times New Roman" w:cstheme="minorHAnsi"/>
                <w:color w:val="000000"/>
                <w:spacing w:val="0"/>
                <w:szCs w:val="22"/>
              </w:rPr>
              <w:t>Explicit contribution</w:t>
            </w:r>
          </w:p>
        </w:tc>
        <w:tc>
          <w:tcPr>
            <w:tcW w:w="615" w:type="pct"/>
            <w:vAlign w:val="center"/>
          </w:tcPr>
          <w:p w14:paraId="24A79421" w14:textId="39A579CF" w:rsidR="009D2B65" w:rsidRPr="0047382C" w:rsidRDefault="00D42BC4"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sidRPr="00D42BC4">
              <w:rPr>
                <w:rFonts w:eastAsia="Times New Roman" w:cstheme="minorHAnsi"/>
                <w:color w:val="000000"/>
                <w:spacing w:val="0"/>
                <w:szCs w:val="22"/>
              </w:rPr>
              <w:t>Partial contribution</w:t>
            </w:r>
          </w:p>
        </w:tc>
        <w:tc>
          <w:tcPr>
            <w:tcW w:w="684" w:type="pct"/>
            <w:vAlign w:val="center"/>
          </w:tcPr>
          <w:p w14:paraId="4BEA760D" w14:textId="0271363D" w:rsidR="009D2B65" w:rsidRPr="0047382C" w:rsidRDefault="00876B8E" w:rsidP="00B2530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pacing w:val="0"/>
                <w:sz w:val="40"/>
                <w:szCs w:val="40"/>
              </w:rPr>
            </w:pPr>
            <w:r>
              <w:rPr>
                <w:rFonts w:eastAsia="Times New Roman" w:cstheme="minorHAnsi"/>
                <w:color w:val="000000"/>
                <w:spacing w:val="0"/>
                <w:sz w:val="40"/>
                <w:szCs w:val="40"/>
              </w:rPr>
              <w:t>-</w:t>
            </w:r>
          </w:p>
        </w:tc>
      </w:tr>
    </w:tbl>
    <w:p w14:paraId="61BCB3F0" w14:textId="77777777" w:rsidR="009D2B65" w:rsidRDefault="009D2B65" w:rsidP="009D2B65">
      <w:pPr>
        <w:rPr>
          <w:rFonts w:eastAsiaTheme="minorEastAsia" w:cs="Arial"/>
          <w:szCs w:val="22"/>
          <w:lang w:eastAsia="en-AU"/>
        </w:rPr>
      </w:pPr>
    </w:p>
    <w:p w14:paraId="58C90EED" w14:textId="77777777" w:rsidR="006E683F" w:rsidRDefault="009D2B65" w:rsidP="00FC79FA">
      <w:pPr>
        <w:rPr>
          <w:lang w:eastAsia="en-AU"/>
        </w:rPr>
      </w:pPr>
      <w:r w:rsidRPr="0047382C">
        <w:rPr>
          <w:i/>
          <w:iCs/>
          <w:lang w:eastAsia="en-AU"/>
        </w:rPr>
        <w:t>Note:</w:t>
      </w:r>
      <w:r>
        <w:rPr>
          <w:lang w:eastAsia="en-AU"/>
        </w:rPr>
        <w:t xml:space="preserve"> The mapping indicates direct and partial contribution of key activities to the Impact Strategy policy outcomes. However, there may be further pathways that may have important </w:t>
      </w:r>
      <w:r w:rsidR="00B11557">
        <w:rPr>
          <w:lang w:eastAsia="en-AU"/>
        </w:rPr>
        <w:t>and</w:t>
      </w:r>
      <w:r>
        <w:rPr>
          <w:lang w:eastAsia="en-AU"/>
        </w:rPr>
        <w:t xml:space="preserve"> more marginal contribution which</w:t>
      </w:r>
      <w:r w:rsidRPr="001D4251">
        <w:rPr>
          <w:lang w:eastAsia="en-AU"/>
        </w:rPr>
        <w:t xml:space="preserve"> are not represented in this diagram</w:t>
      </w:r>
      <w:r>
        <w:rPr>
          <w:lang w:eastAsia="en-AU"/>
        </w:rPr>
        <w:t>.</w:t>
      </w:r>
    </w:p>
    <w:p w14:paraId="1F60428F" w14:textId="078215AF" w:rsidR="00230671" w:rsidRDefault="00230671" w:rsidP="00230671">
      <w:pPr>
        <w:rPr>
          <w:lang w:eastAsia="en-AU"/>
        </w:rPr>
        <w:sectPr w:rsidR="00230671" w:rsidSect="00230671">
          <w:pgSz w:w="16838" w:h="11906" w:orient="landscape"/>
          <w:pgMar w:top="851" w:right="851" w:bottom="851" w:left="1134" w:header="0" w:footer="281" w:gutter="0"/>
          <w:cols w:space="708"/>
          <w:titlePg/>
          <w:docGrid w:linePitch="360"/>
        </w:sectPr>
      </w:pPr>
    </w:p>
    <w:p w14:paraId="77A7EBCF" w14:textId="77777777" w:rsidR="00B11557" w:rsidRPr="00E609E3" w:rsidRDefault="00617CBC" w:rsidP="00FC79FA">
      <w:pPr>
        <w:pStyle w:val="Heading3"/>
        <w:spacing w:before="240" w:after="120"/>
        <w:rPr>
          <w:sz w:val="40"/>
          <w:szCs w:val="40"/>
        </w:rPr>
      </w:pPr>
      <w:bookmarkStart w:id="34" w:name="_Toc238653276"/>
      <w:r w:rsidRPr="00E609E3">
        <w:rPr>
          <w:sz w:val="40"/>
          <w:szCs w:val="40"/>
        </w:rPr>
        <w:lastRenderedPageBreak/>
        <w:t xml:space="preserve">DSS and </w:t>
      </w:r>
      <w:r w:rsidR="00CB1321" w:rsidRPr="00E609E3">
        <w:rPr>
          <w:sz w:val="40"/>
          <w:szCs w:val="40"/>
        </w:rPr>
        <w:t>Commonwealth</w:t>
      </w:r>
      <w:r w:rsidR="00A73FA3" w:rsidRPr="00E609E3">
        <w:rPr>
          <w:sz w:val="40"/>
          <w:szCs w:val="40"/>
        </w:rPr>
        <w:t xml:space="preserve"> priorities</w:t>
      </w:r>
      <w:bookmarkEnd w:id="34"/>
    </w:p>
    <w:p w14:paraId="67903209" w14:textId="4715B152" w:rsidR="007103D3" w:rsidRDefault="00B92424" w:rsidP="00FC79FA">
      <w:pPr>
        <w:spacing w:before="120" w:after="160"/>
        <w:rPr>
          <w:lang w:eastAsia="en-AU"/>
        </w:rPr>
      </w:pPr>
      <w:r w:rsidRPr="0047382C">
        <w:rPr>
          <w:lang w:eastAsia="en-AU"/>
        </w:rPr>
        <w:t xml:space="preserve">The </w:t>
      </w:r>
      <w:r w:rsidR="00C33AAD">
        <w:rPr>
          <w:lang w:eastAsia="en-AU"/>
        </w:rPr>
        <w:t>d</w:t>
      </w:r>
      <w:r w:rsidRPr="0047382C">
        <w:rPr>
          <w:lang w:eastAsia="en-AU"/>
        </w:rPr>
        <w:t>epartment</w:t>
      </w:r>
      <w:r w:rsidR="00CB1321">
        <w:rPr>
          <w:lang w:eastAsia="en-AU"/>
        </w:rPr>
        <w:t xml:space="preserve"> leads and</w:t>
      </w:r>
      <w:r w:rsidRPr="0047382C">
        <w:rPr>
          <w:lang w:eastAsia="en-AU"/>
        </w:rPr>
        <w:t xml:space="preserve"> </w:t>
      </w:r>
      <w:r>
        <w:rPr>
          <w:lang w:eastAsia="en-AU"/>
        </w:rPr>
        <w:t xml:space="preserve">contributes to a range of cross government priorities that aim to improve the lives of Australians. We collaborate with other government agencies to support the implementation of strategies that support more joined up services and systemic change for communities. We </w:t>
      </w:r>
      <w:r w:rsidRPr="00C85538">
        <w:rPr>
          <w:lang w:eastAsia="en-AU"/>
        </w:rPr>
        <w:t>engage in opportunities to shape and influence social policy direction in Australia</w:t>
      </w:r>
      <w:r>
        <w:rPr>
          <w:lang w:eastAsia="en-AU"/>
        </w:rPr>
        <w:t xml:space="preserve"> including through delivery of cross-cutting strategies and stewardship of whole of government priorities. </w:t>
      </w:r>
    </w:p>
    <w:p w14:paraId="5C56F749" w14:textId="16DE41D4" w:rsidR="00B92424" w:rsidRDefault="00B92424" w:rsidP="00FC79FA">
      <w:pPr>
        <w:spacing w:before="120" w:after="160"/>
        <w:rPr>
          <w:lang w:eastAsia="en-AU"/>
        </w:rPr>
      </w:pPr>
      <w:r>
        <w:rPr>
          <w:lang w:eastAsia="en-AU"/>
        </w:rPr>
        <w:t>In the section below we identify the key cross government policies that the department plays a leading role in delivering.</w:t>
      </w:r>
    </w:p>
    <w:p w14:paraId="4EA0C831" w14:textId="77777777" w:rsidR="00924816" w:rsidRPr="00FC79FA" w:rsidRDefault="00924816" w:rsidP="00FC79FA">
      <w:pPr>
        <w:pStyle w:val="Heading4"/>
        <w:spacing w:before="240" w:after="120"/>
        <w:rPr>
          <w:sz w:val="22"/>
          <w:szCs w:val="22"/>
        </w:rPr>
      </w:pPr>
      <w:r w:rsidRPr="00FC79FA">
        <w:rPr>
          <w:sz w:val="22"/>
          <w:szCs w:val="22"/>
        </w:rPr>
        <w:t xml:space="preserve">The National Plan to End Violence against Women and Children 2022-2032 </w:t>
      </w:r>
    </w:p>
    <w:p w14:paraId="092CED20" w14:textId="77777777" w:rsidR="00924816" w:rsidRPr="00FF2D2E" w:rsidRDefault="00924816" w:rsidP="00FC79FA">
      <w:pPr>
        <w:spacing w:before="120" w:after="160"/>
        <w:rPr>
          <w:lang w:eastAsia="en-AU"/>
        </w:rPr>
      </w:pPr>
      <w:r w:rsidRPr="00FF2D2E">
        <w:rPr>
          <w:lang w:eastAsia="en-AU"/>
        </w:rPr>
        <w:t xml:space="preserve">The </w:t>
      </w:r>
      <w:r w:rsidRPr="00FF2D2E">
        <w:rPr>
          <w:i/>
          <w:iCs/>
          <w:lang w:eastAsia="en-AU"/>
        </w:rPr>
        <w:t>National Plan to End Violence against Women and Children 2022-2032</w:t>
      </w:r>
      <w:r w:rsidRPr="00FF2D2E">
        <w:rPr>
          <w:lang w:eastAsia="en-AU"/>
        </w:rPr>
        <w:t xml:space="preserve"> (National Plan) is the overarching national policy framework guiding a coordinated 10-year effort to end gender-based violence in Australia within a generation. The Australian Government has invested over $4.4 billion towards achieving the outcomes of the National Plan since its launch in 2022.</w:t>
      </w:r>
    </w:p>
    <w:p w14:paraId="1B9198A1" w14:textId="77777777" w:rsidR="00924816" w:rsidRPr="00FF2D2E" w:rsidRDefault="00924816" w:rsidP="00FC79FA">
      <w:pPr>
        <w:spacing w:before="120" w:after="160"/>
        <w:rPr>
          <w:lang w:eastAsia="en-AU"/>
        </w:rPr>
      </w:pPr>
      <w:r w:rsidRPr="00FF2D2E">
        <w:rPr>
          <w:lang w:eastAsia="en-AU"/>
        </w:rPr>
        <w:t>The department has an important role in delivering programs and services across the four domains of the National Plan including: prevention, early intervention, response, and recovery and healing. This includes the key initiatives such as 1800RESPECT, the Leaving Violence Program, Keeping Women Safe in Their Homes, DV Alert, Our Watch and the Family, Domestic and Sexual Violence Responses 2021-30 Federation Funding Agreement (FDSV FFA).</w:t>
      </w:r>
    </w:p>
    <w:p w14:paraId="3B990E36" w14:textId="77777777" w:rsidR="00924816" w:rsidRPr="00FF2D2E" w:rsidRDefault="00924816" w:rsidP="00FC79FA">
      <w:pPr>
        <w:spacing w:before="120" w:after="160"/>
        <w:rPr>
          <w:rFonts w:eastAsiaTheme="minorEastAsia" w:cs="Arial"/>
          <w:lang w:eastAsia="en-AU"/>
        </w:rPr>
      </w:pPr>
      <w:r w:rsidRPr="00FF2D2E">
        <w:rPr>
          <w:rFonts w:eastAsiaTheme="minorEastAsia" w:cs="Arial"/>
          <w:lang w:eastAsia="en-AU"/>
        </w:rPr>
        <w:t>The department also provides governance, oversight and coordination across governments on the implementation of the First Action Plan 2023–2027, the Aboriginal and Torres Strait Islander Action Plan 2023-2025 and is working across governments to develop the Second Action Plan under the National Plan.</w:t>
      </w:r>
    </w:p>
    <w:p w14:paraId="79C31085" w14:textId="77777777" w:rsidR="00924816" w:rsidRDefault="00924816" w:rsidP="00FC79FA">
      <w:pPr>
        <w:spacing w:before="120" w:after="160"/>
        <w:rPr>
          <w:b/>
          <w:bCs/>
          <w:strike/>
          <w:color w:val="005A70" w:themeColor="accent1"/>
          <w:sz w:val="28"/>
          <w:szCs w:val="28"/>
        </w:rPr>
      </w:pPr>
      <w:r w:rsidRPr="00FF2D2E">
        <w:rPr>
          <w:lang w:eastAsia="en-AU"/>
        </w:rPr>
        <w:t>Implementation is shared across the Commonwealth, and states and territories. For example, while the Commonwealth is primarily responsible for nationwide prevention and early intervention, states and territories hold levers in relation to frontline services, and police and justice systems.</w:t>
      </w:r>
    </w:p>
    <w:p w14:paraId="75CA6149" w14:textId="77777777" w:rsidR="00F37FD4" w:rsidRPr="00FC79FA" w:rsidRDefault="00F37FD4" w:rsidP="00FC79FA">
      <w:pPr>
        <w:pStyle w:val="Heading4"/>
        <w:spacing w:before="240" w:after="120"/>
        <w:rPr>
          <w:sz w:val="22"/>
          <w:szCs w:val="22"/>
        </w:rPr>
      </w:pPr>
      <w:r w:rsidRPr="00FC79FA">
        <w:rPr>
          <w:sz w:val="22"/>
          <w:szCs w:val="22"/>
        </w:rPr>
        <w:t xml:space="preserve">The National Framework for Protecting Australia’s Children 2021-2031 </w:t>
      </w:r>
    </w:p>
    <w:p w14:paraId="7003240E" w14:textId="77777777" w:rsidR="00F37FD4" w:rsidRPr="00A165B4" w:rsidRDefault="00F37FD4" w:rsidP="00FC79FA">
      <w:pPr>
        <w:rPr>
          <w:lang w:eastAsia="en-AU"/>
        </w:rPr>
      </w:pPr>
      <w:r>
        <w:rPr>
          <w:lang w:eastAsia="en-AU"/>
        </w:rPr>
        <w:t>T</w:t>
      </w:r>
      <w:r w:rsidRPr="00A165B4">
        <w:rPr>
          <w:lang w:eastAsia="en-AU"/>
        </w:rPr>
        <w:t xml:space="preserve">he National Framework for Protecting Australia’s Children (2021–2031) (Safe and Supported) embeds Priority Reforms </w:t>
      </w:r>
      <w:r>
        <w:rPr>
          <w:lang w:eastAsia="en-AU"/>
        </w:rPr>
        <w:t>from</w:t>
      </w:r>
      <w:r w:rsidRPr="00A165B4">
        <w:rPr>
          <w:lang w:eastAsia="en-AU"/>
        </w:rPr>
        <w:t xml:space="preserve"> the National Agreement on Closing the Gap, to transform how governments work to improve outcomes for Aboriginal and Torres Strait Islander children, young people and families. </w:t>
      </w:r>
    </w:p>
    <w:p w14:paraId="438B14B6" w14:textId="77777777" w:rsidR="00F37FD4" w:rsidRDefault="00F37FD4" w:rsidP="00FC79FA">
      <w:pPr>
        <w:rPr>
          <w:lang w:eastAsia="en-AU"/>
        </w:rPr>
      </w:pPr>
      <w:r w:rsidRPr="00A165B4">
        <w:rPr>
          <w:lang w:eastAsia="en-AU"/>
        </w:rPr>
        <w:t xml:space="preserve">Safe and Supported sets out how all governments will work in partnership with First Nations representatives. This includes close collaboration with the non-government sector to help children, young people and families in need of support, particularly those who are experiencing disadvantage or are vulnerable to abuse or neglect. Shared-decision making is embedded in Safe and Supported </w:t>
      </w:r>
      <w:r>
        <w:rPr>
          <w:lang w:eastAsia="en-AU"/>
        </w:rPr>
        <w:t>through</w:t>
      </w:r>
      <w:r w:rsidRPr="00A165B4">
        <w:rPr>
          <w:lang w:eastAsia="en-AU"/>
        </w:rPr>
        <w:t xml:space="preserve"> a formal partnership agreement that includes the design and delivery of services affecting Aboriginal and Torres Strait Islander peoples.</w:t>
      </w:r>
    </w:p>
    <w:p w14:paraId="7C2CD0B5" w14:textId="77777777" w:rsidR="00CC4130" w:rsidRPr="00880AE2" w:rsidRDefault="00CC4130" w:rsidP="00FC79FA">
      <w:pPr>
        <w:rPr>
          <w:lang w:eastAsia="en-AU"/>
        </w:rPr>
      </w:pPr>
      <w:r w:rsidRPr="00880AE2">
        <w:rPr>
          <w:lang w:eastAsia="en-AU"/>
        </w:rPr>
        <w:lastRenderedPageBreak/>
        <w:t xml:space="preserve">Key successes of Safe and Supported include ongoing investment in prevention, early intervention and family support initiatives through the National Child and Family Investment Strategy and Innovation Fund, strengthening earlier access to support for children and families and helping to improve child safety and wellbeing. Progress has also been made in establishing the National Commissioner for Aboriginal and Torres Strait Islander Children and Young People and increasing the participation of children and young people, including through Aboriginal and Torres Strait Islander-led approaches to policy development. </w:t>
      </w:r>
    </w:p>
    <w:p w14:paraId="49A66C0C" w14:textId="10FB5219" w:rsidR="00F37FD4" w:rsidRPr="001A5D88" w:rsidRDefault="00CC4130" w:rsidP="00FC79FA">
      <w:r w:rsidRPr="00880AE2">
        <w:rPr>
          <w:lang w:eastAsia="en-AU"/>
        </w:rPr>
        <w:t xml:space="preserve">These reforms are supported by shared decision-making arrangements under </w:t>
      </w:r>
      <w:r w:rsidRPr="00880AE2">
        <w:rPr>
          <w:i/>
          <w:iCs/>
          <w:lang w:eastAsia="en-AU"/>
        </w:rPr>
        <w:t>Safe and Supported</w:t>
      </w:r>
      <w:r w:rsidRPr="00880AE2">
        <w:rPr>
          <w:lang w:eastAsia="en-AU"/>
        </w:rPr>
        <w:t>, bringing governments and First Nations representatives together to oversee implementation and drive improved outcomes for Aboriginal and Torres Strait Islander children, young people and families. Governance is provided through a Shared Decision-Making Committee and supporting groups, with a strong commitment to equal representation between governments and the Aboriginal and Torres Strait Islander Leadership Group.</w:t>
      </w:r>
    </w:p>
    <w:p w14:paraId="108BF1B6" w14:textId="77777777" w:rsidR="00F37FD4" w:rsidRPr="00A165B4" w:rsidRDefault="00F37FD4" w:rsidP="00FC79FA">
      <w:pPr>
        <w:rPr>
          <w:lang w:eastAsia="en-AU"/>
        </w:rPr>
      </w:pPr>
      <w:r w:rsidRPr="00A165B4">
        <w:rPr>
          <w:lang w:eastAsia="en-AU"/>
        </w:rPr>
        <w:t>Decisions are made through a Shared Decision</w:t>
      </w:r>
      <w:r>
        <w:rPr>
          <w:lang w:eastAsia="en-AU"/>
        </w:rPr>
        <w:t>-Making</w:t>
      </w:r>
      <w:r w:rsidRPr="00A165B4">
        <w:rPr>
          <w:lang w:eastAsia="en-AU"/>
        </w:rPr>
        <w:t xml:space="preserve"> Committee and supporting groups, with an emphasis on membership parity between all governments and the Aboriginal and Torres Strait Islander Leadership Group.</w:t>
      </w:r>
    </w:p>
    <w:p w14:paraId="63C4956D" w14:textId="77777777" w:rsidR="00F37FD4" w:rsidRPr="00D71365" w:rsidRDefault="00F37FD4" w:rsidP="00FC79FA">
      <w:pPr>
        <w:rPr>
          <w:color w:val="000000" w:themeColor="text1"/>
          <w:lang w:eastAsia="en-AU"/>
        </w:rPr>
      </w:pPr>
      <w:r w:rsidRPr="00A323BA">
        <w:rPr>
          <w:lang w:eastAsia="en-AU"/>
        </w:rPr>
        <w:t>Safe and Supported has 4 focus areas to achieve outcomes</w:t>
      </w:r>
      <w:r w:rsidRPr="00D71365">
        <w:rPr>
          <w:color w:val="000000" w:themeColor="text1"/>
          <w:lang w:eastAsia="en-AU"/>
        </w:rPr>
        <w:t>:</w:t>
      </w:r>
    </w:p>
    <w:p w14:paraId="07A56D4A" w14:textId="77777777" w:rsidR="00F37FD4" w:rsidRPr="00FC79FA" w:rsidRDefault="00F37FD4" w:rsidP="006778D7">
      <w:pPr>
        <w:pStyle w:val="ListNumber"/>
        <w:numPr>
          <w:ilvl w:val="0"/>
          <w:numId w:val="22"/>
        </w:numPr>
      </w:pPr>
      <w:r w:rsidRPr="00FC79FA">
        <w:t>a national approach to early intervention and targeted support for children and families experiencing vulnerability or disadvantage</w:t>
      </w:r>
    </w:p>
    <w:p w14:paraId="705E5891" w14:textId="77777777" w:rsidR="00F37FD4" w:rsidRPr="00FC79FA" w:rsidRDefault="00F37FD4" w:rsidP="00FC79FA">
      <w:pPr>
        <w:pStyle w:val="ListNumber"/>
      </w:pPr>
      <w:r w:rsidRPr="00FC79FA">
        <w:t>addressing the over-representation of Aboriginal and Torres Strait Islander children in child protection systems</w:t>
      </w:r>
    </w:p>
    <w:p w14:paraId="6E78A4B7" w14:textId="77777777" w:rsidR="00F37FD4" w:rsidRPr="00FC79FA" w:rsidRDefault="00F37FD4" w:rsidP="00FC79FA">
      <w:pPr>
        <w:pStyle w:val="ListNumber"/>
      </w:pPr>
      <w:r w:rsidRPr="00FC79FA">
        <w:t>improving information sharing, data development and analysis</w:t>
      </w:r>
    </w:p>
    <w:p w14:paraId="2553EC01" w14:textId="77777777" w:rsidR="00F37FD4" w:rsidRPr="00FC79FA" w:rsidRDefault="00F37FD4" w:rsidP="00FC79FA">
      <w:pPr>
        <w:pStyle w:val="ListNumber"/>
      </w:pPr>
      <w:r w:rsidRPr="00FC79FA">
        <w:t>strengthening the child and family sector and workforce capability.</w:t>
      </w:r>
    </w:p>
    <w:p w14:paraId="1F91AF04" w14:textId="77777777" w:rsidR="00F37FD4" w:rsidRPr="00A165B4" w:rsidRDefault="00F37FD4" w:rsidP="00FC79FA">
      <w:pPr>
        <w:spacing w:before="120" w:after="160"/>
        <w:rPr>
          <w:lang w:eastAsia="en-AU"/>
        </w:rPr>
      </w:pPr>
      <w:r w:rsidRPr="00A165B4">
        <w:rPr>
          <w:lang w:eastAsia="en-AU"/>
        </w:rPr>
        <w:t xml:space="preserve">Safe and Supported is being delivered through </w:t>
      </w:r>
      <w:r>
        <w:rPr>
          <w:lang w:eastAsia="en-AU"/>
        </w:rPr>
        <w:t>2</w:t>
      </w:r>
      <w:r w:rsidRPr="00A165B4">
        <w:rPr>
          <w:lang w:eastAsia="en-AU"/>
        </w:rPr>
        <w:t xml:space="preserve"> Action Plans</w:t>
      </w:r>
      <w:r>
        <w:rPr>
          <w:lang w:eastAsia="en-AU"/>
        </w:rPr>
        <w:t xml:space="preserve"> - </w:t>
      </w:r>
      <w:r w:rsidRPr="00A165B4">
        <w:rPr>
          <w:lang w:eastAsia="en-AU"/>
        </w:rPr>
        <w:t>Safe and Supported: Aboriginal and Torres Strait Islander First Action Plan 2023-2026 and Safe and Supported: First Action Plan 2023-2026.</w:t>
      </w:r>
    </w:p>
    <w:p w14:paraId="32F3FF53" w14:textId="77777777" w:rsidR="00F37FD4" w:rsidRPr="00A165B4" w:rsidRDefault="00F37FD4" w:rsidP="00FC79FA">
      <w:pPr>
        <w:spacing w:before="120" w:after="160"/>
        <w:rPr>
          <w:lang w:eastAsia="en-AU"/>
        </w:rPr>
      </w:pPr>
      <w:r w:rsidRPr="00A165B4">
        <w:rPr>
          <w:lang w:eastAsia="en-AU"/>
        </w:rPr>
        <w:t xml:space="preserve">The implementation of the Safe and Supported Aboriginal and Torres Strait Islander </w:t>
      </w:r>
      <w:r>
        <w:rPr>
          <w:lang w:eastAsia="en-AU"/>
        </w:rPr>
        <w:t>F</w:t>
      </w:r>
      <w:r w:rsidRPr="00A165B4">
        <w:rPr>
          <w:lang w:eastAsia="en-AU"/>
        </w:rPr>
        <w:t>irst Action Plan 2023-26 will assist in addressing the unacceptable rates of First Nations children in out-of-home care</w:t>
      </w:r>
      <w:r>
        <w:rPr>
          <w:lang w:eastAsia="en-AU"/>
        </w:rPr>
        <w:t xml:space="preserve"> by advancing the Closing the Gap Priority Reforms, particularly Priority Reform Three (Transforming Government Organisations) and Priority Reform Two (Building the Community-Controlled Sector), which aim to ensure that First Nations children, families and communities are supported through culturally safe, community-led services and decision-making</w:t>
      </w:r>
      <w:r w:rsidRPr="00A165B4">
        <w:rPr>
          <w:lang w:eastAsia="en-AU"/>
        </w:rPr>
        <w:t xml:space="preserve">. </w:t>
      </w:r>
    </w:p>
    <w:p w14:paraId="5596E8F2" w14:textId="33CE1FC7" w:rsidR="00DA5D49" w:rsidRDefault="00F37FD4" w:rsidP="00FC79FA">
      <w:pPr>
        <w:spacing w:before="120" w:after="160"/>
        <w:rPr>
          <w:lang w:eastAsia="en-AU"/>
        </w:rPr>
      </w:pPr>
      <w:r w:rsidRPr="00A165B4">
        <w:rPr>
          <w:lang w:eastAsia="en-AU"/>
        </w:rPr>
        <w:t xml:space="preserve">The </w:t>
      </w:r>
      <w:r>
        <w:rPr>
          <w:lang w:eastAsia="en-AU"/>
        </w:rPr>
        <w:t>d</w:t>
      </w:r>
      <w:r w:rsidRPr="00A165B4">
        <w:rPr>
          <w:lang w:eastAsia="en-AU"/>
        </w:rPr>
        <w:t xml:space="preserve">epartment is committed to </w:t>
      </w:r>
      <w:r>
        <w:rPr>
          <w:lang w:eastAsia="en-AU"/>
        </w:rPr>
        <w:t>s</w:t>
      </w:r>
      <w:r w:rsidRPr="002A4DDA">
        <w:rPr>
          <w:lang w:eastAsia="en-AU"/>
        </w:rPr>
        <w:t>upporting the National Agreement on Closing the Gap</w:t>
      </w:r>
      <w:r>
        <w:rPr>
          <w:lang w:eastAsia="en-AU"/>
        </w:rPr>
        <w:t>,</w:t>
      </w:r>
      <w:r w:rsidRPr="002A4DDA">
        <w:rPr>
          <w:lang w:eastAsia="en-AU"/>
        </w:rPr>
        <w:t xml:space="preserve"> by advancing implementation of the Framework for Governance of Indigenous Data, in partnership with Aboriginal and Torres Strait Islander people and in collaboration across government. This includes strengthening partnerships, building Indigenous data capability</w:t>
      </w:r>
      <w:r>
        <w:rPr>
          <w:lang w:eastAsia="en-AU"/>
        </w:rPr>
        <w:t xml:space="preserve"> and</w:t>
      </w:r>
      <w:r w:rsidRPr="002A4DDA">
        <w:rPr>
          <w:lang w:eastAsia="en-AU"/>
        </w:rPr>
        <w:t xml:space="preserve"> improving knowledge of Indigenous data assets</w:t>
      </w:r>
      <w:r>
        <w:rPr>
          <w:lang w:eastAsia="en-AU"/>
        </w:rPr>
        <w:t xml:space="preserve"> </w:t>
      </w:r>
      <w:r w:rsidRPr="002A4DDA">
        <w:rPr>
          <w:lang w:eastAsia="en-AU"/>
        </w:rPr>
        <w:t xml:space="preserve">with a focus on culturally informed and appropriate </w:t>
      </w:r>
      <w:r>
        <w:rPr>
          <w:lang w:eastAsia="en-AU"/>
        </w:rPr>
        <w:t>practices</w:t>
      </w:r>
      <w:r w:rsidRPr="002A4DDA">
        <w:rPr>
          <w:lang w:eastAsia="en-AU"/>
        </w:rPr>
        <w:t>.</w:t>
      </w:r>
    </w:p>
    <w:p w14:paraId="05A5F6EE" w14:textId="77777777" w:rsidR="00DA5D49" w:rsidRDefault="00DA5D49">
      <w:pPr>
        <w:spacing w:after="240"/>
        <w:rPr>
          <w:lang w:eastAsia="en-AU"/>
        </w:rPr>
      </w:pPr>
      <w:r>
        <w:rPr>
          <w:lang w:eastAsia="en-AU"/>
        </w:rPr>
        <w:br w:type="page"/>
      </w:r>
    </w:p>
    <w:p w14:paraId="00CF2CED" w14:textId="77777777" w:rsidR="00F37FD4" w:rsidRPr="00FC79FA" w:rsidRDefault="00F37FD4" w:rsidP="00FC79FA">
      <w:pPr>
        <w:pStyle w:val="Heading4"/>
        <w:spacing w:before="240" w:after="120"/>
        <w:rPr>
          <w:kern w:val="2"/>
          <w:sz w:val="22"/>
          <w:szCs w:val="22"/>
          <w:lang w:eastAsia="en-AU"/>
          <w14:ligatures w14:val="standardContextual"/>
        </w:rPr>
      </w:pPr>
      <w:r w:rsidRPr="00FC79FA">
        <w:rPr>
          <w:sz w:val="22"/>
          <w:szCs w:val="22"/>
        </w:rPr>
        <w:lastRenderedPageBreak/>
        <w:t>Our Ways – Strong Ways – Our Voices</w:t>
      </w:r>
      <w:r w:rsidRPr="00FC79FA">
        <w:rPr>
          <w:i/>
          <w:color w:val="FF0000"/>
          <w:sz w:val="22"/>
          <w:szCs w:val="22"/>
        </w:rPr>
        <w:t xml:space="preserve"> </w:t>
      </w:r>
    </w:p>
    <w:p w14:paraId="26FB1E38" w14:textId="6384D448" w:rsidR="00F37FD4" w:rsidRDefault="00F37FD4" w:rsidP="00FC79FA">
      <w:pPr>
        <w:spacing w:before="120" w:after="160"/>
        <w:rPr>
          <w:lang w:eastAsia="en-AU"/>
        </w:rPr>
      </w:pPr>
      <w:r w:rsidRPr="00FC79FA">
        <w:rPr>
          <w:i/>
          <w:iCs/>
          <w:lang w:eastAsia="en-AU"/>
        </w:rPr>
        <w:t>Our Ways – Strong Ways – Our Voices: National Aboriginal and Torres Strait Islander Plan to End Family, Domestic and Sexual Violence 2026– 2036</w:t>
      </w:r>
      <w:r w:rsidRPr="00C8349C">
        <w:rPr>
          <w:lang w:eastAsia="en-AU"/>
        </w:rPr>
        <w:t xml:space="preserve"> is Australia’s national plan to address the high and disproportionate rates of violence against Aboriginal and Torres Strait Islander women and children.</w:t>
      </w:r>
      <w:r w:rsidR="00AF3CBD">
        <w:rPr>
          <w:lang w:eastAsia="en-AU"/>
        </w:rPr>
        <w:t xml:space="preserve">  An Our Ways First Action Plan to support Our Ways – Strong Ways – Our Voices is currently under development.</w:t>
      </w:r>
    </w:p>
    <w:p w14:paraId="0AC324F0" w14:textId="77777777" w:rsidR="00F37FD4" w:rsidRDefault="00F37FD4" w:rsidP="00FC79FA">
      <w:pPr>
        <w:spacing w:before="120" w:after="160"/>
        <w:rPr>
          <w:lang w:eastAsia="en-AU"/>
        </w:rPr>
      </w:pPr>
      <w:r w:rsidRPr="40F821F0">
        <w:rPr>
          <w:lang w:eastAsia="en-AU"/>
        </w:rPr>
        <w:t xml:space="preserve">Developed in partnership with Aboriginal and Torres Strait Islander peoples and state and territory governments, the plan centres Aboriginal and Torres Strait Islander voices, needs and experiences, reflecting decades of advocacy from Aboriginal and Torres Strait Islander peoples calling for change that honours culture, kinship and connection to Country. </w:t>
      </w:r>
    </w:p>
    <w:p w14:paraId="7B6CBAF3" w14:textId="77777777" w:rsidR="00F37FD4" w:rsidRDefault="00F37FD4" w:rsidP="00FC79FA">
      <w:pPr>
        <w:spacing w:before="120" w:after="160"/>
        <w:rPr>
          <w:lang w:eastAsia="en-AU"/>
        </w:rPr>
      </w:pPr>
      <w:r w:rsidRPr="00B005CD">
        <w:rPr>
          <w:lang w:eastAsia="en-AU"/>
        </w:rPr>
        <w:t>Our Ways – Strong Ways – Our Voices</w:t>
      </w:r>
      <w:r w:rsidRPr="40F821F0">
        <w:rPr>
          <w:lang w:eastAsia="en-AU"/>
        </w:rPr>
        <w:t xml:space="preserve"> is grounded in respect for human rights, self-determination and cultural authority. It ensures Aboriginal and Torres Strait Islander communities have a seat at the table in shaping frameworks that directly impact them.</w:t>
      </w:r>
    </w:p>
    <w:p w14:paraId="6136FBF8" w14:textId="6E14D49C" w:rsidR="00B005CD" w:rsidRPr="00FF2D2E" w:rsidRDefault="00B005CD" w:rsidP="00FC79FA">
      <w:pPr>
        <w:spacing w:before="120" w:after="160"/>
        <w:rPr>
          <w:b/>
          <w:lang w:eastAsia="en-AU"/>
        </w:rPr>
      </w:pPr>
      <w:r w:rsidRPr="00FF2D2E">
        <w:rPr>
          <w:lang w:eastAsia="en-AU"/>
        </w:rPr>
        <w:t xml:space="preserve">Our Ways – Strong Ways – Our Voices represents key progress towards addressing Closing the Gap Target 13 (reducing the rate of family violence and abuse against Aboriginal and Torres Strait Islander women and children) for which the </w:t>
      </w:r>
      <w:r w:rsidR="00602666">
        <w:rPr>
          <w:lang w:eastAsia="en-AU"/>
        </w:rPr>
        <w:t>d</w:t>
      </w:r>
      <w:r w:rsidRPr="00FF2D2E">
        <w:rPr>
          <w:lang w:eastAsia="en-AU"/>
        </w:rPr>
        <w:t xml:space="preserve">epartment has lead responsibility. </w:t>
      </w:r>
    </w:p>
    <w:p w14:paraId="156D32F0" w14:textId="56D48A85" w:rsidR="00B005CD" w:rsidRPr="00FF2D2E" w:rsidRDefault="00B005CD" w:rsidP="00FC79FA">
      <w:pPr>
        <w:spacing w:before="120" w:after="160"/>
        <w:rPr>
          <w:lang w:eastAsia="en-AU"/>
        </w:rPr>
      </w:pPr>
      <w:r w:rsidRPr="00FF2D2E">
        <w:rPr>
          <w:lang w:eastAsia="en-AU"/>
        </w:rPr>
        <w:t xml:space="preserve">Recognising these developments, the </w:t>
      </w:r>
      <w:r w:rsidR="00602666">
        <w:rPr>
          <w:lang w:eastAsia="en-AU"/>
        </w:rPr>
        <w:t>d</w:t>
      </w:r>
      <w:r w:rsidRPr="00FF2D2E">
        <w:rPr>
          <w:lang w:eastAsia="en-AU"/>
        </w:rPr>
        <w:t xml:space="preserve">epartment will assess the progress made so far on the recommendations of the Senate Legal and Constitutional Affairs Committee in its </w:t>
      </w:r>
      <w:r w:rsidRPr="00FF2D2E">
        <w:rPr>
          <w:i/>
          <w:iCs/>
          <w:lang w:eastAsia="en-AU"/>
        </w:rPr>
        <w:t xml:space="preserve">Missing and murdered First Nations women and children report </w:t>
      </w:r>
      <w:r w:rsidRPr="00FF2D2E">
        <w:rPr>
          <w:lang w:eastAsia="en-AU"/>
        </w:rPr>
        <w:t>and consider opportunities for further action.</w:t>
      </w:r>
    </w:p>
    <w:p w14:paraId="6C0A2592" w14:textId="10C160D5" w:rsidR="00B92424" w:rsidRPr="00FC79FA" w:rsidRDefault="00B92424" w:rsidP="00FC79FA">
      <w:pPr>
        <w:pStyle w:val="Heading4"/>
        <w:spacing w:before="240" w:after="120"/>
        <w:rPr>
          <w:sz w:val="22"/>
          <w:szCs w:val="22"/>
        </w:rPr>
      </w:pPr>
      <w:r w:rsidRPr="00FC79FA">
        <w:rPr>
          <w:sz w:val="22"/>
          <w:szCs w:val="22"/>
        </w:rPr>
        <w:t>Reconciliation</w:t>
      </w:r>
    </w:p>
    <w:p w14:paraId="5C505071" w14:textId="77777777" w:rsidR="00B92424" w:rsidRDefault="00B92424" w:rsidP="00FC79FA">
      <w:pPr>
        <w:spacing w:before="120" w:after="160"/>
        <w:rPr>
          <w:lang w:eastAsia="en-AU"/>
        </w:rPr>
      </w:pPr>
      <w:r w:rsidRPr="00A165B4">
        <w:rPr>
          <w:lang w:eastAsia="en-AU"/>
        </w:rPr>
        <w:t xml:space="preserve">Our goal is to work in genuine partnership with First Nations people. We want to create better outcomes across all areas of work. </w:t>
      </w:r>
    </w:p>
    <w:p w14:paraId="70CD2D7A" w14:textId="10F827A4" w:rsidR="00D32154" w:rsidRDefault="00D32154" w:rsidP="00FC79FA">
      <w:pPr>
        <w:spacing w:before="120" w:after="160"/>
        <w:rPr>
          <w:lang w:eastAsia="en-AU"/>
        </w:rPr>
      </w:pPr>
      <w:r>
        <w:rPr>
          <w:lang w:eastAsia="en-AU"/>
        </w:rPr>
        <w:t>We commit to advancing reconciliation by embedding cultural understanding, strengthening relationships, and creating opportunities that support the self determination of First Nations People. Responsibility for each commitment lies with everyone and strong governance is required to successfully deliver these commitments.</w:t>
      </w:r>
    </w:p>
    <w:p w14:paraId="5947D80C" w14:textId="1489476D" w:rsidR="00B92424" w:rsidRPr="00A165B4" w:rsidRDefault="00D32154" w:rsidP="00FC79FA">
      <w:pPr>
        <w:spacing w:before="120" w:after="160"/>
        <w:rPr>
          <w:lang w:eastAsia="en-AU"/>
        </w:rPr>
      </w:pPr>
      <w:r w:rsidRPr="00D32154">
        <w:rPr>
          <w:lang w:eastAsia="en-AU"/>
        </w:rPr>
        <w:t xml:space="preserve">We will implement Priority Reform 3 Plan to address systemic barriers, strengthen accountability, improve engagement with Aboriginal and Torres Strait Islander peoples, and measure the impact of our actions within the </w:t>
      </w:r>
      <w:r w:rsidR="00C33AAD">
        <w:rPr>
          <w:lang w:eastAsia="en-AU"/>
        </w:rPr>
        <w:t>d</w:t>
      </w:r>
      <w:r w:rsidRPr="00D32154">
        <w:rPr>
          <w:lang w:eastAsia="en-AU"/>
        </w:rPr>
        <w:t>epartment and our services, supporting culturally safe and responsive ways of working.</w:t>
      </w:r>
    </w:p>
    <w:p w14:paraId="2F94DAF2" w14:textId="4F371068" w:rsidR="00A73FA3" w:rsidRPr="00FC79FA" w:rsidRDefault="00A73FA3" w:rsidP="00FC79FA">
      <w:pPr>
        <w:pStyle w:val="Heading4"/>
        <w:spacing w:before="240" w:after="120"/>
        <w:rPr>
          <w:sz w:val="22"/>
          <w:szCs w:val="22"/>
        </w:rPr>
      </w:pPr>
      <w:r w:rsidRPr="00FC79FA">
        <w:rPr>
          <w:sz w:val="22"/>
          <w:szCs w:val="22"/>
        </w:rPr>
        <w:t xml:space="preserve">The National Agreement on Closing the Gap </w:t>
      </w:r>
    </w:p>
    <w:p w14:paraId="7CA03B72" w14:textId="765EB1DE" w:rsidR="00A73FA3" w:rsidRDefault="00A73FA3" w:rsidP="00FC79FA">
      <w:pPr>
        <w:spacing w:before="120" w:after="160"/>
        <w:rPr>
          <w:lang w:eastAsia="en-AU"/>
        </w:rPr>
      </w:pPr>
      <w:r w:rsidRPr="00A165B4">
        <w:rPr>
          <w:lang w:eastAsia="en-AU"/>
        </w:rPr>
        <w:t xml:space="preserve">The </w:t>
      </w:r>
      <w:r w:rsidR="00C33AAD">
        <w:rPr>
          <w:lang w:eastAsia="en-AU"/>
        </w:rPr>
        <w:t>d</w:t>
      </w:r>
      <w:r w:rsidRPr="00A165B4">
        <w:rPr>
          <w:lang w:eastAsia="en-AU"/>
        </w:rPr>
        <w:t xml:space="preserve">epartment is </w:t>
      </w:r>
      <w:r w:rsidR="008E4F3F">
        <w:rPr>
          <w:lang w:eastAsia="en-AU"/>
        </w:rPr>
        <w:t>focused on delivering more impactful outcomes for families and communities through</w:t>
      </w:r>
      <w:r w:rsidR="008E4F3F" w:rsidRPr="00A165B4">
        <w:rPr>
          <w:lang w:eastAsia="en-AU"/>
        </w:rPr>
        <w:t xml:space="preserve"> </w:t>
      </w:r>
      <w:r w:rsidRPr="00A165B4">
        <w:rPr>
          <w:lang w:eastAsia="en-AU"/>
        </w:rPr>
        <w:t>improve</w:t>
      </w:r>
      <w:r w:rsidR="008E4F3F">
        <w:rPr>
          <w:lang w:eastAsia="en-AU"/>
        </w:rPr>
        <w:t>d</w:t>
      </w:r>
      <w:r w:rsidRPr="00A165B4">
        <w:rPr>
          <w:lang w:eastAsia="en-AU"/>
        </w:rPr>
        <w:t xml:space="preserve"> performance against the Priority Reforms</w:t>
      </w:r>
      <w:r w:rsidR="008E4F3F">
        <w:rPr>
          <w:lang w:eastAsia="en-AU"/>
        </w:rPr>
        <w:t xml:space="preserve"> and Socio-economic Targets</w:t>
      </w:r>
      <w:r w:rsidR="001C2422">
        <w:rPr>
          <w:lang w:eastAsia="en-AU"/>
        </w:rPr>
        <w:t xml:space="preserve"> as set out in the National Agreement on Closing the Gap</w:t>
      </w:r>
      <w:r w:rsidRPr="00A165B4">
        <w:rPr>
          <w:lang w:eastAsia="en-AU"/>
        </w:rPr>
        <w:t>. This aims to better position the department to tackle complex and intersecting socio-economic targets and improve life outcomes for First Nations people.</w:t>
      </w:r>
    </w:p>
    <w:p w14:paraId="16DA7CF8" w14:textId="5BA09ACA" w:rsidR="008E4F3F" w:rsidRDefault="008E4F3F" w:rsidP="00FC79FA">
      <w:pPr>
        <w:spacing w:before="120" w:after="160"/>
        <w:rPr>
          <w:lang w:eastAsia="en-AU"/>
        </w:rPr>
      </w:pPr>
      <w:r>
        <w:rPr>
          <w:lang w:eastAsia="en-AU"/>
        </w:rPr>
        <w:t xml:space="preserve">The </w:t>
      </w:r>
      <w:r w:rsidR="00C33AAD">
        <w:rPr>
          <w:lang w:eastAsia="en-AU"/>
        </w:rPr>
        <w:t>d</w:t>
      </w:r>
      <w:r>
        <w:rPr>
          <w:lang w:eastAsia="en-AU"/>
        </w:rPr>
        <w:t>epartment also leads the Commonwealth response to Target 12 (reducing the overrepresentation of Aboriginal and Torres Strait Islander children in out-of-home care</w:t>
      </w:r>
      <w:r w:rsidR="00D17D53" w:rsidRPr="00D17D53">
        <w:rPr>
          <w:lang w:eastAsia="en-AU"/>
        </w:rPr>
        <w:t xml:space="preserve"> </w:t>
      </w:r>
      <w:r w:rsidR="00E376A9">
        <w:rPr>
          <w:lang w:eastAsia="en-AU"/>
        </w:rPr>
        <w:t>(</w:t>
      </w:r>
      <w:r w:rsidR="00D17D53" w:rsidRPr="00A165B4">
        <w:rPr>
          <w:lang w:eastAsia="en-AU"/>
        </w:rPr>
        <w:t xml:space="preserve">by 45% </w:t>
      </w:r>
      <w:r w:rsidR="00E376A9">
        <w:rPr>
          <w:lang w:eastAsia="en-AU"/>
        </w:rPr>
        <w:t>by 2031</w:t>
      </w:r>
      <w:r>
        <w:rPr>
          <w:lang w:eastAsia="en-AU"/>
        </w:rPr>
        <w:t xml:space="preserve">), and Target 13 (reducing the rate of family violence and abuse against Aboriginal and Torres </w:t>
      </w:r>
      <w:r>
        <w:rPr>
          <w:lang w:eastAsia="en-AU"/>
        </w:rPr>
        <w:lastRenderedPageBreak/>
        <w:t>Strait Islander women and children). Key priorities are captured in the Commonwealth’s 2025 Closing the Gap Implementation Plan.</w:t>
      </w:r>
    </w:p>
    <w:p w14:paraId="56F8F615" w14:textId="7EB7EFDD" w:rsidR="008E4F3F" w:rsidRDefault="008E4F3F" w:rsidP="00FC79FA">
      <w:pPr>
        <w:spacing w:before="120" w:after="160"/>
      </w:pPr>
      <w:r w:rsidRPr="57766DA5">
        <w:rPr>
          <w:lang w:eastAsia="en-AU"/>
        </w:rPr>
        <w:t xml:space="preserve">The </w:t>
      </w:r>
      <w:r w:rsidR="00C33AAD">
        <w:rPr>
          <w:lang w:eastAsia="en-AU"/>
        </w:rPr>
        <w:t>d</w:t>
      </w:r>
      <w:r w:rsidRPr="57766DA5">
        <w:rPr>
          <w:lang w:eastAsia="en-AU"/>
        </w:rPr>
        <w:t xml:space="preserve">epartment’s progress against specific commitments for the Priority Reforms and Targets </w:t>
      </w:r>
      <w:r w:rsidR="00113DEF">
        <w:rPr>
          <w:lang w:eastAsia="en-AU"/>
        </w:rPr>
        <w:t>is</w:t>
      </w:r>
      <w:r w:rsidR="00113DEF" w:rsidRPr="57766DA5">
        <w:rPr>
          <w:lang w:eastAsia="en-AU"/>
        </w:rPr>
        <w:t xml:space="preserve"> </w:t>
      </w:r>
      <w:r w:rsidRPr="57766DA5">
        <w:rPr>
          <w:lang w:eastAsia="en-AU"/>
        </w:rPr>
        <w:t xml:space="preserve">published each year in the Commonwealth Closing the Gap and Implementation Plan </w:t>
      </w:r>
      <w:r>
        <w:rPr>
          <w:lang w:eastAsia="en-AU"/>
        </w:rPr>
        <w:br/>
      </w:r>
      <w:r w:rsidRPr="57766DA5">
        <w:rPr>
          <w:lang w:eastAsia="en-AU"/>
        </w:rPr>
        <w:t xml:space="preserve">on </w:t>
      </w:r>
      <w:hyperlink r:id="rId22" w:history="1">
        <w:r w:rsidR="00E5040F">
          <w:rPr>
            <w:rStyle w:val="Hyperlink"/>
            <w:rFonts w:eastAsiaTheme="minorEastAsia" w:cs="Arial"/>
            <w:lang w:eastAsia="en-AU"/>
          </w:rPr>
          <w:t>the National Indigenous Australians Agency (NIAA) website.</w:t>
        </w:r>
      </w:hyperlink>
      <w:r w:rsidRPr="57766DA5">
        <w:rPr>
          <w:lang w:eastAsia="en-AU"/>
        </w:rPr>
        <w:t xml:space="preserve"> Data for the socio-economic targets are published on </w:t>
      </w:r>
      <w:hyperlink r:id="rId23" w:history="1">
        <w:r w:rsidR="006D476F">
          <w:rPr>
            <w:rStyle w:val="Hyperlink"/>
            <w:rFonts w:eastAsiaTheme="minorEastAsia" w:cs="Arial"/>
            <w:lang w:eastAsia="en-AU"/>
          </w:rPr>
          <w:t>Productivity Commission's website.</w:t>
        </w:r>
      </w:hyperlink>
    </w:p>
    <w:p w14:paraId="2805621E" w14:textId="497D7CB4" w:rsidR="008E4F3F" w:rsidRDefault="008E4F3F" w:rsidP="00FC79FA">
      <w:pPr>
        <w:spacing w:before="120" w:after="160"/>
        <w:rPr>
          <w:lang w:eastAsia="en-AU"/>
        </w:rPr>
      </w:pPr>
      <w:r>
        <w:rPr>
          <w:lang w:eastAsia="en-AU"/>
        </w:rPr>
        <w:t xml:space="preserve">The </w:t>
      </w:r>
      <w:r w:rsidR="00F670BE">
        <w:rPr>
          <w:lang w:eastAsia="en-AU"/>
        </w:rPr>
        <w:t>d</w:t>
      </w:r>
      <w:r>
        <w:rPr>
          <w:lang w:eastAsia="en-AU"/>
        </w:rPr>
        <w:t>epartment also established the Closing the Gap Delivery Committee to strengthen oversight of the department’s Closing the Gap commitments.</w:t>
      </w:r>
      <w:r w:rsidRPr="00F63FF4">
        <w:rPr>
          <w:rFonts w:ascii="Tahoma" w:hAnsi="Tahoma" w:cs="Tahoma"/>
          <w:color w:val="000000"/>
          <w:spacing w:val="0"/>
        </w:rPr>
        <w:t xml:space="preserve"> </w:t>
      </w:r>
      <w:r w:rsidRPr="00F63FF4">
        <w:rPr>
          <w:lang w:eastAsia="en-AU"/>
        </w:rPr>
        <w:t>This includes</w:t>
      </w:r>
      <w:r>
        <w:rPr>
          <w:lang w:eastAsia="en-AU"/>
        </w:rPr>
        <w:t xml:space="preserve"> delivery oversight of actions relating to</w:t>
      </w:r>
      <w:r w:rsidRPr="00F63FF4">
        <w:rPr>
          <w:lang w:eastAsia="en-AU"/>
        </w:rPr>
        <w:t xml:space="preserve"> Target</w:t>
      </w:r>
      <w:r>
        <w:rPr>
          <w:lang w:eastAsia="en-AU"/>
        </w:rPr>
        <w:t>s</w:t>
      </w:r>
      <w:r w:rsidRPr="00F63FF4">
        <w:rPr>
          <w:lang w:eastAsia="en-AU"/>
        </w:rPr>
        <w:t xml:space="preserve"> 12 and 13, and the implementation of Priority Reforms</w:t>
      </w:r>
      <w:r>
        <w:rPr>
          <w:lang w:eastAsia="en-AU"/>
        </w:rPr>
        <w:t xml:space="preserve">. This will be further bolstered through the delivery of </w:t>
      </w:r>
      <w:r w:rsidR="001A5888">
        <w:rPr>
          <w:lang w:eastAsia="en-AU"/>
        </w:rPr>
        <w:t xml:space="preserve">departmental implementation </w:t>
      </w:r>
      <w:r>
        <w:rPr>
          <w:lang w:eastAsia="en-AU"/>
        </w:rPr>
        <w:t>plans for each of the Priority Reforms</w:t>
      </w:r>
      <w:r w:rsidR="001C2422">
        <w:rPr>
          <w:lang w:eastAsia="en-AU"/>
        </w:rPr>
        <w:t>, each of which are championed by a Deputy Secretary</w:t>
      </w:r>
      <w:r>
        <w:rPr>
          <w:lang w:eastAsia="en-AU"/>
        </w:rPr>
        <w:t xml:space="preserve">. </w:t>
      </w:r>
      <w:r w:rsidR="00644184">
        <w:rPr>
          <w:lang w:eastAsia="en-AU"/>
        </w:rPr>
        <w:t>The department’s Closing the Gap targets are mapped and integrated into our Impact Strategy.</w:t>
      </w:r>
    </w:p>
    <w:p w14:paraId="69489D40" w14:textId="352DE591" w:rsidR="00A73FA3" w:rsidRPr="00FC79FA" w:rsidRDefault="00A73FA3" w:rsidP="00FC79FA">
      <w:pPr>
        <w:pStyle w:val="Heading4"/>
        <w:spacing w:before="240" w:after="120"/>
        <w:rPr>
          <w:sz w:val="22"/>
          <w:szCs w:val="22"/>
        </w:rPr>
      </w:pPr>
      <w:r w:rsidRPr="00FC79FA">
        <w:rPr>
          <w:sz w:val="22"/>
          <w:szCs w:val="22"/>
        </w:rPr>
        <w:t xml:space="preserve">Challenging the drivers of violence and abuse remain critical to addressing severe disadvantage </w:t>
      </w:r>
    </w:p>
    <w:p w14:paraId="4F10F407" w14:textId="71FE4C22" w:rsidR="00A53D28" w:rsidRDefault="00A53D28" w:rsidP="00FC79FA">
      <w:pPr>
        <w:spacing w:before="120" w:after="160"/>
      </w:pPr>
      <w:r w:rsidRPr="00C8349C">
        <w:t>Family, domestic and sexual violence remains a significant and complex issue in Australia. Improving the safety and wellbeing of women and children is a national priority, requiring a coordinated, whole-of-society response. Continuing to strengthen and evolve our programs and services so they are responsive, innovative and grounded in evidence is critical to supporting victim-survivors, and to working with young people, particularly boys and young men, to promote respectful and healthy relationships</w:t>
      </w:r>
      <w:r w:rsidR="0055179B">
        <w:t>.</w:t>
      </w:r>
    </w:p>
    <w:p w14:paraId="586E91E0" w14:textId="054E8797" w:rsidR="00A53D28" w:rsidRPr="00A165B4" w:rsidRDefault="00A53D28" w:rsidP="00FC79FA">
      <w:pPr>
        <w:spacing w:before="120" w:after="160"/>
      </w:pPr>
      <w:r w:rsidRPr="00C8349C">
        <w:t xml:space="preserve">Alongside supporting people to leave unsafe situations, there is an opportunity to further strengthen </w:t>
      </w:r>
      <w:r w:rsidRPr="00FF2D2E">
        <w:t>the protective factors that enable individuals, families and communities to thrive</w:t>
      </w:r>
      <w:r w:rsidR="00A02E56" w:rsidRPr="00FF2D2E">
        <w:t>, including to identify opportunities to support people at critical life moments such as pregnancy and early parenthood</w:t>
      </w:r>
      <w:r w:rsidRPr="00FF2D2E">
        <w:t>. This</w:t>
      </w:r>
      <w:r w:rsidRPr="00C8349C">
        <w:t xml:space="preserve"> includes investing in holistic, person-centred approaches that recognise diverse needs and focus on long-term outcomes.</w:t>
      </w:r>
    </w:p>
    <w:p w14:paraId="5B00F7E8" w14:textId="148AA8B9" w:rsidR="00856488" w:rsidRPr="00680CB8" w:rsidRDefault="00A53D28" w:rsidP="00FC79FA">
      <w:pPr>
        <w:spacing w:before="120" w:after="160"/>
      </w:pPr>
      <w:r w:rsidRPr="00856488">
        <w:t>By building on existing strengths across systems and communities, and continuing to work together, we can drive meaningful and sustained improvements in safety and wellbeing</w:t>
      </w:r>
      <w:r w:rsidR="00856488">
        <w:t>.</w:t>
      </w:r>
    </w:p>
    <w:p w14:paraId="3319885C" w14:textId="6622A5FA" w:rsidR="00A73FA3" w:rsidRPr="00FC79FA" w:rsidRDefault="00A73FA3" w:rsidP="00FC79FA">
      <w:pPr>
        <w:pStyle w:val="Heading4"/>
        <w:spacing w:before="240" w:after="120"/>
        <w:rPr>
          <w:sz w:val="22"/>
          <w:szCs w:val="22"/>
        </w:rPr>
      </w:pPr>
      <w:r w:rsidRPr="00FC79FA">
        <w:rPr>
          <w:sz w:val="22"/>
          <w:szCs w:val="22"/>
        </w:rPr>
        <w:t>Workforce</w:t>
      </w:r>
    </w:p>
    <w:p w14:paraId="3334234D" w14:textId="77777777" w:rsidR="007F4F6E" w:rsidRPr="009D6F06" w:rsidRDefault="007F4F6E" w:rsidP="00FC79FA">
      <w:pPr>
        <w:spacing w:before="120" w:after="160"/>
        <w:rPr>
          <w:lang w:eastAsia="en-AU"/>
        </w:rPr>
      </w:pPr>
      <w:r w:rsidRPr="009D6F06">
        <w:rPr>
          <w:lang w:eastAsia="en-AU"/>
        </w:rPr>
        <w:t>Our strength and impact are underpinned by how we value our people’s skills and perspectives. This enables everyone to contribute meaningfully to our work.</w:t>
      </w:r>
    </w:p>
    <w:p w14:paraId="723B0DB2" w14:textId="77777777" w:rsidR="007F4F6E" w:rsidRPr="009D6F06" w:rsidRDefault="007F4F6E" w:rsidP="00FC79FA">
      <w:pPr>
        <w:spacing w:before="120" w:after="160"/>
        <w:rPr>
          <w:lang w:eastAsia="en-AU"/>
        </w:rPr>
      </w:pPr>
      <w:r w:rsidRPr="009D6F06">
        <w:rPr>
          <w:lang w:eastAsia="en-AU"/>
        </w:rPr>
        <w:t>We foster a culture of collaboration, curiosity and constructive challenge. Aligned with our Impact Strategy, we expect our people to be outcome-focused, evidence-driven and collaborative, working together to deliver meaningful results for the community.</w:t>
      </w:r>
    </w:p>
    <w:p w14:paraId="5E8965DD" w14:textId="77777777" w:rsidR="007F4F6E" w:rsidRPr="009D6F06" w:rsidRDefault="007F4F6E" w:rsidP="00FC79FA">
      <w:pPr>
        <w:spacing w:before="120" w:after="160"/>
        <w:rPr>
          <w:lang w:eastAsia="en-AU"/>
        </w:rPr>
      </w:pPr>
      <w:r w:rsidRPr="009D6F06">
        <w:rPr>
          <w:lang w:eastAsia="en-AU"/>
        </w:rPr>
        <w:t>We support our people to achieve this with clear purpose and strong governance.</w:t>
      </w:r>
    </w:p>
    <w:p w14:paraId="5815C765" w14:textId="456257FF" w:rsidR="007F4F6E" w:rsidRPr="009D6F06" w:rsidRDefault="007F4F6E" w:rsidP="00FC79FA">
      <w:pPr>
        <w:spacing w:before="120" w:after="160"/>
        <w:rPr>
          <w:lang w:eastAsia="en-AU"/>
        </w:rPr>
      </w:pPr>
      <w:r w:rsidRPr="009D6F06">
        <w:rPr>
          <w:lang w:eastAsia="en-AU"/>
        </w:rPr>
        <w:t>Over the next 12 months, we will progress the priorities in the Workforce Strategy Action Plan, aligned with the Capability Review, to strengthen our capability, talent and ways of working. This includes a more strategic and data-informed approach to workforce planning, with a focus on addressing skills gaps in data, digital and emerging capabilities and ensuring we have the right people in the right roles.</w:t>
      </w:r>
    </w:p>
    <w:p w14:paraId="568F4E0C" w14:textId="77777777" w:rsidR="007F4F6E" w:rsidRPr="009D6F06" w:rsidRDefault="007F4F6E" w:rsidP="00FC79FA">
      <w:pPr>
        <w:spacing w:before="120" w:after="160"/>
        <w:rPr>
          <w:lang w:eastAsia="en-AU"/>
        </w:rPr>
      </w:pPr>
      <w:r w:rsidRPr="009D6F06">
        <w:rPr>
          <w:lang w:eastAsia="en-AU"/>
        </w:rPr>
        <w:lastRenderedPageBreak/>
        <w:t xml:space="preserve">We will continue to build capability through targeted development and the adoption of digital tools and technologies, including </w:t>
      </w:r>
      <w:r>
        <w:rPr>
          <w:lang w:eastAsia="en-AU"/>
        </w:rPr>
        <w:t xml:space="preserve">the appropriate and responsible use of </w:t>
      </w:r>
      <w:r w:rsidRPr="009D6F06">
        <w:rPr>
          <w:lang w:eastAsia="en-AU"/>
        </w:rPr>
        <w:t xml:space="preserve">artificial intelligence, alongside strengthening leadership and manager capability to support effective team performance. </w:t>
      </w:r>
    </w:p>
    <w:p w14:paraId="52B212D3" w14:textId="77777777" w:rsidR="007F4F6E" w:rsidRPr="009D6F06" w:rsidRDefault="007F4F6E" w:rsidP="00FC79FA">
      <w:pPr>
        <w:spacing w:before="120" w:after="160"/>
        <w:rPr>
          <w:lang w:eastAsia="en-AU"/>
        </w:rPr>
      </w:pPr>
      <w:r w:rsidRPr="009D6F06">
        <w:rPr>
          <w:lang w:eastAsia="en-AU"/>
        </w:rPr>
        <w:t>Our flexible and hybrid ways of working will continue to evolve, supporting collaboration, productivity and access to a broader national talent pool, and ensuring we remain well placed to deliver for government and the community.</w:t>
      </w:r>
    </w:p>
    <w:p w14:paraId="262BC095" w14:textId="573F894E" w:rsidR="00A73FA3" w:rsidRPr="00E609E3" w:rsidRDefault="00A73FA3" w:rsidP="009C2D5F">
      <w:pPr>
        <w:pStyle w:val="Heading3"/>
        <w:spacing w:before="240" w:after="120"/>
        <w:rPr>
          <w:b/>
          <w:color w:val="auto"/>
          <w:sz w:val="40"/>
          <w:szCs w:val="40"/>
        </w:rPr>
      </w:pPr>
      <w:bookmarkStart w:id="35" w:name="_Toc238653277"/>
      <w:r w:rsidRPr="00E609E3">
        <w:rPr>
          <w:sz w:val="40"/>
          <w:szCs w:val="40"/>
          <w:lang w:eastAsia="en-AU"/>
        </w:rPr>
        <w:t>Our partners</w:t>
      </w:r>
      <w:bookmarkEnd w:id="35"/>
    </w:p>
    <w:p w14:paraId="28399DA0" w14:textId="630B5D9C" w:rsidR="007F4F6E" w:rsidRPr="00680CB8" w:rsidRDefault="007F4F6E" w:rsidP="009C2D5F">
      <w:pPr>
        <w:spacing w:before="120" w:after="160"/>
        <w:rPr>
          <w:lang w:eastAsia="en-AU"/>
        </w:rPr>
      </w:pPr>
      <w:r w:rsidRPr="00680CB8">
        <w:rPr>
          <w:lang w:eastAsia="en-AU"/>
        </w:rPr>
        <w:t xml:space="preserve">Our portfolio agencies are important partners in advancing the </w:t>
      </w:r>
      <w:r w:rsidR="00F670BE">
        <w:rPr>
          <w:lang w:eastAsia="en-AU"/>
        </w:rPr>
        <w:t>d</w:t>
      </w:r>
      <w:r w:rsidRPr="00680CB8">
        <w:rPr>
          <w:lang w:eastAsia="en-AU"/>
        </w:rPr>
        <w:t>epartment’s purpose and priorities. Through ongoing collaboration, the Australian Institute of Family Studies strengthens our evidence base through research and insights on families and communities; the Domestic, Family and Sexual Violence Commission provides national leadership to help drive action to end violence; and the National Commission for Aboriginal and Torres Strait Islander Children and Young People brings a dedicated focus to improving outcomes for First Nations children and young people. Each agency brings distinct expertise, perspectives and leadership that strengthen and complement our collective impact. Together, we work across shared priorities to improve outcomes for individuals, families and communities.</w:t>
      </w:r>
    </w:p>
    <w:p w14:paraId="7787D756" w14:textId="4F3AE20B" w:rsidR="00A73FA3" w:rsidRPr="008F2947" w:rsidRDefault="00A73FA3" w:rsidP="008F2947">
      <w:pPr>
        <w:pStyle w:val="Heading3"/>
        <w:spacing w:before="240" w:after="120"/>
      </w:pPr>
      <w:bookmarkStart w:id="36" w:name="_Toc238653278"/>
      <w:r w:rsidRPr="008F2947">
        <w:t>Relationships across the Commonwealth</w:t>
      </w:r>
      <w:bookmarkEnd w:id="36"/>
      <w:r w:rsidRPr="008F2947">
        <w:t xml:space="preserve"> </w:t>
      </w:r>
    </w:p>
    <w:p w14:paraId="315CFBD3" w14:textId="027267E8" w:rsidR="00A73FA3" w:rsidRDefault="00A73FA3" w:rsidP="008F2947">
      <w:pPr>
        <w:spacing w:before="120" w:after="160"/>
        <w:rPr>
          <w:lang w:eastAsia="en-AU"/>
        </w:rPr>
      </w:pPr>
      <w:r w:rsidRPr="00A165B4">
        <w:rPr>
          <w:lang w:eastAsia="en-AU"/>
        </w:rPr>
        <w:t xml:space="preserve">Strong cooperation and collaboration across government, including with our Commonwealth agencies, the states and territories and the community sector is essential in delivering our policy </w:t>
      </w:r>
      <w:r w:rsidR="007F4F6E">
        <w:rPr>
          <w:lang w:eastAsia="en-AU"/>
        </w:rPr>
        <w:t>agenda</w:t>
      </w:r>
      <w:r w:rsidR="007F4F6E" w:rsidRPr="00A165B4">
        <w:rPr>
          <w:lang w:eastAsia="en-AU"/>
        </w:rPr>
        <w:t xml:space="preserve"> </w:t>
      </w:r>
      <w:r w:rsidRPr="00A165B4">
        <w:rPr>
          <w:lang w:eastAsia="en-AU"/>
        </w:rPr>
        <w:t xml:space="preserve">and service delivery responsibilities. </w:t>
      </w:r>
      <w:r w:rsidR="0072779B">
        <w:rPr>
          <w:lang w:eastAsia="en-AU"/>
        </w:rPr>
        <w:t xml:space="preserve">For example, our Community Grants Hub is a shared services provider of grant administration for </w:t>
      </w:r>
      <w:r w:rsidR="00171CE7">
        <w:rPr>
          <w:lang w:eastAsia="en-AU"/>
        </w:rPr>
        <w:t>9</w:t>
      </w:r>
      <w:r w:rsidR="0072779B">
        <w:rPr>
          <w:lang w:eastAsia="en-AU"/>
        </w:rPr>
        <w:t xml:space="preserve"> external client agencies, and the department works closely </w:t>
      </w:r>
      <w:r w:rsidR="00664840">
        <w:rPr>
          <w:lang w:eastAsia="en-AU"/>
        </w:rPr>
        <w:t xml:space="preserve">with </w:t>
      </w:r>
      <w:r w:rsidR="00664840" w:rsidRPr="00A165B4">
        <w:rPr>
          <w:lang w:eastAsia="en-AU"/>
        </w:rPr>
        <w:t>Safe and Supported</w:t>
      </w:r>
      <w:r w:rsidR="00664840">
        <w:rPr>
          <w:lang w:eastAsia="en-AU"/>
        </w:rPr>
        <w:t xml:space="preserve"> and National Plan partners to deliver on the outcomes of the national frameworks</w:t>
      </w:r>
      <w:r w:rsidR="0072779B">
        <w:rPr>
          <w:lang w:eastAsia="en-AU"/>
        </w:rPr>
        <w:t xml:space="preserve">. </w:t>
      </w:r>
      <w:r w:rsidRPr="00A165B4">
        <w:rPr>
          <w:lang w:eastAsia="en-AU"/>
        </w:rPr>
        <w:t xml:space="preserve">We will continue to </w:t>
      </w:r>
      <w:r w:rsidR="007F4F6E">
        <w:rPr>
          <w:lang w:eastAsia="en-AU"/>
        </w:rPr>
        <w:t>foster</w:t>
      </w:r>
      <w:r w:rsidR="007F4F6E" w:rsidRPr="00A165B4">
        <w:rPr>
          <w:lang w:eastAsia="en-AU"/>
        </w:rPr>
        <w:t xml:space="preserve"> </w:t>
      </w:r>
      <w:r w:rsidRPr="00A165B4">
        <w:rPr>
          <w:lang w:eastAsia="en-AU"/>
        </w:rPr>
        <w:t>open</w:t>
      </w:r>
      <w:r w:rsidR="007F4F6E">
        <w:rPr>
          <w:lang w:eastAsia="en-AU"/>
        </w:rPr>
        <w:t>,</w:t>
      </w:r>
      <w:r w:rsidRPr="00A165B4">
        <w:rPr>
          <w:lang w:eastAsia="en-AU"/>
        </w:rPr>
        <w:t xml:space="preserve"> respectful</w:t>
      </w:r>
      <w:r w:rsidR="007F4F6E">
        <w:rPr>
          <w:lang w:eastAsia="en-AU"/>
        </w:rPr>
        <w:t>, and productive</w:t>
      </w:r>
      <w:r w:rsidRPr="00A165B4">
        <w:rPr>
          <w:lang w:eastAsia="en-AU"/>
        </w:rPr>
        <w:t xml:space="preserve"> relationships with our partners and communit</w:t>
      </w:r>
      <w:r w:rsidR="007F4F6E">
        <w:rPr>
          <w:lang w:eastAsia="en-AU"/>
        </w:rPr>
        <w:t>ies</w:t>
      </w:r>
      <w:r w:rsidRPr="00A165B4">
        <w:rPr>
          <w:lang w:eastAsia="en-AU"/>
        </w:rPr>
        <w:t xml:space="preserve"> to deliver meaningful change to the lives of individuals and families.</w:t>
      </w:r>
    </w:p>
    <w:p w14:paraId="5735919C" w14:textId="55329CA0" w:rsidR="00A73FA3" w:rsidRPr="008F2947" w:rsidRDefault="00A73FA3" w:rsidP="008F2947">
      <w:pPr>
        <w:pStyle w:val="Heading3"/>
        <w:spacing w:before="240" w:after="120"/>
      </w:pPr>
      <w:bookmarkStart w:id="37" w:name="_Toc238653279"/>
      <w:r w:rsidRPr="008F2947">
        <w:t>Portfolio agencies</w:t>
      </w:r>
      <w:bookmarkEnd w:id="37"/>
    </w:p>
    <w:p w14:paraId="3D200435" w14:textId="2FF9C02E" w:rsidR="00A73FA3" w:rsidRDefault="00A73FA3" w:rsidP="008F2947">
      <w:pPr>
        <w:spacing w:before="120" w:after="160"/>
        <w:rPr>
          <w:lang w:eastAsia="en-AU"/>
        </w:rPr>
      </w:pPr>
      <w:r w:rsidRPr="00A165B4">
        <w:rPr>
          <w:lang w:eastAsia="en-AU"/>
        </w:rPr>
        <w:t xml:space="preserve">Under the PGPA Act, the </w:t>
      </w:r>
      <w:r w:rsidR="007F4F6E">
        <w:rPr>
          <w:lang w:eastAsia="en-AU"/>
        </w:rPr>
        <w:t xml:space="preserve">Social Services </w:t>
      </w:r>
      <w:r w:rsidRPr="00A165B4">
        <w:rPr>
          <w:lang w:eastAsia="en-AU"/>
        </w:rPr>
        <w:t>portfolio is comprised of non-corporate Commonwealth entities</w:t>
      </w:r>
      <w:r w:rsidR="00443AE5">
        <w:rPr>
          <w:lang w:eastAsia="en-AU"/>
        </w:rPr>
        <w:t>;</w:t>
      </w:r>
      <w:r w:rsidR="0055179B">
        <w:rPr>
          <w:lang w:eastAsia="en-AU"/>
        </w:rPr>
        <w:t xml:space="preserve"> </w:t>
      </w:r>
      <w:r w:rsidRPr="00A165B4">
        <w:rPr>
          <w:lang w:eastAsia="en-AU"/>
        </w:rPr>
        <w:t xml:space="preserve">one Department of State and </w:t>
      </w:r>
      <w:r w:rsidR="0072779B">
        <w:rPr>
          <w:lang w:eastAsia="en-AU"/>
        </w:rPr>
        <w:t>three</w:t>
      </w:r>
      <w:r w:rsidRPr="00A165B4">
        <w:rPr>
          <w:lang w:eastAsia="en-AU"/>
        </w:rPr>
        <w:t xml:space="preserve"> listed entities. Each </w:t>
      </w:r>
      <w:r w:rsidR="00443AE5">
        <w:rPr>
          <w:lang w:eastAsia="en-AU"/>
        </w:rPr>
        <w:t>entity</w:t>
      </w:r>
      <w:r w:rsidR="00443AE5" w:rsidRPr="00A165B4">
        <w:rPr>
          <w:lang w:eastAsia="en-AU"/>
        </w:rPr>
        <w:t xml:space="preserve"> </w:t>
      </w:r>
      <w:r w:rsidRPr="00A165B4">
        <w:rPr>
          <w:lang w:eastAsia="en-AU"/>
        </w:rPr>
        <w:t xml:space="preserve">publishes </w:t>
      </w:r>
      <w:r w:rsidR="00443AE5">
        <w:rPr>
          <w:lang w:eastAsia="en-AU"/>
        </w:rPr>
        <w:t>its</w:t>
      </w:r>
      <w:r w:rsidR="00443AE5" w:rsidRPr="00A165B4">
        <w:rPr>
          <w:lang w:eastAsia="en-AU"/>
        </w:rPr>
        <w:t xml:space="preserve"> </w:t>
      </w:r>
      <w:r w:rsidRPr="00A165B4">
        <w:rPr>
          <w:lang w:eastAsia="en-AU"/>
        </w:rPr>
        <w:t xml:space="preserve">own Corporate Plan detailing </w:t>
      </w:r>
      <w:r w:rsidR="00443AE5">
        <w:rPr>
          <w:lang w:eastAsia="en-AU"/>
        </w:rPr>
        <w:t>its</w:t>
      </w:r>
      <w:r w:rsidR="00443AE5" w:rsidRPr="00A165B4">
        <w:rPr>
          <w:lang w:eastAsia="en-AU"/>
        </w:rPr>
        <w:t xml:space="preserve"> </w:t>
      </w:r>
      <w:r w:rsidRPr="00A165B4">
        <w:rPr>
          <w:lang w:eastAsia="en-AU"/>
        </w:rPr>
        <w:t>purpose and performance measures.</w:t>
      </w:r>
    </w:p>
    <w:p w14:paraId="104E4CBC" w14:textId="532C5F34" w:rsidR="00A73FA3" w:rsidRPr="008F2947" w:rsidRDefault="00A73FA3" w:rsidP="008F2947">
      <w:pPr>
        <w:pStyle w:val="Heading4"/>
        <w:spacing w:before="240" w:after="120"/>
        <w:rPr>
          <w:sz w:val="22"/>
          <w:szCs w:val="22"/>
        </w:rPr>
      </w:pPr>
      <w:r w:rsidRPr="008F2947">
        <w:rPr>
          <w:sz w:val="22"/>
          <w:szCs w:val="22"/>
        </w:rPr>
        <w:t>Non-corporate Commonwealth Entities</w:t>
      </w:r>
      <w:r w:rsidR="007F4F6E" w:rsidRPr="008F2947">
        <w:rPr>
          <w:sz w:val="22"/>
          <w:szCs w:val="22"/>
        </w:rPr>
        <w:t xml:space="preserve"> </w:t>
      </w:r>
    </w:p>
    <w:p w14:paraId="0CB450F2" w14:textId="407179F2" w:rsidR="00664840" w:rsidRPr="008F2947" w:rsidRDefault="00664840" w:rsidP="006778D7">
      <w:pPr>
        <w:pStyle w:val="ListParagraph"/>
        <w:numPr>
          <w:ilvl w:val="0"/>
          <w:numId w:val="23"/>
        </w:numPr>
        <w:spacing w:before="120" w:after="160"/>
        <w:ind w:left="714" w:hanging="357"/>
      </w:pPr>
      <w:r w:rsidRPr="008F2947">
        <w:t>Department of Social Services</w:t>
      </w:r>
    </w:p>
    <w:p w14:paraId="26E275DB" w14:textId="0A702E7E" w:rsidR="00A73FA3" w:rsidRPr="008F2947" w:rsidRDefault="00A73FA3" w:rsidP="006778D7">
      <w:pPr>
        <w:pStyle w:val="ListParagraph"/>
        <w:numPr>
          <w:ilvl w:val="0"/>
          <w:numId w:val="23"/>
        </w:numPr>
        <w:spacing w:before="120" w:after="160"/>
        <w:ind w:left="714" w:hanging="357"/>
      </w:pPr>
      <w:r w:rsidRPr="008F2947">
        <w:t>Australian Institute of Family Studies</w:t>
      </w:r>
    </w:p>
    <w:p w14:paraId="58D016D1" w14:textId="77777777" w:rsidR="00A73FA3" w:rsidRPr="008F2947" w:rsidRDefault="00A73FA3" w:rsidP="006778D7">
      <w:pPr>
        <w:pStyle w:val="ListParagraph"/>
        <w:numPr>
          <w:ilvl w:val="0"/>
          <w:numId w:val="23"/>
        </w:numPr>
        <w:spacing w:before="120" w:after="160"/>
        <w:ind w:left="714" w:hanging="357"/>
      </w:pPr>
      <w:r w:rsidRPr="008F2947">
        <w:t>Domestic, Family and Sexual Violence Commission</w:t>
      </w:r>
    </w:p>
    <w:p w14:paraId="42083BF9" w14:textId="77777777" w:rsidR="00A73FA3" w:rsidRPr="008F2947" w:rsidRDefault="00A73FA3" w:rsidP="006778D7">
      <w:pPr>
        <w:pStyle w:val="ListParagraph"/>
        <w:numPr>
          <w:ilvl w:val="0"/>
          <w:numId w:val="23"/>
        </w:numPr>
        <w:spacing w:before="120" w:after="160"/>
        <w:ind w:left="714" w:hanging="357"/>
      </w:pPr>
      <w:r w:rsidRPr="008F2947">
        <w:t>National Commission for Aboriginal and Torres Strait Islander Children and Young People.</w:t>
      </w:r>
    </w:p>
    <w:p w14:paraId="19D66109" w14:textId="77777777" w:rsidR="008B5BD0" w:rsidRDefault="008B5BD0">
      <w:pPr>
        <w:spacing w:after="240"/>
        <w:rPr>
          <w:rFonts w:asciiTheme="majorHAnsi" w:eastAsiaTheme="majorEastAsia" w:hAnsiTheme="majorHAnsi" w:cstheme="majorBidi"/>
          <w:bCs/>
          <w:color w:val="005A70" w:themeColor="accent1"/>
          <w:sz w:val="32"/>
          <w:lang w:eastAsia="en-AU"/>
        </w:rPr>
      </w:pPr>
      <w:r>
        <w:rPr>
          <w:lang w:eastAsia="en-AU"/>
        </w:rPr>
        <w:br w:type="page"/>
      </w:r>
    </w:p>
    <w:p w14:paraId="50F19673" w14:textId="107CABC5" w:rsidR="00A73FA3" w:rsidRDefault="00A73FA3" w:rsidP="008F2947">
      <w:pPr>
        <w:pStyle w:val="Heading3"/>
        <w:spacing w:before="240" w:after="120"/>
        <w:rPr>
          <w:lang w:eastAsia="en-AU"/>
        </w:rPr>
      </w:pPr>
      <w:bookmarkStart w:id="38" w:name="_Toc238653280"/>
      <w:r w:rsidRPr="00EA543D">
        <w:rPr>
          <w:lang w:eastAsia="en-AU"/>
        </w:rPr>
        <w:lastRenderedPageBreak/>
        <w:t>Our capability</w:t>
      </w:r>
      <w:bookmarkEnd w:id="38"/>
    </w:p>
    <w:p w14:paraId="4863C351" w14:textId="77777777" w:rsidR="003A2F04" w:rsidRPr="008F2947" w:rsidRDefault="003A2F04" w:rsidP="008F2947">
      <w:pPr>
        <w:pStyle w:val="Heading4"/>
        <w:spacing w:before="240" w:after="120"/>
        <w:rPr>
          <w:sz w:val="22"/>
          <w:szCs w:val="22"/>
        </w:rPr>
      </w:pPr>
      <w:bookmarkStart w:id="39" w:name="_Toc236217505"/>
      <w:r w:rsidRPr="008F2947">
        <w:rPr>
          <w:sz w:val="22"/>
          <w:szCs w:val="22"/>
        </w:rPr>
        <w:t>Our</w:t>
      </w:r>
      <w:bookmarkEnd w:id="39"/>
      <w:r w:rsidRPr="008F2947">
        <w:rPr>
          <w:sz w:val="22"/>
          <w:szCs w:val="22"/>
        </w:rPr>
        <w:t xml:space="preserve"> </w:t>
      </w:r>
      <w:bookmarkStart w:id="40" w:name="_Toc236217506"/>
      <w:r w:rsidRPr="008F2947">
        <w:rPr>
          <w:sz w:val="22"/>
          <w:szCs w:val="22"/>
        </w:rPr>
        <w:t>workforce</w:t>
      </w:r>
      <w:bookmarkEnd w:id="40"/>
      <w:r w:rsidRPr="008F2947">
        <w:rPr>
          <w:sz w:val="22"/>
          <w:szCs w:val="22"/>
        </w:rPr>
        <w:t xml:space="preserve"> </w:t>
      </w:r>
    </w:p>
    <w:p w14:paraId="3648C535" w14:textId="77777777" w:rsidR="003A2F04" w:rsidRPr="00FF2D2E" w:rsidRDefault="003A2F04" w:rsidP="008F2947">
      <w:pPr>
        <w:spacing w:before="120" w:after="160"/>
        <w:rPr>
          <w:lang w:eastAsia="en-AU"/>
        </w:rPr>
      </w:pPr>
      <w:r w:rsidRPr="00FF2D2E">
        <w:rPr>
          <w:lang w:eastAsia="en-AU"/>
        </w:rPr>
        <w:t>Our strength and impact are underpinned by how we value our people’s skills and perspectives. This enables everyone to contribute meaningfully to our work.</w:t>
      </w:r>
    </w:p>
    <w:p w14:paraId="20C2405F" w14:textId="77777777" w:rsidR="003A2F04" w:rsidRPr="00FF2D2E" w:rsidRDefault="003A2F04" w:rsidP="008F2947">
      <w:pPr>
        <w:spacing w:before="120" w:after="160"/>
        <w:rPr>
          <w:lang w:eastAsia="en-AU"/>
        </w:rPr>
      </w:pPr>
      <w:r w:rsidRPr="00FF2D2E">
        <w:rPr>
          <w:lang w:eastAsia="en-AU"/>
        </w:rPr>
        <w:t xml:space="preserve">There are approximately 2,700 people working in the department in locations around Australia. We span policy and program development, corporate services, stakeholder engagement, and frontline service delivery. </w:t>
      </w:r>
    </w:p>
    <w:p w14:paraId="572C463D" w14:textId="77777777" w:rsidR="003A2F04" w:rsidRPr="00FF2D2E" w:rsidRDefault="003A2F04" w:rsidP="008F2947">
      <w:pPr>
        <w:spacing w:before="120" w:after="160"/>
        <w:rPr>
          <w:lang w:eastAsia="en-AU"/>
        </w:rPr>
      </w:pPr>
      <w:r w:rsidRPr="00FF2D2E">
        <w:rPr>
          <w:lang w:eastAsia="en-AU"/>
        </w:rPr>
        <w:t>We foster a culture of collaboration, curiosity and constructive challenge. Aligned with our Impact Strategy, we expect our people to be outcome-focused, evidence-driven and collaborative, working together to deliver meaningful results for the community.</w:t>
      </w:r>
    </w:p>
    <w:p w14:paraId="588F882C" w14:textId="77777777" w:rsidR="003A2F04" w:rsidRPr="00FF2D2E" w:rsidRDefault="003A2F04" w:rsidP="008F2947">
      <w:pPr>
        <w:spacing w:before="120" w:after="160"/>
        <w:rPr>
          <w:lang w:eastAsia="en-AU"/>
        </w:rPr>
      </w:pPr>
      <w:r w:rsidRPr="00FF2D2E">
        <w:rPr>
          <w:lang w:eastAsia="en-AU"/>
        </w:rPr>
        <w:t>We support our people to achieve this with clear purpose and strong governance.</w:t>
      </w:r>
    </w:p>
    <w:p w14:paraId="1567DD0C" w14:textId="6E125D97" w:rsidR="003A2F04" w:rsidRPr="00FF2D2E" w:rsidRDefault="003A2F04" w:rsidP="008F2947">
      <w:pPr>
        <w:spacing w:before="120" w:after="160"/>
        <w:rPr>
          <w:lang w:eastAsia="en-AU"/>
        </w:rPr>
      </w:pPr>
      <w:r w:rsidRPr="00BD7A10">
        <w:rPr>
          <w:lang w:eastAsia="en-AU"/>
        </w:rPr>
        <w:t>Over the next 12 months, we will progress the priorities in the Workforce Strategy Action Plan, aligned with the Capability Review, to strengthen our capability, talent and ways of working. This includes a more strategic and data-informed approach to workforce planning, with a focus on addressing skills gaps in data, digital and emerging capabilities and ensuring we have the right people in the right roles.</w:t>
      </w:r>
      <w:r w:rsidRPr="00FF2D2E">
        <w:t xml:space="preserve"> </w:t>
      </w:r>
      <w:r w:rsidRPr="00FF2D2E">
        <w:rPr>
          <w:lang w:eastAsia="en-AU"/>
        </w:rPr>
        <w:t>In 2025-26</w:t>
      </w:r>
      <w:r w:rsidR="00664840">
        <w:rPr>
          <w:lang w:eastAsia="en-AU"/>
        </w:rPr>
        <w:t>,</w:t>
      </w:r>
      <w:r w:rsidRPr="00FF2D2E">
        <w:rPr>
          <w:lang w:eastAsia="en-AU"/>
        </w:rPr>
        <w:t xml:space="preserve"> we identified over 50 initiatives to support uplift across the department’s </w:t>
      </w:r>
      <w:r w:rsidR="00171CE7">
        <w:rPr>
          <w:lang w:eastAsia="en-AU"/>
        </w:rPr>
        <w:t>4</w:t>
      </w:r>
      <w:r w:rsidRPr="00FF2D2E">
        <w:rPr>
          <w:lang w:eastAsia="en-AU"/>
        </w:rPr>
        <w:t xml:space="preserve"> priority capability areas and will continue to embed and strengthen these over the coming year.  </w:t>
      </w:r>
    </w:p>
    <w:p w14:paraId="4C97DFC3" w14:textId="7F8CC2C1" w:rsidR="003A2F04" w:rsidRPr="00FF2D2E" w:rsidRDefault="003A2F04" w:rsidP="008F2947">
      <w:pPr>
        <w:spacing w:before="120" w:after="160"/>
        <w:rPr>
          <w:lang w:eastAsia="en-AU"/>
        </w:rPr>
      </w:pPr>
      <w:r w:rsidRPr="00FF2D2E">
        <w:rPr>
          <w:lang w:eastAsia="en-AU"/>
        </w:rPr>
        <w:t>We will undertake targeted actions to attract, retain, engage, and develop our workforce, aligned with the Action Plan</w:t>
      </w:r>
      <w:r w:rsidR="00230671">
        <w:rPr>
          <w:lang w:eastAsia="en-AU"/>
        </w:rPr>
        <w:t xml:space="preserve"> responding to the Capability Review</w:t>
      </w:r>
      <w:r w:rsidRPr="00FF2D2E">
        <w:rPr>
          <w:lang w:eastAsia="en-AU"/>
        </w:rPr>
        <w:t xml:space="preserve">. This includes strengthening the capability we need now and into the future </w:t>
      </w:r>
      <w:r w:rsidRPr="00FF2D2E">
        <w:rPr>
          <w:rFonts w:eastAsiaTheme="minorEastAsia" w:cs="Arial"/>
          <w:szCs w:val="22"/>
          <w:lang w:eastAsia="en-AU"/>
        </w:rPr>
        <w:t>with a focus on priority skills and workforce needs</w:t>
      </w:r>
      <w:r w:rsidRPr="00FF2D2E">
        <w:rPr>
          <w:lang w:eastAsia="en-AU"/>
        </w:rPr>
        <w:t xml:space="preserve">. We will continue to invest in our people through targeted development opportunities and capacity uplift. Our success relies on clear workforce priorities </w:t>
      </w:r>
      <w:r w:rsidRPr="00FF2D2E">
        <w:rPr>
          <w:rFonts w:eastAsiaTheme="minorEastAsia" w:cs="Arial"/>
          <w:szCs w:val="22"/>
          <w:lang w:eastAsia="en-AU"/>
        </w:rPr>
        <w:t>that build a capable, adaptable and high-performing workforce</w:t>
      </w:r>
      <w:r w:rsidRPr="00FF2D2E">
        <w:rPr>
          <w:lang w:eastAsia="en-AU"/>
        </w:rPr>
        <w:t>.</w:t>
      </w:r>
    </w:p>
    <w:p w14:paraId="43E2AA00" w14:textId="797023D6" w:rsidR="003A2F04" w:rsidRDefault="003A2F04" w:rsidP="008F2947">
      <w:pPr>
        <w:spacing w:before="120" w:after="160"/>
        <w:rPr>
          <w:lang w:eastAsia="en-AU"/>
        </w:rPr>
      </w:pPr>
      <w:r w:rsidRPr="00BD7A10">
        <w:rPr>
          <w:lang w:eastAsia="en-AU"/>
        </w:rPr>
        <w:t>Our flexible and hybrid ways of working will continue to evolve, supporting collaboration, productivity and access to a broader national talent pool, and ensuring we remain well placed to deliver for government and the community.</w:t>
      </w:r>
    </w:p>
    <w:p w14:paraId="6F7E5BA2" w14:textId="67C47BB8" w:rsidR="003A2F04" w:rsidRPr="008F2947" w:rsidRDefault="003A2F04" w:rsidP="008F2947">
      <w:pPr>
        <w:pStyle w:val="Heading4"/>
        <w:spacing w:before="240" w:after="120"/>
        <w:rPr>
          <w:sz w:val="22"/>
          <w:szCs w:val="22"/>
        </w:rPr>
      </w:pPr>
      <w:r w:rsidRPr="008F2947">
        <w:rPr>
          <w:sz w:val="22"/>
          <w:szCs w:val="22"/>
        </w:rPr>
        <w:t>Our diversity</w:t>
      </w:r>
    </w:p>
    <w:p w14:paraId="5D8E383B" w14:textId="1FF92F02" w:rsidR="003A2F04" w:rsidRPr="00D23CB8" w:rsidRDefault="003A2F04" w:rsidP="008F2947">
      <w:pPr>
        <w:spacing w:before="120" w:after="160"/>
        <w:rPr>
          <w:lang w:eastAsia="en-AU"/>
        </w:rPr>
      </w:pPr>
      <w:r w:rsidRPr="00D23CB8">
        <w:rPr>
          <w:lang w:eastAsia="en-AU"/>
        </w:rPr>
        <w:t xml:space="preserve">Our workforce reflects the diversity of the communities we serve, bringing a wide range of perspectives, experiences and expertise. We value the range of views and </w:t>
      </w:r>
      <w:proofErr w:type="gramStart"/>
      <w:r w:rsidRPr="00D23CB8">
        <w:rPr>
          <w:lang w:eastAsia="en-AU"/>
        </w:rPr>
        <w:t>approaches</w:t>
      </w:r>
      <w:proofErr w:type="gramEnd"/>
      <w:r w:rsidRPr="00D23CB8">
        <w:rPr>
          <w:lang w:eastAsia="en-AU"/>
        </w:rPr>
        <w:t xml:space="preserve"> this diversity brings to our workplace. We apply an intersectional lens to understand how disadvantage can overlap and compound, and use this to identify systemic barriers, prioritise effort and drive targeted improvements across the workforce. We are committed to building on the successes of the past year to foster an inclusive culturally</w:t>
      </w:r>
      <w:r w:rsidR="0080616C">
        <w:rPr>
          <w:lang w:eastAsia="en-AU"/>
        </w:rPr>
        <w:t xml:space="preserve"> diverse</w:t>
      </w:r>
      <w:r w:rsidRPr="00D23CB8">
        <w:rPr>
          <w:lang w:eastAsia="en-AU"/>
        </w:rPr>
        <w:t xml:space="preserve"> workplace. This includes working to strengthen inclusion for our </w:t>
      </w:r>
      <w:r w:rsidR="00CD2124">
        <w:rPr>
          <w:lang w:eastAsia="en-AU"/>
        </w:rPr>
        <w:t>Culturally and Linguistically Diverse (</w:t>
      </w:r>
      <w:r w:rsidRPr="00D23CB8">
        <w:rPr>
          <w:lang w:eastAsia="en-AU"/>
        </w:rPr>
        <w:t>CALD</w:t>
      </w:r>
      <w:r w:rsidR="00CD2124">
        <w:rPr>
          <w:lang w:eastAsia="en-AU"/>
        </w:rPr>
        <w:t>)</w:t>
      </w:r>
      <w:r w:rsidRPr="00D23CB8">
        <w:rPr>
          <w:lang w:eastAsia="en-AU"/>
        </w:rPr>
        <w:t xml:space="preserve"> staff; after securing Bronze </w:t>
      </w:r>
      <w:r w:rsidR="00CD2124">
        <w:rPr>
          <w:lang w:eastAsia="en-AU"/>
        </w:rPr>
        <w:t>Australian Workplace Equality Index (</w:t>
      </w:r>
      <w:r w:rsidRPr="00D23CB8">
        <w:rPr>
          <w:lang w:eastAsia="en-AU"/>
        </w:rPr>
        <w:t>AWEI</w:t>
      </w:r>
      <w:r w:rsidR="00CD2124">
        <w:rPr>
          <w:lang w:eastAsia="en-AU"/>
        </w:rPr>
        <w:t>)</w:t>
      </w:r>
      <w:r w:rsidRPr="00D23CB8">
        <w:rPr>
          <w:lang w:eastAsia="en-AU"/>
        </w:rPr>
        <w:t xml:space="preserve"> status moving towards gold as a LGBTIQA+ employer of choice, </w:t>
      </w:r>
      <w:r w:rsidR="00260114">
        <w:rPr>
          <w:lang w:eastAsia="en-AU"/>
        </w:rPr>
        <w:t xml:space="preserve">improving the experience of our staff with disability, including invisible disabilities and neurodiversity, </w:t>
      </w:r>
      <w:r w:rsidRPr="00D23CB8">
        <w:rPr>
          <w:lang w:eastAsia="en-AU"/>
        </w:rPr>
        <w:t>and supporting our Indigenous staff through training opportunities and through the reinvigoration of our Indigenous Liaison Officer progra</w:t>
      </w:r>
      <w:r>
        <w:rPr>
          <w:lang w:eastAsia="en-AU"/>
        </w:rPr>
        <w:t>m.</w:t>
      </w:r>
    </w:p>
    <w:p w14:paraId="34101C4E" w14:textId="6DE3D1B0" w:rsidR="003A2F04" w:rsidRPr="00F82156" w:rsidRDefault="003A2F04" w:rsidP="008F2947">
      <w:pPr>
        <w:spacing w:before="120" w:after="160"/>
        <w:rPr>
          <w:lang w:eastAsia="en-AU"/>
        </w:rPr>
      </w:pPr>
      <w:r w:rsidRPr="00F82156">
        <w:rPr>
          <w:lang w:eastAsia="en-AU"/>
        </w:rPr>
        <w:lastRenderedPageBreak/>
        <w:t>We recognise that building our cultural capability, particularly in relation to First Nations peoples, cultures and histories, is essential to delivering high-quality and culturally appropriate services, policies and programs. We understand that inclusion is a key enabler of capability and delivery.</w:t>
      </w:r>
    </w:p>
    <w:p w14:paraId="5F40691B" w14:textId="03ECB42F" w:rsidR="003A2F04" w:rsidRPr="00695E44" w:rsidRDefault="003A2F04" w:rsidP="00695E44">
      <w:pPr>
        <w:pStyle w:val="Heading4"/>
        <w:spacing w:before="240" w:after="120"/>
        <w:rPr>
          <w:sz w:val="22"/>
          <w:szCs w:val="22"/>
        </w:rPr>
      </w:pPr>
      <w:r w:rsidRPr="00695E44">
        <w:rPr>
          <w:sz w:val="22"/>
          <w:szCs w:val="22"/>
        </w:rPr>
        <w:t xml:space="preserve">Our </w:t>
      </w:r>
      <w:r w:rsidR="00EB6E82">
        <w:rPr>
          <w:sz w:val="22"/>
          <w:szCs w:val="22"/>
        </w:rPr>
        <w:t>i</w:t>
      </w:r>
      <w:r w:rsidRPr="00695E44">
        <w:rPr>
          <w:sz w:val="22"/>
          <w:szCs w:val="22"/>
        </w:rPr>
        <w:t xml:space="preserve">nclusion and accessibility </w:t>
      </w:r>
    </w:p>
    <w:p w14:paraId="450D1D74" w14:textId="77777777" w:rsidR="003A2F04" w:rsidRDefault="003A2F04" w:rsidP="00695E44">
      <w:pPr>
        <w:spacing w:before="120" w:after="160"/>
        <w:rPr>
          <w:lang w:eastAsia="en-AU"/>
        </w:rPr>
      </w:pPr>
      <w:r w:rsidRPr="00A165B4">
        <w:rPr>
          <w:lang w:eastAsia="en-AU"/>
        </w:rPr>
        <w:t xml:space="preserve">The </w:t>
      </w:r>
      <w:r>
        <w:rPr>
          <w:lang w:eastAsia="en-AU"/>
        </w:rPr>
        <w:t>d</w:t>
      </w:r>
      <w:r w:rsidRPr="00A165B4">
        <w:rPr>
          <w:lang w:eastAsia="en-AU"/>
        </w:rPr>
        <w:t xml:space="preserve">epartment is committed to building and embedding an inclusive and accessible workplace where everyone feels safe, valued and empowered to </w:t>
      </w:r>
      <w:r>
        <w:rPr>
          <w:lang w:eastAsia="en-AU"/>
        </w:rPr>
        <w:t>contribute</w:t>
      </w:r>
      <w:r w:rsidRPr="00A165B4">
        <w:rPr>
          <w:lang w:eastAsia="en-AU"/>
        </w:rPr>
        <w:t xml:space="preserve">. </w:t>
      </w:r>
    </w:p>
    <w:p w14:paraId="232FD385" w14:textId="77777777" w:rsidR="003A2F04" w:rsidRDefault="003A2F04" w:rsidP="00695E44">
      <w:pPr>
        <w:spacing w:before="120" w:after="160"/>
        <w:rPr>
          <w:lang w:eastAsia="en-AU"/>
        </w:rPr>
      </w:pPr>
      <w:r w:rsidRPr="0026631D">
        <w:rPr>
          <w:lang w:eastAsia="en-AU"/>
        </w:rPr>
        <w:t xml:space="preserve">Over the next 12 months, we will progress the DSS Inclusion Framework 2026–2030, embedding inclusion and accessibility across our culture, systems and everyday ways of working. This includes strengthening leadership accountability, improving access to opportunities and capability development, and ensuring employee voice and lived experience inform decision-making and design. </w:t>
      </w:r>
    </w:p>
    <w:p w14:paraId="7CD249C3" w14:textId="77777777" w:rsidR="003A2F04" w:rsidRPr="0026631D" w:rsidRDefault="003A2F04" w:rsidP="00695E44">
      <w:pPr>
        <w:spacing w:before="120" w:after="160"/>
        <w:rPr>
          <w:lang w:eastAsia="en-AU"/>
        </w:rPr>
      </w:pPr>
      <w:r w:rsidRPr="0026631D">
        <w:rPr>
          <w:lang w:eastAsia="en-AU"/>
        </w:rPr>
        <w:t>We will continue to remove systemic barriers, support workplace adjustments and flexibility, partner with employee-led Diversity Committees and Networks, and strengthen our First Nations capability, including Indigenous Liaison Officer roles to enhance cultural advice, engagement and support across the department.</w:t>
      </w:r>
    </w:p>
    <w:p w14:paraId="6758D1C1" w14:textId="77777777" w:rsidR="003A2F04" w:rsidRPr="00695E44" w:rsidRDefault="003A2F04" w:rsidP="00695E44">
      <w:pPr>
        <w:pStyle w:val="Heading4"/>
        <w:spacing w:before="240" w:after="120"/>
        <w:rPr>
          <w:sz w:val="22"/>
          <w:szCs w:val="22"/>
        </w:rPr>
      </w:pPr>
      <w:r w:rsidRPr="00695E44">
        <w:rPr>
          <w:sz w:val="22"/>
          <w:szCs w:val="22"/>
        </w:rPr>
        <w:t xml:space="preserve">Our health, safety and wellbeing </w:t>
      </w:r>
    </w:p>
    <w:p w14:paraId="5573DA10" w14:textId="77777777" w:rsidR="003A2F04" w:rsidRPr="00E53565" w:rsidRDefault="003A2F04" w:rsidP="0000088A">
      <w:pPr>
        <w:spacing w:before="120" w:after="160"/>
        <w:rPr>
          <w:lang w:eastAsia="en-AU"/>
        </w:rPr>
      </w:pPr>
      <w:r w:rsidRPr="00E53565">
        <w:rPr>
          <w:lang w:eastAsia="en-AU"/>
        </w:rPr>
        <w:t>Our commitment to the health, safety and wellbeing of our people remains fundamental. We continue to build a strong safety culture by embedding safety into all aspects of our work and strengthening the capability of our people and leaders.</w:t>
      </w:r>
    </w:p>
    <w:p w14:paraId="588188CE" w14:textId="77777777" w:rsidR="003A2F04" w:rsidRPr="00E53565" w:rsidRDefault="003A2F04" w:rsidP="0000088A">
      <w:pPr>
        <w:spacing w:before="120" w:after="160"/>
        <w:rPr>
          <w:lang w:eastAsia="en-AU"/>
        </w:rPr>
      </w:pPr>
      <w:r w:rsidRPr="00E53565">
        <w:rPr>
          <w:lang w:eastAsia="en-AU"/>
        </w:rPr>
        <w:t>We take a risk-based and evidence-informed approach to safety, supported by effective consultation and engagement with our workforce. This ensures our people’s expertise and experiences inform how we identify and manage risks and continuously improve our approach.</w:t>
      </w:r>
    </w:p>
    <w:p w14:paraId="7C6A1D60" w14:textId="77777777" w:rsidR="003A2F04" w:rsidRPr="00E53565" w:rsidRDefault="003A2F04" w:rsidP="0000088A">
      <w:pPr>
        <w:spacing w:before="120" w:after="160"/>
        <w:rPr>
          <w:lang w:eastAsia="en-AU"/>
        </w:rPr>
      </w:pPr>
      <w:r w:rsidRPr="00E53565">
        <w:rPr>
          <w:lang w:eastAsia="en-AU"/>
        </w:rPr>
        <w:t xml:space="preserve">Over the next 12 months, we will strengthen our focus on health and safety, with a continued emphasis on prevention and early intervention. We will enhance how we identify, assess and manage risks, </w:t>
      </w:r>
      <w:r>
        <w:rPr>
          <w:lang w:eastAsia="en-AU"/>
        </w:rPr>
        <w:t xml:space="preserve">supporting </w:t>
      </w:r>
      <w:r w:rsidRPr="00E53565">
        <w:rPr>
          <w:lang w:eastAsia="en-AU"/>
        </w:rPr>
        <w:t>our people to raise and address safety concerns with confidence.</w:t>
      </w:r>
    </w:p>
    <w:p w14:paraId="0DF5E437" w14:textId="77777777" w:rsidR="003A2F04" w:rsidRPr="00E53565" w:rsidRDefault="003A2F04" w:rsidP="0000088A">
      <w:pPr>
        <w:spacing w:before="120" w:after="160"/>
        <w:rPr>
          <w:lang w:eastAsia="en-AU"/>
        </w:rPr>
      </w:pPr>
      <w:r w:rsidRPr="00E53565">
        <w:rPr>
          <w:lang w:eastAsia="en-AU"/>
        </w:rPr>
        <w:t>We will also continue to build capability across the department, reinforcing shared responsibility for health and safety and supporting leaders to actively manage risks in their areas.</w:t>
      </w:r>
    </w:p>
    <w:p w14:paraId="2D40BAAB" w14:textId="77777777" w:rsidR="003A2F04" w:rsidRPr="00E53565" w:rsidRDefault="003A2F04" w:rsidP="0000088A">
      <w:pPr>
        <w:spacing w:before="120" w:after="160"/>
        <w:rPr>
          <w:lang w:eastAsia="en-AU"/>
        </w:rPr>
      </w:pPr>
      <w:r w:rsidRPr="00E53565">
        <w:rPr>
          <w:lang w:eastAsia="en-AU"/>
        </w:rPr>
        <w:t>Together, these actions will support a safe, respectful and healthy workplace and contribute to positive wellbeing and performance outcomes for our people.</w:t>
      </w:r>
    </w:p>
    <w:p w14:paraId="56906649" w14:textId="38755BD8" w:rsidR="00FF2D2E" w:rsidRPr="0000088A" w:rsidRDefault="00B24654" w:rsidP="0000088A">
      <w:pPr>
        <w:pStyle w:val="Heading4"/>
        <w:spacing w:before="240" w:after="120"/>
        <w:rPr>
          <w:sz w:val="22"/>
          <w:szCs w:val="22"/>
        </w:rPr>
      </w:pPr>
      <w:r w:rsidRPr="0000088A">
        <w:rPr>
          <w:sz w:val="22"/>
          <w:szCs w:val="22"/>
        </w:rPr>
        <w:t>Our learning and development</w:t>
      </w:r>
    </w:p>
    <w:p w14:paraId="7047E6E2" w14:textId="7D598116" w:rsidR="00B24654" w:rsidRPr="00230E55" w:rsidRDefault="00B24654" w:rsidP="0000088A">
      <w:pPr>
        <w:spacing w:before="120" w:after="160"/>
        <w:rPr>
          <w:lang w:eastAsia="en-AU"/>
        </w:rPr>
      </w:pPr>
      <w:r w:rsidRPr="00230E55">
        <w:rPr>
          <w:lang w:eastAsia="en-AU"/>
        </w:rPr>
        <w:t xml:space="preserve">To meet workforce challenges now and into the future and to manage risk we are strengthening workforce capability in line with the Action Plan </w:t>
      </w:r>
      <w:r w:rsidR="00230671">
        <w:rPr>
          <w:lang w:eastAsia="en-AU"/>
        </w:rPr>
        <w:t>responding to the Capability Review</w:t>
      </w:r>
      <w:r w:rsidR="002103DD">
        <w:rPr>
          <w:lang w:eastAsia="en-AU"/>
        </w:rPr>
        <w:t>,</w:t>
      </w:r>
      <w:r w:rsidR="00230671">
        <w:rPr>
          <w:lang w:eastAsia="en-AU"/>
        </w:rPr>
        <w:t xml:space="preserve"> </w:t>
      </w:r>
      <w:r>
        <w:rPr>
          <w:lang w:eastAsia="en-AU"/>
        </w:rPr>
        <w:t>we are</w:t>
      </w:r>
      <w:r w:rsidRPr="00230E55">
        <w:rPr>
          <w:lang w:eastAsia="en-AU"/>
        </w:rPr>
        <w:t xml:space="preserve"> investing in our people to deliver high-quality social policy and outcomes</w:t>
      </w:r>
      <w:r w:rsidR="002103DD">
        <w:rPr>
          <w:lang w:eastAsia="en-AU"/>
        </w:rPr>
        <w:t>.</w:t>
      </w:r>
      <w:r w:rsidRPr="00230E55">
        <w:rPr>
          <w:lang w:eastAsia="en-AU"/>
        </w:rPr>
        <w:t xml:space="preserve"> We support continuous learning through flexible development opportunities, from bite-sized to intensive programs which provide multiple ways for staff to learn in the workplace. We are building capability across the policy lifecycle, using data, evaluation and user-centred design to drive real-world impact. We are also fostering collaboration and contestability through strengthened policy functions, enabling a high-performing workforce to deliver on the department’s Impact Strategy. </w:t>
      </w:r>
    </w:p>
    <w:p w14:paraId="2AB1CD17" w14:textId="11716FFB" w:rsidR="003A2F04" w:rsidRDefault="00B24654" w:rsidP="0000088A">
      <w:pPr>
        <w:spacing w:before="120" w:after="160"/>
        <w:rPr>
          <w:lang w:eastAsia="en-AU"/>
        </w:rPr>
      </w:pPr>
      <w:r w:rsidRPr="00230E55">
        <w:rPr>
          <w:lang w:eastAsia="en-AU"/>
        </w:rPr>
        <w:lastRenderedPageBreak/>
        <w:t xml:space="preserve">We have a focus on policy excellence through our Social Policy Toolkit, the </w:t>
      </w:r>
      <w:r>
        <w:rPr>
          <w:lang w:eastAsia="en-AU"/>
        </w:rPr>
        <w:t>d</w:t>
      </w:r>
      <w:r w:rsidRPr="00230E55">
        <w:rPr>
          <w:lang w:eastAsia="en-AU"/>
        </w:rPr>
        <w:t>epartment’s central resource for guidance on better practice policymaking. We are providing the tools and resources to build the capability of our staff wherever they are in their career.</w:t>
      </w:r>
    </w:p>
    <w:p w14:paraId="7F169F02" w14:textId="6F242518" w:rsidR="00B24654" w:rsidRPr="0000088A" w:rsidRDefault="00B24654" w:rsidP="0000088A">
      <w:pPr>
        <w:pStyle w:val="Heading4"/>
        <w:spacing w:before="240" w:after="120"/>
        <w:rPr>
          <w:sz w:val="22"/>
          <w:szCs w:val="22"/>
        </w:rPr>
      </w:pPr>
      <w:r w:rsidRPr="0000088A">
        <w:rPr>
          <w:sz w:val="22"/>
          <w:szCs w:val="22"/>
        </w:rPr>
        <w:t>Our ways of working</w:t>
      </w:r>
    </w:p>
    <w:p w14:paraId="21DF001F" w14:textId="77777777" w:rsidR="00B24654" w:rsidRPr="00A165B4" w:rsidRDefault="00B24654" w:rsidP="0000088A">
      <w:pPr>
        <w:spacing w:before="120" w:after="160"/>
        <w:rPr>
          <w:lang w:eastAsia="en-AU"/>
        </w:rPr>
      </w:pPr>
      <w:r>
        <w:rPr>
          <w:lang w:eastAsia="en-AU"/>
        </w:rPr>
        <w:t>We will continue to evolve our ways of working to</w:t>
      </w:r>
      <w:r w:rsidRPr="00A165B4">
        <w:rPr>
          <w:lang w:eastAsia="en-AU"/>
        </w:rPr>
        <w:t xml:space="preserve"> attract and maintain the essential skills and talent </w:t>
      </w:r>
      <w:r>
        <w:rPr>
          <w:lang w:eastAsia="en-AU"/>
        </w:rPr>
        <w:t>needed to deliver for the government and community.</w:t>
      </w:r>
    </w:p>
    <w:p w14:paraId="4ABF3F3B" w14:textId="77777777" w:rsidR="006E3D77" w:rsidRDefault="00B24654" w:rsidP="0000088A">
      <w:pPr>
        <w:spacing w:before="120" w:after="160"/>
        <w:rPr>
          <w:lang w:eastAsia="en-AU"/>
        </w:rPr>
      </w:pPr>
      <w:r w:rsidRPr="00A165B4">
        <w:rPr>
          <w:lang w:eastAsia="en-AU"/>
        </w:rPr>
        <w:t>We are</w:t>
      </w:r>
      <w:r>
        <w:rPr>
          <w:lang w:eastAsia="en-AU"/>
        </w:rPr>
        <w:t xml:space="preserve"> improving how we work</w:t>
      </w:r>
      <w:r w:rsidRPr="00A165B4">
        <w:rPr>
          <w:lang w:eastAsia="en-AU"/>
        </w:rPr>
        <w:t xml:space="preserve"> by delivering </w:t>
      </w:r>
      <w:r>
        <w:rPr>
          <w:rFonts w:eastAsiaTheme="minorEastAsia" w:cs="Arial"/>
          <w:szCs w:val="22"/>
          <w:lang w:eastAsia="en-AU"/>
        </w:rPr>
        <w:t xml:space="preserve">more inclusive and accessible workplaces supported by better use of technology and contemporary work practices. </w:t>
      </w:r>
      <w:r w:rsidRPr="00A165B4">
        <w:rPr>
          <w:lang w:eastAsia="en-AU"/>
        </w:rPr>
        <w:t xml:space="preserve">We will invest in </w:t>
      </w:r>
      <w:r>
        <w:rPr>
          <w:lang w:eastAsia="en-AU"/>
        </w:rPr>
        <w:t xml:space="preserve">leadership and </w:t>
      </w:r>
      <w:r w:rsidRPr="00A165B4">
        <w:rPr>
          <w:lang w:eastAsia="en-AU"/>
        </w:rPr>
        <w:t xml:space="preserve">manager </w:t>
      </w:r>
      <w:r>
        <w:rPr>
          <w:lang w:eastAsia="en-AU"/>
        </w:rPr>
        <w:t xml:space="preserve">capability to equip our people to lead teams, manage performance, drive innovation and continuous improvement. </w:t>
      </w:r>
      <w:r w:rsidRPr="006D56D0">
        <w:rPr>
          <w:rFonts w:eastAsiaTheme="minorEastAsia" w:cs="Arial"/>
          <w:szCs w:val="22"/>
          <w:lang w:eastAsia="en-AU"/>
        </w:rPr>
        <w:t>Our ways of working are underpinned by empowering our people to take ownership, work collaboratively and demonstrate leadership at all levels, with a strong focus on integrity, respect and delivering outcomes.</w:t>
      </w:r>
    </w:p>
    <w:p w14:paraId="132071E8" w14:textId="0B72B610" w:rsidR="006E3D77" w:rsidRPr="006E3D77" w:rsidRDefault="006E3D77" w:rsidP="0000088A">
      <w:pPr>
        <w:spacing w:before="120" w:after="160"/>
        <w:rPr>
          <w:lang w:eastAsia="en-AU"/>
        </w:rPr>
      </w:pPr>
      <w:r w:rsidRPr="006E3D77">
        <w:rPr>
          <w:lang w:eastAsia="en-AU"/>
        </w:rPr>
        <w:t>We recognise the importance of balancing work and employees’ personal commitments. Our flexible and hybrid ways of working support productivity, wellbeing, and business continuity, enabling us to work effectively from a range of locations.</w:t>
      </w:r>
    </w:p>
    <w:p w14:paraId="5EBE9158" w14:textId="77777777" w:rsidR="006E3D77" w:rsidRPr="006E3D77" w:rsidRDefault="006E3D77" w:rsidP="0000088A">
      <w:pPr>
        <w:spacing w:before="120" w:after="160"/>
        <w:rPr>
          <w:lang w:eastAsia="en-AU"/>
        </w:rPr>
      </w:pPr>
      <w:r w:rsidRPr="006E3D77">
        <w:rPr>
          <w:lang w:eastAsia="en-AU"/>
        </w:rPr>
        <w:t>The department supports flexible working arrangements. This important change has resulted in the recruiting the best staff member possible due to skill and experience rather than where they live. This includes in regional areas thus providing a footprint in the bush and the city helping the local economies where our staff live.</w:t>
      </w:r>
    </w:p>
    <w:p w14:paraId="4FDAC26C" w14:textId="77777777" w:rsidR="006E3D77" w:rsidRPr="0000088A" w:rsidRDefault="006E3D77" w:rsidP="0000088A">
      <w:pPr>
        <w:pStyle w:val="Heading4"/>
        <w:spacing w:before="240" w:after="120"/>
        <w:rPr>
          <w:sz w:val="22"/>
          <w:szCs w:val="22"/>
        </w:rPr>
      </w:pPr>
      <w:r w:rsidRPr="0000088A">
        <w:rPr>
          <w:sz w:val="22"/>
          <w:szCs w:val="22"/>
        </w:rPr>
        <w:t>Australian Public Service Strategic Commissioning Framework</w:t>
      </w:r>
    </w:p>
    <w:p w14:paraId="166180D4" w14:textId="2F518078" w:rsidR="006E3D77" w:rsidRPr="006E3D77" w:rsidRDefault="006E3D77" w:rsidP="0000088A">
      <w:pPr>
        <w:spacing w:before="120" w:after="160"/>
        <w:rPr>
          <w:lang w:eastAsia="en-AU"/>
        </w:rPr>
      </w:pPr>
      <w:r w:rsidRPr="006E3D77">
        <w:rPr>
          <w:lang w:eastAsia="en-AU"/>
        </w:rPr>
        <w:t>Our department continues to operate in line with the A</w:t>
      </w:r>
      <w:r w:rsidR="00F70BD1">
        <w:rPr>
          <w:lang w:eastAsia="en-AU"/>
        </w:rPr>
        <w:t>PS</w:t>
      </w:r>
      <w:r w:rsidRPr="006E3D77">
        <w:rPr>
          <w:lang w:eastAsia="en-AU"/>
        </w:rPr>
        <w:t xml:space="preserve"> </w:t>
      </w:r>
      <w:r w:rsidR="00F70BD1">
        <w:rPr>
          <w:lang w:eastAsia="en-AU"/>
        </w:rPr>
        <w:t>S</w:t>
      </w:r>
      <w:r w:rsidRPr="006E3D77">
        <w:rPr>
          <w:lang w:eastAsia="en-AU"/>
        </w:rPr>
        <w:t>trategic Commissioning Framework. Core work is undertaken in-house wherever possible, with external support engaged only in limited and appropriate circumstances.</w:t>
      </w:r>
    </w:p>
    <w:p w14:paraId="35980574" w14:textId="77777777" w:rsidR="006E3D77" w:rsidRPr="00F70BD1" w:rsidRDefault="006E3D77" w:rsidP="0000088A">
      <w:pPr>
        <w:spacing w:before="120" w:after="160"/>
        <w:rPr>
          <w:lang w:eastAsia="en-AU"/>
        </w:rPr>
      </w:pPr>
      <w:r w:rsidRPr="00F70BD1">
        <w:rPr>
          <w:lang w:eastAsia="en-AU"/>
        </w:rPr>
        <w:t xml:space="preserve">For the department, core work is APS and agency-specific in nature and is specifically geared towards serving the Australian public using fundamental APS skills. This includes working the job families </w:t>
      </w:r>
      <w:proofErr w:type="gramStart"/>
      <w:r w:rsidRPr="00F70BD1">
        <w:rPr>
          <w:lang w:eastAsia="en-AU"/>
        </w:rPr>
        <w:t>of:</w:t>
      </w:r>
      <w:proofErr w:type="gramEnd"/>
      <w:r w:rsidRPr="00F70BD1">
        <w:rPr>
          <w:lang w:eastAsia="en-AU"/>
        </w:rPr>
        <w:t xml:space="preserve"> policy, portfolio, program and project management, administration, service delivery, communications and marketing, accounting and finance, compliance and regulation, data and research, senior executive, legal and parliamentary, human resources, ICT and digital solutions, monitoring and audit, information and knowledge management and intelligence. </w:t>
      </w:r>
    </w:p>
    <w:p w14:paraId="00024476" w14:textId="1B94406D" w:rsidR="006E3D77" w:rsidRPr="00F70BD1" w:rsidRDefault="006E3D77" w:rsidP="0000088A">
      <w:pPr>
        <w:spacing w:before="120" w:after="160"/>
        <w:rPr>
          <w:lang w:eastAsia="en-AU"/>
        </w:rPr>
      </w:pPr>
      <w:r w:rsidRPr="00F70BD1">
        <w:rPr>
          <w:lang w:eastAsia="en-AU"/>
        </w:rPr>
        <w:t xml:space="preserve">In 2026-27, the department will continue working to bring core work in-house in line with the APS Strategic Commissioning Framework. To strengthen capability to deliver core work, the department will develop and implement a DSS learning and development plan to guide capability uplift. The </w:t>
      </w:r>
      <w:r w:rsidR="002103DD">
        <w:rPr>
          <w:lang w:eastAsia="en-AU"/>
        </w:rPr>
        <w:t>p</w:t>
      </w:r>
      <w:r w:rsidRPr="00F70BD1">
        <w:rPr>
          <w:lang w:eastAsia="en-AU"/>
        </w:rPr>
        <w:t>lan will describe how learning opportunities are identified, developed, and evaluated to align with the department’s priorities, core work and capability needs.</w:t>
      </w:r>
    </w:p>
    <w:p w14:paraId="7D055379" w14:textId="22B02176" w:rsidR="00A73FA3" w:rsidRPr="0000088A" w:rsidRDefault="00A73FA3" w:rsidP="0000088A">
      <w:pPr>
        <w:pStyle w:val="Heading4"/>
        <w:spacing w:before="240" w:after="120"/>
        <w:rPr>
          <w:sz w:val="22"/>
          <w:szCs w:val="22"/>
        </w:rPr>
      </w:pPr>
      <w:r w:rsidRPr="0000088A">
        <w:rPr>
          <w:sz w:val="22"/>
          <w:szCs w:val="22"/>
        </w:rPr>
        <w:t>Our grants capability</w:t>
      </w:r>
    </w:p>
    <w:p w14:paraId="40F86FB1" w14:textId="46C24750" w:rsidR="00C23CCD" w:rsidRPr="00C17E02" w:rsidRDefault="00C23CCD" w:rsidP="0000088A">
      <w:pPr>
        <w:spacing w:before="120" w:after="160"/>
        <w:rPr>
          <w:lang w:eastAsia="en-AU"/>
        </w:rPr>
      </w:pPr>
      <w:r w:rsidRPr="00C17E02">
        <w:rPr>
          <w:lang w:eastAsia="en-AU"/>
        </w:rPr>
        <w:t xml:space="preserve">The Community Grants Hub (the Hub) will continue its strong partnership with the </w:t>
      </w:r>
      <w:r w:rsidR="00F670BE">
        <w:rPr>
          <w:lang w:eastAsia="en-AU"/>
        </w:rPr>
        <w:t>d</w:t>
      </w:r>
      <w:r w:rsidRPr="00C17E02">
        <w:rPr>
          <w:lang w:eastAsia="en-AU"/>
        </w:rPr>
        <w:t xml:space="preserve">epartment, client agencies and the community sector to deliver best-practice, efficient and scalable grants administration. In 2025–26, the Hub managed approximately 28,812 grants, totalling $12.3 billion, on behalf of the department and client agencies, working with 9,470 community sector organisations. </w:t>
      </w:r>
      <w:r w:rsidRPr="00C17E02">
        <w:rPr>
          <w:lang w:eastAsia="en-AU"/>
        </w:rPr>
        <w:lastRenderedPageBreak/>
        <w:t>We will continue to enhance governance, consistency and performance to maximise impact and value for money.</w:t>
      </w:r>
    </w:p>
    <w:p w14:paraId="15E1A402" w14:textId="42FD2D59" w:rsidR="00C23CCD" w:rsidRPr="00C17E02" w:rsidRDefault="00C23CCD" w:rsidP="0000088A">
      <w:pPr>
        <w:spacing w:before="120" w:after="160"/>
        <w:rPr>
          <w:lang w:eastAsia="en-AU"/>
        </w:rPr>
      </w:pPr>
      <w:r w:rsidRPr="00C17E02">
        <w:rPr>
          <w:lang w:eastAsia="en-AU"/>
        </w:rPr>
        <w:t xml:space="preserve">The Hub is moving to new way of partnering with organisations, through </w:t>
      </w:r>
      <w:r w:rsidR="002A4C13">
        <w:rPr>
          <w:lang w:eastAsia="en-AU"/>
        </w:rPr>
        <w:t>Outcomes</w:t>
      </w:r>
      <w:r w:rsidRPr="00C17E02">
        <w:rPr>
          <w:lang w:eastAsia="en-AU"/>
        </w:rPr>
        <w:t xml:space="preserve"> Contracting – Partnering for Impact, that will better measure the impact of services to Australians through our grants. This partnership will be relationship and client-centred to prioritise the design and delivery of services that are culturally appropriate, accessible and adapt with the evolving community needs. In collaboration with the Community Sector Advisory Group and other sector partners, we will reshape our commissioning and grant management approach to be more collaborative, transparent and </w:t>
      </w:r>
      <w:proofErr w:type="gramStart"/>
      <w:r w:rsidRPr="00C17E02">
        <w:rPr>
          <w:lang w:eastAsia="en-AU"/>
        </w:rPr>
        <w:t>outcomes-focused</w:t>
      </w:r>
      <w:proofErr w:type="gramEnd"/>
      <w:r w:rsidRPr="00C17E02">
        <w:rPr>
          <w:lang w:eastAsia="en-AU"/>
        </w:rPr>
        <w:t>. This includes embedding innovation, reducing administrative burden, closely monitoring and adapting to maximise to impact and strengthening sector capability to ensure sustainable, effective service delivery.</w:t>
      </w:r>
    </w:p>
    <w:p w14:paraId="0C5D97E1" w14:textId="77777777" w:rsidR="00C23CCD" w:rsidRDefault="00C23CCD" w:rsidP="0000088A">
      <w:pPr>
        <w:spacing w:before="120" w:after="160"/>
        <w:rPr>
          <w:lang w:eastAsia="en-AU"/>
        </w:rPr>
      </w:pPr>
      <w:r w:rsidRPr="00C17E02">
        <w:rPr>
          <w:lang w:eastAsia="en-AU"/>
        </w:rPr>
        <w:t>Leveraging our geographically dispersed and highly specialised workforce, the Hub will expand its strategic engagement with the community sector to better inform program design and delivery. We will systematically use data, evidence and stakeholder insights to improve targeting, accessibility and effectiveness of grant programs. This will enable more responsive, outcomes-driven investments that deliver measurable improvements in the lives of Australians.</w:t>
      </w:r>
    </w:p>
    <w:p w14:paraId="245D203A" w14:textId="5222EEA1" w:rsidR="00A73FA3" w:rsidRPr="0000088A" w:rsidRDefault="00A73FA3" w:rsidP="0000088A">
      <w:pPr>
        <w:pStyle w:val="Heading4"/>
        <w:spacing w:before="240" w:after="120"/>
        <w:rPr>
          <w:sz w:val="22"/>
          <w:szCs w:val="22"/>
        </w:rPr>
      </w:pPr>
      <w:r w:rsidRPr="0000088A">
        <w:rPr>
          <w:sz w:val="22"/>
          <w:szCs w:val="22"/>
        </w:rPr>
        <w:t>Our data</w:t>
      </w:r>
    </w:p>
    <w:p w14:paraId="060C2C87" w14:textId="52920DCB" w:rsidR="00343A1A" w:rsidRDefault="00A73FA3" w:rsidP="0000088A">
      <w:pPr>
        <w:spacing w:before="120" w:after="160"/>
        <w:rPr>
          <w:lang w:eastAsia="en-AU"/>
        </w:rPr>
      </w:pPr>
      <w:r w:rsidRPr="00A165B4">
        <w:rPr>
          <w:lang w:eastAsia="en-AU"/>
        </w:rPr>
        <w:t xml:space="preserve">The </w:t>
      </w:r>
      <w:r w:rsidR="00F670BE">
        <w:rPr>
          <w:lang w:eastAsia="en-AU"/>
        </w:rPr>
        <w:t>d</w:t>
      </w:r>
      <w:r w:rsidRPr="00A165B4">
        <w:rPr>
          <w:lang w:eastAsia="en-AU"/>
        </w:rPr>
        <w:t xml:space="preserve">epartment’s </w:t>
      </w:r>
      <w:r w:rsidR="004F0864">
        <w:rPr>
          <w:lang w:eastAsia="en-AU"/>
        </w:rPr>
        <w:t>Data and Evaluation Group</w:t>
      </w:r>
      <w:r w:rsidRPr="00A165B4">
        <w:rPr>
          <w:lang w:eastAsia="en-AU"/>
        </w:rPr>
        <w:t xml:space="preserve"> supports </w:t>
      </w:r>
      <w:r w:rsidR="004F0864">
        <w:rPr>
          <w:lang w:eastAsia="en-AU"/>
        </w:rPr>
        <w:t>the department’s policy and program areas with</w:t>
      </w:r>
      <w:r w:rsidR="004F0864" w:rsidRPr="00A165B4">
        <w:rPr>
          <w:lang w:eastAsia="en-AU"/>
        </w:rPr>
        <w:t xml:space="preserve"> </w:t>
      </w:r>
      <w:r w:rsidRPr="00A165B4">
        <w:rPr>
          <w:lang w:eastAsia="en-AU"/>
        </w:rPr>
        <w:t>performance monitoring</w:t>
      </w:r>
      <w:r w:rsidR="004F0864">
        <w:rPr>
          <w:lang w:eastAsia="en-AU"/>
        </w:rPr>
        <w:t>, evaluation, data extraction</w:t>
      </w:r>
      <w:r w:rsidRPr="00A165B4">
        <w:rPr>
          <w:lang w:eastAsia="en-AU"/>
        </w:rPr>
        <w:t xml:space="preserve"> and reporting</w:t>
      </w:r>
      <w:r w:rsidR="004F0864">
        <w:rPr>
          <w:lang w:eastAsia="en-AU"/>
        </w:rPr>
        <w:t xml:space="preserve"> services</w:t>
      </w:r>
      <w:r w:rsidRPr="00A165B4">
        <w:rPr>
          <w:lang w:eastAsia="en-AU"/>
        </w:rPr>
        <w:t>. The department draws on extensive data from our policies, programs and services</w:t>
      </w:r>
      <w:r w:rsidR="004F0864">
        <w:rPr>
          <w:lang w:eastAsia="en-AU"/>
        </w:rPr>
        <w:t>.</w:t>
      </w:r>
    </w:p>
    <w:p w14:paraId="23AA224B" w14:textId="66EF9BFD" w:rsidR="00A73FA3" w:rsidRDefault="00343A1A" w:rsidP="0000088A">
      <w:pPr>
        <w:spacing w:before="120" w:after="160"/>
        <w:rPr>
          <w:lang w:eastAsia="en-AU"/>
        </w:rPr>
      </w:pPr>
      <w:r>
        <w:rPr>
          <w:lang w:eastAsia="en-AU"/>
        </w:rPr>
        <w:t xml:space="preserve">The </w:t>
      </w:r>
      <w:r w:rsidR="00F670BE">
        <w:rPr>
          <w:lang w:eastAsia="en-AU"/>
        </w:rPr>
        <w:t>d</w:t>
      </w:r>
      <w:r>
        <w:rPr>
          <w:lang w:eastAsia="en-AU"/>
        </w:rPr>
        <w:t xml:space="preserve">epartment manages the administrative data from our policies, programs and services, as well as funding the delivery of </w:t>
      </w:r>
      <w:r w:rsidR="00322D24">
        <w:rPr>
          <w:lang w:eastAsia="en-AU"/>
        </w:rPr>
        <w:t xml:space="preserve">4 </w:t>
      </w:r>
      <w:r>
        <w:rPr>
          <w:lang w:eastAsia="en-AU"/>
        </w:rPr>
        <w:t xml:space="preserve">active longitudinal studies: </w:t>
      </w:r>
      <w:r w:rsidRPr="00343A1A">
        <w:rPr>
          <w:i/>
          <w:iCs/>
          <w:lang w:eastAsia="en-AU"/>
        </w:rPr>
        <w:t>Living in Australia: The Household, Income and Labour Dynamics in Australia Survey, Footprints in Time: The Longitudinal Study of Indigenous Children; Growing Up in Australia: The Longitudinal Study of Australian Children and Building a New Life in Australia: The Longitudinal Study of Humanitarian Migrants</w:t>
      </w:r>
      <w:r w:rsidRPr="00343A1A">
        <w:rPr>
          <w:lang w:eastAsia="en-AU"/>
        </w:rPr>
        <w:t xml:space="preserve">. </w:t>
      </w:r>
      <w:r>
        <w:rPr>
          <w:lang w:eastAsia="en-AU"/>
        </w:rPr>
        <w:t xml:space="preserve">The </w:t>
      </w:r>
      <w:r w:rsidR="00F670BE">
        <w:rPr>
          <w:lang w:eastAsia="en-AU"/>
        </w:rPr>
        <w:t>d</w:t>
      </w:r>
      <w:r>
        <w:rPr>
          <w:lang w:eastAsia="en-AU"/>
        </w:rPr>
        <w:t xml:space="preserve">epartment’s administrative and longitudinal data holdings provide important evidence about how Australian’s circumstances, needs and outcomes change over time – which is crucial for </w:t>
      </w:r>
      <w:r w:rsidR="00A73FA3" w:rsidRPr="00A165B4">
        <w:rPr>
          <w:lang w:eastAsia="en-AU"/>
        </w:rPr>
        <w:t>examin</w:t>
      </w:r>
      <w:r>
        <w:rPr>
          <w:lang w:eastAsia="en-AU"/>
        </w:rPr>
        <w:t>ing the</w:t>
      </w:r>
      <w:r w:rsidR="00A73FA3" w:rsidRPr="00A165B4">
        <w:rPr>
          <w:lang w:eastAsia="en-AU"/>
        </w:rPr>
        <w:t xml:space="preserve"> appropriateness, efficiency, and effectiveness of programs and policies.</w:t>
      </w:r>
    </w:p>
    <w:p w14:paraId="0057FBE2" w14:textId="5098D195" w:rsidR="00C71398" w:rsidRPr="00A165B4" w:rsidRDefault="00C71398" w:rsidP="0000088A">
      <w:pPr>
        <w:spacing w:before="120" w:after="160"/>
        <w:rPr>
          <w:lang w:eastAsia="en-AU"/>
        </w:rPr>
      </w:pPr>
      <w:r w:rsidRPr="004232AE">
        <w:rPr>
          <w:rFonts w:eastAsiaTheme="minorEastAsia" w:cs="Arial"/>
          <w:szCs w:val="22"/>
          <w:lang w:eastAsia="en-AU"/>
        </w:rPr>
        <w:t xml:space="preserve">One year into implementation of </w:t>
      </w:r>
      <w:r w:rsidRPr="00E31371">
        <w:rPr>
          <w:rFonts w:eastAsiaTheme="minorEastAsia" w:cs="Arial"/>
          <w:i/>
          <w:iCs/>
          <w:szCs w:val="22"/>
          <w:lang w:eastAsia="en-AU"/>
        </w:rPr>
        <w:t>the Data and Analytics Strategy 2025–2027</w:t>
      </w:r>
      <w:r w:rsidRPr="004232AE">
        <w:rPr>
          <w:rFonts w:eastAsiaTheme="minorEastAsia" w:cs="Arial"/>
          <w:szCs w:val="22"/>
          <w:lang w:eastAsia="en-AU"/>
        </w:rPr>
        <w:t xml:space="preserve">, the </w:t>
      </w:r>
      <w:r w:rsidR="00F670BE">
        <w:rPr>
          <w:rFonts w:eastAsiaTheme="minorEastAsia" w:cs="Arial"/>
          <w:szCs w:val="22"/>
          <w:lang w:eastAsia="en-AU"/>
        </w:rPr>
        <w:t>d</w:t>
      </w:r>
      <w:r w:rsidRPr="004232AE">
        <w:rPr>
          <w:rFonts w:eastAsiaTheme="minorEastAsia" w:cs="Arial"/>
          <w:szCs w:val="22"/>
          <w:lang w:eastAsia="en-AU"/>
        </w:rPr>
        <w:t xml:space="preserve">epartment is focused on embedding its data and analytics priorities. This includes strengthening trusted, best-practice data governance within safe, secure, lawful and ethical guardrails; using </w:t>
      </w:r>
      <w:r w:rsidR="00343A1A">
        <w:rPr>
          <w:rFonts w:eastAsiaTheme="minorEastAsia" w:cs="Arial"/>
          <w:szCs w:val="22"/>
          <w:lang w:eastAsia="en-AU"/>
        </w:rPr>
        <w:t xml:space="preserve">administrative and longitudinal </w:t>
      </w:r>
      <w:r w:rsidRPr="004232AE">
        <w:rPr>
          <w:rFonts w:eastAsiaTheme="minorEastAsia" w:cs="Arial"/>
          <w:szCs w:val="22"/>
          <w:lang w:eastAsia="en-AU"/>
        </w:rPr>
        <w:t xml:space="preserve">data to inform policies, programs and services; ensuring technology and systems support the data lifecycle; enabling open access to data; lifting staff capability </w:t>
      </w:r>
      <w:r>
        <w:rPr>
          <w:rFonts w:eastAsiaTheme="minorEastAsia" w:cs="Arial"/>
          <w:szCs w:val="22"/>
          <w:lang w:eastAsia="en-AU"/>
        </w:rPr>
        <w:t>in the use of data</w:t>
      </w:r>
      <w:r w:rsidR="000545CF">
        <w:rPr>
          <w:rFonts w:eastAsiaTheme="minorEastAsia" w:cs="Arial"/>
          <w:szCs w:val="22"/>
          <w:lang w:eastAsia="en-AU"/>
        </w:rPr>
        <w:t>.</w:t>
      </w:r>
    </w:p>
    <w:p w14:paraId="50F26D30" w14:textId="3CF1A26A" w:rsidR="00A73FA3" w:rsidRPr="00A165B4" w:rsidRDefault="00A73FA3" w:rsidP="0000088A">
      <w:pPr>
        <w:spacing w:before="120" w:after="160"/>
        <w:rPr>
          <w:lang w:eastAsia="en-AU"/>
        </w:rPr>
      </w:pPr>
      <w:r w:rsidRPr="00A165B4">
        <w:rPr>
          <w:lang w:eastAsia="en-AU"/>
        </w:rPr>
        <w:t>The Strategy is informed by cross government strategies and commitments and will continue to:</w:t>
      </w:r>
    </w:p>
    <w:p w14:paraId="7F53B163" w14:textId="525C061A" w:rsidR="00A73FA3" w:rsidRPr="0000088A" w:rsidRDefault="00A73FA3" w:rsidP="006778D7">
      <w:pPr>
        <w:pStyle w:val="ListParagraph"/>
        <w:numPr>
          <w:ilvl w:val="0"/>
          <w:numId w:val="24"/>
        </w:numPr>
        <w:spacing w:before="120" w:after="160"/>
      </w:pPr>
      <w:r w:rsidRPr="0000088A">
        <w:t>ensure our data governance builds trust, reflects best-practice and enables the use of</w:t>
      </w:r>
      <w:r w:rsidR="00EF4EB4" w:rsidRPr="0000088A">
        <w:t xml:space="preserve"> administrative and longitudinal</w:t>
      </w:r>
      <w:r w:rsidRPr="0000088A">
        <w:t xml:space="preserve"> data in a safe, secure, lawful and ethical way</w:t>
      </w:r>
    </w:p>
    <w:p w14:paraId="48C912D5" w14:textId="77777777" w:rsidR="00A73FA3" w:rsidRPr="0000088A" w:rsidRDefault="00A73FA3" w:rsidP="006778D7">
      <w:pPr>
        <w:pStyle w:val="ListParagraph"/>
        <w:numPr>
          <w:ilvl w:val="0"/>
          <w:numId w:val="24"/>
        </w:numPr>
        <w:spacing w:before="120" w:after="160"/>
      </w:pPr>
      <w:r w:rsidRPr="0000088A">
        <w:t>ensure data provides the evidence to deliver with impact and support improvements to payments, policies, programs and services</w:t>
      </w:r>
    </w:p>
    <w:p w14:paraId="64E4568F" w14:textId="77777777" w:rsidR="00A73FA3" w:rsidRPr="0000088A" w:rsidRDefault="00A73FA3" w:rsidP="006778D7">
      <w:pPr>
        <w:pStyle w:val="ListParagraph"/>
        <w:numPr>
          <w:ilvl w:val="0"/>
          <w:numId w:val="24"/>
        </w:numPr>
        <w:spacing w:before="120" w:after="160"/>
      </w:pPr>
      <w:r w:rsidRPr="0000088A">
        <w:t>ensure our technology and systems support all aspects of the data lifecycle</w:t>
      </w:r>
    </w:p>
    <w:p w14:paraId="26D99C58" w14:textId="77777777" w:rsidR="00A73FA3" w:rsidRPr="0000088A" w:rsidRDefault="00A73FA3" w:rsidP="006778D7">
      <w:pPr>
        <w:pStyle w:val="ListParagraph"/>
        <w:numPr>
          <w:ilvl w:val="0"/>
          <w:numId w:val="24"/>
        </w:numPr>
        <w:spacing w:before="120" w:after="160"/>
      </w:pPr>
      <w:r w:rsidRPr="0000088A">
        <w:lastRenderedPageBreak/>
        <w:t xml:space="preserve">support open access to data by default, contributing to the data ecosystem and sharing and leveraging data, internally and externally </w:t>
      </w:r>
    </w:p>
    <w:p w14:paraId="054FA122" w14:textId="77777777" w:rsidR="00A73FA3" w:rsidRPr="0000088A" w:rsidRDefault="00A73FA3" w:rsidP="006778D7">
      <w:pPr>
        <w:pStyle w:val="ListParagraph"/>
        <w:numPr>
          <w:ilvl w:val="0"/>
          <w:numId w:val="24"/>
        </w:numPr>
        <w:spacing w:before="120" w:after="160"/>
      </w:pPr>
      <w:r w:rsidRPr="0000088A">
        <w:t>increase staff capability and confidence in using data to support departmental priorities</w:t>
      </w:r>
    </w:p>
    <w:p w14:paraId="5AE53B90" w14:textId="41AAABB5" w:rsidR="00A73FA3" w:rsidRPr="0000088A" w:rsidRDefault="00A73FA3" w:rsidP="006778D7">
      <w:pPr>
        <w:pStyle w:val="ListParagraph"/>
        <w:numPr>
          <w:ilvl w:val="0"/>
          <w:numId w:val="24"/>
        </w:numPr>
        <w:spacing w:before="120" w:after="160"/>
      </w:pPr>
      <w:r w:rsidRPr="0000088A">
        <w:t>create a culture of data-driven curiosity and enquiry where data is embedded into all aspects of our business.</w:t>
      </w:r>
    </w:p>
    <w:p w14:paraId="272AF594" w14:textId="11AD1042" w:rsidR="00A73FA3" w:rsidRPr="00A165B4" w:rsidRDefault="00A73FA3" w:rsidP="0000088A">
      <w:pPr>
        <w:spacing w:before="120" w:after="160"/>
        <w:rPr>
          <w:lang w:eastAsia="en-AU"/>
        </w:rPr>
      </w:pPr>
      <w:r w:rsidRPr="00A165B4">
        <w:rPr>
          <w:lang w:eastAsia="en-AU"/>
        </w:rPr>
        <w:t xml:space="preserve">The </w:t>
      </w:r>
      <w:r w:rsidR="00F670BE">
        <w:rPr>
          <w:lang w:eastAsia="en-AU"/>
        </w:rPr>
        <w:t>d</w:t>
      </w:r>
      <w:r w:rsidRPr="00A165B4">
        <w:rPr>
          <w:lang w:eastAsia="en-AU"/>
        </w:rPr>
        <w:t xml:space="preserve">epartment also released a new </w:t>
      </w:r>
      <w:r w:rsidRPr="00E31371">
        <w:rPr>
          <w:i/>
          <w:iCs/>
          <w:lang w:eastAsia="en-AU"/>
        </w:rPr>
        <w:t>Evaluation Strategy 2025-27</w:t>
      </w:r>
      <w:r w:rsidRPr="00A165B4">
        <w:rPr>
          <w:lang w:eastAsia="en-AU"/>
        </w:rPr>
        <w:t xml:space="preserve"> to guide </w:t>
      </w:r>
      <w:r w:rsidR="00EF7E3E">
        <w:rPr>
          <w:lang w:eastAsia="en-AU"/>
        </w:rPr>
        <w:t xml:space="preserve">work to </w:t>
      </w:r>
      <w:r w:rsidRPr="00A165B4">
        <w:rPr>
          <w:lang w:eastAsia="en-AU"/>
        </w:rPr>
        <w:t>understand the impacts of our payments, policies and programs, and what difference they make to Australians. Evaluation is an integral part of our work, and the Evaluation Strategy has a focus on continuing to build evaluation capability and ensuring findings are shared and used to drive positive outcomes and deliver better services for Australians.</w:t>
      </w:r>
    </w:p>
    <w:p w14:paraId="6C85D3D9" w14:textId="2A8B67BC" w:rsidR="00A73FA3" w:rsidRPr="00D71365" w:rsidRDefault="00A73FA3" w:rsidP="0000088A">
      <w:pPr>
        <w:spacing w:before="120" w:after="160"/>
        <w:rPr>
          <w:rFonts w:eastAsia="Arial" w:cstheme="minorHAnsi"/>
          <w:lang w:eastAsia="en-AU"/>
        </w:rPr>
      </w:pPr>
      <w:r w:rsidRPr="00D71365">
        <w:rPr>
          <w:rFonts w:eastAsia="Arial" w:cstheme="minorHAnsi"/>
          <w:lang w:eastAsia="en-AU"/>
        </w:rPr>
        <w:t>In 202</w:t>
      </w:r>
      <w:r w:rsidR="00C71398">
        <w:rPr>
          <w:rFonts w:eastAsia="Arial" w:cstheme="minorHAnsi"/>
          <w:lang w:eastAsia="en-AU"/>
        </w:rPr>
        <w:t>6</w:t>
      </w:r>
      <w:r w:rsidRPr="00D71365">
        <w:rPr>
          <w:rFonts w:eastAsia="Arial" w:cstheme="minorHAnsi"/>
          <w:lang w:eastAsia="en-AU"/>
        </w:rPr>
        <w:t>-2</w:t>
      </w:r>
      <w:r w:rsidR="00C71398">
        <w:rPr>
          <w:rFonts w:eastAsia="Arial" w:cstheme="minorHAnsi"/>
          <w:lang w:eastAsia="en-AU"/>
        </w:rPr>
        <w:t>7</w:t>
      </w:r>
      <w:r w:rsidRPr="00D71365">
        <w:rPr>
          <w:rFonts w:eastAsia="Arial" w:cstheme="minorHAnsi"/>
          <w:lang w:eastAsia="en-AU"/>
        </w:rPr>
        <w:t xml:space="preserve">, the </w:t>
      </w:r>
      <w:r w:rsidR="00F670BE">
        <w:rPr>
          <w:rFonts w:eastAsia="Arial" w:cstheme="minorHAnsi"/>
          <w:lang w:eastAsia="en-AU"/>
        </w:rPr>
        <w:t>d</w:t>
      </w:r>
      <w:r w:rsidRPr="00D71365">
        <w:rPr>
          <w:rFonts w:eastAsia="Arial" w:cstheme="minorHAnsi"/>
          <w:lang w:eastAsia="en-AU"/>
        </w:rPr>
        <w:t>epartment will</w:t>
      </w:r>
      <w:r>
        <w:rPr>
          <w:rFonts w:eastAsia="Arial" w:cstheme="minorHAnsi"/>
          <w:lang w:eastAsia="en-AU"/>
        </w:rPr>
        <w:t>:</w:t>
      </w:r>
    </w:p>
    <w:p w14:paraId="651D2776" w14:textId="725B2DBA" w:rsidR="00A73FA3" w:rsidRPr="00F65E3C" w:rsidRDefault="00C71398" w:rsidP="006778D7">
      <w:pPr>
        <w:pStyle w:val="ListParagraph"/>
        <w:numPr>
          <w:ilvl w:val="0"/>
          <w:numId w:val="25"/>
        </w:numPr>
        <w:spacing w:before="120" w:after="160"/>
      </w:pPr>
      <w:r>
        <w:t>continue to embed</w:t>
      </w:r>
      <w:r w:rsidR="00A73FA3" w:rsidRPr="00F65E3C">
        <w:t xml:space="preserve"> the </w:t>
      </w:r>
      <w:r w:rsidR="00A73FA3" w:rsidRPr="00E31371">
        <w:rPr>
          <w:i/>
          <w:iCs/>
        </w:rPr>
        <w:t>Data and Analytics Strategy</w:t>
      </w:r>
      <w:r w:rsidR="00A73FA3" w:rsidRPr="00F65E3C">
        <w:t xml:space="preserve"> </w:t>
      </w:r>
      <w:r w:rsidR="00A73FA3" w:rsidRPr="00E31371">
        <w:rPr>
          <w:i/>
          <w:iCs/>
        </w:rPr>
        <w:t>and Evaluation Strategy</w:t>
      </w:r>
      <w:r w:rsidRPr="00E31371">
        <w:rPr>
          <w:i/>
          <w:iCs/>
        </w:rPr>
        <w:t xml:space="preserve"> 2025-27</w:t>
      </w:r>
      <w:r>
        <w:t xml:space="preserve"> and </w:t>
      </w:r>
      <w:r w:rsidRPr="00E31371">
        <w:rPr>
          <w:i/>
          <w:iCs/>
        </w:rPr>
        <w:t>Evaluation Strategy 2025-27</w:t>
      </w:r>
    </w:p>
    <w:p w14:paraId="2A7FCEFB" w14:textId="2EF63361" w:rsidR="00A73FA3" w:rsidRPr="00F65E3C" w:rsidRDefault="00A73FA3" w:rsidP="006778D7">
      <w:pPr>
        <w:pStyle w:val="ListParagraph"/>
        <w:numPr>
          <w:ilvl w:val="0"/>
          <w:numId w:val="25"/>
        </w:numPr>
        <w:spacing w:before="120" w:after="160"/>
      </w:pPr>
      <w:r w:rsidRPr="00F65E3C">
        <w:t xml:space="preserve">deliver on commitments </w:t>
      </w:r>
      <w:r w:rsidR="00C71398">
        <w:t>under</w:t>
      </w:r>
      <w:r w:rsidR="00C71398" w:rsidRPr="00F65E3C">
        <w:t xml:space="preserve"> </w:t>
      </w:r>
      <w:r w:rsidRPr="00F65E3C">
        <w:t>the whole-of-APS Framework for Governance of Indigenous Data</w:t>
      </w:r>
    </w:p>
    <w:p w14:paraId="7B8F580D" w14:textId="4777C3F5" w:rsidR="00C71398" w:rsidRPr="0099008E" w:rsidRDefault="00C71398" w:rsidP="006778D7">
      <w:pPr>
        <w:pStyle w:val="ListParagraph"/>
        <w:numPr>
          <w:ilvl w:val="0"/>
          <w:numId w:val="25"/>
        </w:numPr>
        <w:spacing w:before="120" w:after="160"/>
        <w:rPr>
          <w:rFonts w:eastAsia="Arial" w:cstheme="minorHAnsi"/>
          <w:szCs w:val="22"/>
          <w:lang w:eastAsia="en-AU"/>
        </w:rPr>
      </w:pPr>
      <w:r w:rsidRPr="0099008E">
        <w:rPr>
          <w:rFonts w:eastAsia="Arial" w:cstheme="minorHAnsi"/>
          <w:szCs w:val="22"/>
          <w:lang w:eastAsia="en-AU"/>
        </w:rPr>
        <w:t xml:space="preserve">progress open access to </w:t>
      </w:r>
      <w:r w:rsidR="00EF4EB4">
        <w:rPr>
          <w:rFonts w:eastAsia="Arial" w:cstheme="minorHAnsi"/>
          <w:szCs w:val="22"/>
          <w:lang w:eastAsia="en-AU"/>
        </w:rPr>
        <w:t xml:space="preserve">administrative and longitudinal </w:t>
      </w:r>
      <w:r w:rsidRPr="0099008E">
        <w:rPr>
          <w:rFonts w:eastAsia="Arial" w:cstheme="minorHAnsi"/>
          <w:szCs w:val="22"/>
          <w:lang w:eastAsia="en-AU"/>
        </w:rPr>
        <w:t>data, including improving the visibility, accessibility and use of the department’s data assets</w:t>
      </w:r>
    </w:p>
    <w:p w14:paraId="4531D532" w14:textId="1BC27EF2" w:rsidR="00C71398" w:rsidRDefault="00C71398" w:rsidP="006778D7">
      <w:pPr>
        <w:pStyle w:val="ListParagraph"/>
        <w:numPr>
          <w:ilvl w:val="0"/>
          <w:numId w:val="25"/>
        </w:numPr>
        <w:spacing w:before="120" w:after="160"/>
        <w:rPr>
          <w:rFonts w:eastAsia="Arial" w:cstheme="minorHAnsi"/>
          <w:szCs w:val="22"/>
          <w:lang w:eastAsia="en-AU"/>
        </w:rPr>
      </w:pPr>
      <w:r w:rsidRPr="0099008E">
        <w:rPr>
          <w:rFonts w:eastAsia="Arial" w:cstheme="minorHAnsi"/>
          <w:szCs w:val="22"/>
          <w:lang w:eastAsia="en-AU"/>
        </w:rPr>
        <w:t xml:space="preserve">strengthen the use of </w:t>
      </w:r>
      <w:r w:rsidR="00EF4EB4">
        <w:rPr>
          <w:rFonts w:eastAsia="Arial" w:cstheme="minorHAnsi"/>
          <w:szCs w:val="22"/>
          <w:lang w:eastAsia="en-AU"/>
        </w:rPr>
        <w:t xml:space="preserve">administrative and longitudinal </w:t>
      </w:r>
      <w:r w:rsidRPr="0099008E">
        <w:rPr>
          <w:rFonts w:eastAsia="Arial" w:cstheme="minorHAnsi"/>
          <w:szCs w:val="22"/>
          <w:lang w:eastAsia="en-AU"/>
        </w:rPr>
        <w:t>data and evidence to inform critical departmental priorities, including family, domestic and sexual violence, Closing the Gap</w:t>
      </w:r>
    </w:p>
    <w:p w14:paraId="23CCBD5A" w14:textId="77777777" w:rsidR="00C71398" w:rsidRDefault="00C71398" w:rsidP="006778D7">
      <w:pPr>
        <w:pStyle w:val="ListParagraph"/>
        <w:numPr>
          <w:ilvl w:val="0"/>
          <w:numId w:val="25"/>
        </w:numPr>
        <w:spacing w:before="120" w:after="160"/>
        <w:rPr>
          <w:rFonts w:eastAsia="Arial" w:cstheme="minorHAnsi"/>
          <w:szCs w:val="22"/>
          <w:lang w:eastAsia="en-AU"/>
        </w:rPr>
      </w:pPr>
      <w:r w:rsidRPr="00A07B45">
        <w:rPr>
          <w:rFonts w:eastAsia="Arial" w:cstheme="minorHAnsi"/>
          <w:szCs w:val="22"/>
          <w:lang w:eastAsia="en-AU"/>
        </w:rPr>
        <w:t xml:space="preserve">support safe, secure, lawful and ethical data sharing </w:t>
      </w:r>
    </w:p>
    <w:p w14:paraId="2C897EF3" w14:textId="0195877C" w:rsidR="00B24654" w:rsidRPr="00FF2D2E" w:rsidRDefault="00C71398" w:rsidP="006778D7">
      <w:pPr>
        <w:pStyle w:val="ListParagraph"/>
        <w:numPr>
          <w:ilvl w:val="0"/>
          <w:numId w:val="25"/>
        </w:numPr>
        <w:spacing w:before="120" w:after="160"/>
        <w:rPr>
          <w:rFonts w:eastAsia="Arial" w:cstheme="minorHAnsi"/>
          <w:szCs w:val="22"/>
          <w:lang w:eastAsia="en-AU"/>
        </w:rPr>
      </w:pPr>
      <w:r w:rsidRPr="00FF2D2E">
        <w:rPr>
          <w:rFonts w:eastAsia="Arial" w:cstheme="minorHAnsi"/>
          <w:szCs w:val="22"/>
          <w:lang w:eastAsia="en-AU"/>
        </w:rPr>
        <w:t xml:space="preserve">continue to uplift staff capability and confidence in using </w:t>
      </w:r>
      <w:r w:rsidR="00EF4EB4" w:rsidRPr="00FF2D2E">
        <w:rPr>
          <w:rFonts w:eastAsia="Arial" w:cstheme="minorHAnsi"/>
          <w:szCs w:val="22"/>
          <w:lang w:eastAsia="en-AU"/>
        </w:rPr>
        <w:t xml:space="preserve">administrative and longitudinal </w:t>
      </w:r>
      <w:r w:rsidRPr="00FF2D2E">
        <w:rPr>
          <w:rFonts w:eastAsia="Arial" w:cstheme="minorHAnsi"/>
          <w:szCs w:val="22"/>
          <w:lang w:eastAsia="en-AU"/>
        </w:rPr>
        <w:t>data to support decision-making, reporting, service improvement and policy development.</w:t>
      </w:r>
    </w:p>
    <w:p w14:paraId="69B612C8" w14:textId="17149E5F" w:rsidR="00A73FA3" w:rsidRPr="00FA73EC" w:rsidRDefault="00A73FA3" w:rsidP="00FA73EC">
      <w:pPr>
        <w:pStyle w:val="Heading4"/>
        <w:spacing w:before="240" w:after="120"/>
        <w:rPr>
          <w:sz w:val="22"/>
          <w:szCs w:val="22"/>
        </w:rPr>
      </w:pPr>
      <w:r w:rsidRPr="00FA73EC">
        <w:rPr>
          <w:sz w:val="22"/>
          <w:szCs w:val="22"/>
        </w:rPr>
        <w:t>Our financial capability</w:t>
      </w:r>
    </w:p>
    <w:p w14:paraId="08FB6185" w14:textId="40B226B5" w:rsidR="00A73FA3" w:rsidRPr="00A165B4" w:rsidRDefault="00A73FA3" w:rsidP="00FA73EC">
      <w:pPr>
        <w:spacing w:before="120" w:after="160"/>
        <w:rPr>
          <w:lang w:eastAsia="en-AU"/>
        </w:rPr>
      </w:pPr>
      <w:r w:rsidRPr="00A165B4">
        <w:rPr>
          <w:lang w:eastAsia="en-AU"/>
        </w:rPr>
        <w:t xml:space="preserve">The </w:t>
      </w:r>
      <w:r w:rsidR="00426299">
        <w:rPr>
          <w:lang w:eastAsia="en-AU"/>
        </w:rPr>
        <w:t xml:space="preserve">department’s </w:t>
      </w:r>
      <w:r w:rsidRPr="00A165B4">
        <w:rPr>
          <w:lang w:eastAsia="en-AU"/>
        </w:rPr>
        <w:t xml:space="preserve">Finance and Information Services Group </w:t>
      </w:r>
      <w:r w:rsidR="004F2BA7">
        <w:rPr>
          <w:lang w:eastAsia="en-AU"/>
        </w:rPr>
        <w:t>supports</w:t>
      </w:r>
      <w:r w:rsidR="004F2BA7" w:rsidRPr="00A165B4">
        <w:rPr>
          <w:lang w:eastAsia="en-AU"/>
        </w:rPr>
        <w:t xml:space="preserve"> </w:t>
      </w:r>
      <w:r w:rsidR="00426299">
        <w:rPr>
          <w:lang w:eastAsia="en-AU"/>
        </w:rPr>
        <w:t>our</w:t>
      </w:r>
      <w:r w:rsidRPr="00A165B4">
        <w:rPr>
          <w:lang w:eastAsia="en-AU"/>
        </w:rPr>
        <w:t xml:space="preserve"> financial capability, ensuring compliance with </w:t>
      </w:r>
      <w:r w:rsidR="004F2BA7">
        <w:rPr>
          <w:lang w:eastAsia="en-AU"/>
        </w:rPr>
        <w:t xml:space="preserve">legislation and sound financial stewardship. It also equips the </w:t>
      </w:r>
      <w:r w:rsidR="00F670BE">
        <w:rPr>
          <w:lang w:eastAsia="en-AU"/>
        </w:rPr>
        <w:t>d</w:t>
      </w:r>
      <w:r w:rsidR="004F2BA7">
        <w:rPr>
          <w:lang w:eastAsia="en-AU"/>
        </w:rPr>
        <w:t>epartment to make informed decisions that improve program performance and deliver better policy</w:t>
      </w:r>
      <w:r w:rsidR="00FF673F">
        <w:rPr>
          <w:lang w:eastAsia="en-AU"/>
        </w:rPr>
        <w:t>,</w:t>
      </w:r>
      <w:r w:rsidR="004F2BA7">
        <w:rPr>
          <w:lang w:eastAsia="en-AU"/>
        </w:rPr>
        <w:t xml:space="preserve"> optimising the use of public resources and achieving stronger outcomes for the Australia community</w:t>
      </w:r>
      <w:r w:rsidRPr="00A165B4">
        <w:rPr>
          <w:lang w:eastAsia="en-AU"/>
        </w:rPr>
        <w:t xml:space="preserve">. The Group provides strong oversight of the </w:t>
      </w:r>
      <w:r w:rsidR="00F670BE">
        <w:rPr>
          <w:lang w:eastAsia="en-AU"/>
        </w:rPr>
        <w:t>d</w:t>
      </w:r>
      <w:r w:rsidRPr="00A165B4">
        <w:rPr>
          <w:lang w:eastAsia="en-AU"/>
        </w:rPr>
        <w:t>epartment’s financial control framework, its associated systems and supports the facilitation of external and internal budget processes, reports on financial performance and produces the financial statements.</w:t>
      </w:r>
    </w:p>
    <w:p w14:paraId="2ED8DD25" w14:textId="0114424D" w:rsidR="00A73FA3" w:rsidRPr="00A165B4" w:rsidRDefault="00A73FA3" w:rsidP="00FA73EC">
      <w:pPr>
        <w:spacing w:before="120" w:after="160"/>
        <w:rPr>
          <w:lang w:eastAsia="en-AU"/>
        </w:rPr>
      </w:pPr>
      <w:r w:rsidRPr="00A165B4">
        <w:rPr>
          <w:lang w:eastAsia="en-AU"/>
        </w:rPr>
        <w:t xml:space="preserve">The </w:t>
      </w:r>
      <w:r w:rsidR="00426299">
        <w:rPr>
          <w:lang w:eastAsia="en-AU"/>
        </w:rPr>
        <w:t>department actively participates in</w:t>
      </w:r>
      <w:r w:rsidRPr="00A165B4">
        <w:rPr>
          <w:lang w:eastAsia="en-AU"/>
        </w:rPr>
        <w:t xml:space="preserve"> the Australian Government Budget process by </w:t>
      </w:r>
      <w:r w:rsidR="00426299">
        <w:rPr>
          <w:lang w:eastAsia="en-AU"/>
        </w:rPr>
        <w:t>collaborating closely</w:t>
      </w:r>
      <w:r w:rsidRPr="00A165B4">
        <w:rPr>
          <w:lang w:eastAsia="en-AU"/>
        </w:rPr>
        <w:t xml:space="preserve"> </w:t>
      </w:r>
      <w:r w:rsidR="00426299">
        <w:rPr>
          <w:lang w:eastAsia="en-AU"/>
        </w:rPr>
        <w:t xml:space="preserve">across </w:t>
      </w:r>
      <w:r w:rsidRPr="00A165B4">
        <w:rPr>
          <w:lang w:eastAsia="en-AU"/>
        </w:rPr>
        <w:t xml:space="preserve">the department’s </w:t>
      </w:r>
      <w:r w:rsidR="00426299">
        <w:rPr>
          <w:lang w:eastAsia="en-AU"/>
        </w:rPr>
        <w:t xml:space="preserve">enabling, </w:t>
      </w:r>
      <w:r w:rsidRPr="00A165B4">
        <w:rPr>
          <w:lang w:eastAsia="en-AU"/>
        </w:rPr>
        <w:t>policy</w:t>
      </w:r>
      <w:r w:rsidR="00426299">
        <w:rPr>
          <w:lang w:eastAsia="en-AU"/>
        </w:rPr>
        <w:t xml:space="preserve"> and delivery</w:t>
      </w:r>
      <w:r w:rsidRPr="00A165B4">
        <w:rPr>
          <w:lang w:eastAsia="en-AU"/>
        </w:rPr>
        <w:t xml:space="preserve"> areas, central agencies, our Portfolio entities and other agencies. The </w:t>
      </w:r>
      <w:r w:rsidR="00F670BE">
        <w:rPr>
          <w:lang w:eastAsia="en-AU"/>
        </w:rPr>
        <w:t>d</w:t>
      </w:r>
      <w:r w:rsidRPr="00A165B4">
        <w:rPr>
          <w:lang w:eastAsia="en-AU"/>
        </w:rPr>
        <w:t>epartment has built sound working relationships with our key stakeholders, which enables us to deliver our priorities and commitments.</w:t>
      </w:r>
    </w:p>
    <w:p w14:paraId="50A8A643" w14:textId="358D2D6E" w:rsidR="00A73FA3" w:rsidRPr="00D71365" w:rsidRDefault="00426299" w:rsidP="00FA73EC">
      <w:pPr>
        <w:spacing w:before="120" w:after="160"/>
        <w:rPr>
          <w:rFonts w:eastAsia="Arial" w:cstheme="minorHAnsi"/>
          <w:lang w:eastAsia="en-AU"/>
        </w:rPr>
      </w:pPr>
      <w:r>
        <w:rPr>
          <w:lang w:eastAsia="en-AU"/>
        </w:rPr>
        <w:t xml:space="preserve">The </w:t>
      </w:r>
      <w:r w:rsidR="0022364D">
        <w:rPr>
          <w:lang w:eastAsia="en-AU"/>
        </w:rPr>
        <w:t>G</w:t>
      </w:r>
      <w:r>
        <w:rPr>
          <w:lang w:eastAsia="en-AU"/>
        </w:rPr>
        <w:t>roup</w:t>
      </w:r>
      <w:r w:rsidR="00A73FA3" w:rsidRPr="00A165B4">
        <w:rPr>
          <w:lang w:eastAsia="en-AU"/>
        </w:rPr>
        <w:t xml:space="preserve"> is a key enabler in the financial stewardship of the </w:t>
      </w:r>
      <w:r w:rsidR="00F670BE">
        <w:rPr>
          <w:lang w:eastAsia="en-AU"/>
        </w:rPr>
        <w:t>d</w:t>
      </w:r>
      <w:r w:rsidR="00A73FA3" w:rsidRPr="00A165B4">
        <w:rPr>
          <w:lang w:eastAsia="en-AU"/>
        </w:rPr>
        <w:t>epartment, providing advice to the</w:t>
      </w:r>
      <w:r w:rsidR="00A73FA3" w:rsidRPr="00D71365">
        <w:rPr>
          <w:rFonts w:eastAsia="Arial" w:cstheme="minorHAnsi"/>
          <w:lang w:eastAsia="en-AU"/>
        </w:rPr>
        <w:t>:</w:t>
      </w:r>
    </w:p>
    <w:p w14:paraId="70FF3FAA" w14:textId="06F20834" w:rsidR="00A73FA3" w:rsidRPr="00FA73EC" w:rsidRDefault="00A73FA3" w:rsidP="006778D7">
      <w:pPr>
        <w:pStyle w:val="ListParagraph"/>
        <w:numPr>
          <w:ilvl w:val="0"/>
          <w:numId w:val="26"/>
        </w:numPr>
        <w:spacing w:before="120" w:after="160"/>
        <w:ind w:hanging="357"/>
      </w:pPr>
      <w:r w:rsidRPr="00FA73EC">
        <w:t xml:space="preserve">Executive Management Group </w:t>
      </w:r>
      <w:r w:rsidR="00F3364F">
        <w:t xml:space="preserve">(EMG) </w:t>
      </w:r>
      <w:r w:rsidRPr="00FA73EC">
        <w:t>in a timely and accurate manner about financial performance, forecast, pressures and risks</w:t>
      </w:r>
    </w:p>
    <w:p w14:paraId="0B3A491C" w14:textId="77777777" w:rsidR="00A73FA3" w:rsidRPr="00FA73EC" w:rsidRDefault="00A73FA3" w:rsidP="006778D7">
      <w:pPr>
        <w:pStyle w:val="ListParagraph"/>
        <w:numPr>
          <w:ilvl w:val="0"/>
          <w:numId w:val="26"/>
        </w:numPr>
        <w:spacing w:before="120" w:after="160"/>
        <w:ind w:hanging="357"/>
      </w:pPr>
      <w:r w:rsidRPr="00FA73EC">
        <w:t>departmental managers, in relation to:</w:t>
      </w:r>
    </w:p>
    <w:p w14:paraId="56135D76" w14:textId="77777777" w:rsidR="00A73FA3" w:rsidRPr="00FA73EC" w:rsidRDefault="00A73FA3" w:rsidP="006778D7">
      <w:pPr>
        <w:pStyle w:val="ListParagraph"/>
        <w:numPr>
          <w:ilvl w:val="1"/>
          <w:numId w:val="3"/>
        </w:numPr>
      </w:pPr>
      <w:r w:rsidRPr="00FA73EC">
        <w:t>the development of robust and easy to use financial management policies, systems and processes</w:t>
      </w:r>
    </w:p>
    <w:p w14:paraId="3FF54ABD" w14:textId="77777777" w:rsidR="00A73FA3" w:rsidRPr="00FA73EC" w:rsidRDefault="00A73FA3" w:rsidP="006778D7">
      <w:pPr>
        <w:pStyle w:val="ListParagraph"/>
        <w:numPr>
          <w:ilvl w:val="1"/>
          <w:numId w:val="3"/>
        </w:numPr>
      </w:pPr>
      <w:r w:rsidRPr="00FA73EC">
        <w:lastRenderedPageBreak/>
        <w:t>assisting in the development of new policy proposals and coordinating the Budget process</w:t>
      </w:r>
    </w:p>
    <w:p w14:paraId="40410A74" w14:textId="77777777" w:rsidR="00A73FA3" w:rsidRPr="00FA73EC" w:rsidRDefault="00A73FA3" w:rsidP="006778D7">
      <w:pPr>
        <w:pStyle w:val="ListParagraph"/>
        <w:numPr>
          <w:ilvl w:val="1"/>
          <w:numId w:val="3"/>
        </w:numPr>
      </w:pPr>
      <w:r w:rsidRPr="00FA73EC">
        <w:t>the provision of timely and accurate financial information, analysis and advice</w:t>
      </w:r>
    </w:p>
    <w:p w14:paraId="1A3ADD28" w14:textId="77777777" w:rsidR="00A73FA3" w:rsidRPr="00FA73EC" w:rsidRDefault="00A73FA3" w:rsidP="006778D7">
      <w:pPr>
        <w:pStyle w:val="ListParagraph"/>
        <w:numPr>
          <w:ilvl w:val="1"/>
          <w:numId w:val="3"/>
        </w:numPr>
      </w:pPr>
      <w:r w:rsidRPr="00FA73EC">
        <w:t>anticipating financial issues and working collaboratively in developing solutions</w:t>
      </w:r>
    </w:p>
    <w:p w14:paraId="5F431947" w14:textId="77777777" w:rsidR="00A73FA3" w:rsidRPr="00FA73EC" w:rsidRDefault="00A73FA3" w:rsidP="006778D7">
      <w:pPr>
        <w:pStyle w:val="ListParagraph"/>
        <w:numPr>
          <w:ilvl w:val="1"/>
          <w:numId w:val="3"/>
        </w:numPr>
      </w:pPr>
      <w:r w:rsidRPr="00FA73EC">
        <w:t>financial literacy training and support to enhance financial knowledge</w:t>
      </w:r>
    </w:p>
    <w:p w14:paraId="2C2D9927" w14:textId="77777777" w:rsidR="00A73FA3" w:rsidRPr="00FA73EC" w:rsidRDefault="00A73FA3" w:rsidP="006778D7">
      <w:pPr>
        <w:pStyle w:val="ListParagraph"/>
        <w:numPr>
          <w:ilvl w:val="1"/>
          <w:numId w:val="3"/>
        </w:numPr>
      </w:pPr>
      <w:r w:rsidRPr="00FA73EC">
        <w:t>procurement advice, use of credit cards, travel and fleet management.</w:t>
      </w:r>
    </w:p>
    <w:p w14:paraId="6C593745" w14:textId="4EF14D3D" w:rsidR="00A73FA3" w:rsidRDefault="00A73FA3" w:rsidP="00FA73EC">
      <w:pPr>
        <w:spacing w:before="120" w:after="160"/>
        <w:rPr>
          <w:lang w:eastAsia="en-AU"/>
        </w:rPr>
      </w:pPr>
      <w:r w:rsidRPr="00A165B4">
        <w:rPr>
          <w:lang w:eastAsia="en-AU"/>
        </w:rPr>
        <w:t xml:space="preserve">The Group ensures </w:t>
      </w:r>
      <w:r w:rsidR="00F670BE">
        <w:rPr>
          <w:lang w:eastAsia="en-AU"/>
        </w:rPr>
        <w:t>d</w:t>
      </w:r>
      <w:r w:rsidRPr="00A165B4">
        <w:rPr>
          <w:lang w:eastAsia="en-AU"/>
        </w:rPr>
        <w:t>epartmental stakeholders understand their financial obligations when undertaking their work, and facilitates regular capability development opportunities through mentoring, training modules and on the job learning.</w:t>
      </w:r>
    </w:p>
    <w:p w14:paraId="631DEEAE" w14:textId="77777777" w:rsidR="00B24654" w:rsidRPr="00FA73EC" w:rsidRDefault="00B24654" w:rsidP="00FA73EC">
      <w:pPr>
        <w:pStyle w:val="Heading4"/>
        <w:spacing w:before="240" w:after="120"/>
        <w:rPr>
          <w:sz w:val="22"/>
          <w:szCs w:val="22"/>
        </w:rPr>
      </w:pPr>
      <w:r w:rsidRPr="00FA73EC">
        <w:rPr>
          <w:sz w:val="22"/>
          <w:szCs w:val="22"/>
        </w:rPr>
        <w:t xml:space="preserve">Our Emissions Reduction Plan </w:t>
      </w:r>
    </w:p>
    <w:p w14:paraId="0E5A776F" w14:textId="77777777" w:rsidR="00B24654" w:rsidRPr="00A165B4" w:rsidRDefault="00B24654" w:rsidP="00FA73EC">
      <w:pPr>
        <w:spacing w:before="120" w:after="160"/>
        <w:rPr>
          <w:lang w:eastAsia="en-AU"/>
        </w:rPr>
      </w:pPr>
      <w:r w:rsidRPr="00A165B4">
        <w:rPr>
          <w:lang w:eastAsia="en-AU"/>
        </w:rPr>
        <w:t xml:space="preserve">The </w:t>
      </w:r>
      <w:r w:rsidRPr="00E31371">
        <w:rPr>
          <w:i/>
          <w:iCs/>
          <w:lang w:eastAsia="en-AU"/>
        </w:rPr>
        <w:t>Net Zero in Government Operations Strategy</w:t>
      </w:r>
      <w:r w:rsidRPr="00A165B4">
        <w:rPr>
          <w:lang w:eastAsia="en-AU"/>
        </w:rPr>
        <w:t xml:space="preserve"> further describes the approach for implementing the government’s commitment to achieve net zero government operations by 2030.</w:t>
      </w:r>
    </w:p>
    <w:p w14:paraId="3FA49838" w14:textId="77777777" w:rsidR="00B24654" w:rsidRPr="00A165B4" w:rsidRDefault="00B24654" w:rsidP="00FA73EC">
      <w:pPr>
        <w:spacing w:before="120" w:after="160"/>
        <w:rPr>
          <w:lang w:eastAsia="en-AU"/>
        </w:rPr>
      </w:pPr>
      <w:r w:rsidRPr="00A165B4">
        <w:rPr>
          <w:lang w:eastAsia="en-AU"/>
        </w:rPr>
        <w:t>The department is committed to achieving net zero emissions by 2030, including through the following actions:</w:t>
      </w:r>
    </w:p>
    <w:p w14:paraId="28706D58" w14:textId="77777777" w:rsidR="00B24654" w:rsidRPr="00FA73EC" w:rsidRDefault="00B24654" w:rsidP="006778D7">
      <w:pPr>
        <w:pStyle w:val="ListParagraph"/>
        <w:numPr>
          <w:ilvl w:val="0"/>
          <w:numId w:val="27"/>
        </w:numPr>
      </w:pPr>
      <w:r w:rsidRPr="00FA73EC">
        <w:t>procuring renewable electricity</w:t>
      </w:r>
    </w:p>
    <w:p w14:paraId="7C1F8A01" w14:textId="77777777" w:rsidR="00B24654" w:rsidRPr="00FA73EC" w:rsidRDefault="00B24654" w:rsidP="006778D7">
      <w:pPr>
        <w:pStyle w:val="ListParagraph"/>
        <w:numPr>
          <w:ilvl w:val="0"/>
          <w:numId w:val="27"/>
        </w:numPr>
      </w:pPr>
      <w:r w:rsidRPr="00FA73EC">
        <w:t>improving building standards</w:t>
      </w:r>
    </w:p>
    <w:p w14:paraId="60FE3BAD" w14:textId="77777777" w:rsidR="00B24654" w:rsidRPr="00FA73EC" w:rsidRDefault="00B24654" w:rsidP="006778D7">
      <w:pPr>
        <w:pStyle w:val="ListParagraph"/>
        <w:numPr>
          <w:ilvl w:val="0"/>
          <w:numId w:val="27"/>
        </w:numPr>
      </w:pPr>
      <w:r w:rsidRPr="00FA73EC">
        <w:t>transitioning the fleet vehicles to low emission vehicles</w:t>
      </w:r>
    </w:p>
    <w:p w14:paraId="14444AAB" w14:textId="77777777" w:rsidR="00B24654" w:rsidRPr="00FA73EC" w:rsidRDefault="00B24654" w:rsidP="006778D7">
      <w:pPr>
        <w:pStyle w:val="ListParagraph"/>
        <w:numPr>
          <w:ilvl w:val="0"/>
          <w:numId w:val="27"/>
        </w:numPr>
      </w:pPr>
      <w:r w:rsidRPr="00FA73EC">
        <w:t>sustainable procurement</w:t>
      </w:r>
    </w:p>
    <w:p w14:paraId="1AF14E67" w14:textId="77777777" w:rsidR="00B24654" w:rsidRPr="00FA73EC" w:rsidRDefault="00B24654" w:rsidP="006778D7">
      <w:pPr>
        <w:pStyle w:val="ListParagraph"/>
        <w:numPr>
          <w:ilvl w:val="0"/>
          <w:numId w:val="27"/>
        </w:numPr>
      </w:pPr>
      <w:r w:rsidRPr="00FA73EC">
        <w:t xml:space="preserve">encouraging low-emission sources of travel </w:t>
      </w:r>
    </w:p>
    <w:p w14:paraId="36597573" w14:textId="77777777" w:rsidR="00B24654" w:rsidRPr="00FA73EC" w:rsidRDefault="00B24654" w:rsidP="006778D7">
      <w:pPr>
        <w:pStyle w:val="ListParagraph"/>
        <w:numPr>
          <w:ilvl w:val="0"/>
          <w:numId w:val="27"/>
        </w:numPr>
      </w:pPr>
      <w:r w:rsidRPr="00FA73EC">
        <w:t>people, culture and capability uplift</w:t>
      </w:r>
    </w:p>
    <w:p w14:paraId="20FB80D1" w14:textId="77777777" w:rsidR="00B24654" w:rsidRPr="00FA73EC" w:rsidRDefault="00B24654" w:rsidP="006778D7">
      <w:pPr>
        <w:pStyle w:val="ListParagraph"/>
        <w:numPr>
          <w:ilvl w:val="0"/>
          <w:numId w:val="27"/>
        </w:numPr>
      </w:pPr>
      <w:r w:rsidRPr="00FA73EC">
        <w:t>reporting departmental emissions in our Annual Report.</w:t>
      </w:r>
    </w:p>
    <w:p w14:paraId="35AA448F" w14:textId="0FE64550" w:rsidR="00A73FA3" w:rsidRPr="00FA73EC" w:rsidRDefault="00A73FA3" w:rsidP="00FA73EC">
      <w:pPr>
        <w:pStyle w:val="Heading4"/>
        <w:spacing w:before="240" w:after="120"/>
        <w:rPr>
          <w:sz w:val="22"/>
          <w:szCs w:val="22"/>
        </w:rPr>
      </w:pPr>
      <w:r w:rsidRPr="00FA73EC">
        <w:rPr>
          <w:sz w:val="22"/>
          <w:szCs w:val="22"/>
        </w:rPr>
        <w:t>Our climate disclosure</w:t>
      </w:r>
    </w:p>
    <w:p w14:paraId="6AAC9B6D" w14:textId="1A2D0982" w:rsidR="00D843EF" w:rsidRDefault="00A73FA3" w:rsidP="00FA73EC">
      <w:pPr>
        <w:spacing w:before="120" w:after="160"/>
        <w:rPr>
          <w:lang w:eastAsia="en-AU"/>
        </w:rPr>
      </w:pPr>
      <w:r w:rsidRPr="00A165B4">
        <w:rPr>
          <w:lang w:eastAsia="en-AU"/>
        </w:rPr>
        <w:t xml:space="preserve">The </w:t>
      </w:r>
      <w:r w:rsidR="00F670BE">
        <w:rPr>
          <w:lang w:eastAsia="en-AU"/>
        </w:rPr>
        <w:t>d</w:t>
      </w:r>
      <w:r w:rsidRPr="00A165B4">
        <w:rPr>
          <w:lang w:eastAsia="en-AU"/>
        </w:rPr>
        <w:t xml:space="preserve">epartment is committed to environmentally sustainable operations, including meeting the Commonwealth Climate Disclosure requirements </w:t>
      </w:r>
      <w:r w:rsidR="00D843EF" w:rsidRPr="00A31F6D">
        <w:rPr>
          <w:rFonts w:eastAsiaTheme="minorEastAsia" w:cs="Arial"/>
          <w:szCs w:val="22"/>
          <w:lang w:eastAsia="en-AU"/>
        </w:rPr>
        <w:t>aligned with the Australian Sustainability Reporting Standard AASB S2 Climate-related Disclosure</w:t>
      </w:r>
      <w:r w:rsidR="00D843EF">
        <w:rPr>
          <w:rFonts w:eastAsiaTheme="minorEastAsia" w:cs="Arial"/>
          <w:szCs w:val="22"/>
          <w:lang w:eastAsia="en-AU"/>
        </w:rPr>
        <w:t xml:space="preserve"> Standard</w:t>
      </w:r>
      <w:r w:rsidR="00D843EF" w:rsidRPr="00A31F6D">
        <w:rPr>
          <w:rFonts w:eastAsiaTheme="minorEastAsia" w:cs="Arial"/>
          <w:szCs w:val="22"/>
          <w:lang w:eastAsia="en-AU"/>
        </w:rPr>
        <w:t xml:space="preserve"> and are being implemented progressively over time.</w:t>
      </w:r>
      <w:r w:rsidRPr="00A165B4">
        <w:rPr>
          <w:lang w:eastAsia="en-AU"/>
        </w:rPr>
        <w:t xml:space="preserve"> </w:t>
      </w:r>
    </w:p>
    <w:p w14:paraId="6014EA67" w14:textId="1249D449" w:rsidR="00A73FA3" w:rsidRPr="00A165B4" w:rsidRDefault="00A73FA3" w:rsidP="00FA73EC">
      <w:pPr>
        <w:spacing w:before="120" w:after="160"/>
        <w:rPr>
          <w:lang w:eastAsia="en-AU"/>
        </w:rPr>
      </w:pPr>
      <w:r w:rsidRPr="00A165B4">
        <w:rPr>
          <w:lang w:eastAsia="en-AU"/>
        </w:rPr>
        <w:t>The Commonwealth Climate Disclosure requirements focus on the 4 key aspects of climate related reporting:</w:t>
      </w:r>
    </w:p>
    <w:p w14:paraId="1D716410" w14:textId="3561A107" w:rsidR="00A73FA3" w:rsidRPr="00FA73EC" w:rsidRDefault="00A73FA3" w:rsidP="006778D7">
      <w:pPr>
        <w:pStyle w:val="ListParagraph"/>
        <w:numPr>
          <w:ilvl w:val="0"/>
          <w:numId w:val="28"/>
        </w:numPr>
        <w:spacing w:before="120" w:after="160"/>
        <w:ind w:left="714" w:hanging="357"/>
      </w:pPr>
      <w:r w:rsidRPr="00FA73EC">
        <w:t>Governance: includes governance processes, controls and procedures in place to support climate risk management within entities.</w:t>
      </w:r>
    </w:p>
    <w:p w14:paraId="221869D8" w14:textId="7D6B5F55" w:rsidR="00A73FA3" w:rsidRPr="00FA73EC" w:rsidRDefault="00A73FA3" w:rsidP="006778D7">
      <w:pPr>
        <w:pStyle w:val="ListParagraph"/>
        <w:numPr>
          <w:ilvl w:val="0"/>
          <w:numId w:val="28"/>
        </w:numPr>
        <w:spacing w:before="120" w:after="160"/>
        <w:ind w:left="714" w:hanging="357"/>
      </w:pPr>
      <w:r w:rsidRPr="00FA73EC">
        <w:t>Strategy: includes strategic approaches an entity uses to manage climate-related risks and opportunities and reduce its emissions over time.</w:t>
      </w:r>
    </w:p>
    <w:p w14:paraId="1DA14782" w14:textId="1B353F42" w:rsidR="00A73FA3" w:rsidRPr="00FA73EC" w:rsidRDefault="00A73FA3" w:rsidP="006778D7">
      <w:pPr>
        <w:pStyle w:val="ListParagraph"/>
        <w:numPr>
          <w:ilvl w:val="0"/>
          <w:numId w:val="28"/>
        </w:numPr>
        <w:spacing w:before="120" w:after="160"/>
        <w:ind w:left="714" w:hanging="357"/>
      </w:pPr>
      <w:r w:rsidRPr="00FA73EC">
        <w:t xml:space="preserve">Risk </w:t>
      </w:r>
      <w:proofErr w:type="gramStart"/>
      <w:r w:rsidRPr="00FA73EC">
        <w:t>Management:</w:t>
      </w:r>
      <w:proofErr w:type="gramEnd"/>
      <w:r w:rsidRPr="00FA73EC">
        <w:t xml:space="preserve"> includes the methods used to assess an entity’s overall risk profile and embed climate risk management practices across its organisation.</w:t>
      </w:r>
    </w:p>
    <w:p w14:paraId="4F40F701" w14:textId="1DE7DC7D" w:rsidR="002103DD" w:rsidRDefault="00A73FA3" w:rsidP="006778D7">
      <w:pPr>
        <w:pStyle w:val="ListParagraph"/>
        <w:numPr>
          <w:ilvl w:val="0"/>
          <w:numId w:val="28"/>
        </w:numPr>
        <w:spacing w:before="120" w:after="160"/>
        <w:ind w:left="714" w:hanging="357"/>
      </w:pPr>
      <w:r w:rsidRPr="00FA73EC">
        <w:t xml:space="preserve">Metrics and </w:t>
      </w:r>
      <w:proofErr w:type="gramStart"/>
      <w:r w:rsidRPr="00FA73EC">
        <w:t>Targets:</w:t>
      </w:r>
      <w:proofErr w:type="gramEnd"/>
      <w:r w:rsidRPr="00FA73EC">
        <w:t xml:space="preserve"> includes processes and methodologies an entity uses to track its performance and meet its targets.</w:t>
      </w:r>
    </w:p>
    <w:p w14:paraId="63025D5B" w14:textId="77777777" w:rsidR="002103DD" w:rsidRDefault="002103DD">
      <w:pPr>
        <w:spacing w:after="240"/>
      </w:pPr>
      <w:r>
        <w:br w:type="page"/>
      </w:r>
    </w:p>
    <w:p w14:paraId="0A50C4B9" w14:textId="77777777" w:rsidR="00A73FA3" w:rsidRPr="00E609E3" w:rsidRDefault="00A73FA3" w:rsidP="00BD7F1D">
      <w:pPr>
        <w:pStyle w:val="Heading3"/>
        <w:spacing w:before="240" w:after="120"/>
        <w:rPr>
          <w:sz w:val="40"/>
          <w:szCs w:val="40"/>
          <w:lang w:eastAsia="en-AU"/>
        </w:rPr>
      </w:pPr>
      <w:bookmarkStart w:id="41" w:name="_Toc238653281"/>
      <w:r w:rsidRPr="00E609E3">
        <w:rPr>
          <w:sz w:val="40"/>
          <w:szCs w:val="40"/>
          <w:lang w:eastAsia="en-AU"/>
        </w:rPr>
        <w:lastRenderedPageBreak/>
        <w:t>Our governance and risk management</w:t>
      </w:r>
      <w:bookmarkEnd w:id="41"/>
    </w:p>
    <w:p w14:paraId="68B090EC" w14:textId="27807FA3" w:rsidR="008E4F3F" w:rsidRPr="00BD7F1D" w:rsidRDefault="008E4F3F" w:rsidP="00BD7F1D">
      <w:pPr>
        <w:pStyle w:val="Heading4"/>
        <w:spacing w:before="240" w:after="120"/>
        <w:rPr>
          <w:sz w:val="22"/>
          <w:szCs w:val="22"/>
        </w:rPr>
      </w:pPr>
      <w:r w:rsidRPr="00BD7F1D">
        <w:rPr>
          <w:sz w:val="22"/>
          <w:szCs w:val="22"/>
          <w:lang w:eastAsia="en-AU"/>
        </w:rPr>
        <w:t>Our</w:t>
      </w:r>
      <w:r w:rsidRPr="00BD7F1D">
        <w:rPr>
          <w:rFonts w:eastAsiaTheme="minorEastAsia" w:cs="Arial"/>
          <w:sz w:val="22"/>
          <w:szCs w:val="22"/>
          <w:lang w:eastAsia="en-AU"/>
        </w:rPr>
        <w:t xml:space="preserve"> </w:t>
      </w:r>
      <w:r w:rsidRPr="00BD7F1D">
        <w:rPr>
          <w:sz w:val="22"/>
          <w:szCs w:val="22"/>
          <w:lang w:eastAsia="en-AU"/>
        </w:rPr>
        <w:t>governance</w:t>
      </w:r>
    </w:p>
    <w:p w14:paraId="6E2774D0" w14:textId="4362827D" w:rsidR="00A73FA3" w:rsidRPr="00A165B4" w:rsidRDefault="00A73FA3" w:rsidP="00BD7F1D">
      <w:pPr>
        <w:spacing w:before="120" w:after="160"/>
        <w:rPr>
          <w:lang w:eastAsia="en-AU"/>
        </w:rPr>
      </w:pPr>
      <w:r w:rsidRPr="00A165B4">
        <w:rPr>
          <w:lang w:eastAsia="en-AU"/>
        </w:rPr>
        <w:t>Our governance arrangements underpin our decision making by ensuring transparency, accountability and integrity are applied to all our activities.</w:t>
      </w:r>
    </w:p>
    <w:p w14:paraId="4F115FFC" w14:textId="57F19555" w:rsidR="001300E2" w:rsidRDefault="00A73FA3" w:rsidP="00BD7F1D">
      <w:pPr>
        <w:spacing w:before="120" w:after="160"/>
        <w:rPr>
          <w:rFonts w:eastAsiaTheme="minorEastAsia" w:cs="Arial"/>
          <w:szCs w:val="22"/>
          <w:lang w:eastAsia="en-AU"/>
        </w:rPr>
      </w:pPr>
      <w:r w:rsidRPr="00A165B4">
        <w:rPr>
          <w:lang w:eastAsia="en-AU"/>
        </w:rPr>
        <w:t>Our governance structure includes the E</w:t>
      </w:r>
      <w:r w:rsidR="006100A7">
        <w:rPr>
          <w:lang w:eastAsia="en-AU"/>
        </w:rPr>
        <w:t>MG</w:t>
      </w:r>
      <w:r w:rsidRPr="00A165B4">
        <w:rPr>
          <w:lang w:eastAsia="en-AU"/>
        </w:rPr>
        <w:t xml:space="preserve"> and its sub-committees, which consider information and communication technologies (ICT), people</w:t>
      </w:r>
      <w:r w:rsidR="00C80116">
        <w:rPr>
          <w:lang w:eastAsia="en-AU"/>
        </w:rPr>
        <w:t>,</w:t>
      </w:r>
      <w:r w:rsidRPr="00A165B4">
        <w:rPr>
          <w:lang w:eastAsia="en-AU"/>
        </w:rPr>
        <w:t xml:space="preserve"> </w:t>
      </w:r>
      <w:r w:rsidR="00D843EF">
        <w:rPr>
          <w:lang w:eastAsia="en-AU"/>
        </w:rPr>
        <w:t xml:space="preserve">the delivery of </w:t>
      </w:r>
      <w:r w:rsidRPr="00A165B4">
        <w:rPr>
          <w:lang w:eastAsia="en-AU"/>
        </w:rPr>
        <w:t xml:space="preserve">policy and program </w:t>
      </w:r>
      <w:r w:rsidR="00D843EF">
        <w:rPr>
          <w:lang w:eastAsia="en-AU"/>
        </w:rPr>
        <w:t xml:space="preserve">related </w:t>
      </w:r>
      <w:r w:rsidRPr="00A165B4">
        <w:rPr>
          <w:lang w:eastAsia="en-AU"/>
        </w:rPr>
        <w:t>matters</w:t>
      </w:r>
      <w:r w:rsidR="00C80116">
        <w:rPr>
          <w:lang w:eastAsia="en-AU"/>
        </w:rPr>
        <w:t>,</w:t>
      </w:r>
      <w:r w:rsidR="00C80116" w:rsidRPr="00C80116">
        <w:rPr>
          <w:rFonts w:eastAsiaTheme="minorEastAsia" w:cs="Arial"/>
          <w:szCs w:val="22"/>
          <w:lang w:eastAsia="en-AU"/>
        </w:rPr>
        <w:t xml:space="preserve"> </w:t>
      </w:r>
      <w:r w:rsidR="00C80116">
        <w:rPr>
          <w:rFonts w:eastAsiaTheme="minorEastAsia" w:cs="Arial"/>
          <w:szCs w:val="22"/>
          <w:lang w:eastAsia="en-AU"/>
        </w:rPr>
        <w:t>and oversight of the department’s strategic priorities and intended outcomes</w:t>
      </w:r>
      <w:r w:rsidR="00C80116" w:rsidRPr="00A165B4">
        <w:rPr>
          <w:rFonts w:eastAsiaTheme="minorEastAsia" w:cs="Arial"/>
          <w:szCs w:val="22"/>
          <w:lang w:eastAsia="en-AU"/>
        </w:rPr>
        <w:t>.</w:t>
      </w:r>
      <w:r w:rsidR="00C80116">
        <w:rPr>
          <w:rFonts w:eastAsiaTheme="minorEastAsia" w:cs="Arial"/>
          <w:szCs w:val="22"/>
          <w:lang w:eastAsia="en-AU"/>
        </w:rPr>
        <w:t xml:space="preserve"> </w:t>
      </w:r>
    </w:p>
    <w:p w14:paraId="102A88A0" w14:textId="77777777" w:rsidR="00BD7F1D" w:rsidRDefault="00C80116" w:rsidP="00BD7F1D">
      <w:pPr>
        <w:spacing w:before="120" w:after="160"/>
      </w:pPr>
      <w:r>
        <w:rPr>
          <w:rFonts w:eastAsiaTheme="minorEastAsia" w:cs="Arial"/>
          <w:szCs w:val="22"/>
          <w:lang w:eastAsia="en-AU"/>
        </w:rPr>
        <w:t xml:space="preserve">The Delivery Committee also sits quarterly as the Closing the Gap Delivery Committee to strengthen oversight of the </w:t>
      </w:r>
      <w:r w:rsidR="0054557F">
        <w:rPr>
          <w:rFonts w:eastAsiaTheme="minorEastAsia" w:cs="Arial"/>
          <w:szCs w:val="22"/>
          <w:lang w:eastAsia="en-AU"/>
        </w:rPr>
        <w:t>d</w:t>
      </w:r>
      <w:r>
        <w:rPr>
          <w:rFonts w:eastAsiaTheme="minorEastAsia" w:cs="Arial"/>
          <w:szCs w:val="22"/>
          <w:lang w:eastAsia="en-AU"/>
        </w:rPr>
        <w:t>epartment’s Closing the Gap commitments.</w:t>
      </w:r>
      <w:r w:rsidR="001300E2">
        <w:rPr>
          <w:rFonts w:eastAsiaTheme="minorEastAsia" w:cs="Arial"/>
          <w:szCs w:val="22"/>
          <w:lang w:eastAsia="en-AU"/>
        </w:rPr>
        <w:t xml:space="preserve"> </w:t>
      </w:r>
      <w:r w:rsidR="00A73FA3" w:rsidRPr="00A165B4">
        <w:rPr>
          <w:lang w:eastAsia="en-AU"/>
        </w:rPr>
        <w:t>Our governance structure informs the strategic prioritisation of resources as part of policy setting, program and workforce planning, risk management and audit and compliance activities</w:t>
      </w:r>
      <w:r w:rsidR="00A73FA3" w:rsidRPr="00631535">
        <w:rPr>
          <w:rFonts w:eastAsia="Arial" w:cstheme="minorHAnsi"/>
          <w:lang w:eastAsia="en-AU"/>
        </w:rPr>
        <w:t>.</w:t>
      </w:r>
    </w:p>
    <w:p w14:paraId="4106B5CE" w14:textId="189A8F0C" w:rsidR="002103DD" w:rsidRDefault="002103DD" w:rsidP="002103DD">
      <w:pPr>
        <w:pStyle w:val="Caption"/>
        <w:keepNext/>
      </w:pPr>
      <w:r>
        <w:t xml:space="preserve">Figure </w:t>
      </w:r>
      <w:fldSimple w:instr=" SEQ Figure \* ARABIC ">
        <w:r>
          <w:rPr>
            <w:noProof/>
          </w:rPr>
          <w:t>3</w:t>
        </w:r>
      </w:fldSimple>
    </w:p>
    <w:p w14:paraId="0FA98536" w14:textId="4EFEA8C3" w:rsidR="00A73FA3" w:rsidRDefault="00E37F70" w:rsidP="00BD7F1D">
      <w:pPr>
        <w:spacing w:before="120" w:after="160"/>
        <w:rPr>
          <w:rFonts w:eastAsiaTheme="minorEastAsia" w:cs="Arial"/>
          <w:color w:val="005A70" w:themeColor="accent1"/>
          <w:sz w:val="32"/>
          <w:szCs w:val="32"/>
          <w:lang w:eastAsia="en-AU"/>
        </w:rPr>
      </w:pPr>
      <w:r w:rsidRPr="00E37F70">
        <w:rPr>
          <w:rFonts w:eastAsiaTheme="minorEastAsia" w:cs="Arial"/>
          <w:noProof/>
          <w:color w:val="005A70" w:themeColor="accent1"/>
          <w:sz w:val="32"/>
          <w:szCs w:val="32"/>
          <w:lang w:eastAsia="en-AU"/>
        </w:rPr>
        <w:drawing>
          <wp:inline distT="0" distB="0" distL="0" distR="0" wp14:anchorId="1A9D3043" wp14:editId="296DC024">
            <wp:extent cx="6479540" cy="2743200"/>
            <wp:effectExtent l="0" t="0" r="0" b="0"/>
            <wp:docPr id="297052013" name="Picture 1" descr="Organisational governance chart showing the Secretary at the top. Reporting to the Secretary are the Executive Management Group and the Audit and Risk Committee. Reporting to the Executive Management Group are four committees: Policy Committee, ICT Committee, People Committee, and Delivery Committ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52013" name="Picture 1" descr="Organisational governance chart showing the Secretary at the top. Reporting to the Secretary are the Executive Management Group and the Audit and Risk Committee. Reporting to the Executive Management Group are four committees: Policy Committee, ICT Committee, People Committee, and Delivery Committee."/>
                    <pic:cNvPicPr/>
                  </pic:nvPicPr>
                  <pic:blipFill>
                    <a:blip r:embed="rId24"/>
                    <a:stretch>
                      <a:fillRect/>
                    </a:stretch>
                  </pic:blipFill>
                  <pic:spPr>
                    <a:xfrm>
                      <a:off x="0" y="0"/>
                      <a:ext cx="6479540" cy="2743200"/>
                    </a:xfrm>
                    <a:prstGeom prst="rect">
                      <a:avLst/>
                    </a:prstGeom>
                  </pic:spPr>
                </pic:pic>
              </a:graphicData>
            </a:graphic>
          </wp:inline>
        </w:drawing>
      </w:r>
    </w:p>
    <w:p w14:paraId="75682DB3" w14:textId="5D36E962" w:rsidR="00A73FA3" w:rsidRPr="00BD7F1D" w:rsidRDefault="00A73FA3" w:rsidP="00BD7F1D">
      <w:pPr>
        <w:pStyle w:val="Heading3"/>
        <w:spacing w:before="240" w:after="120"/>
      </w:pPr>
      <w:bookmarkStart w:id="42" w:name="_Toc238653282"/>
      <w:r w:rsidRPr="00BD7F1D">
        <w:t>Our risk management</w:t>
      </w:r>
      <w:bookmarkEnd w:id="42"/>
    </w:p>
    <w:p w14:paraId="38AE1800" w14:textId="6CAB488D" w:rsidR="00A73FA3" w:rsidRPr="00AA1194" w:rsidRDefault="00A73FA3" w:rsidP="00BD7F1D">
      <w:pPr>
        <w:spacing w:before="120" w:after="160"/>
        <w:rPr>
          <w:rFonts w:eastAsia="Arial"/>
          <w:lang w:eastAsia="en-AU"/>
        </w:rPr>
      </w:pPr>
      <w:r w:rsidRPr="00A165B4">
        <w:rPr>
          <w:lang w:eastAsia="en-AU"/>
        </w:rPr>
        <w:t xml:space="preserve">Our </w:t>
      </w:r>
      <w:r w:rsidRPr="00E31371">
        <w:rPr>
          <w:i/>
          <w:iCs/>
          <w:lang w:eastAsia="en-AU"/>
        </w:rPr>
        <w:t>Risk Management Framework</w:t>
      </w:r>
      <w:r w:rsidRPr="00A165B4">
        <w:rPr>
          <w:lang w:eastAsia="en-AU"/>
        </w:rPr>
        <w:t xml:space="preserve"> (the RM </w:t>
      </w:r>
      <w:r w:rsidR="00D843EF">
        <w:rPr>
          <w:lang w:eastAsia="en-AU"/>
        </w:rPr>
        <w:t>F</w:t>
      </w:r>
      <w:r w:rsidRPr="00A165B4">
        <w:rPr>
          <w:lang w:eastAsia="en-AU"/>
        </w:rPr>
        <w:t>ramework) assists staff at all levels across the</w:t>
      </w:r>
      <w:r>
        <w:rPr>
          <w:lang w:eastAsia="en-AU"/>
        </w:rPr>
        <w:t xml:space="preserve"> </w:t>
      </w:r>
      <w:r w:rsidRPr="00A165B4">
        <w:rPr>
          <w:lang w:eastAsia="en-AU"/>
        </w:rPr>
        <w:t xml:space="preserve">department to effectively identify and manage risk. </w:t>
      </w:r>
      <w:r w:rsidR="00D843EF">
        <w:rPr>
          <w:rFonts w:eastAsiaTheme="minorEastAsia" w:cs="Arial"/>
          <w:szCs w:val="22"/>
          <w:lang w:eastAsia="en-AU"/>
        </w:rPr>
        <w:t xml:space="preserve">The RM Framework is aligned to the 9 elements of the Commonwealth Risk Management Policy. </w:t>
      </w:r>
      <w:r w:rsidRPr="00A165B4">
        <w:rPr>
          <w:lang w:eastAsia="en-AU"/>
        </w:rPr>
        <w:t xml:space="preserve">The RM </w:t>
      </w:r>
      <w:r w:rsidR="00D843EF">
        <w:rPr>
          <w:lang w:eastAsia="en-AU"/>
        </w:rPr>
        <w:t>F</w:t>
      </w:r>
      <w:r w:rsidRPr="00A165B4">
        <w:rPr>
          <w:lang w:eastAsia="en-AU"/>
        </w:rPr>
        <w:t>ramework includes a risk management policy, along with a risk and issues management procedures, and a legal risk reporting framework. It also provides clear responsibilities for all our staff to consistently escalate and report on risk and issues. Identification, reporting and management of legal and other specialist risks is iterative and needs to be incorporated in all activities and operations of the department</w:t>
      </w:r>
      <w:r w:rsidRPr="00AA1194">
        <w:rPr>
          <w:rFonts w:eastAsia="Arial"/>
          <w:lang w:eastAsia="en-AU"/>
        </w:rPr>
        <w:t>.</w:t>
      </w:r>
    </w:p>
    <w:p w14:paraId="09DB881A" w14:textId="33FE296C" w:rsidR="002103DD" w:rsidRDefault="00A73FA3" w:rsidP="00BD7F1D">
      <w:pPr>
        <w:spacing w:before="120" w:after="160"/>
        <w:rPr>
          <w:lang w:eastAsia="en-AU"/>
        </w:rPr>
      </w:pPr>
      <w:r w:rsidRPr="00A165B4">
        <w:rPr>
          <w:lang w:eastAsia="en-AU"/>
        </w:rPr>
        <w:t>Our processes align with the Commonwealth Risk Management Policy and section 16 of the PGPA Act.</w:t>
      </w:r>
    </w:p>
    <w:p w14:paraId="3887E169" w14:textId="77777777" w:rsidR="002103DD" w:rsidRDefault="002103DD">
      <w:pPr>
        <w:spacing w:after="240"/>
        <w:rPr>
          <w:lang w:eastAsia="en-AU"/>
        </w:rPr>
      </w:pPr>
      <w:r>
        <w:rPr>
          <w:lang w:eastAsia="en-AU"/>
        </w:rPr>
        <w:br w:type="page"/>
      </w:r>
    </w:p>
    <w:p w14:paraId="46010797" w14:textId="4AA9294F" w:rsidR="00A73FA3" w:rsidRPr="00E37FD9" w:rsidRDefault="00A73FA3" w:rsidP="00BD7F1D">
      <w:pPr>
        <w:pStyle w:val="Heading4"/>
        <w:spacing w:before="240" w:after="120"/>
        <w:rPr>
          <w:sz w:val="22"/>
          <w:szCs w:val="22"/>
        </w:rPr>
      </w:pPr>
      <w:r w:rsidRPr="00E37FD9">
        <w:rPr>
          <w:sz w:val="22"/>
          <w:szCs w:val="22"/>
        </w:rPr>
        <w:lastRenderedPageBreak/>
        <w:t>Our risk governance</w:t>
      </w:r>
    </w:p>
    <w:p w14:paraId="308D03E6" w14:textId="5319177F" w:rsidR="00A73FA3" w:rsidRPr="00A165B4" w:rsidRDefault="00830EF7" w:rsidP="00BD7F1D">
      <w:pPr>
        <w:spacing w:before="120" w:after="160"/>
        <w:rPr>
          <w:lang w:eastAsia="en-AU"/>
        </w:rPr>
      </w:pPr>
      <w:r>
        <w:rPr>
          <w:lang w:eastAsia="en-AU"/>
        </w:rPr>
        <w:t xml:space="preserve">EMG </w:t>
      </w:r>
      <w:r w:rsidR="00A73FA3" w:rsidRPr="00A165B4">
        <w:rPr>
          <w:lang w:eastAsia="en-AU"/>
        </w:rPr>
        <w:t>oversees the approach and effectiveness of the RM Framework and makes decisions about strategic risks. The strategic risks are continuously monitored and reviewed.</w:t>
      </w:r>
    </w:p>
    <w:p w14:paraId="2CDB5271" w14:textId="77777777" w:rsidR="00A73FA3" w:rsidRPr="00A165B4" w:rsidRDefault="00A73FA3" w:rsidP="00BD7F1D">
      <w:pPr>
        <w:spacing w:before="120" w:after="160"/>
        <w:rPr>
          <w:lang w:eastAsia="en-AU"/>
        </w:rPr>
      </w:pPr>
      <w:r w:rsidRPr="00A165B4">
        <w:rPr>
          <w:lang w:eastAsia="en-AU"/>
        </w:rPr>
        <w:t>The Chief Risk Officer provides oversight of risk management culture and capabilities across the department and is supported by senior executives to manage and report on risk.</w:t>
      </w:r>
    </w:p>
    <w:p w14:paraId="74F68241" w14:textId="22E6FF78" w:rsidR="00A73FA3" w:rsidRPr="00A165B4" w:rsidRDefault="00A73FA3" w:rsidP="00BD7F1D">
      <w:pPr>
        <w:spacing w:before="120" w:after="160"/>
        <w:rPr>
          <w:lang w:eastAsia="en-AU"/>
        </w:rPr>
      </w:pPr>
      <w:r w:rsidRPr="00A165B4">
        <w:rPr>
          <w:lang w:eastAsia="en-AU"/>
        </w:rPr>
        <w:t>Significant risks, including emerging risks</w:t>
      </w:r>
      <w:r w:rsidR="00CB3C1F">
        <w:rPr>
          <w:lang w:eastAsia="en-AU"/>
        </w:rPr>
        <w:t>,</w:t>
      </w:r>
      <w:r w:rsidRPr="00A165B4">
        <w:rPr>
          <w:lang w:eastAsia="en-AU"/>
        </w:rPr>
        <w:t xml:space="preserve"> are escalated to the Secretary or relevant Deputy Secretary, through Group and Branch Managers. Issues are reported to the relevant senior executive and as appropriate to the Secretary.</w:t>
      </w:r>
    </w:p>
    <w:p w14:paraId="2FEFE336" w14:textId="4051EAA6" w:rsidR="00A73FA3" w:rsidRPr="00A165B4" w:rsidRDefault="00A73FA3" w:rsidP="00BD7F1D">
      <w:pPr>
        <w:spacing w:before="120" w:after="160"/>
        <w:rPr>
          <w:lang w:eastAsia="en-AU"/>
        </w:rPr>
      </w:pPr>
      <w:r w:rsidRPr="00A165B4">
        <w:rPr>
          <w:lang w:eastAsia="en-AU"/>
        </w:rPr>
        <w:t>The Audit and Risk Committee provides independent assurance and advice to the Secretary, and E</w:t>
      </w:r>
      <w:r w:rsidR="009E2F42">
        <w:rPr>
          <w:lang w:eastAsia="en-AU"/>
        </w:rPr>
        <w:t>MG</w:t>
      </w:r>
      <w:r w:rsidRPr="00A165B4">
        <w:rPr>
          <w:lang w:eastAsia="en-AU"/>
        </w:rPr>
        <w:t xml:space="preserve">, on the design and operation of our </w:t>
      </w:r>
      <w:r w:rsidR="0054557F">
        <w:rPr>
          <w:lang w:eastAsia="en-AU"/>
        </w:rPr>
        <w:t>d</w:t>
      </w:r>
      <w:r w:rsidRPr="00A165B4">
        <w:rPr>
          <w:lang w:eastAsia="en-AU"/>
        </w:rPr>
        <w:t>epartment's risk, control and compliance framework, including its external accountabilities.</w:t>
      </w:r>
    </w:p>
    <w:p w14:paraId="20EC622A" w14:textId="65833B1E" w:rsidR="00A73FA3" w:rsidRPr="00BD7F1D" w:rsidRDefault="00A73FA3" w:rsidP="00BD7F1D">
      <w:pPr>
        <w:pStyle w:val="Heading4"/>
        <w:spacing w:before="240" w:after="120"/>
        <w:rPr>
          <w:sz w:val="22"/>
          <w:szCs w:val="22"/>
        </w:rPr>
      </w:pPr>
      <w:r w:rsidRPr="00BD7F1D">
        <w:rPr>
          <w:sz w:val="22"/>
          <w:szCs w:val="22"/>
        </w:rPr>
        <w:t>Our strategic risks</w:t>
      </w:r>
    </w:p>
    <w:p w14:paraId="277EAD0A" w14:textId="3DA770AF" w:rsidR="00A73FA3" w:rsidRPr="00A165B4" w:rsidRDefault="00A73FA3" w:rsidP="00BD7F1D">
      <w:pPr>
        <w:spacing w:before="120" w:after="160"/>
        <w:rPr>
          <w:lang w:eastAsia="en-AU"/>
        </w:rPr>
      </w:pPr>
      <w:r w:rsidRPr="00A165B4">
        <w:rPr>
          <w:lang w:eastAsia="en-AU"/>
        </w:rPr>
        <w:t xml:space="preserve">The </w:t>
      </w:r>
      <w:r w:rsidR="0054557F">
        <w:rPr>
          <w:lang w:eastAsia="en-AU"/>
        </w:rPr>
        <w:t>d</w:t>
      </w:r>
      <w:r w:rsidRPr="00A165B4">
        <w:rPr>
          <w:lang w:eastAsia="en-AU"/>
        </w:rPr>
        <w:t>epartment’s 5 strategic risks, identified by the E</w:t>
      </w:r>
      <w:r w:rsidR="00830EF7">
        <w:rPr>
          <w:lang w:eastAsia="en-AU"/>
        </w:rPr>
        <w:t>MG</w:t>
      </w:r>
      <w:r w:rsidRPr="00A165B4">
        <w:rPr>
          <w:lang w:eastAsia="en-AU"/>
        </w:rPr>
        <w:t>, have the potential to impact our purpose. These risks are interdependent and cut across organisational boundaries. Our strategic risks and associated risk treatments are detailed below:</w:t>
      </w:r>
    </w:p>
    <w:p w14:paraId="562616E2" w14:textId="119499B0" w:rsidR="00465C1E" w:rsidRDefault="00465C1E" w:rsidP="00665814">
      <w:pPr>
        <w:pStyle w:val="Caption"/>
        <w:keepNext/>
        <w:spacing w:before="120"/>
      </w:pPr>
      <w:r>
        <w:t xml:space="preserve">Table </w:t>
      </w:r>
      <w:fldSimple w:instr=" SEQ Table \* ARABIC ">
        <w:r>
          <w:rPr>
            <w:noProof/>
          </w:rPr>
          <w:t>1</w:t>
        </w:r>
      </w:fldSimple>
    </w:p>
    <w:tbl>
      <w:tblPr>
        <w:tblStyle w:val="TableGrid101"/>
        <w:tblW w:w="5140" w:type="pct"/>
        <w:tblBorders>
          <w:left w:val="none" w:sz="0" w:space="0" w:color="auto"/>
          <w:right w:val="none" w:sz="0" w:space="0" w:color="auto"/>
          <w:insideV w:val="none" w:sz="0" w:space="0" w:color="auto"/>
        </w:tblBorders>
        <w:shd w:val="clear" w:color="auto" w:fill="FFFFFF"/>
        <w:tblLook w:val="00A0" w:firstRow="1" w:lastRow="0" w:firstColumn="1" w:lastColumn="0" w:noHBand="0" w:noVBand="0"/>
        <w:tblCaption w:val="Table 1 - Risk rating and mitigations"/>
        <w:tblDescription w:val="This table shows the department's enterprise risks and mitigations.&#10;It has three columns and four rows that describe the enterprise risks and mitigations assoicated with each of our organisational boundaries, which include Delivery, People and Capability, Policy and Data, and Relationships and Influence. "/>
      </w:tblPr>
      <w:tblGrid>
        <w:gridCol w:w="1704"/>
        <w:gridCol w:w="2656"/>
        <w:gridCol w:w="6130"/>
      </w:tblGrid>
      <w:tr w:rsidR="00A73FA3" w:rsidRPr="00B412AF" w14:paraId="67E6A12E" w14:textId="77777777" w:rsidTr="00AD31C2">
        <w:trPr>
          <w:trHeight w:val="454"/>
          <w:tblHeader/>
        </w:trPr>
        <w:tc>
          <w:tcPr>
            <w:tcW w:w="812" w:type="pct"/>
            <w:tcBorders>
              <w:top w:val="single" w:sz="4" w:space="0" w:color="auto"/>
              <w:left w:val="nil"/>
              <w:bottom w:val="single" w:sz="4" w:space="0" w:color="auto"/>
              <w:right w:val="nil"/>
            </w:tcBorders>
            <w:shd w:val="clear" w:color="auto" w:fill="005667"/>
            <w:vAlign w:val="center"/>
            <w:hideMark/>
          </w:tcPr>
          <w:p w14:paraId="41C132EC" w14:textId="77777777" w:rsidR="00A73FA3" w:rsidRPr="00B412AF" w:rsidRDefault="00A73FA3" w:rsidP="00AD31C2">
            <w:pPr>
              <w:tabs>
                <w:tab w:val="left" w:pos="709"/>
              </w:tabs>
              <w:spacing w:before="60" w:after="60" w:line="256" w:lineRule="auto"/>
              <w:rPr>
                <w:rFonts w:cs="Arial"/>
                <w:b/>
                <w:caps/>
                <w:color w:val="FFFFFF" w:themeColor="background1"/>
                <w:sz w:val="20"/>
                <w:lang w:eastAsia="en-AU"/>
              </w:rPr>
            </w:pPr>
            <w:r w:rsidRPr="00B412AF">
              <w:rPr>
                <w:rFonts w:cs="Arial"/>
                <w:b/>
                <w:caps/>
                <w:color w:val="FFFFFF" w:themeColor="background1"/>
                <w:sz w:val="20"/>
                <w:lang w:eastAsia="en-AU"/>
              </w:rPr>
              <w:t>Strategic Risk</w:t>
            </w:r>
          </w:p>
        </w:tc>
        <w:tc>
          <w:tcPr>
            <w:tcW w:w="1266" w:type="pct"/>
            <w:tcBorders>
              <w:top w:val="single" w:sz="4" w:space="0" w:color="auto"/>
              <w:left w:val="nil"/>
              <w:bottom w:val="single" w:sz="4" w:space="0" w:color="auto"/>
              <w:right w:val="nil"/>
            </w:tcBorders>
            <w:shd w:val="clear" w:color="auto" w:fill="005667"/>
            <w:vAlign w:val="center"/>
            <w:hideMark/>
          </w:tcPr>
          <w:p w14:paraId="2BCB5CDB" w14:textId="77777777" w:rsidR="00A73FA3" w:rsidRPr="00B412AF" w:rsidRDefault="00A73FA3" w:rsidP="00AD31C2">
            <w:pPr>
              <w:tabs>
                <w:tab w:val="left" w:pos="709"/>
              </w:tabs>
              <w:spacing w:before="60" w:after="60" w:line="256" w:lineRule="auto"/>
              <w:rPr>
                <w:rFonts w:cs="Arial"/>
                <w:b/>
                <w:caps/>
                <w:color w:val="FFFFFF" w:themeColor="background1"/>
                <w:sz w:val="20"/>
                <w:lang w:eastAsia="en-AU"/>
              </w:rPr>
            </w:pPr>
            <w:r w:rsidRPr="00B412AF">
              <w:rPr>
                <w:rFonts w:cs="Arial"/>
                <w:b/>
                <w:caps/>
                <w:color w:val="FFFFFF" w:themeColor="background1"/>
                <w:sz w:val="20"/>
                <w:lang w:eastAsia="en-AU"/>
              </w:rPr>
              <w:t>Description</w:t>
            </w:r>
          </w:p>
        </w:tc>
        <w:tc>
          <w:tcPr>
            <w:tcW w:w="2922" w:type="pct"/>
            <w:tcBorders>
              <w:top w:val="single" w:sz="4" w:space="0" w:color="auto"/>
              <w:left w:val="nil"/>
              <w:bottom w:val="single" w:sz="4" w:space="0" w:color="auto"/>
              <w:right w:val="nil"/>
            </w:tcBorders>
            <w:shd w:val="clear" w:color="auto" w:fill="005667"/>
            <w:vAlign w:val="center"/>
            <w:hideMark/>
          </w:tcPr>
          <w:p w14:paraId="33B5FE39" w14:textId="77777777" w:rsidR="00A73FA3" w:rsidRPr="00B412AF" w:rsidRDefault="00A73FA3" w:rsidP="00AD31C2">
            <w:pPr>
              <w:tabs>
                <w:tab w:val="left" w:pos="709"/>
              </w:tabs>
              <w:spacing w:before="60" w:after="60" w:line="256" w:lineRule="auto"/>
              <w:rPr>
                <w:rFonts w:cs="Arial"/>
                <w:b/>
                <w:caps/>
                <w:color w:val="FFFFFF" w:themeColor="background1"/>
                <w:sz w:val="20"/>
                <w:lang w:eastAsia="en-AU"/>
              </w:rPr>
            </w:pPr>
            <w:r w:rsidRPr="00B412AF">
              <w:rPr>
                <w:rFonts w:cs="Arial"/>
                <w:b/>
                <w:caps/>
                <w:color w:val="FFFFFF" w:themeColor="background1"/>
                <w:sz w:val="20"/>
                <w:lang w:eastAsia="en-AU"/>
              </w:rPr>
              <w:t>risk MITIGATIONS</w:t>
            </w:r>
          </w:p>
        </w:tc>
      </w:tr>
      <w:tr w:rsidR="00A73FA3" w:rsidRPr="00B412AF" w14:paraId="3CF928ED" w14:textId="77777777" w:rsidTr="00AD31C2">
        <w:trPr>
          <w:trHeight w:val="693"/>
        </w:trPr>
        <w:tc>
          <w:tcPr>
            <w:tcW w:w="812" w:type="pct"/>
            <w:tcBorders>
              <w:top w:val="single" w:sz="4" w:space="0" w:color="auto"/>
              <w:left w:val="nil"/>
              <w:bottom w:val="single" w:sz="4" w:space="0" w:color="auto"/>
              <w:right w:val="nil"/>
            </w:tcBorders>
            <w:shd w:val="clear" w:color="auto" w:fill="D9D9D9" w:themeFill="background1" w:themeFillShade="D9"/>
          </w:tcPr>
          <w:p w14:paraId="15C23EB3" w14:textId="77777777" w:rsidR="00A73FA3" w:rsidRPr="00B412AF" w:rsidRDefault="00A73FA3" w:rsidP="00AD31C2">
            <w:pPr>
              <w:tabs>
                <w:tab w:val="left" w:pos="709"/>
              </w:tabs>
              <w:suppressAutoHyphens/>
              <w:spacing w:before="60" w:after="60"/>
              <w:rPr>
                <w:rFonts w:cs="Arial"/>
                <w:b/>
                <w:color w:val="005667"/>
                <w:sz w:val="20"/>
                <w:bdr w:val="none" w:sz="0" w:space="0" w:color="auto" w:frame="1"/>
                <w:lang w:eastAsia="en-AU"/>
              </w:rPr>
            </w:pPr>
            <w:r w:rsidRPr="00B412AF">
              <w:rPr>
                <w:rFonts w:cs="Arial"/>
                <w:b/>
                <w:color w:val="005667"/>
                <w:sz w:val="20"/>
                <w:bdr w:val="none" w:sz="0" w:space="0" w:color="auto" w:frame="1"/>
                <w:lang w:eastAsia="en-AU"/>
              </w:rPr>
              <w:t>Policy Development and Delivery</w:t>
            </w:r>
          </w:p>
        </w:tc>
        <w:tc>
          <w:tcPr>
            <w:tcW w:w="1266" w:type="pct"/>
            <w:tcBorders>
              <w:top w:val="single" w:sz="4" w:space="0" w:color="auto"/>
              <w:left w:val="nil"/>
              <w:bottom w:val="single" w:sz="4" w:space="0" w:color="auto"/>
              <w:right w:val="nil"/>
            </w:tcBorders>
            <w:shd w:val="clear" w:color="auto" w:fill="FFFFFF"/>
          </w:tcPr>
          <w:p w14:paraId="57EC1C76" w14:textId="5B9AC1D7" w:rsidR="00A73FA3" w:rsidRPr="00B412AF" w:rsidRDefault="00A73FA3" w:rsidP="00AD31C2">
            <w:pPr>
              <w:spacing w:before="40"/>
              <w:rPr>
                <w:rFonts w:cstheme="minorHAnsi"/>
                <w:sz w:val="20"/>
                <w:bdr w:val="none" w:sz="0" w:space="0" w:color="auto" w:frame="1"/>
                <w:lang w:eastAsia="en-AU"/>
              </w:rPr>
            </w:pPr>
            <w:r w:rsidRPr="00B412AF">
              <w:rPr>
                <w:rFonts w:cstheme="minorHAnsi"/>
                <w:sz w:val="20"/>
                <w:bdr w:val="none" w:sz="0" w:space="0" w:color="auto" w:frame="1"/>
                <w:lang w:eastAsia="en-AU"/>
              </w:rPr>
              <w:t xml:space="preserve">There is a risk that the </w:t>
            </w:r>
            <w:r w:rsidR="0054557F">
              <w:rPr>
                <w:rFonts w:cstheme="minorHAnsi"/>
                <w:sz w:val="20"/>
                <w:bdr w:val="none" w:sz="0" w:space="0" w:color="auto" w:frame="1"/>
                <w:lang w:eastAsia="en-AU"/>
              </w:rPr>
              <w:t>d</w:t>
            </w:r>
            <w:r w:rsidRPr="00B412AF">
              <w:rPr>
                <w:rFonts w:cstheme="minorHAnsi"/>
                <w:sz w:val="20"/>
                <w:bdr w:val="none" w:sz="0" w:space="0" w:color="auto" w:frame="1"/>
                <w:lang w:eastAsia="en-AU"/>
              </w:rPr>
              <w:t>epartment fails to design and deliver key policy, programs, projects and services that are citizen centric and meet government priorities.</w:t>
            </w:r>
          </w:p>
        </w:tc>
        <w:tc>
          <w:tcPr>
            <w:tcW w:w="2922" w:type="pct"/>
            <w:tcBorders>
              <w:top w:val="single" w:sz="4" w:space="0" w:color="auto"/>
              <w:left w:val="nil"/>
              <w:bottom w:val="single" w:sz="4" w:space="0" w:color="auto"/>
              <w:right w:val="nil"/>
            </w:tcBorders>
            <w:shd w:val="clear" w:color="auto" w:fill="FFFFFF"/>
          </w:tcPr>
          <w:p w14:paraId="180CC6FE" w14:textId="77777777" w:rsidR="00A73FA3" w:rsidRPr="00B412AF" w:rsidRDefault="00A73FA3" w:rsidP="006778D7">
            <w:pPr>
              <w:numPr>
                <w:ilvl w:val="0"/>
                <w:numId w:val="5"/>
              </w:numPr>
              <w:spacing w:before="120" w:after="120"/>
              <w:contextualSpacing/>
              <w:rPr>
                <w:rFonts w:cs="Arial"/>
                <w:sz w:val="20"/>
                <w:bdr w:val="none" w:sz="0" w:space="0" w:color="auto" w:frame="1"/>
                <w:lang w:eastAsia="en-AU"/>
              </w:rPr>
            </w:pPr>
            <w:r w:rsidRPr="00B412AF">
              <w:rPr>
                <w:rFonts w:cs="Arial"/>
                <w:sz w:val="20"/>
                <w:bdr w:val="none" w:sz="0" w:space="0" w:color="auto" w:frame="1"/>
                <w:lang w:eastAsia="en-AU"/>
              </w:rPr>
              <w:t>Continue delivering against our outcomes by implementing Government priorities in line with relevant legislation, frameworks and guidance.</w:t>
            </w:r>
          </w:p>
          <w:p w14:paraId="3D3AB5DF" w14:textId="77777777" w:rsidR="00A73FA3" w:rsidRPr="00B412AF" w:rsidRDefault="00A73FA3" w:rsidP="006778D7">
            <w:pPr>
              <w:numPr>
                <w:ilvl w:val="0"/>
                <w:numId w:val="5"/>
              </w:numPr>
              <w:spacing w:before="120" w:after="120"/>
              <w:contextualSpacing/>
              <w:rPr>
                <w:rFonts w:cs="Arial"/>
                <w:sz w:val="20"/>
                <w:bdr w:val="none" w:sz="0" w:space="0" w:color="auto" w:frame="1"/>
                <w:lang w:eastAsia="en-AU"/>
              </w:rPr>
            </w:pPr>
            <w:r w:rsidRPr="00B412AF">
              <w:rPr>
                <w:rFonts w:cs="Arial"/>
                <w:sz w:val="20"/>
                <w:bdr w:val="none" w:sz="0" w:space="0" w:color="auto" w:frame="1"/>
                <w:lang w:eastAsia="en-AU"/>
              </w:rPr>
              <w:t>Continue embedding good design principles through guidance tools and resources to foster citizen-centric policy design, implementation and monitoring.</w:t>
            </w:r>
          </w:p>
          <w:p w14:paraId="105FFD50" w14:textId="5B0B2DE5" w:rsidR="00A73FA3" w:rsidRPr="00B412AF" w:rsidRDefault="00A73FA3" w:rsidP="006778D7">
            <w:pPr>
              <w:numPr>
                <w:ilvl w:val="0"/>
                <w:numId w:val="5"/>
              </w:numPr>
              <w:spacing w:before="120" w:after="120"/>
              <w:contextualSpacing/>
              <w:rPr>
                <w:rFonts w:cs="Arial"/>
                <w:sz w:val="20"/>
                <w:bdr w:val="none" w:sz="0" w:space="0" w:color="auto" w:frame="1"/>
                <w:lang w:eastAsia="en-AU"/>
              </w:rPr>
            </w:pPr>
            <w:r w:rsidRPr="00B412AF">
              <w:rPr>
                <w:rFonts w:cs="Arial"/>
                <w:sz w:val="20"/>
                <w:bdr w:val="none" w:sz="0" w:space="0" w:color="auto" w:frame="1"/>
                <w:lang w:eastAsia="en-AU"/>
              </w:rPr>
              <w:t xml:space="preserve">Prioritise and invest in policy capability development including resources such as the Social Policy Toolkit, the </w:t>
            </w:r>
            <w:r w:rsidR="0054557F">
              <w:rPr>
                <w:rFonts w:cs="Arial"/>
                <w:sz w:val="20"/>
                <w:bdr w:val="none" w:sz="0" w:space="0" w:color="auto" w:frame="1"/>
                <w:lang w:eastAsia="en-AU"/>
              </w:rPr>
              <w:t>d</w:t>
            </w:r>
            <w:r w:rsidRPr="00B412AF">
              <w:rPr>
                <w:rFonts w:cs="Arial"/>
                <w:sz w:val="20"/>
                <w:bdr w:val="none" w:sz="0" w:space="0" w:color="auto" w:frame="1"/>
                <w:lang w:eastAsia="en-AU"/>
              </w:rPr>
              <w:t>epartment’s centralised resource for guidance on better practice policymaking.</w:t>
            </w:r>
          </w:p>
          <w:p w14:paraId="4D859C9C" w14:textId="77777777" w:rsidR="00A73FA3" w:rsidRPr="00B412AF" w:rsidRDefault="00A73FA3" w:rsidP="006778D7">
            <w:pPr>
              <w:numPr>
                <w:ilvl w:val="0"/>
                <w:numId w:val="5"/>
              </w:numPr>
              <w:spacing w:before="120" w:after="120"/>
              <w:contextualSpacing/>
              <w:rPr>
                <w:rFonts w:cs="Arial"/>
                <w:sz w:val="20"/>
                <w:bdr w:val="none" w:sz="0" w:space="0" w:color="auto" w:frame="1"/>
                <w:lang w:eastAsia="en-AU"/>
              </w:rPr>
            </w:pPr>
            <w:r w:rsidRPr="00B412AF">
              <w:rPr>
                <w:rFonts w:cs="Arial"/>
                <w:sz w:val="20"/>
                <w:bdr w:val="none" w:sz="0" w:space="0" w:color="auto" w:frame="1"/>
                <w:lang w:eastAsia="en-AU"/>
              </w:rPr>
              <w:t xml:space="preserve">Work collaboratively with our key partners and stakeholders to ensure all views are considered and policy advice is timely, influential, and has a strong evidence base. </w:t>
            </w:r>
          </w:p>
          <w:p w14:paraId="19D5EF81" w14:textId="77777777" w:rsidR="00A73FA3" w:rsidRDefault="00A73FA3" w:rsidP="006778D7">
            <w:pPr>
              <w:numPr>
                <w:ilvl w:val="0"/>
                <w:numId w:val="5"/>
              </w:numPr>
              <w:spacing w:before="40" w:after="160"/>
              <w:contextualSpacing/>
              <w:rPr>
                <w:rFonts w:cs="Arial"/>
                <w:sz w:val="20"/>
                <w:bdr w:val="none" w:sz="0" w:space="0" w:color="auto" w:frame="1"/>
                <w:lang w:eastAsia="en-AU"/>
              </w:rPr>
            </w:pPr>
            <w:r w:rsidRPr="00B412AF">
              <w:rPr>
                <w:rFonts w:cs="Arial"/>
                <w:sz w:val="20"/>
                <w:bdr w:val="none" w:sz="0" w:space="0" w:color="auto" w:frame="1"/>
                <w:lang w:eastAsia="en-AU"/>
              </w:rPr>
              <w:t>Continue to embed more robust scrutiny of current and future policies.</w:t>
            </w:r>
          </w:p>
          <w:p w14:paraId="7EFC2FF2" w14:textId="412A78A9" w:rsidR="00D843EF" w:rsidRDefault="00D843EF" w:rsidP="006778D7">
            <w:pPr>
              <w:numPr>
                <w:ilvl w:val="0"/>
                <w:numId w:val="5"/>
              </w:numPr>
              <w:spacing w:before="40" w:after="160"/>
              <w:contextualSpacing/>
              <w:rPr>
                <w:rFonts w:cs="Arial"/>
                <w:sz w:val="20"/>
                <w:bdr w:val="none" w:sz="0" w:space="0" w:color="auto" w:frame="1"/>
                <w:lang w:eastAsia="en-AU"/>
              </w:rPr>
            </w:pPr>
            <w:r>
              <w:rPr>
                <w:rFonts w:cs="Arial"/>
                <w:sz w:val="20"/>
                <w:bdr w:val="none" w:sz="0" w:space="0" w:color="auto" w:frame="1"/>
                <w:lang w:eastAsia="en-AU"/>
              </w:rPr>
              <w:t>Focus on delivery priorities using data and evidence to set clear targets and drive the delivery of outcomes.</w:t>
            </w:r>
          </w:p>
          <w:p w14:paraId="212FAC7E" w14:textId="77777777" w:rsidR="00A73FA3" w:rsidRPr="00B412AF" w:rsidRDefault="00A73FA3" w:rsidP="00AD31C2">
            <w:pPr>
              <w:spacing w:before="40"/>
              <w:contextualSpacing/>
              <w:rPr>
                <w:rFonts w:cs="Arial"/>
                <w:sz w:val="20"/>
                <w:bdr w:val="none" w:sz="0" w:space="0" w:color="auto" w:frame="1"/>
                <w:lang w:eastAsia="en-AU"/>
              </w:rPr>
            </w:pPr>
          </w:p>
        </w:tc>
      </w:tr>
      <w:tr w:rsidR="00A73FA3" w:rsidRPr="00B412AF" w14:paraId="6206E84D" w14:textId="77777777" w:rsidTr="00AD31C2">
        <w:trPr>
          <w:trHeight w:val="693"/>
        </w:trPr>
        <w:tc>
          <w:tcPr>
            <w:tcW w:w="812" w:type="pct"/>
            <w:tcBorders>
              <w:top w:val="single" w:sz="4" w:space="0" w:color="auto"/>
              <w:left w:val="nil"/>
              <w:bottom w:val="single" w:sz="4" w:space="0" w:color="auto"/>
              <w:right w:val="nil"/>
            </w:tcBorders>
            <w:shd w:val="clear" w:color="auto" w:fill="D9D9D9" w:themeFill="background1" w:themeFillShade="D9"/>
            <w:hideMark/>
          </w:tcPr>
          <w:p w14:paraId="3DA3ED0E" w14:textId="77777777" w:rsidR="00A73FA3" w:rsidRPr="00B412AF" w:rsidRDefault="00A73FA3" w:rsidP="00AD31C2">
            <w:pPr>
              <w:tabs>
                <w:tab w:val="left" w:pos="709"/>
              </w:tabs>
              <w:suppressAutoHyphens/>
              <w:spacing w:before="60" w:after="60"/>
              <w:rPr>
                <w:rFonts w:cs="Arial"/>
                <w:b/>
                <w:color w:val="005667"/>
                <w:sz w:val="20"/>
                <w:bdr w:val="none" w:sz="0" w:space="0" w:color="auto" w:frame="1"/>
                <w:lang w:eastAsia="en-AU"/>
              </w:rPr>
            </w:pPr>
            <w:r w:rsidRPr="00B412AF">
              <w:rPr>
                <w:rFonts w:cs="Arial"/>
                <w:b/>
                <w:color w:val="005667"/>
                <w:sz w:val="20"/>
                <w:bdr w:val="none" w:sz="0" w:space="0" w:color="auto" w:frame="1"/>
                <w:lang w:eastAsia="en-AU"/>
              </w:rPr>
              <w:t xml:space="preserve">Integrity </w:t>
            </w:r>
          </w:p>
        </w:tc>
        <w:tc>
          <w:tcPr>
            <w:tcW w:w="1266" w:type="pct"/>
            <w:tcBorders>
              <w:top w:val="single" w:sz="4" w:space="0" w:color="auto"/>
              <w:left w:val="nil"/>
              <w:bottom w:val="single" w:sz="4" w:space="0" w:color="auto"/>
              <w:right w:val="nil"/>
            </w:tcBorders>
            <w:shd w:val="clear" w:color="auto" w:fill="FFFFFF"/>
            <w:hideMark/>
          </w:tcPr>
          <w:p w14:paraId="54CA0D93" w14:textId="56EC8D65" w:rsidR="00A73FA3" w:rsidRPr="00B412AF" w:rsidRDefault="00A73FA3" w:rsidP="00AD31C2">
            <w:pPr>
              <w:spacing w:before="40"/>
              <w:rPr>
                <w:rFonts w:cstheme="minorHAnsi"/>
                <w:sz w:val="20"/>
                <w:bdr w:val="none" w:sz="0" w:space="0" w:color="auto" w:frame="1"/>
                <w:lang w:eastAsia="en-AU"/>
              </w:rPr>
            </w:pPr>
            <w:r w:rsidRPr="00B412AF">
              <w:rPr>
                <w:rFonts w:cstheme="minorHAnsi"/>
                <w:sz w:val="20"/>
                <w:bdr w:val="none" w:sz="0" w:space="0" w:color="auto" w:frame="1"/>
                <w:lang w:eastAsia="en-AU"/>
              </w:rPr>
              <w:t xml:space="preserve">There is a risk to the </w:t>
            </w:r>
            <w:r w:rsidR="0054557F">
              <w:rPr>
                <w:rFonts w:cstheme="minorHAnsi"/>
                <w:sz w:val="20"/>
                <w:bdr w:val="none" w:sz="0" w:space="0" w:color="auto" w:frame="1"/>
                <w:lang w:eastAsia="en-AU"/>
              </w:rPr>
              <w:t>d</w:t>
            </w:r>
            <w:r w:rsidRPr="00B412AF">
              <w:rPr>
                <w:rFonts w:cstheme="minorHAnsi"/>
                <w:sz w:val="20"/>
                <w:bdr w:val="none" w:sz="0" w:space="0" w:color="auto" w:frame="1"/>
                <w:lang w:eastAsia="en-AU"/>
              </w:rPr>
              <w:t>epartment that not upholding a culture of integrity and professionalism will reduce the effectiveness of the delivery of outcomes for Australian communities.</w:t>
            </w:r>
          </w:p>
        </w:tc>
        <w:tc>
          <w:tcPr>
            <w:tcW w:w="2922" w:type="pct"/>
            <w:tcBorders>
              <w:top w:val="single" w:sz="4" w:space="0" w:color="auto"/>
              <w:left w:val="nil"/>
              <w:bottom w:val="single" w:sz="4" w:space="0" w:color="auto"/>
              <w:right w:val="nil"/>
            </w:tcBorders>
            <w:shd w:val="clear" w:color="auto" w:fill="FFFFFF"/>
            <w:hideMark/>
          </w:tcPr>
          <w:p w14:paraId="6DA1BD50" w14:textId="77777777" w:rsidR="00DE0DEA" w:rsidRPr="00B412AF" w:rsidRDefault="00DE0DEA" w:rsidP="006778D7">
            <w:pPr>
              <w:numPr>
                <w:ilvl w:val="0"/>
                <w:numId w:val="5"/>
              </w:numPr>
              <w:spacing w:before="40" w:after="160"/>
              <w:contextualSpacing/>
              <w:rPr>
                <w:rFonts w:cs="Arial"/>
                <w:sz w:val="20"/>
                <w:bdr w:val="none" w:sz="0" w:space="0" w:color="auto" w:frame="1"/>
                <w:lang w:eastAsia="en-AU"/>
              </w:rPr>
            </w:pPr>
            <w:r w:rsidRPr="00B412AF">
              <w:rPr>
                <w:rFonts w:cs="Arial"/>
                <w:sz w:val="20"/>
                <w:bdr w:val="none" w:sz="0" w:space="0" w:color="auto" w:frame="1"/>
                <w:lang w:eastAsia="en-AU"/>
              </w:rPr>
              <w:t>Continue build</w:t>
            </w:r>
            <w:r>
              <w:rPr>
                <w:rFonts w:cs="Arial"/>
                <w:sz w:val="20"/>
                <w:bdr w:val="none" w:sz="0" w:space="0" w:color="auto" w:frame="1"/>
                <w:lang w:eastAsia="en-AU"/>
              </w:rPr>
              <w:t>ing and embedding a</w:t>
            </w:r>
            <w:r w:rsidRPr="00B412AF">
              <w:rPr>
                <w:rFonts w:cs="Arial"/>
                <w:sz w:val="20"/>
                <w:bdr w:val="none" w:sz="0" w:space="0" w:color="auto" w:frame="1"/>
                <w:lang w:eastAsia="en-AU"/>
              </w:rPr>
              <w:t xml:space="preserve"> pro-integrity culture through an Action Plan</w:t>
            </w:r>
            <w:r>
              <w:rPr>
                <w:rFonts w:cs="Arial"/>
                <w:sz w:val="20"/>
                <w:bdr w:val="none" w:sz="0" w:space="0" w:color="auto" w:frame="1"/>
                <w:lang w:eastAsia="en-AU"/>
              </w:rPr>
              <w:t>, in which is</w:t>
            </w:r>
            <w:r w:rsidRPr="00B412AF">
              <w:rPr>
                <w:rFonts w:cs="Arial"/>
                <w:sz w:val="20"/>
                <w:bdr w:val="none" w:sz="0" w:space="0" w:color="auto" w:frame="1"/>
                <w:lang w:eastAsia="en-AU"/>
              </w:rPr>
              <w:t xml:space="preserve"> </w:t>
            </w:r>
            <w:r>
              <w:rPr>
                <w:rFonts w:cs="Arial"/>
                <w:sz w:val="20"/>
                <w:bdr w:val="none" w:sz="0" w:space="0" w:color="auto" w:frame="1"/>
                <w:lang w:eastAsia="en-AU"/>
              </w:rPr>
              <w:t>aligned to APS</w:t>
            </w:r>
            <w:r w:rsidRPr="00B412AF">
              <w:rPr>
                <w:rFonts w:cs="Arial"/>
                <w:sz w:val="20"/>
                <w:bdr w:val="none" w:sz="0" w:space="0" w:color="auto" w:frame="1"/>
                <w:lang w:eastAsia="en-AU"/>
              </w:rPr>
              <w:t xml:space="preserve"> expectations</w:t>
            </w:r>
            <w:r>
              <w:rPr>
                <w:rFonts w:cs="Arial"/>
                <w:sz w:val="20"/>
                <w:bdr w:val="none" w:sz="0" w:space="0" w:color="auto" w:frame="1"/>
                <w:lang w:eastAsia="en-AU"/>
              </w:rPr>
              <w:t xml:space="preserve">, </w:t>
            </w:r>
            <w:r w:rsidRPr="00B412AF">
              <w:rPr>
                <w:rFonts w:cs="Arial"/>
                <w:sz w:val="20"/>
                <w:bdr w:val="none" w:sz="0" w:space="0" w:color="auto" w:frame="1"/>
                <w:lang w:eastAsia="en-AU"/>
              </w:rPr>
              <w:t>the department’s Integrity Strategy and Framework</w:t>
            </w:r>
            <w:r>
              <w:rPr>
                <w:rFonts w:cs="Arial"/>
                <w:sz w:val="20"/>
                <w:bdr w:val="none" w:sz="0" w:space="0" w:color="auto" w:frame="1"/>
                <w:lang w:eastAsia="en-AU"/>
              </w:rPr>
              <w:t xml:space="preserve"> and </w:t>
            </w:r>
            <w:r w:rsidRPr="008E1C03">
              <w:rPr>
                <w:rFonts w:cs="Arial"/>
                <w:sz w:val="20"/>
                <w:bdr w:val="none" w:sz="0" w:space="0" w:color="auto" w:frame="1"/>
                <w:lang w:eastAsia="en-AU"/>
              </w:rPr>
              <w:t>the 4Cs behavioural framework</w:t>
            </w:r>
            <w:r w:rsidRPr="00B412AF">
              <w:rPr>
                <w:rFonts w:cs="Arial"/>
                <w:sz w:val="20"/>
                <w:bdr w:val="none" w:sz="0" w:space="0" w:color="auto" w:frame="1"/>
                <w:lang w:eastAsia="en-AU"/>
              </w:rPr>
              <w:t>.</w:t>
            </w:r>
          </w:p>
          <w:p w14:paraId="70E88EE2" w14:textId="77777777" w:rsidR="00DE0DEA" w:rsidRPr="00B412AF" w:rsidRDefault="00DE0DEA" w:rsidP="006778D7">
            <w:pPr>
              <w:numPr>
                <w:ilvl w:val="0"/>
                <w:numId w:val="5"/>
              </w:numPr>
              <w:spacing w:before="40" w:after="160"/>
              <w:contextualSpacing/>
              <w:rPr>
                <w:rFonts w:cs="Arial"/>
                <w:sz w:val="20"/>
                <w:bdr w:val="none" w:sz="0" w:space="0" w:color="auto" w:frame="1"/>
                <w:lang w:eastAsia="en-AU"/>
              </w:rPr>
            </w:pPr>
            <w:r w:rsidRPr="00B412AF">
              <w:rPr>
                <w:rFonts w:cs="Arial"/>
                <w:sz w:val="20"/>
                <w:bdr w:val="none" w:sz="0" w:space="0" w:color="auto" w:frame="1"/>
                <w:lang w:eastAsia="en-AU"/>
              </w:rPr>
              <w:t xml:space="preserve">Continue educating staff on their </w:t>
            </w:r>
            <w:r>
              <w:rPr>
                <w:rFonts w:cs="Arial"/>
                <w:sz w:val="20"/>
                <w:bdr w:val="none" w:sz="0" w:space="0" w:color="auto" w:frame="1"/>
                <w:lang w:eastAsia="en-AU"/>
              </w:rPr>
              <w:t xml:space="preserve">integrity </w:t>
            </w:r>
            <w:r w:rsidRPr="00B412AF">
              <w:rPr>
                <w:rFonts w:cs="Arial"/>
                <w:sz w:val="20"/>
                <w:bdr w:val="none" w:sz="0" w:space="0" w:color="auto" w:frame="1"/>
                <w:lang w:eastAsia="en-AU"/>
              </w:rPr>
              <w:t xml:space="preserve">responsibilities through </w:t>
            </w:r>
            <w:r>
              <w:rPr>
                <w:rFonts w:cs="Arial"/>
                <w:sz w:val="20"/>
                <w:bdr w:val="none" w:sz="0" w:space="0" w:color="auto" w:frame="1"/>
                <w:lang w:eastAsia="en-AU"/>
              </w:rPr>
              <w:t xml:space="preserve">APS integrity training, including awareness of the </w:t>
            </w:r>
            <w:r w:rsidRPr="00B412AF">
              <w:rPr>
                <w:rFonts w:cs="Arial"/>
                <w:sz w:val="20"/>
                <w:bdr w:val="none" w:sz="0" w:space="0" w:color="auto" w:frame="1"/>
                <w:lang w:eastAsia="en-AU"/>
              </w:rPr>
              <w:t>National Anti-Corruption Commission, complemented by department</w:t>
            </w:r>
            <w:r>
              <w:rPr>
                <w:rFonts w:cs="Arial"/>
                <w:sz w:val="20"/>
                <w:bdr w:val="none" w:sz="0" w:space="0" w:color="auto" w:frame="1"/>
                <w:lang w:eastAsia="en-AU"/>
              </w:rPr>
              <w:t>-</w:t>
            </w:r>
            <w:r w:rsidRPr="00B412AF">
              <w:rPr>
                <w:rFonts w:cs="Arial"/>
                <w:sz w:val="20"/>
                <w:bdr w:val="none" w:sz="0" w:space="0" w:color="auto" w:frame="1"/>
                <w:lang w:eastAsia="en-AU"/>
              </w:rPr>
              <w:t>specific integrity training</w:t>
            </w:r>
            <w:r>
              <w:rPr>
                <w:rFonts w:cs="Arial"/>
                <w:sz w:val="20"/>
                <w:bdr w:val="none" w:sz="0" w:space="0" w:color="auto" w:frame="1"/>
                <w:lang w:eastAsia="en-AU"/>
              </w:rPr>
              <w:t xml:space="preserve"> with emphasis on </w:t>
            </w:r>
            <w:r w:rsidRPr="008E1C03">
              <w:rPr>
                <w:rFonts w:cs="Arial"/>
                <w:sz w:val="20"/>
                <w:bdr w:val="none" w:sz="0" w:space="0" w:color="auto" w:frame="1"/>
                <w:lang w:eastAsia="en-AU"/>
              </w:rPr>
              <w:t>the 4Cs behavioural framework</w:t>
            </w:r>
            <w:r w:rsidRPr="00B412AF">
              <w:rPr>
                <w:rFonts w:cs="Arial"/>
                <w:sz w:val="20"/>
                <w:bdr w:val="none" w:sz="0" w:space="0" w:color="auto" w:frame="1"/>
                <w:lang w:eastAsia="en-AU"/>
              </w:rPr>
              <w:t xml:space="preserve">. </w:t>
            </w:r>
          </w:p>
          <w:p w14:paraId="74062027" w14:textId="3A3E6885" w:rsidR="00A73FA3" w:rsidRDefault="00DE0DEA" w:rsidP="006778D7">
            <w:pPr>
              <w:numPr>
                <w:ilvl w:val="0"/>
                <w:numId w:val="5"/>
              </w:numPr>
              <w:spacing w:before="40" w:after="160"/>
              <w:contextualSpacing/>
              <w:rPr>
                <w:rFonts w:cs="Arial"/>
                <w:sz w:val="20"/>
                <w:bdr w:val="none" w:sz="0" w:space="0" w:color="auto" w:frame="1"/>
                <w:lang w:eastAsia="en-AU"/>
              </w:rPr>
            </w:pPr>
            <w:r>
              <w:rPr>
                <w:rFonts w:cs="Arial"/>
                <w:sz w:val="20"/>
                <w:bdr w:val="none" w:sz="0" w:space="0" w:color="auto" w:frame="1"/>
                <w:lang w:eastAsia="en-AU"/>
              </w:rPr>
              <w:lastRenderedPageBreak/>
              <w:t>Continue</w:t>
            </w:r>
            <w:r w:rsidRPr="00B412AF">
              <w:rPr>
                <w:rFonts w:cs="Arial"/>
                <w:sz w:val="20"/>
                <w:bdr w:val="none" w:sz="0" w:space="0" w:color="auto" w:frame="1"/>
                <w:lang w:eastAsia="en-AU"/>
              </w:rPr>
              <w:t xml:space="preserve"> deliver</w:t>
            </w:r>
            <w:r>
              <w:rPr>
                <w:rFonts w:cs="Arial"/>
                <w:sz w:val="20"/>
                <w:bdr w:val="none" w:sz="0" w:space="0" w:color="auto" w:frame="1"/>
                <w:lang w:eastAsia="en-AU"/>
              </w:rPr>
              <w:t>y of</w:t>
            </w:r>
            <w:r w:rsidRPr="00B412AF">
              <w:rPr>
                <w:rFonts w:cs="Arial"/>
                <w:sz w:val="20"/>
                <w:bdr w:val="none" w:sz="0" w:space="0" w:color="auto" w:frame="1"/>
                <w:lang w:eastAsia="en-AU"/>
              </w:rPr>
              <w:t xml:space="preserve"> mandatory training on APS </w:t>
            </w:r>
            <w:r>
              <w:rPr>
                <w:rFonts w:cs="Arial"/>
                <w:sz w:val="20"/>
                <w:bdr w:val="none" w:sz="0" w:space="0" w:color="auto" w:frame="1"/>
                <w:lang w:eastAsia="en-AU"/>
              </w:rPr>
              <w:t>V</w:t>
            </w:r>
            <w:r w:rsidRPr="00B412AF">
              <w:rPr>
                <w:rFonts w:cs="Arial"/>
                <w:sz w:val="20"/>
                <w:bdr w:val="none" w:sz="0" w:space="0" w:color="auto" w:frame="1"/>
                <w:lang w:eastAsia="en-AU"/>
              </w:rPr>
              <w:t xml:space="preserve">alues, </w:t>
            </w:r>
            <w:r>
              <w:rPr>
                <w:rFonts w:cs="Arial"/>
                <w:sz w:val="20"/>
                <w:bdr w:val="none" w:sz="0" w:space="0" w:color="auto" w:frame="1"/>
                <w:lang w:eastAsia="en-AU"/>
              </w:rPr>
              <w:t>the C</w:t>
            </w:r>
            <w:r w:rsidRPr="00B412AF">
              <w:rPr>
                <w:rFonts w:cs="Arial"/>
                <w:sz w:val="20"/>
                <w:bdr w:val="none" w:sz="0" w:space="0" w:color="auto" w:frame="1"/>
                <w:lang w:eastAsia="en-AU"/>
              </w:rPr>
              <w:t xml:space="preserve">ode of </w:t>
            </w:r>
            <w:r>
              <w:rPr>
                <w:rFonts w:cs="Arial"/>
                <w:sz w:val="20"/>
                <w:bdr w:val="none" w:sz="0" w:space="0" w:color="auto" w:frame="1"/>
                <w:lang w:eastAsia="en-AU"/>
              </w:rPr>
              <w:t>C</w:t>
            </w:r>
            <w:r w:rsidRPr="00B412AF">
              <w:rPr>
                <w:rFonts w:cs="Arial"/>
                <w:sz w:val="20"/>
                <w:bdr w:val="none" w:sz="0" w:space="0" w:color="auto" w:frame="1"/>
                <w:lang w:eastAsia="en-AU"/>
              </w:rPr>
              <w:t xml:space="preserve">onduct, fraud awareness, employment principles and </w:t>
            </w:r>
            <w:r>
              <w:rPr>
                <w:rFonts w:cs="Arial"/>
                <w:sz w:val="20"/>
                <w:bdr w:val="none" w:sz="0" w:space="0" w:color="auto" w:frame="1"/>
                <w:lang w:eastAsia="en-AU"/>
              </w:rPr>
              <w:t xml:space="preserve">behavioural </w:t>
            </w:r>
            <w:r w:rsidRPr="00B412AF">
              <w:rPr>
                <w:rFonts w:cs="Arial"/>
                <w:sz w:val="20"/>
                <w:bdr w:val="none" w:sz="0" w:space="0" w:color="auto" w:frame="1"/>
                <w:lang w:eastAsia="en-AU"/>
              </w:rPr>
              <w:t>expectations.</w:t>
            </w:r>
          </w:p>
          <w:p w14:paraId="105683B1" w14:textId="2AD5F842" w:rsidR="00DE0DEA" w:rsidRPr="00B412AF" w:rsidRDefault="00DE0DEA" w:rsidP="00F82156">
            <w:pPr>
              <w:spacing w:before="40" w:after="160"/>
              <w:ind w:left="720"/>
              <w:contextualSpacing/>
              <w:rPr>
                <w:rFonts w:cs="Arial"/>
                <w:sz w:val="20"/>
                <w:bdr w:val="none" w:sz="0" w:space="0" w:color="auto" w:frame="1"/>
                <w:lang w:eastAsia="en-AU"/>
              </w:rPr>
            </w:pPr>
          </w:p>
        </w:tc>
      </w:tr>
      <w:tr w:rsidR="00A73FA3" w:rsidRPr="00B412AF" w14:paraId="4AF5CC2E" w14:textId="77777777" w:rsidTr="00AD31C2">
        <w:trPr>
          <w:trHeight w:val="560"/>
        </w:trPr>
        <w:tc>
          <w:tcPr>
            <w:tcW w:w="812" w:type="pct"/>
            <w:tcBorders>
              <w:top w:val="single" w:sz="4" w:space="0" w:color="auto"/>
              <w:left w:val="nil"/>
              <w:bottom w:val="single" w:sz="4" w:space="0" w:color="auto"/>
              <w:right w:val="nil"/>
            </w:tcBorders>
            <w:shd w:val="clear" w:color="auto" w:fill="D9D9D9" w:themeFill="background1" w:themeFillShade="D9"/>
            <w:hideMark/>
          </w:tcPr>
          <w:p w14:paraId="3F2845CA" w14:textId="77777777" w:rsidR="00A73FA3" w:rsidRPr="00B412AF" w:rsidRDefault="00A73FA3" w:rsidP="00AD31C2">
            <w:pPr>
              <w:tabs>
                <w:tab w:val="left" w:pos="709"/>
              </w:tabs>
              <w:suppressAutoHyphens/>
              <w:spacing w:before="60" w:after="60"/>
              <w:rPr>
                <w:rFonts w:cs="Arial"/>
                <w:b/>
                <w:color w:val="005667"/>
                <w:sz w:val="20"/>
                <w:bdr w:val="none" w:sz="0" w:space="0" w:color="auto" w:frame="1"/>
                <w:lang w:eastAsia="en-AU"/>
              </w:rPr>
            </w:pPr>
            <w:r w:rsidRPr="00B412AF">
              <w:rPr>
                <w:rFonts w:cs="Arial"/>
                <w:b/>
                <w:color w:val="005667"/>
                <w:sz w:val="20"/>
                <w:bdr w:val="none" w:sz="0" w:space="0" w:color="auto" w:frame="1"/>
                <w:lang w:eastAsia="en-AU"/>
              </w:rPr>
              <w:lastRenderedPageBreak/>
              <w:t>Our People</w:t>
            </w:r>
          </w:p>
        </w:tc>
        <w:tc>
          <w:tcPr>
            <w:tcW w:w="1266" w:type="pct"/>
            <w:tcBorders>
              <w:top w:val="single" w:sz="4" w:space="0" w:color="auto"/>
              <w:left w:val="nil"/>
              <w:bottom w:val="single" w:sz="4" w:space="0" w:color="auto"/>
              <w:right w:val="nil"/>
            </w:tcBorders>
            <w:shd w:val="clear" w:color="auto" w:fill="FFFFFF"/>
            <w:hideMark/>
          </w:tcPr>
          <w:p w14:paraId="070A2729" w14:textId="4BF94869" w:rsidR="00A73FA3" w:rsidRPr="00B412AF" w:rsidRDefault="00A73FA3" w:rsidP="00AD31C2">
            <w:pPr>
              <w:spacing w:before="40"/>
              <w:rPr>
                <w:rFonts w:cstheme="minorHAnsi"/>
                <w:sz w:val="20"/>
                <w:bdr w:val="none" w:sz="0" w:space="0" w:color="auto" w:frame="1"/>
                <w:lang w:eastAsia="en-AU"/>
              </w:rPr>
            </w:pPr>
            <w:r w:rsidRPr="00B412AF">
              <w:rPr>
                <w:rFonts w:cstheme="minorHAnsi"/>
                <w:sz w:val="20"/>
                <w:bdr w:val="none" w:sz="0" w:space="0" w:color="auto" w:frame="1"/>
                <w:lang w:eastAsia="en-AU"/>
              </w:rPr>
              <w:t xml:space="preserve">There is a risk to the </w:t>
            </w:r>
            <w:r w:rsidR="0054557F">
              <w:rPr>
                <w:rFonts w:cstheme="minorHAnsi"/>
                <w:sz w:val="20"/>
                <w:bdr w:val="none" w:sz="0" w:space="0" w:color="auto" w:frame="1"/>
                <w:lang w:eastAsia="en-AU"/>
              </w:rPr>
              <w:t>d</w:t>
            </w:r>
            <w:r w:rsidRPr="00B412AF">
              <w:rPr>
                <w:rFonts w:cstheme="minorHAnsi"/>
                <w:sz w:val="20"/>
                <w:bdr w:val="none" w:sz="0" w:space="0" w:color="auto" w:frame="1"/>
                <w:lang w:eastAsia="en-AU"/>
              </w:rPr>
              <w:t>epartment having the workforce capability needed, including managing the safety, wellbeing and development of staff.</w:t>
            </w:r>
          </w:p>
        </w:tc>
        <w:tc>
          <w:tcPr>
            <w:tcW w:w="2922" w:type="pct"/>
            <w:tcBorders>
              <w:top w:val="single" w:sz="4" w:space="0" w:color="auto"/>
              <w:left w:val="nil"/>
              <w:bottom w:val="single" w:sz="4" w:space="0" w:color="auto"/>
              <w:right w:val="nil"/>
            </w:tcBorders>
            <w:shd w:val="clear" w:color="auto" w:fill="FFFFFF"/>
            <w:hideMark/>
          </w:tcPr>
          <w:p w14:paraId="2B8CFC07" w14:textId="36B5BFC2" w:rsidR="00A73FA3" w:rsidRPr="00B412AF" w:rsidRDefault="00D843EF" w:rsidP="006778D7">
            <w:pPr>
              <w:numPr>
                <w:ilvl w:val="0"/>
                <w:numId w:val="6"/>
              </w:numPr>
              <w:spacing w:before="40" w:after="160"/>
              <w:contextualSpacing/>
              <w:rPr>
                <w:rFonts w:cs="Arial"/>
                <w:sz w:val="20"/>
                <w:bdr w:val="none" w:sz="0" w:space="0" w:color="auto" w:frame="1"/>
                <w:lang w:eastAsia="en-AU"/>
              </w:rPr>
            </w:pPr>
            <w:r>
              <w:rPr>
                <w:rFonts w:cs="Arial"/>
                <w:sz w:val="20"/>
                <w:bdr w:val="none" w:sz="0" w:space="0" w:color="auto" w:frame="1"/>
                <w:lang w:eastAsia="en-AU"/>
              </w:rPr>
              <w:t>Develop and i</w:t>
            </w:r>
            <w:r w:rsidR="00A73FA3" w:rsidRPr="00B412AF">
              <w:rPr>
                <w:rFonts w:cs="Arial"/>
                <w:sz w:val="20"/>
                <w:bdr w:val="none" w:sz="0" w:space="0" w:color="auto" w:frame="1"/>
                <w:lang w:eastAsia="en-AU"/>
              </w:rPr>
              <w:t>mplement the department’s Workforce Strategy that sets direction and priorities to support and develop our people.</w:t>
            </w:r>
          </w:p>
          <w:p w14:paraId="061E5C47" w14:textId="77777777" w:rsidR="00445029" w:rsidRDefault="00A73FA3" w:rsidP="006778D7">
            <w:pPr>
              <w:numPr>
                <w:ilvl w:val="0"/>
                <w:numId w:val="6"/>
              </w:numPr>
              <w:spacing w:before="40" w:after="160"/>
              <w:contextualSpacing/>
              <w:rPr>
                <w:rFonts w:cs="Arial"/>
                <w:sz w:val="20"/>
                <w:bdr w:val="none" w:sz="0" w:space="0" w:color="auto" w:frame="1"/>
                <w:lang w:eastAsia="en-AU"/>
              </w:rPr>
            </w:pPr>
            <w:r w:rsidRPr="00B412AF">
              <w:rPr>
                <w:rFonts w:cs="Arial"/>
                <w:sz w:val="20"/>
                <w:bdr w:val="none" w:sz="0" w:space="0" w:color="auto" w:frame="1"/>
                <w:lang w:eastAsia="en-AU"/>
              </w:rPr>
              <w:t xml:space="preserve">Through Work Health and Safety Management Arrangements, continue demonstrating the department’s commitment to managing health and wellbeing in the workplace. </w:t>
            </w:r>
          </w:p>
          <w:p w14:paraId="3708FC89" w14:textId="758A56F5" w:rsidR="00A73FA3" w:rsidRDefault="00A73FA3" w:rsidP="006778D7">
            <w:pPr>
              <w:numPr>
                <w:ilvl w:val="0"/>
                <w:numId w:val="6"/>
              </w:numPr>
              <w:spacing w:before="40" w:after="160"/>
              <w:contextualSpacing/>
              <w:rPr>
                <w:rFonts w:cs="Arial"/>
                <w:sz w:val="20"/>
                <w:bdr w:val="none" w:sz="0" w:space="0" w:color="auto" w:frame="1"/>
                <w:lang w:eastAsia="en-AU"/>
              </w:rPr>
            </w:pPr>
            <w:r w:rsidRPr="00B412AF">
              <w:rPr>
                <w:rFonts w:cs="Arial"/>
                <w:sz w:val="20"/>
                <w:bdr w:val="none" w:sz="0" w:space="0" w:color="auto" w:frame="1"/>
                <w:lang w:eastAsia="en-AU"/>
              </w:rPr>
              <w:t xml:space="preserve">Mature diversity and inclusion efforts in the department through </w:t>
            </w:r>
            <w:r w:rsidR="00445029">
              <w:rPr>
                <w:rFonts w:cs="Arial"/>
                <w:sz w:val="20"/>
                <w:bdr w:val="none" w:sz="0" w:space="0" w:color="auto" w:frame="1"/>
                <w:lang w:eastAsia="en-AU"/>
              </w:rPr>
              <w:t>the development of an Inclusion Framework</w:t>
            </w:r>
            <w:r w:rsidR="00445029" w:rsidRPr="00B412AF">
              <w:rPr>
                <w:rFonts w:cs="Arial"/>
                <w:sz w:val="20"/>
                <w:bdr w:val="none" w:sz="0" w:space="0" w:color="auto" w:frame="1"/>
                <w:lang w:eastAsia="en-AU"/>
              </w:rPr>
              <w:t xml:space="preserve"> </w:t>
            </w:r>
            <w:r w:rsidR="00445029">
              <w:rPr>
                <w:rFonts w:cs="Arial"/>
                <w:sz w:val="20"/>
                <w:bdr w:val="none" w:sz="0" w:space="0" w:color="auto" w:frame="1"/>
                <w:lang w:eastAsia="en-AU"/>
              </w:rPr>
              <w:t xml:space="preserve">and </w:t>
            </w:r>
            <w:r w:rsidRPr="00B412AF">
              <w:rPr>
                <w:rFonts w:cs="Arial"/>
                <w:sz w:val="20"/>
                <w:bdr w:val="none" w:sz="0" w:space="0" w:color="auto" w:frame="1"/>
                <w:lang w:eastAsia="en-AU"/>
              </w:rPr>
              <w:t xml:space="preserve">continued </w:t>
            </w:r>
            <w:r w:rsidR="00445029">
              <w:rPr>
                <w:rFonts w:cs="Arial"/>
                <w:sz w:val="20"/>
                <w:bdr w:val="none" w:sz="0" w:space="0" w:color="auto" w:frame="1"/>
                <w:lang w:eastAsia="en-AU"/>
              </w:rPr>
              <w:t xml:space="preserve">work with Diversity Networks and Champions. </w:t>
            </w:r>
            <w:r w:rsidRPr="00B412AF">
              <w:rPr>
                <w:rFonts w:cs="Arial"/>
                <w:sz w:val="20"/>
                <w:bdr w:val="none" w:sz="0" w:space="0" w:color="auto" w:frame="1"/>
                <w:lang w:eastAsia="en-AU"/>
              </w:rPr>
              <w:t xml:space="preserve"> </w:t>
            </w:r>
          </w:p>
          <w:p w14:paraId="5AAD71DB" w14:textId="7CB0435F" w:rsidR="00DE0DEA" w:rsidRPr="00B412AF" w:rsidRDefault="00DE0DEA" w:rsidP="00F82156">
            <w:pPr>
              <w:spacing w:before="40" w:after="160"/>
              <w:ind w:left="720"/>
              <w:contextualSpacing/>
              <w:rPr>
                <w:rFonts w:cs="Arial"/>
                <w:sz w:val="20"/>
                <w:bdr w:val="none" w:sz="0" w:space="0" w:color="auto" w:frame="1"/>
                <w:lang w:eastAsia="en-AU"/>
              </w:rPr>
            </w:pPr>
          </w:p>
        </w:tc>
      </w:tr>
      <w:tr w:rsidR="00A73FA3" w:rsidRPr="00B412AF" w14:paraId="260BF2DB" w14:textId="77777777" w:rsidTr="00AD31C2">
        <w:trPr>
          <w:trHeight w:val="699"/>
        </w:trPr>
        <w:tc>
          <w:tcPr>
            <w:tcW w:w="812" w:type="pct"/>
            <w:tcBorders>
              <w:top w:val="single" w:sz="4" w:space="0" w:color="auto"/>
              <w:left w:val="nil"/>
              <w:bottom w:val="single" w:sz="4" w:space="0" w:color="auto"/>
              <w:right w:val="nil"/>
            </w:tcBorders>
            <w:shd w:val="clear" w:color="auto" w:fill="D9D9D9" w:themeFill="background1" w:themeFillShade="D9"/>
            <w:hideMark/>
          </w:tcPr>
          <w:p w14:paraId="52A6D095" w14:textId="77777777" w:rsidR="00A73FA3" w:rsidRPr="00B412AF" w:rsidRDefault="00A73FA3" w:rsidP="00AD31C2">
            <w:pPr>
              <w:tabs>
                <w:tab w:val="left" w:pos="709"/>
              </w:tabs>
              <w:suppressAutoHyphens/>
              <w:spacing w:before="60" w:after="60"/>
              <w:rPr>
                <w:rFonts w:cs="Arial"/>
                <w:b/>
                <w:color w:val="005667"/>
                <w:sz w:val="20"/>
                <w:bdr w:val="none" w:sz="0" w:space="0" w:color="auto" w:frame="1"/>
                <w:lang w:eastAsia="en-AU"/>
              </w:rPr>
            </w:pPr>
            <w:r w:rsidRPr="00B412AF">
              <w:rPr>
                <w:rFonts w:cs="Arial"/>
                <w:b/>
                <w:color w:val="005667"/>
                <w:sz w:val="20"/>
                <w:bdr w:val="none" w:sz="0" w:space="0" w:color="auto" w:frame="1"/>
                <w:lang w:eastAsia="en-AU"/>
              </w:rPr>
              <w:t xml:space="preserve">Partnerships </w:t>
            </w:r>
          </w:p>
        </w:tc>
        <w:tc>
          <w:tcPr>
            <w:tcW w:w="1266" w:type="pct"/>
            <w:tcBorders>
              <w:top w:val="single" w:sz="4" w:space="0" w:color="auto"/>
              <w:left w:val="nil"/>
              <w:bottom w:val="single" w:sz="4" w:space="0" w:color="auto"/>
              <w:right w:val="nil"/>
            </w:tcBorders>
            <w:shd w:val="clear" w:color="auto" w:fill="FFFFFF"/>
            <w:hideMark/>
          </w:tcPr>
          <w:p w14:paraId="649CD618" w14:textId="355BD37D" w:rsidR="00A73FA3" w:rsidRPr="00B412AF" w:rsidRDefault="00A73FA3" w:rsidP="00AD31C2">
            <w:pPr>
              <w:spacing w:before="40"/>
              <w:rPr>
                <w:rFonts w:cstheme="minorHAnsi"/>
                <w:sz w:val="20"/>
                <w:bdr w:val="none" w:sz="0" w:space="0" w:color="auto" w:frame="1"/>
                <w:lang w:eastAsia="en-AU"/>
              </w:rPr>
            </w:pPr>
            <w:r w:rsidRPr="00B412AF">
              <w:rPr>
                <w:rFonts w:cstheme="minorHAnsi"/>
                <w:sz w:val="20"/>
                <w:bdr w:val="none" w:sz="0" w:space="0" w:color="auto" w:frame="1"/>
                <w:lang w:eastAsia="en-AU"/>
              </w:rPr>
              <w:t xml:space="preserve">There is a risk to ensuring the </w:t>
            </w:r>
            <w:r w:rsidR="0054557F">
              <w:rPr>
                <w:rFonts w:cstheme="minorHAnsi"/>
                <w:sz w:val="20"/>
                <w:bdr w:val="none" w:sz="0" w:space="0" w:color="auto" w:frame="1"/>
                <w:lang w:eastAsia="en-AU"/>
              </w:rPr>
              <w:t>d</w:t>
            </w:r>
            <w:r w:rsidRPr="00B412AF">
              <w:rPr>
                <w:rFonts w:cstheme="minorHAnsi"/>
                <w:sz w:val="20"/>
                <w:bdr w:val="none" w:sz="0" w:space="0" w:color="auto" w:frame="1"/>
                <w:lang w:eastAsia="en-AU"/>
              </w:rPr>
              <w:t>epartment’s partnerships with other agencies and organisations maximises the outcomes for the Australian community.</w:t>
            </w:r>
          </w:p>
        </w:tc>
        <w:tc>
          <w:tcPr>
            <w:tcW w:w="2922" w:type="pct"/>
            <w:tcBorders>
              <w:top w:val="single" w:sz="4" w:space="0" w:color="auto"/>
              <w:left w:val="nil"/>
              <w:bottom w:val="single" w:sz="4" w:space="0" w:color="auto"/>
              <w:right w:val="nil"/>
            </w:tcBorders>
            <w:shd w:val="clear" w:color="auto" w:fill="FFFFFF"/>
            <w:hideMark/>
          </w:tcPr>
          <w:p w14:paraId="6FCE3B1F" w14:textId="77777777" w:rsidR="00A73FA3" w:rsidRPr="00B412AF" w:rsidRDefault="00A73FA3" w:rsidP="006778D7">
            <w:pPr>
              <w:numPr>
                <w:ilvl w:val="0"/>
                <w:numId w:val="7"/>
              </w:numPr>
              <w:spacing w:before="40" w:after="160"/>
              <w:contextualSpacing/>
              <w:rPr>
                <w:rFonts w:cs="Arial"/>
                <w:sz w:val="20"/>
                <w:bdr w:val="none" w:sz="0" w:space="0" w:color="auto" w:frame="1"/>
                <w:lang w:eastAsia="en-AU"/>
              </w:rPr>
            </w:pPr>
            <w:r w:rsidRPr="00B412AF">
              <w:rPr>
                <w:rFonts w:cs="Arial"/>
                <w:sz w:val="20"/>
                <w:bdr w:val="none" w:sz="0" w:space="0" w:color="auto" w:frame="1"/>
                <w:lang w:eastAsia="en-AU"/>
              </w:rPr>
              <w:t>Implement best-practice principles identified through the Australian Public Service Commission’s Charter of Partnerships and Engagement and good practice guidance, which supports leveraging partnerships to develop community/person-centred policies and services.</w:t>
            </w:r>
          </w:p>
          <w:p w14:paraId="55BEFD63" w14:textId="77777777" w:rsidR="00A73FA3" w:rsidRPr="00B412AF" w:rsidRDefault="00A73FA3" w:rsidP="006778D7">
            <w:pPr>
              <w:numPr>
                <w:ilvl w:val="0"/>
                <w:numId w:val="7"/>
              </w:numPr>
              <w:spacing w:before="40" w:after="160"/>
              <w:contextualSpacing/>
              <w:rPr>
                <w:rFonts w:cs="Arial"/>
                <w:sz w:val="20"/>
                <w:bdr w:val="none" w:sz="0" w:space="0" w:color="auto" w:frame="1"/>
                <w:lang w:eastAsia="en-AU"/>
              </w:rPr>
            </w:pPr>
            <w:r w:rsidRPr="00B412AF">
              <w:rPr>
                <w:rFonts w:cs="Arial"/>
                <w:sz w:val="20"/>
                <w:bdr w:val="none" w:sz="0" w:space="0" w:color="auto" w:frame="1"/>
                <w:lang w:eastAsia="en-AU"/>
              </w:rPr>
              <w:t>Continue to consult with key stakeholders on policy and program solutions to ensure that outcomes are maximised.</w:t>
            </w:r>
          </w:p>
          <w:p w14:paraId="351D9C85" w14:textId="77777777" w:rsidR="00A73FA3" w:rsidRDefault="00A73FA3" w:rsidP="006778D7">
            <w:pPr>
              <w:numPr>
                <w:ilvl w:val="0"/>
                <w:numId w:val="7"/>
              </w:numPr>
              <w:spacing w:before="40" w:after="160"/>
              <w:contextualSpacing/>
              <w:rPr>
                <w:rFonts w:cs="Arial"/>
                <w:sz w:val="20"/>
                <w:bdr w:val="none" w:sz="0" w:space="0" w:color="auto" w:frame="1"/>
                <w:lang w:eastAsia="en-AU"/>
              </w:rPr>
            </w:pPr>
            <w:r w:rsidRPr="00B412AF">
              <w:rPr>
                <w:rFonts w:cs="Arial"/>
                <w:sz w:val="20"/>
                <w:bdr w:val="none" w:sz="0" w:space="0" w:color="auto" w:frame="1"/>
                <w:lang w:eastAsia="en-AU"/>
              </w:rPr>
              <w:t>Contractual Agreements with our key stakeholders are in place, regularly monitored and adapted to support emerging risks to meet our policy, program and service delivery responsibilities.</w:t>
            </w:r>
          </w:p>
          <w:p w14:paraId="1B0B92D0" w14:textId="77777777" w:rsidR="00DE0DEA" w:rsidRPr="00B412AF" w:rsidRDefault="00DE0DEA" w:rsidP="00F82156">
            <w:pPr>
              <w:spacing w:before="40" w:after="160"/>
              <w:ind w:left="720"/>
              <w:contextualSpacing/>
              <w:rPr>
                <w:rFonts w:cs="Arial"/>
                <w:sz w:val="20"/>
                <w:bdr w:val="none" w:sz="0" w:space="0" w:color="auto" w:frame="1"/>
                <w:lang w:eastAsia="en-AU"/>
              </w:rPr>
            </w:pPr>
          </w:p>
        </w:tc>
      </w:tr>
      <w:tr w:rsidR="00A73FA3" w:rsidRPr="00B412AF" w14:paraId="50A927E0" w14:textId="77777777" w:rsidTr="00AD31C2">
        <w:trPr>
          <w:trHeight w:val="1700"/>
        </w:trPr>
        <w:tc>
          <w:tcPr>
            <w:tcW w:w="812" w:type="pct"/>
            <w:tcBorders>
              <w:top w:val="single" w:sz="4" w:space="0" w:color="auto"/>
              <w:left w:val="nil"/>
              <w:bottom w:val="single" w:sz="4" w:space="0" w:color="auto"/>
              <w:right w:val="nil"/>
            </w:tcBorders>
            <w:shd w:val="clear" w:color="auto" w:fill="D9D9D9" w:themeFill="background1" w:themeFillShade="D9"/>
            <w:hideMark/>
          </w:tcPr>
          <w:p w14:paraId="3370855D" w14:textId="77777777" w:rsidR="00A73FA3" w:rsidRPr="00B412AF" w:rsidRDefault="00A73FA3" w:rsidP="00AD31C2">
            <w:pPr>
              <w:tabs>
                <w:tab w:val="left" w:pos="709"/>
              </w:tabs>
              <w:suppressAutoHyphens/>
              <w:spacing w:before="60" w:after="60"/>
              <w:rPr>
                <w:rFonts w:cs="Arial"/>
                <w:b/>
                <w:color w:val="005667"/>
                <w:sz w:val="20"/>
                <w:bdr w:val="none" w:sz="0" w:space="0" w:color="auto" w:frame="1"/>
                <w:lang w:eastAsia="en-AU"/>
              </w:rPr>
            </w:pPr>
            <w:r w:rsidRPr="00B412AF">
              <w:rPr>
                <w:rFonts w:cs="Arial"/>
                <w:b/>
                <w:color w:val="005667"/>
                <w:sz w:val="20"/>
                <w:bdr w:val="none" w:sz="0" w:space="0" w:color="auto" w:frame="1"/>
                <w:lang w:eastAsia="en-AU"/>
              </w:rPr>
              <w:t>Systems and Data Integrity</w:t>
            </w:r>
          </w:p>
        </w:tc>
        <w:tc>
          <w:tcPr>
            <w:tcW w:w="1266" w:type="pct"/>
            <w:tcBorders>
              <w:top w:val="single" w:sz="4" w:space="0" w:color="auto"/>
              <w:left w:val="nil"/>
              <w:bottom w:val="single" w:sz="4" w:space="0" w:color="auto"/>
              <w:right w:val="nil"/>
            </w:tcBorders>
            <w:shd w:val="clear" w:color="auto" w:fill="FFFFFF"/>
            <w:hideMark/>
          </w:tcPr>
          <w:p w14:paraId="7EB91766" w14:textId="1ECD391B" w:rsidR="00A73FA3" w:rsidRPr="00B412AF" w:rsidRDefault="00A73FA3" w:rsidP="00AD31C2">
            <w:pPr>
              <w:spacing w:before="40"/>
              <w:rPr>
                <w:rFonts w:cstheme="minorHAnsi"/>
                <w:sz w:val="20"/>
                <w:bdr w:val="none" w:sz="0" w:space="0" w:color="auto" w:frame="1"/>
                <w:lang w:eastAsia="en-AU"/>
              </w:rPr>
            </w:pPr>
            <w:r w:rsidRPr="00B412AF">
              <w:rPr>
                <w:rFonts w:cstheme="minorHAnsi"/>
                <w:sz w:val="20"/>
                <w:bdr w:val="none" w:sz="0" w:space="0" w:color="auto" w:frame="1"/>
                <w:lang w:eastAsia="en-AU"/>
              </w:rPr>
              <w:t xml:space="preserve">There is a risk to maintaining and protecting data held by the </w:t>
            </w:r>
            <w:r w:rsidR="0054557F">
              <w:rPr>
                <w:rFonts w:cstheme="minorHAnsi"/>
                <w:sz w:val="20"/>
                <w:bdr w:val="none" w:sz="0" w:space="0" w:color="auto" w:frame="1"/>
                <w:lang w:eastAsia="en-AU"/>
              </w:rPr>
              <w:t>d</w:t>
            </w:r>
            <w:r w:rsidRPr="00B412AF">
              <w:rPr>
                <w:rFonts w:cstheme="minorHAnsi"/>
                <w:sz w:val="20"/>
                <w:bdr w:val="none" w:sz="0" w:space="0" w:color="auto" w:frame="1"/>
                <w:lang w:eastAsia="en-AU"/>
              </w:rPr>
              <w:t>epartment and using data and information effectively to support our outcomes.</w:t>
            </w:r>
          </w:p>
        </w:tc>
        <w:tc>
          <w:tcPr>
            <w:tcW w:w="2922" w:type="pct"/>
            <w:tcBorders>
              <w:top w:val="single" w:sz="4" w:space="0" w:color="auto"/>
              <w:left w:val="nil"/>
              <w:bottom w:val="single" w:sz="4" w:space="0" w:color="auto"/>
              <w:right w:val="nil"/>
            </w:tcBorders>
            <w:shd w:val="clear" w:color="auto" w:fill="FFFFFF"/>
            <w:hideMark/>
          </w:tcPr>
          <w:p w14:paraId="1DC3A35C" w14:textId="77777777" w:rsidR="00A73FA3" w:rsidRPr="00B412AF" w:rsidRDefault="00A73FA3" w:rsidP="006778D7">
            <w:pPr>
              <w:numPr>
                <w:ilvl w:val="0"/>
                <w:numId w:val="7"/>
              </w:numPr>
              <w:spacing w:before="40" w:after="160"/>
              <w:contextualSpacing/>
              <w:rPr>
                <w:rFonts w:cs="Arial"/>
                <w:sz w:val="20"/>
                <w:bdr w:val="none" w:sz="0" w:space="0" w:color="auto" w:frame="1"/>
                <w:lang w:eastAsia="en-AU"/>
              </w:rPr>
            </w:pPr>
            <w:r w:rsidRPr="00B412AF">
              <w:rPr>
                <w:rFonts w:cs="Arial"/>
                <w:sz w:val="20"/>
                <w:bdr w:val="none" w:sz="0" w:space="0" w:color="auto" w:frame="1"/>
                <w:lang w:eastAsia="en-AU"/>
              </w:rPr>
              <w:t>Implement strategies within our 2025-27 Data and Analytics Strategy to embed data-driven improvements to the economic and social wellbeing of Australians and continue to ensure strong governance processes are in place in relation to the quality, use, and sharing of our data.</w:t>
            </w:r>
          </w:p>
          <w:p w14:paraId="100F3F9F" w14:textId="5736DAE8" w:rsidR="00A73FA3" w:rsidRDefault="00A73FA3" w:rsidP="006778D7">
            <w:pPr>
              <w:numPr>
                <w:ilvl w:val="0"/>
                <w:numId w:val="7"/>
              </w:numPr>
              <w:spacing w:before="40" w:after="160"/>
              <w:contextualSpacing/>
              <w:rPr>
                <w:rFonts w:cs="Arial"/>
                <w:sz w:val="20"/>
                <w:bdr w:val="none" w:sz="0" w:space="0" w:color="auto" w:frame="1"/>
                <w:lang w:eastAsia="en-AU"/>
              </w:rPr>
            </w:pPr>
            <w:r w:rsidRPr="00B412AF">
              <w:rPr>
                <w:rFonts w:cs="Arial"/>
                <w:sz w:val="20"/>
                <w:bdr w:val="none" w:sz="0" w:space="0" w:color="auto" w:frame="1"/>
                <w:lang w:eastAsia="en-AU"/>
              </w:rPr>
              <w:t>Continue to ensure that Service Level Agreements are in place with our key stakeholders in relation to our IT systems and support for our data</w:t>
            </w:r>
            <w:r w:rsidR="00445029">
              <w:rPr>
                <w:rFonts w:cs="Arial"/>
                <w:sz w:val="20"/>
                <w:bdr w:val="none" w:sz="0" w:space="0" w:color="auto" w:frame="1"/>
                <w:lang w:eastAsia="en-AU"/>
              </w:rPr>
              <w:t xml:space="preserve"> and ensure they are reviewed on a regular basis</w:t>
            </w:r>
            <w:r w:rsidRPr="00B412AF">
              <w:rPr>
                <w:rFonts w:cs="Arial"/>
                <w:sz w:val="20"/>
                <w:bdr w:val="none" w:sz="0" w:space="0" w:color="auto" w:frame="1"/>
                <w:lang w:eastAsia="en-AU"/>
              </w:rPr>
              <w:t xml:space="preserve">. </w:t>
            </w:r>
          </w:p>
          <w:p w14:paraId="755ECB46" w14:textId="6571AF35" w:rsidR="00DE0DEA" w:rsidRPr="00B412AF" w:rsidRDefault="00DE0DEA" w:rsidP="00F82156">
            <w:pPr>
              <w:spacing w:before="40" w:after="160"/>
              <w:ind w:left="720"/>
              <w:contextualSpacing/>
              <w:rPr>
                <w:rFonts w:cs="Arial"/>
                <w:sz w:val="20"/>
                <w:bdr w:val="none" w:sz="0" w:space="0" w:color="auto" w:frame="1"/>
                <w:lang w:eastAsia="en-AU"/>
              </w:rPr>
            </w:pPr>
          </w:p>
        </w:tc>
      </w:tr>
    </w:tbl>
    <w:p w14:paraId="046BA880" w14:textId="77777777" w:rsidR="00A73FA3" w:rsidRDefault="00A73FA3" w:rsidP="00A73FA3"/>
    <w:p w14:paraId="312BEE19" w14:textId="192CACF6" w:rsidR="00A73FA3" w:rsidRPr="00665814" w:rsidRDefault="00A73FA3" w:rsidP="00665814">
      <w:pPr>
        <w:pStyle w:val="Heading3"/>
        <w:spacing w:before="240" w:after="120"/>
      </w:pPr>
      <w:bookmarkStart w:id="43" w:name="_Toc238653283"/>
      <w:r w:rsidRPr="00665814">
        <w:t>Fraud and Corruption</w:t>
      </w:r>
      <w:bookmarkEnd w:id="43"/>
      <w:r w:rsidRPr="00665814">
        <w:t xml:space="preserve"> </w:t>
      </w:r>
    </w:p>
    <w:p w14:paraId="7D5A0660" w14:textId="26A6BBB8" w:rsidR="00A73FA3" w:rsidRPr="00A165B4" w:rsidRDefault="00A73FA3" w:rsidP="00665814">
      <w:pPr>
        <w:spacing w:before="120" w:after="160"/>
        <w:rPr>
          <w:lang w:eastAsia="en-AU"/>
        </w:rPr>
      </w:pPr>
      <w:r w:rsidRPr="00A165B4">
        <w:rPr>
          <w:lang w:eastAsia="en-AU"/>
        </w:rPr>
        <w:t xml:space="preserve">Fraud and corruption pose a serious risk to the </w:t>
      </w:r>
      <w:r w:rsidR="0054557F">
        <w:rPr>
          <w:lang w:eastAsia="en-AU"/>
        </w:rPr>
        <w:t>d</w:t>
      </w:r>
      <w:r w:rsidRPr="00A165B4">
        <w:rPr>
          <w:lang w:eastAsia="en-AU"/>
        </w:rPr>
        <w:t xml:space="preserve">epartment’s programs, schemes and corporate functions. To meet its obligations under the </w:t>
      </w:r>
      <w:r w:rsidRPr="005F34F9">
        <w:rPr>
          <w:i/>
          <w:iCs/>
          <w:lang w:eastAsia="en-AU"/>
        </w:rPr>
        <w:t>PGPA Act</w:t>
      </w:r>
      <w:r w:rsidRPr="00A165B4">
        <w:rPr>
          <w:lang w:eastAsia="en-AU"/>
        </w:rPr>
        <w:t xml:space="preserve"> and </w:t>
      </w:r>
      <w:r w:rsidRPr="005F34F9">
        <w:rPr>
          <w:lang w:eastAsia="en-AU"/>
        </w:rPr>
        <w:t xml:space="preserve">Commonwealth Fraud and Corruption Control Framework, </w:t>
      </w:r>
      <w:r w:rsidRPr="00A165B4">
        <w:rPr>
          <w:lang w:eastAsia="en-AU"/>
        </w:rPr>
        <w:t xml:space="preserve">the </w:t>
      </w:r>
      <w:r w:rsidR="0054557F">
        <w:rPr>
          <w:lang w:eastAsia="en-AU"/>
        </w:rPr>
        <w:t>d</w:t>
      </w:r>
      <w:r w:rsidRPr="00A165B4">
        <w:rPr>
          <w:lang w:eastAsia="en-AU"/>
        </w:rPr>
        <w:t>epartment has in place a Fraud and Corruption Control Plan 202</w:t>
      </w:r>
      <w:r w:rsidR="00DE0DEA">
        <w:rPr>
          <w:lang w:eastAsia="en-AU"/>
        </w:rPr>
        <w:t>6</w:t>
      </w:r>
      <w:r w:rsidRPr="00A165B4">
        <w:rPr>
          <w:lang w:eastAsia="en-AU"/>
        </w:rPr>
        <w:t>-2</w:t>
      </w:r>
      <w:r w:rsidR="00DE0DEA">
        <w:rPr>
          <w:lang w:eastAsia="en-AU"/>
        </w:rPr>
        <w:t>8</w:t>
      </w:r>
      <w:r w:rsidRPr="00A165B4">
        <w:rPr>
          <w:lang w:eastAsia="en-AU"/>
        </w:rPr>
        <w:t xml:space="preserve">, Fraud and Corruption Policy, and Secretary’s Instruction 1.3 Fraud and Corruption Control. These documents outline the governance, roles and responsibilities of officers, fraud and corruption risk assessments and other fraud management activities the department undertakes to meet its requirements under the </w:t>
      </w:r>
      <w:r w:rsidRPr="005F34F9">
        <w:rPr>
          <w:lang w:eastAsia="en-AU"/>
        </w:rPr>
        <w:t xml:space="preserve">Commonwealth Fraud and Corruption </w:t>
      </w:r>
      <w:r w:rsidR="00DE0DEA" w:rsidRPr="005F34F9">
        <w:rPr>
          <w:lang w:eastAsia="en-AU"/>
        </w:rPr>
        <w:t xml:space="preserve">Control </w:t>
      </w:r>
      <w:r w:rsidRPr="005F34F9">
        <w:rPr>
          <w:lang w:eastAsia="en-AU"/>
        </w:rPr>
        <w:t>Framework.</w:t>
      </w:r>
      <w:r w:rsidRPr="00A165B4">
        <w:rPr>
          <w:lang w:eastAsia="en-AU"/>
        </w:rPr>
        <w:t xml:space="preserve">  </w:t>
      </w:r>
    </w:p>
    <w:p w14:paraId="01B39427" w14:textId="047A6C02" w:rsidR="00A73FA3" w:rsidRDefault="00A73FA3" w:rsidP="00665814">
      <w:pPr>
        <w:spacing w:before="120" w:after="160"/>
        <w:rPr>
          <w:lang w:eastAsia="en-AU"/>
        </w:rPr>
      </w:pPr>
      <w:r w:rsidRPr="00A165B4">
        <w:rPr>
          <w:lang w:eastAsia="en-AU"/>
        </w:rPr>
        <w:lastRenderedPageBreak/>
        <w:t xml:space="preserve">The </w:t>
      </w:r>
      <w:r w:rsidR="0054557F">
        <w:rPr>
          <w:lang w:eastAsia="en-AU"/>
        </w:rPr>
        <w:t>d</w:t>
      </w:r>
      <w:r w:rsidRPr="00A165B4">
        <w:rPr>
          <w:lang w:eastAsia="en-AU"/>
        </w:rPr>
        <w:t>epartment maintains systems of fraud and corruption risk management and oversight, ensuring all reasonable measures are in place to prevent, detect, deter, disrupt and respond to fraud and corruption.</w:t>
      </w:r>
    </w:p>
    <w:p w14:paraId="614758A2" w14:textId="5B926167" w:rsidR="00A73FA3" w:rsidRPr="00E21CEF" w:rsidRDefault="00A73FA3" w:rsidP="00E21CEF">
      <w:pPr>
        <w:pStyle w:val="Heading3"/>
        <w:spacing w:before="240" w:after="120"/>
      </w:pPr>
      <w:bookmarkStart w:id="44" w:name="_Toc238653284"/>
      <w:r w:rsidRPr="00E21CEF">
        <w:t>Our integrity</w:t>
      </w:r>
      <w:bookmarkEnd w:id="44"/>
    </w:p>
    <w:p w14:paraId="729F4857" w14:textId="77777777" w:rsidR="00DE0DEA" w:rsidRPr="00A165B4" w:rsidRDefault="00DE0DEA" w:rsidP="00E21CEF">
      <w:pPr>
        <w:spacing w:before="120" w:after="160"/>
        <w:rPr>
          <w:rFonts w:eastAsiaTheme="minorEastAsia" w:cs="Arial"/>
          <w:szCs w:val="22"/>
          <w:lang w:eastAsia="en-AU"/>
        </w:rPr>
      </w:pPr>
      <w:r w:rsidRPr="00FD0787">
        <w:rPr>
          <w:lang w:eastAsia="en-AU"/>
        </w:rPr>
        <w:t>Our integrity culture is reinforced through a strong commitment to pro-integrity behaviours and our purpose of improving the economic and social wellbeing of individuals, families and vulnerable members of Australian communities. To support</w:t>
      </w:r>
      <w:r>
        <w:rPr>
          <w:rFonts w:eastAsiaTheme="minorEastAsia" w:cs="Arial"/>
          <w:szCs w:val="22"/>
          <w:lang w:eastAsia="en-AU"/>
        </w:rPr>
        <w:t xml:space="preserve"> this</w:t>
      </w:r>
      <w:r w:rsidRPr="00A165B4">
        <w:rPr>
          <w:rFonts w:eastAsiaTheme="minorEastAsia" w:cs="Arial"/>
          <w:szCs w:val="22"/>
          <w:lang w:eastAsia="en-AU"/>
        </w:rPr>
        <w:t xml:space="preserve"> culture</w:t>
      </w:r>
      <w:r>
        <w:rPr>
          <w:rFonts w:eastAsiaTheme="minorEastAsia" w:cs="Arial"/>
          <w:szCs w:val="22"/>
          <w:lang w:eastAsia="en-AU"/>
        </w:rPr>
        <w:t>,</w:t>
      </w:r>
      <w:r w:rsidRPr="00A165B4">
        <w:rPr>
          <w:rFonts w:eastAsiaTheme="minorEastAsia" w:cs="Arial"/>
          <w:szCs w:val="22"/>
          <w:lang w:eastAsia="en-AU"/>
        </w:rPr>
        <w:t xml:space="preserve"> the department has</w:t>
      </w:r>
      <w:r>
        <w:rPr>
          <w:rFonts w:eastAsiaTheme="minorEastAsia" w:cs="Arial"/>
          <w:szCs w:val="22"/>
          <w:lang w:eastAsia="en-AU"/>
        </w:rPr>
        <w:t xml:space="preserve"> established</w:t>
      </w:r>
      <w:r w:rsidRPr="00A165B4">
        <w:rPr>
          <w:rFonts w:eastAsiaTheme="minorEastAsia" w:cs="Arial"/>
          <w:szCs w:val="22"/>
          <w:lang w:eastAsia="en-AU"/>
        </w:rPr>
        <w:t>:</w:t>
      </w:r>
    </w:p>
    <w:p w14:paraId="63A73028" w14:textId="77777777" w:rsidR="00DE0DEA" w:rsidRPr="00D71365" w:rsidRDefault="00DE0DEA" w:rsidP="006778D7">
      <w:pPr>
        <w:pStyle w:val="ListParagraph"/>
        <w:numPr>
          <w:ilvl w:val="0"/>
          <w:numId w:val="29"/>
        </w:numPr>
        <w:spacing w:before="120" w:after="160"/>
        <w:rPr>
          <w:color w:val="000000" w:themeColor="text1"/>
          <w:lang w:eastAsia="en-AU"/>
        </w:rPr>
      </w:pPr>
      <w:r w:rsidRPr="00A165B4">
        <w:rPr>
          <w:lang w:eastAsia="en-AU"/>
        </w:rPr>
        <w:t>the 4Cs</w:t>
      </w:r>
      <w:r>
        <w:rPr>
          <w:lang w:eastAsia="en-AU"/>
        </w:rPr>
        <w:t xml:space="preserve"> behavioural framework, aligned to the</w:t>
      </w:r>
      <w:r w:rsidRPr="00A165B4">
        <w:rPr>
          <w:lang w:eastAsia="en-AU"/>
        </w:rPr>
        <w:t xml:space="preserve"> APS Values and </w:t>
      </w:r>
      <w:r>
        <w:rPr>
          <w:lang w:eastAsia="en-AU"/>
        </w:rPr>
        <w:t>designed to support</w:t>
      </w:r>
      <w:r w:rsidRPr="00A165B4">
        <w:rPr>
          <w:lang w:eastAsia="en-AU"/>
        </w:rPr>
        <w:t xml:space="preserve"> an adaptive </w:t>
      </w:r>
      <w:r>
        <w:rPr>
          <w:lang w:eastAsia="en-AU"/>
        </w:rPr>
        <w:t xml:space="preserve">and accountable </w:t>
      </w:r>
      <w:r w:rsidRPr="00A165B4">
        <w:rPr>
          <w:lang w:eastAsia="en-AU"/>
        </w:rPr>
        <w:t>workplace culture</w:t>
      </w:r>
      <w:r>
        <w:rPr>
          <w:lang w:eastAsia="en-AU"/>
        </w:rPr>
        <w:t xml:space="preserve">, </w:t>
      </w:r>
      <w:r w:rsidRPr="00A165B4">
        <w:rPr>
          <w:lang w:eastAsia="en-AU"/>
        </w:rPr>
        <w:t xml:space="preserve">demonstrated </w:t>
      </w:r>
      <w:r>
        <w:rPr>
          <w:lang w:eastAsia="en-AU"/>
        </w:rPr>
        <w:t>through</w:t>
      </w:r>
      <w:r w:rsidRPr="00D71365">
        <w:rPr>
          <w:color w:val="000000" w:themeColor="text1"/>
          <w:lang w:eastAsia="en-AU"/>
        </w:rPr>
        <w:t>:</w:t>
      </w:r>
    </w:p>
    <w:p w14:paraId="1FEF66CB" w14:textId="77777777" w:rsidR="00DE0DEA" w:rsidRPr="00D71365" w:rsidRDefault="00DE0DEA" w:rsidP="006778D7">
      <w:pPr>
        <w:pStyle w:val="ListParagraph"/>
        <w:numPr>
          <w:ilvl w:val="1"/>
          <w:numId w:val="29"/>
        </w:numPr>
        <w:spacing w:before="120" w:after="160"/>
        <w:rPr>
          <w:color w:val="000000" w:themeColor="text1"/>
          <w:lang w:eastAsia="en-AU"/>
        </w:rPr>
      </w:pPr>
      <w:r w:rsidRPr="00D71365">
        <w:rPr>
          <w:color w:val="000000" w:themeColor="text1"/>
          <w:lang w:eastAsia="en-AU"/>
        </w:rPr>
        <w:t xml:space="preserve">being </w:t>
      </w:r>
      <w:r w:rsidRPr="00D71365">
        <w:rPr>
          <w:b/>
          <w:color w:val="000000" w:themeColor="text1"/>
          <w:lang w:eastAsia="en-AU"/>
        </w:rPr>
        <w:t>curious</w:t>
      </w:r>
    </w:p>
    <w:p w14:paraId="3E4741AD" w14:textId="77777777" w:rsidR="00DE0DEA" w:rsidRDefault="00DE0DEA" w:rsidP="006778D7">
      <w:pPr>
        <w:pStyle w:val="ListParagraph"/>
        <w:numPr>
          <w:ilvl w:val="1"/>
          <w:numId w:val="29"/>
        </w:numPr>
        <w:spacing w:before="120" w:after="160"/>
        <w:rPr>
          <w:color w:val="000000" w:themeColor="text1"/>
          <w:lang w:eastAsia="en-AU"/>
        </w:rPr>
      </w:pPr>
      <w:r w:rsidRPr="00156F05">
        <w:rPr>
          <w:bCs/>
          <w:color w:val="000000" w:themeColor="text1"/>
          <w:lang w:eastAsia="en-AU"/>
        </w:rPr>
        <w:t xml:space="preserve">respectfully </w:t>
      </w:r>
      <w:r w:rsidRPr="00D71365">
        <w:rPr>
          <w:b/>
          <w:color w:val="000000" w:themeColor="text1"/>
          <w:lang w:eastAsia="en-AU"/>
        </w:rPr>
        <w:t>contesting</w:t>
      </w:r>
      <w:r w:rsidRPr="00D71365">
        <w:rPr>
          <w:color w:val="000000" w:themeColor="text1"/>
          <w:lang w:eastAsia="en-AU"/>
        </w:rPr>
        <w:t xml:space="preserve"> ideas</w:t>
      </w:r>
    </w:p>
    <w:p w14:paraId="4EAF7213" w14:textId="77777777" w:rsidR="00DE0DEA" w:rsidRPr="00D915C5" w:rsidRDefault="00DE0DEA" w:rsidP="006778D7">
      <w:pPr>
        <w:pStyle w:val="ListParagraph"/>
        <w:numPr>
          <w:ilvl w:val="1"/>
          <w:numId w:val="29"/>
        </w:numPr>
        <w:spacing w:before="120" w:after="160"/>
        <w:rPr>
          <w:color w:val="000000" w:themeColor="text1"/>
          <w:lang w:eastAsia="en-AU"/>
        </w:rPr>
      </w:pPr>
      <w:r w:rsidRPr="00D71365">
        <w:rPr>
          <w:color w:val="000000" w:themeColor="text1"/>
          <w:lang w:eastAsia="en-AU"/>
        </w:rPr>
        <w:t xml:space="preserve">having the </w:t>
      </w:r>
      <w:r w:rsidRPr="00D71365">
        <w:rPr>
          <w:b/>
          <w:color w:val="000000" w:themeColor="text1"/>
          <w:lang w:eastAsia="en-AU"/>
        </w:rPr>
        <w:t>courage</w:t>
      </w:r>
      <w:r w:rsidRPr="00D71365">
        <w:rPr>
          <w:color w:val="000000" w:themeColor="text1"/>
          <w:lang w:eastAsia="en-AU"/>
        </w:rPr>
        <w:t xml:space="preserve"> to call out </w:t>
      </w:r>
      <w:r>
        <w:rPr>
          <w:color w:val="000000" w:themeColor="text1"/>
          <w:lang w:eastAsia="en-AU"/>
        </w:rPr>
        <w:t>inappropriate</w:t>
      </w:r>
      <w:r w:rsidRPr="00D71365">
        <w:rPr>
          <w:color w:val="000000" w:themeColor="text1"/>
          <w:lang w:eastAsia="en-AU"/>
        </w:rPr>
        <w:t xml:space="preserve"> behaviour</w:t>
      </w:r>
    </w:p>
    <w:p w14:paraId="3BB80FC8" w14:textId="77777777" w:rsidR="00DE0DEA" w:rsidRPr="00D71365" w:rsidRDefault="00DE0DEA" w:rsidP="006778D7">
      <w:pPr>
        <w:pStyle w:val="ListParagraph"/>
        <w:numPr>
          <w:ilvl w:val="1"/>
          <w:numId w:val="29"/>
        </w:numPr>
        <w:spacing w:before="120" w:after="160"/>
        <w:rPr>
          <w:color w:val="000000" w:themeColor="text1"/>
          <w:lang w:eastAsia="en-AU"/>
        </w:rPr>
      </w:pPr>
      <w:r w:rsidRPr="00D71365">
        <w:rPr>
          <w:color w:val="000000" w:themeColor="text1"/>
          <w:lang w:eastAsia="en-AU"/>
        </w:rPr>
        <w:t xml:space="preserve">working </w:t>
      </w:r>
      <w:r w:rsidRPr="00D71365">
        <w:rPr>
          <w:b/>
          <w:color w:val="000000" w:themeColor="text1"/>
          <w:lang w:eastAsia="en-AU"/>
        </w:rPr>
        <w:t>collaboratively</w:t>
      </w:r>
      <w:r w:rsidRPr="00156F05">
        <w:rPr>
          <w:bCs/>
          <w:color w:val="000000" w:themeColor="text1"/>
          <w:lang w:eastAsia="en-AU"/>
        </w:rPr>
        <w:t xml:space="preserve"> across the department</w:t>
      </w:r>
      <w:r w:rsidRPr="00D71365">
        <w:rPr>
          <w:color w:val="000000" w:themeColor="text1"/>
          <w:lang w:eastAsia="en-AU"/>
        </w:rPr>
        <w:t xml:space="preserve"> and with</w:t>
      </w:r>
      <w:r>
        <w:rPr>
          <w:color w:val="000000" w:themeColor="text1"/>
          <w:lang w:eastAsia="en-AU"/>
        </w:rPr>
        <w:t xml:space="preserve"> </w:t>
      </w:r>
      <w:r w:rsidRPr="00D71365">
        <w:rPr>
          <w:color w:val="000000" w:themeColor="text1"/>
          <w:lang w:eastAsia="en-AU"/>
        </w:rPr>
        <w:t>stakeholders and partners</w:t>
      </w:r>
      <w:r>
        <w:rPr>
          <w:color w:val="000000" w:themeColor="text1"/>
          <w:lang w:eastAsia="en-AU"/>
        </w:rPr>
        <w:t>.</w:t>
      </w:r>
    </w:p>
    <w:p w14:paraId="1F422D12" w14:textId="77777777" w:rsidR="00DE0DEA" w:rsidRPr="00D71365" w:rsidRDefault="00DE0DEA" w:rsidP="006778D7">
      <w:pPr>
        <w:pStyle w:val="ListParagraph"/>
        <w:numPr>
          <w:ilvl w:val="0"/>
          <w:numId w:val="29"/>
        </w:numPr>
        <w:spacing w:before="120" w:after="160"/>
        <w:rPr>
          <w:color w:val="000000" w:themeColor="text1"/>
          <w:lang w:eastAsia="en-AU"/>
        </w:rPr>
      </w:pPr>
      <w:r w:rsidRPr="00D71365">
        <w:rPr>
          <w:color w:val="000000" w:themeColor="text1"/>
          <w:lang w:eastAsia="en-AU"/>
        </w:rPr>
        <w:t>a dedicated Integrity Unit provid</w:t>
      </w:r>
      <w:r>
        <w:rPr>
          <w:color w:val="000000" w:themeColor="text1"/>
          <w:lang w:eastAsia="en-AU"/>
        </w:rPr>
        <w:t>ing</w:t>
      </w:r>
      <w:r w:rsidRPr="00D71365">
        <w:rPr>
          <w:color w:val="000000" w:themeColor="text1"/>
          <w:lang w:eastAsia="en-AU"/>
        </w:rPr>
        <w:t xml:space="preserve"> education, advice and support </w:t>
      </w:r>
      <w:r>
        <w:rPr>
          <w:color w:val="000000" w:themeColor="text1"/>
          <w:lang w:eastAsia="en-AU"/>
        </w:rPr>
        <w:t xml:space="preserve">in relation to integrity matters, including engagement with the </w:t>
      </w:r>
      <w:r w:rsidRPr="00D71365">
        <w:rPr>
          <w:color w:val="000000" w:themeColor="text1"/>
          <w:lang w:eastAsia="en-AU"/>
        </w:rPr>
        <w:t>National Anti-Corruption Commission</w:t>
      </w:r>
      <w:r>
        <w:rPr>
          <w:color w:val="000000" w:themeColor="text1"/>
          <w:lang w:eastAsia="en-AU"/>
        </w:rPr>
        <w:t xml:space="preserve"> and Commonwealth Ombudsman’s Office.</w:t>
      </w:r>
    </w:p>
    <w:p w14:paraId="7220AEF7" w14:textId="667EC8E2" w:rsidR="00426299" w:rsidRDefault="00DE0DEA" w:rsidP="006778D7">
      <w:pPr>
        <w:pStyle w:val="ListParagraph"/>
        <w:numPr>
          <w:ilvl w:val="0"/>
          <w:numId w:val="29"/>
        </w:numPr>
        <w:spacing w:before="120" w:after="160"/>
        <w:rPr>
          <w:color w:val="000000" w:themeColor="text1"/>
          <w:lang w:eastAsia="en-AU"/>
        </w:rPr>
      </w:pPr>
      <w:r w:rsidRPr="00D71365">
        <w:rPr>
          <w:color w:val="000000" w:themeColor="text1"/>
          <w:lang w:eastAsia="en-AU"/>
        </w:rPr>
        <w:t>an integrity strategy and framework for 2024-26</w:t>
      </w:r>
      <w:r w:rsidR="005F34F9">
        <w:rPr>
          <w:color w:val="000000" w:themeColor="text1"/>
          <w:lang w:eastAsia="en-AU"/>
        </w:rPr>
        <w:t>.</w:t>
      </w:r>
    </w:p>
    <w:p w14:paraId="1B6748A6" w14:textId="37184CC7" w:rsidR="00426299" w:rsidRPr="006E3D77" w:rsidRDefault="00426299" w:rsidP="006778D7">
      <w:pPr>
        <w:pStyle w:val="ListParagraph"/>
        <w:numPr>
          <w:ilvl w:val="0"/>
          <w:numId w:val="29"/>
        </w:numPr>
        <w:spacing w:before="120" w:after="160"/>
        <w:rPr>
          <w:color w:val="000000" w:themeColor="text1"/>
          <w:lang w:eastAsia="en-AU"/>
        </w:rPr>
      </w:pPr>
      <w:r w:rsidRPr="006E3D77">
        <w:rPr>
          <w:color w:val="000000" w:themeColor="text1"/>
          <w:lang w:eastAsia="en-AU"/>
        </w:rPr>
        <w:t xml:space="preserve">an Integrity Champion whose </w:t>
      </w:r>
      <w:r w:rsidR="006E3D77" w:rsidRPr="006E3D77">
        <w:rPr>
          <w:color w:val="000000" w:themeColor="text1"/>
          <w:lang w:eastAsia="en-AU"/>
        </w:rPr>
        <w:t>important role is to promote integrity across DSS, encourage open conversations and the behaviours and culture that underpin good decision-making and public trust.</w:t>
      </w:r>
    </w:p>
    <w:p w14:paraId="3542083C" w14:textId="05EA287D" w:rsidR="00DE0DEA" w:rsidRPr="00A165B4" w:rsidRDefault="00DE0DEA" w:rsidP="00E21CEF">
      <w:pPr>
        <w:spacing w:before="120" w:after="160"/>
        <w:rPr>
          <w:lang w:eastAsia="en-AU"/>
        </w:rPr>
      </w:pPr>
      <w:r w:rsidRPr="00A165B4">
        <w:rPr>
          <w:lang w:eastAsia="en-AU"/>
        </w:rPr>
        <w:t xml:space="preserve">Throughout </w:t>
      </w:r>
      <w:r w:rsidR="00856488">
        <w:rPr>
          <w:lang w:eastAsia="en-AU"/>
        </w:rPr>
        <w:t>2026-27</w:t>
      </w:r>
      <w:r w:rsidRPr="00A165B4">
        <w:rPr>
          <w:lang w:eastAsia="en-AU"/>
        </w:rPr>
        <w:t xml:space="preserve">, </w:t>
      </w:r>
      <w:r>
        <w:rPr>
          <w:lang w:eastAsia="en-AU"/>
        </w:rPr>
        <w:t>the department</w:t>
      </w:r>
      <w:r w:rsidRPr="00A165B4">
        <w:rPr>
          <w:lang w:eastAsia="en-AU"/>
        </w:rPr>
        <w:t xml:space="preserve"> will continue </w:t>
      </w:r>
      <w:r>
        <w:rPr>
          <w:lang w:eastAsia="en-AU"/>
        </w:rPr>
        <w:t>strengthening</w:t>
      </w:r>
      <w:r w:rsidRPr="00A165B4">
        <w:rPr>
          <w:lang w:eastAsia="en-AU"/>
        </w:rPr>
        <w:t xml:space="preserve"> pro-integrity culture </w:t>
      </w:r>
      <w:r>
        <w:rPr>
          <w:lang w:eastAsia="en-AU"/>
        </w:rPr>
        <w:t xml:space="preserve">through </w:t>
      </w:r>
      <w:r w:rsidRPr="00A165B4">
        <w:rPr>
          <w:lang w:eastAsia="en-AU"/>
        </w:rPr>
        <w:t xml:space="preserve">implementation of APS </w:t>
      </w:r>
      <w:r>
        <w:rPr>
          <w:lang w:eastAsia="en-AU"/>
        </w:rPr>
        <w:t>r</w:t>
      </w:r>
      <w:r w:rsidRPr="00A165B4">
        <w:rPr>
          <w:lang w:eastAsia="en-AU"/>
        </w:rPr>
        <w:t xml:space="preserve">eform </w:t>
      </w:r>
      <w:r>
        <w:rPr>
          <w:lang w:eastAsia="en-AU"/>
        </w:rPr>
        <w:t>initiatives</w:t>
      </w:r>
      <w:r w:rsidRPr="00A165B4">
        <w:rPr>
          <w:lang w:eastAsia="en-AU"/>
        </w:rPr>
        <w:t xml:space="preserve">, APS Integrity Taskforce recommendations, </w:t>
      </w:r>
      <w:r>
        <w:rPr>
          <w:lang w:eastAsia="en-AU"/>
        </w:rPr>
        <w:t xml:space="preserve">engagement across APS integrity forums, </w:t>
      </w:r>
      <w:r w:rsidRPr="00A165B4">
        <w:rPr>
          <w:lang w:eastAsia="en-AU"/>
        </w:rPr>
        <w:t xml:space="preserve">and </w:t>
      </w:r>
      <w:r>
        <w:rPr>
          <w:lang w:eastAsia="en-AU"/>
        </w:rPr>
        <w:t xml:space="preserve">ongoing support for the work of the </w:t>
      </w:r>
      <w:r w:rsidRPr="00A165B4">
        <w:rPr>
          <w:lang w:eastAsia="en-AU"/>
        </w:rPr>
        <w:t>National Anti-Corruption Commission</w:t>
      </w:r>
      <w:r>
        <w:rPr>
          <w:lang w:eastAsia="en-AU"/>
        </w:rPr>
        <w:t xml:space="preserve"> and the Commonwealth Ombudsman</w:t>
      </w:r>
      <w:r w:rsidRPr="00A165B4">
        <w:rPr>
          <w:lang w:eastAsia="en-AU"/>
        </w:rPr>
        <w:t>.</w:t>
      </w:r>
    </w:p>
    <w:p w14:paraId="7755CF0E" w14:textId="77777777" w:rsidR="00E71249" w:rsidRDefault="00E71249">
      <w:pPr>
        <w:spacing w:after="240"/>
        <w:rPr>
          <w:lang w:eastAsia="en-AU"/>
        </w:rPr>
      </w:pPr>
      <w:r>
        <w:rPr>
          <w:lang w:eastAsia="en-AU"/>
        </w:rPr>
        <w:br w:type="page"/>
      </w:r>
    </w:p>
    <w:p w14:paraId="77E1BA6D" w14:textId="77777777" w:rsidR="00E71249" w:rsidRPr="00E37FD9" w:rsidRDefault="00E71249" w:rsidP="00E21CEF">
      <w:pPr>
        <w:pStyle w:val="Heading2"/>
        <w:rPr>
          <w:sz w:val="48"/>
          <w:szCs w:val="48"/>
        </w:rPr>
      </w:pPr>
      <w:bookmarkStart w:id="45" w:name="_Toc108514512"/>
      <w:bookmarkStart w:id="46" w:name="_Toc110007345"/>
      <w:bookmarkStart w:id="47" w:name="_Toc111026122"/>
      <w:bookmarkStart w:id="48" w:name="_Toc144385568"/>
      <w:bookmarkStart w:id="49" w:name="_Toc172099799"/>
      <w:bookmarkStart w:id="50" w:name="_Toc175906055"/>
      <w:bookmarkStart w:id="51" w:name="_Toc201309088"/>
      <w:bookmarkStart w:id="52" w:name="_Toc201310783"/>
      <w:bookmarkStart w:id="53" w:name="_Toc207287350"/>
      <w:bookmarkStart w:id="54" w:name="_Toc238140550"/>
      <w:bookmarkStart w:id="55" w:name="_Toc238653285"/>
      <w:r w:rsidRPr="00E37FD9">
        <w:rPr>
          <w:sz w:val="48"/>
          <w:szCs w:val="48"/>
        </w:rPr>
        <w:lastRenderedPageBreak/>
        <w:t>Part three: Our performance</w:t>
      </w:r>
      <w:bookmarkEnd w:id="45"/>
      <w:bookmarkEnd w:id="46"/>
      <w:bookmarkEnd w:id="47"/>
      <w:bookmarkEnd w:id="48"/>
      <w:bookmarkEnd w:id="49"/>
      <w:bookmarkEnd w:id="50"/>
      <w:bookmarkEnd w:id="51"/>
      <w:bookmarkEnd w:id="52"/>
      <w:bookmarkEnd w:id="53"/>
      <w:bookmarkEnd w:id="54"/>
      <w:bookmarkEnd w:id="55"/>
    </w:p>
    <w:p w14:paraId="29B9DC7D" w14:textId="6ABCE973" w:rsidR="00E71249" w:rsidRPr="00A165B4" w:rsidRDefault="00E71249" w:rsidP="00E21CEF">
      <w:pPr>
        <w:spacing w:before="120" w:after="160"/>
        <w:rPr>
          <w:lang w:eastAsia="en-AU"/>
        </w:rPr>
      </w:pPr>
      <w:r w:rsidRPr="00A165B4">
        <w:rPr>
          <w:lang w:eastAsia="en-AU"/>
        </w:rPr>
        <w:t xml:space="preserve">The </w:t>
      </w:r>
      <w:r w:rsidR="0054557F">
        <w:rPr>
          <w:lang w:eastAsia="en-AU"/>
        </w:rPr>
        <w:t>d</w:t>
      </w:r>
      <w:r w:rsidRPr="00A165B4">
        <w:rPr>
          <w:lang w:eastAsia="en-AU"/>
        </w:rPr>
        <w:t xml:space="preserve">epartment’s key activities are delivered in partnership with a range of third parties including Commonwealth agencies, for-profit and not-for-profit organisations. </w:t>
      </w:r>
      <w:proofErr w:type="gramStart"/>
      <w:r w:rsidRPr="00A165B4">
        <w:rPr>
          <w:lang w:eastAsia="en-AU"/>
        </w:rPr>
        <w:t>The majority of</w:t>
      </w:r>
      <w:proofErr w:type="gramEnd"/>
      <w:r w:rsidRPr="00A165B4">
        <w:rPr>
          <w:lang w:eastAsia="en-AU"/>
        </w:rPr>
        <w:t xml:space="preserve"> the data used to report our performance is sourced from our third-party delivery partners. The department aims for better practice approaches to ensure third-party data is reliable, verifiable, and supported by proportionate assurance processes. </w:t>
      </w:r>
      <w:r>
        <w:rPr>
          <w:lang w:eastAsia="en-AU"/>
        </w:rPr>
        <w:t>In</w:t>
      </w:r>
      <w:r w:rsidRPr="00A165B4">
        <w:rPr>
          <w:lang w:eastAsia="en-AU"/>
        </w:rPr>
        <w:t xml:space="preserve"> practice</w:t>
      </w:r>
      <w:r>
        <w:rPr>
          <w:lang w:eastAsia="en-AU"/>
        </w:rPr>
        <w:t>,</w:t>
      </w:r>
      <w:r w:rsidRPr="00A165B4">
        <w:rPr>
          <w:lang w:eastAsia="en-AU"/>
        </w:rPr>
        <w:t xml:space="preserve"> some third-party data may have limitations. In the interest of transparency, we disclose any limitations associated with the data and methodology used to assess our performance.</w:t>
      </w:r>
    </w:p>
    <w:p w14:paraId="5A4C68AC" w14:textId="0D66FACB" w:rsidR="00E71249" w:rsidRPr="00A165B4" w:rsidRDefault="00E71249" w:rsidP="00E21CEF">
      <w:pPr>
        <w:spacing w:before="120" w:after="160"/>
        <w:rPr>
          <w:lang w:eastAsia="en-AU"/>
        </w:rPr>
      </w:pPr>
      <w:r w:rsidRPr="00A165B4">
        <w:rPr>
          <w:lang w:eastAsia="en-AU"/>
        </w:rPr>
        <w:t>Within our operating context, there are external factors beyond the department’s control that can impact our performance. Performance measures that may be impacted by external factors are identified in this chapter using the diamond symbol (</w:t>
      </w:r>
      <w:r w:rsidR="00E37322" w:rsidRPr="00B8228A">
        <w:rPr>
          <w:noProof/>
        </w:rPr>
        <w:drawing>
          <wp:inline distT="0" distB="0" distL="0" distR="0" wp14:anchorId="08292C53" wp14:editId="64E88F57">
            <wp:extent cx="126000" cy="126000"/>
            <wp:effectExtent l="0" t="0" r="7620" b="7620"/>
            <wp:docPr id="1444298179" name="Picture 1" descr="The diamond symbol represents Performance measures that may be impacted by external f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298179" name="Picture 1" descr="The diamond symbol represents Performance measures that may be impacted by external factors."/>
                    <pic:cNvPicPr/>
                  </pic:nvPicPr>
                  <pic:blipFill>
                    <a:blip r:embed="rId25"/>
                    <a:stretch>
                      <a:fillRect/>
                    </a:stretch>
                  </pic:blipFill>
                  <pic:spPr>
                    <a:xfrm>
                      <a:off x="0" y="0"/>
                      <a:ext cx="126000" cy="126000"/>
                    </a:xfrm>
                    <a:prstGeom prst="rect">
                      <a:avLst/>
                    </a:prstGeom>
                  </pic:spPr>
                </pic:pic>
              </a:graphicData>
            </a:graphic>
          </wp:inline>
        </w:drawing>
      </w:r>
      <w:r w:rsidRPr="00A165B4">
        <w:rPr>
          <w:lang w:eastAsia="en-AU"/>
        </w:rPr>
        <w:t>).</w:t>
      </w:r>
    </w:p>
    <w:p w14:paraId="40587057" w14:textId="77777777" w:rsidR="00E71249" w:rsidRPr="00865318" w:rsidRDefault="00E71249" w:rsidP="00E21CEF">
      <w:pPr>
        <w:spacing w:before="120" w:after="160"/>
        <w:rPr>
          <w:rFonts w:eastAsia="Arial"/>
          <w:lang w:eastAsia="en-AU"/>
        </w:rPr>
      </w:pPr>
      <w:r w:rsidRPr="00A165B4">
        <w:rPr>
          <w:lang w:eastAsia="en-AU"/>
        </w:rPr>
        <w:t xml:space="preserve">The assessment of performance measures outlined in this Corporate Plan will be published in the </w:t>
      </w:r>
      <w:r w:rsidRPr="00A165B4">
        <w:rPr>
          <w:lang w:eastAsia="en-AU"/>
        </w:rPr>
        <w:br/>
        <w:t>202</w:t>
      </w:r>
      <w:r>
        <w:rPr>
          <w:lang w:eastAsia="en-AU"/>
        </w:rPr>
        <w:t>6</w:t>
      </w:r>
      <w:r w:rsidRPr="00A165B4">
        <w:rPr>
          <w:lang w:eastAsia="en-AU"/>
        </w:rPr>
        <w:t>–2</w:t>
      </w:r>
      <w:r>
        <w:rPr>
          <w:lang w:eastAsia="en-AU"/>
        </w:rPr>
        <w:t>7</w:t>
      </w:r>
      <w:r w:rsidRPr="00A165B4">
        <w:rPr>
          <w:lang w:eastAsia="en-AU"/>
        </w:rPr>
        <w:t xml:space="preserve"> Annual Report</w:t>
      </w:r>
      <w:r w:rsidRPr="00865318">
        <w:rPr>
          <w:rFonts w:eastAsia="Arial"/>
          <w:lang w:eastAsia="en-AU"/>
        </w:rPr>
        <w:t>.</w:t>
      </w:r>
    </w:p>
    <w:p w14:paraId="1BDA9BFD" w14:textId="25B4E537" w:rsidR="00E71249" w:rsidRPr="0080104C" w:rsidRDefault="00E71249" w:rsidP="0080104C">
      <w:pPr>
        <w:pStyle w:val="Heading3"/>
        <w:rPr>
          <w:szCs w:val="32"/>
        </w:rPr>
      </w:pPr>
      <w:bookmarkStart w:id="56" w:name="_Toc144385571"/>
      <w:bookmarkStart w:id="57" w:name="_Toc172099800"/>
      <w:bookmarkStart w:id="58" w:name="_Toc175906056"/>
      <w:bookmarkStart w:id="59" w:name="_Toc201309089"/>
      <w:bookmarkStart w:id="60" w:name="_Toc201310785"/>
      <w:bookmarkStart w:id="61" w:name="_Toc207287351"/>
      <w:bookmarkStart w:id="62" w:name="_Toc238653286"/>
      <w:r w:rsidRPr="0080104C">
        <w:rPr>
          <w:szCs w:val="32"/>
        </w:rPr>
        <w:t>Categorising Data Sources</w:t>
      </w:r>
      <w:bookmarkEnd w:id="56"/>
      <w:bookmarkEnd w:id="57"/>
      <w:bookmarkEnd w:id="58"/>
      <w:bookmarkEnd w:id="59"/>
      <w:bookmarkEnd w:id="60"/>
      <w:bookmarkEnd w:id="61"/>
      <w:bookmarkEnd w:id="62"/>
    </w:p>
    <w:p w14:paraId="2C9EFF58" w14:textId="6C54C22F" w:rsidR="00E71249" w:rsidRPr="00A165B4" w:rsidRDefault="00E71249" w:rsidP="00E21CEF">
      <w:pPr>
        <w:spacing w:before="120" w:after="160"/>
        <w:rPr>
          <w:lang w:eastAsia="en-AU"/>
        </w:rPr>
      </w:pPr>
      <w:r w:rsidRPr="00A165B4">
        <w:rPr>
          <w:lang w:eastAsia="en-AU"/>
        </w:rPr>
        <w:t xml:space="preserve">The PGPA Rule requires that performance measures should use sources of information and methodologies that are reliable and verifiable. This includes appropriate assurances and controls of data. Reliable and verifiable data is key to supporting advice to better inform government decisions which the department is continuously working towards. Performance statements will include categorisations of data that underpin the </w:t>
      </w:r>
      <w:r w:rsidR="0054557F">
        <w:rPr>
          <w:lang w:eastAsia="en-AU"/>
        </w:rPr>
        <w:t>d</w:t>
      </w:r>
      <w:r w:rsidRPr="00A165B4">
        <w:rPr>
          <w:lang w:eastAsia="en-AU"/>
        </w:rPr>
        <w:t>epartment’s performance measures. Data categorisations are identified as follows:</w:t>
      </w:r>
    </w:p>
    <w:tbl>
      <w:tblPr>
        <w:tblStyle w:val="TableGrid"/>
        <w:tblW w:w="9239" w:type="dxa"/>
        <w:tblLook w:val="04A0" w:firstRow="1" w:lastRow="0" w:firstColumn="1" w:lastColumn="0" w:noHBand="0" w:noVBand="1"/>
        <w:tblCaption w:val="Table 2 - A table detailing the different data sources used in this report"/>
        <w:tblDescription w:val="PS: Primary Source, generated from within the department  SS: Secondary (Government) source, data sourced from another Commonwealth or state and territory entity. TS: Other third-party source, Contracted business or service provider"/>
      </w:tblPr>
      <w:tblGrid>
        <w:gridCol w:w="2305"/>
        <w:gridCol w:w="6934"/>
      </w:tblGrid>
      <w:tr w:rsidR="00E71249" w:rsidRPr="00B963AC" w14:paraId="19F974D6" w14:textId="77777777" w:rsidTr="00496219">
        <w:trPr>
          <w:trHeight w:val="149"/>
          <w:tblHeader/>
        </w:trPr>
        <w:tc>
          <w:tcPr>
            <w:tcW w:w="2305"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6AB6A2EA" w14:textId="77777777" w:rsidR="00E71249" w:rsidRPr="00B963AC" w:rsidRDefault="00E71249" w:rsidP="00496219">
            <w:pPr>
              <w:suppressAutoHyphens/>
              <w:rPr>
                <w:rFonts w:ascii="Calibri" w:hAnsi="Calibri"/>
                <w:b/>
                <w:bCs/>
                <w:color w:val="FFFFFF" w:themeColor="background1"/>
                <w:sz w:val="20"/>
              </w:rPr>
            </w:pPr>
            <w:r w:rsidRPr="00B963AC">
              <w:rPr>
                <w:rFonts w:ascii="Calibri" w:hAnsi="Calibri"/>
                <w:b/>
                <w:bCs/>
                <w:color w:val="FFFFFF" w:themeColor="background1"/>
                <w:sz w:val="20"/>
              </w:rPr>
              <w:t>Data Source</w:t>
            </w:r>
          </w:p>
        </w:tc>
        <w:tc>
          <w:tcPr>
            <w:tcW w:w="6934"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7B94E3F0" w14:textId="77777777" w:rsidR="00E71249" w:rsidRPr="00B963AC" w:rsidRDefault="00E71249" w:rsidP="00496219">
            <w:pPr>
              <w:suppressAutoHyphens/>
              <w:rPr>
                <w:rFonts w:ascii="Calibri" w:hAnsi="Calibri"/>
                <w:b/>
                <w:bCs/>
                <w:color w:val="FFFFFF" w:themeColor="background1"/>
                <w:sz w:val="20"/>
              </w:rPr>
            </w:pPr>
            <w:r w:rsidRPr="00B963AC">
              <w:rPr>
                <w:rFonts w:ascii="Calibri" w:hAnsi="Calibri"/>
                <w:b/>
                <w:bCs/>
                <w:color w:val="FFFFFF" w:themeColor="background1"/>
                <w:sz w:val="20"/>
              </w:rPr>
              <w:t>Definition</w:t>
            </w:r>
          </w:p>
        </w:tc>
      </w:tr>
      <w:tr w:rsidR="00E71249" w:rsidRPr="00B963AC" w14:paraId="6C9FDEE1" w14:textId="77777777" w:rsidTr="00496219">
        <w:trPr>
          <w:trHeight w:val="678"/>
        </w:trPr>
        <w:tc>
          <w:tcPr>
            <w:tcW w:w="2305" w:type="dxa"/>
            <w:tcBorders>
              <w:top w:val="single" w:sz="4" w:space="0" w:color="auto"/>
              <w:left w:val="single" w:sz="4" w:space="0" w:color="auto"/>
              <w:bottom w:val="single" w:sz="4" w:space="0" w:color="auto"/>
              <w:right w:val="single" w:sz="4" w:space="0" w:color="auto"/>
            </w:tcBorders>
            <w:vAlign w:val="center"/>
            <w:hideMark/>
          </w:tcPr>
          <w:p w14:paraId="1203F8F5" w14:textId="4D36D5D4" w:rsidR="00E71249" w:rsidRPr="00B963AC" w:rsidRDefault="00E71249" w:rsidP="00496219">
            <w:pPr>
              <w:suppressAutoHyphens/>
              <w:rPr>
                <w:rFonts w:ascii="Calibri" w:hAnsi="Calibri"/>
                <w:color w:val="000000" w:themeColor="text1"/>
                <w:sz w:val="20"/>
              </w:rPr>
            </w:pPr>
            <w:r>
              <w:rPr>
                <w:noProof/>
              </w:rPr>
              <w:drawing>
                <wp:anchor distT="0" distB="0" distL="114300" distR="114300" simplePos="0" relativeHeight="251658243" behindDoc="0" locked="0" layoutInCell="1" allowOverlap="1" wp14:anchorId="3BBADE90" wp14:editId="618236B3">
                  <wp:simplePos x="0" y="0"/>
                  <wp:positionH relativeFrom="column">
                    <wp:posOffset>0</wp:posOffset>
                  </wp:positionH>
                  <wp:positionV relativeFrom="paragraph">
                    <wp:posOffset>0</wp:posOffset>
                  </wp:positionV>
                  <wp:extent cx="1219200" cy="352425"/>
                  <wp:effectExtent l="0" t="0" r="0" b="9525"/>
                  <wp:wrapNone/>
                  <wp:docPr id="431034693" name="picture" descr="'Prim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034693" name="picture" descr="'Primary Sour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19200" cy="352425"/>
                          </a:xfrm>
                          <a:prstGeom prst="rect">
                            <a:avLst/>
                          </a:prstGeom>
                        </pic:spPr>
                      </pic:pic>
                    </a:graphicData>
                  </a:graphic>
                </wp:anchor>
              </w:drawing>
            </w:r>
          </w:p>
        </w:tc>
        <w:tc>
          <w:tcPr>
            <w:tcW w:w="6934" w:type="dxa"/>
            <w:tcBorders>
              <w:top w:val="single" w:sz="4" w:space="0" w:color="auto"/>
              <w:left w:val="single" w:sz="4" w:space="0" w:color="auto"/>
              <w:bottom w:val="single" w:sz="4" w:space="0" w:color="auto"/>
              <w:right w:val="single" w:sz="4" w:space="0" w:color="auto"/>
            </w:tcBorders>
            <w:vAlign w:val="center"/>
            <w:hideMark/>
          </w:tcPr>
          <w:p w14:paraId="3D727FDC" w14:textId="77777777" w:rsidR="00E71249" w:rsidRPr="00872CA4" w:rsidRDefault="00E71249" w:rsidP="00496219">
            <w:pPr>
              <w:rPr>
                <w:rFonts w:ascii="Calibri" w:hAnsi="Calibri"/>
                <w:szCs w:val="22"/>
                <w:lang w:eastAsia="en-GB"/>
              </w:rPr>
            </w:pPr>
            <w:r w:rsidRPr="00872CA4">
              <w:rPr>
                <w:rFonts w:cstheme="minorHAnsi"/>
                <w:szCs w:val="22"/>
                <w:lang w:eastAsia="en-GB"/>
              </w:rPr>
              <w:t>Generated from within the department</w:t>
            </w:r>
            <w:r w:rsidRPr="00872CA4">
              <w:rPr>
                <w:rFonts w:ascii="Calibri" w:hAnsi="Calibri"/>
                <w:szCs w:val="22"/>
                <w:lang w:eastAsia="en-GB"/>
              </w:rPr>
              <w:t>.</w:t>
            </w:r>
          </w:p>
        </w:tc>
      </w:tr>
      <w:tr w:rsidR="00E71249" w:rsidRPr="00B963AC" w14:paraId="0A389FF2" w14:textId="77777777" w:rsidTr="00496219">
        <w:trPr>
          <w:trHeight w:val="786"/>
        </w:trPr>
        <w:tc>
          <w:tcPr>
            <w:tcW w:w="2305" w:type="dxa"/>
            <w:tcBorders>
              <w:top w:val="single" w:sz="4" w:space="0" w:color="auto"/>
              <w:left w:val="single" w:sz="4" w:space="0" w:color="auto"/>
              <w:bottom w:val="single" w:sz="4" w:space="0" w:color="auto"/>
              <w:right w:val="single" w:sz="4" w:space="0" w:color="auto"/>
            </w:tcBorders>
            <w:vAlign w:val="center"/>
            <w:hideMark/>
          </w:tcPr>
          <w:p w14:paraId="4C365446" w14:textId="141AB6EC" w:rsidR="00E71249" w:rsidRPr="00B963AC" w:rsidRDefault="00E71249" w:rsidP="00496219">
            <w:pPr>
              <w:suppressAutoHyphens/>
              <w:rPr>
                <w:rFonts w:ascii="Calibri" w:hAnsi="Calibri"/>
                <w:sz w:val="20"/>
                <w:lang w:eastAsia="en-GB"/>
              </w:rPr>
            </w:pPr>
            <w:r>
              <w:rPr>
                <w:noProof/>
              </w:rPr>
              <w:drawing>
                <wp:anchor distT="0" distB="0" distL="114300" distR="114300" simplePos="0" relativeHeight="251658244" behindDoc="0" locked="0" layoutInCell="1" allowOverlap="1" wp14:anchorId="11EB5DCE" wp14:editId="7AFC5264">
                  <wp:simplePos x="0" y="0"/>
                  <wp:positionH relativeFrom="column">
                    <wp:posOffset>0</wp:posOffset>
                  </wp:positionH>
                  <wp:positionV relativeFrom="paragraph">
                    <wp:posOffset>-1905</wp:posOffset>
                  </wp:positionV>
                  <wp:extent cx="1209675" cy="352425"/>
                  <wp:effectExtent l="0" t="0" r="9525" b="9525"/>
                  <wp:wrapNone/>
                  <wp:docPr id="1745182125" name="picture" descr="Second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182125" name="picture" descr="Secondary Sour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9675" cy="352425"/>
                          </a:xfrm>
                          <a:prstGeom prst="rect">
                            <a:avLst/>
                          </a:prstGeom>
                        </pic:spPr>
                      </pic:pic>
                    </a:graphicData>
                  </a:graphic>
                </wp:anchor>
              </w:drawing>
            </w:r>
          </w:p>
        </w:tc>
        <w:tc>
          <w:tcPr>
            <w:tcW w:w="6934" w:type="dxa"/>
            <w:tcBorders>
              <w:top w:val="single" w:sz="4" w:space="0" w:color="auto"/>
              <w:left w:val="single" w:sz="4" w:space="0" w:color="auto"/>
              <w:bottom w:val="single" w:sz="4" w:space="0" w:color="auto"/>
              <w:right w:val="single" w:sz="4" w:space="0" w:color="auto"/>
            </w:tcBorders>
            <w:vAlign w:val="center"/>
            <w:hideMark/>
          </w:tcPr>
          <w:p w14:paraId="5B4BE90E" w14:textId="77777777" w:rsidR="00E71249" w:rsidRPr="00B963AC" w:rsidRDefault="00E71249" w:rsidP="00496219">
            <w:pPr>
              <w:rPr>
                <w:rFonts w:ascii="Calibri" w:hAnsi="Calibri"/>
                <w:sz w:val="20"/>
                <w:lang w:eastAsia="en-GB"/>
              </w:rPr>
            </w:pPr>
            <w:r w:rsidRPr="00872CA4">
              <w:rPr>
                <w:rFonts w:cstheme="minorHAnsi"/>
                <w:szCs w:val="22"/>
                <w:lang w:eastAsia="en-GB"/>
              </w:rPr>
              <w:t>Data sourced from another Commonwealth or state and territory entity</w:t>
            </w:r>
            <w:r w:rsidRPr="00B963AC">
              <w:rPr>
                <w:rFonts w:ascii="Calibri" w:hAnsi="Calibri"/>
                <w:sz w:val="20"/>
                <w:lang w:eastAsia="en-GB"/>
              </w:rPr>
              <w:t>.</w:t>
            </w:r>
          </w:p>
        </w:tc>
      </w:tr>
      <w:tr w:rsidR="00E71249" w:rsidRPr="00B963AC" w14:paraId="7535E0EC" w14:textId="77777777" w:rsidTr="00496219">
        <w:trPr>
          <w:trHeight w:val="721"/>
        </w:trPr>
        <w:tc>
          <w:tcPr>
            <w:tcW w:w="2305" w:type="dxa"/>
            <w:tcBorders>
              <w:top w:val="single" w:sz="4" w:space="0" w:color="auto"/>
              <w:left w:val="single" w:sz="4" w:space="0" w:color="auto"/>
              <w:bottom w:val="single" w:sz="4" w:space="0" w:color="auto"/>
              <w:right w:val="single" w:sz="4" w:space="0" w:color="auto"/>
            </w:tcBorders>
            <w:vAlign w:val="center"/>
            <w:hideMark/>
          </w:tcPr>
          <w:p w14:paraId="395CC2EF" w14:textId="787D926F" w:rsidR="00E71249" w:rsidRPr="00B963AC" w:rsidRDefault="00E71249" w:rsidP="00496219">
            <w:pPr>
              <w:rPr>
                <w:rFonts w:ascii="Calibri" w:hAnsi="Calibri"/>
                <w:sz w:val="20"/>
                <w:lang w:eastAsia="en-GB"/>
              </w:rPr>
            </w:pPr>
            <w:r>
              <w:rPr>
                <w:noProof/>
              </w:rPr>
              <w:drawing>
                <wp:anchor distT="0" distB="0" distL="114300" distR="114300" simplePos="0" relativeHeight="251658245" behindDoc="0" locked="0" layoutInCell="1" allowOverlap="1" wp14:anchorId="2DE4F182" wp14:editId="58FD1DB9">
                  <wp:simplePos x="0" y="0"/>
                  <wp:positionH relativeFrom="column">
                    <wp:posOffset>419</wp:posOffset>
                  </wp:positionH>
                  <wp:positionV relativeFrom="paragraph">
                    <wp:posOffset>-1307</wp:posOffset>
                  </wp:positionV>
                  <wp:extent cx="1209675" cy="352425"/>
                  <wp:effectExtent l="0" t="0" r="9525" b="9525"/>
                  <wp:wrapNone/>
                  <wp:docPr id="259768524" name="picture" descr="'Terti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768524" name="picture" descr="'Tertiary Sour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09675" cy="352425"/>
                          </a:xfrm>
                          <a:prstGeom prst="rect">
                            <a:avLst/>
                          </a:prstGeom>
                        </pic:spPr>
                      </pic:pic>
                    </a:graphicData>
                  </a:graphic>
                </wp:anchor>
              </w:drawing>
            </w:r>
          </w:p>
        </w:tc>
        <w:tc>
          <w:tcPr>
            <w:tcW w:w="6934" w:type="dxa"/>
            <w:tcBorders>
              <w:top w:val="single" w:sz="4" w:space="0" w:color="auto"/>
              <w:left w:val="single" w:sz="4" w:space="0" w:color="auto"/>
              <w:bottom w:val="single" w:sz="4" w:space="0" w:color="auto"/>
              <w:right w:val="single" w:sz="4" w:space="0" w:color="auto"/>
            </w:tcBorders>
            <w:vAlign w:val="center"/>
            <w:hideMark/>
          </w:tcPr>
          <w:p w14:paraId="36AF1142" w14:textId="77777777" w:rsidR="00E71249" w:rsidRPr="00B963AC" w:rsidRDefault="00E71249" w:rsidP="00496219">
            <w:pPr>
              <w:rPr>
                <w:rFonts w:ascii="Calibri" w:hAnsi="Calibri"/>
                <w:sz w:val="20"/>
                <w:lang w:eastAsia="en-GB"/>
              </w:rPr>
            </w:pPr>
            <w:r w:rsidRPr="00872CA4">
              <w:rPr>
                <w:rFonts w:cstheme="minorHAnsi"/>
                <w:szCs w:val="22"/>
                <w:lang w:eastAsia="en-GB"/>
              </w:rPr>
              <w:t>Contracted business or service provider</w:t>
            </w:r>
            <w:r w:rsidRPr="00B963AC">
              <w:rPr>
                <w:rFonts w:ascii="Calibri" w:hAnsi="Calibri"/>
                <w:sz w:val="20"/>
                <w:lang w:eastAsia="en-GB"/>
              </w:rPr>
              <w:t>.</w:t>
            </w:r>
          </w:p>
        </w:tc>
      </w:tr>
    </w:tbl>
    <w:p w14:paraId="2F02B6AC" w14:textId="77777777" w:rsidR="00E71249" w:rsidRPr="00B963AC" w:rsidRDefault="00E71249" w:rsidP="00E71249">
      <w:pPr>
        <w:spacing w:line="256" w:lineRule="auto"/>
        <w:rPr>
          <w:rFonts w:ascii="Calibri" w:hAnsi="Calibri"/>
          <w:sz w:val="8"/>
          <w:szCs w:val="8"/>
          <w:lang w:eastAsia="en-AU"/>
        </w:rPr>
      </w:pPr>
    </w:p>
    <w:tbl>
      <w:tblPr>
        <w:tblStyle w:val="TableGrid"/>
        <w:tblW w:w="9216" w:type="dxa"/>
        <w:tblLook w:val="04A0" w:firstRow="1" w:lastRow="0" w:firstColumn="1" w:lastColumn="0" w:noHBand="0" w:noVBand="1"/>
        <w:tblCaption w:val="Table 3 - A table detailing the different tiers of assurances used in this report"/>
        <w:tblDescription w:val="Tier 1: The department has assurances over this data. Tier 2: The data is sourced from a third part. The department has some controls in place which assure this data, for example an agreement with the data provider outlining data quality expectations or data is supported by a quality statement. Tier 3: Data is sourced from a third party, such as a contracted business or service provider. The department has minimal mechanisms by which to assure the data reported by the third party."/>
      </w:tblPr>
      <w:tblGrid>
        <w:gridCol w:w="2264"/>
        <w:gridCol w:w="6952"/>
      </w:tblGrid>
      <w:tr w:rsidR="00E71249" w:rsidRPr="00B963AC" w14:paraId="4F10E166" w14:textId="77777777" w:rsidTr="00496219">
        <w:trPr>
          <w:trHeight w:val="241"/>
        </w:trPr>
        <w:tc>
          <w:tcPr>
            <w:tcW w:w="2264" w:type="dxa"/>
            <w:tcBorders>
              <w:top w:val="single" w:sz="4" w:space="0" w:color="auto"/>
              <w:left w:val="single" w:sz="4" w:space="0" w:color="auto"/>
              <w:bottom w:val="single" w:sz="4" w:space="0" w:color="auto"/>
              <w:right w:val="single" w:sz="4" w:space="0" w:color="auto"/>
            </w:tcBorders>
            <w:shd w:val="clear" w:color="auto" w:fill="005A70"/>
            <w:hideMark/>
          </w:tcPr>
          <w:p w14:paraId="16269E8F" w14:textId="77777777" w:rsidR="00E71249" w:rsidRPr="00B963AC" w:rsidRDefault="00E71249" w:rsidP="00496219">
            <w:pPr>
              <w:suppressAutoHyphens/>
              <w:jc w:val="both"/>
              <w:rPr>
                <w:rFonts w:ascii="Calibri" w:hAnsi="Calibri"/>
                <w:b/>
                <w:bCs/>
                <w:color w:val="FFFFFF" w:themeColor="background1"/>
                <w:sz w:val="20"/>
              </w:rPr>
            </w:pPr>
            <w:r w:rsidRPr="00B963AC">
              <w:rPr>
                <w:rFonts w:ascii="Calibri" w:hAnsi="Calibri"/>
                <w:b/>
                <w:bCs/>
                <w:color w:val="FFFFFF" w:themeColor="background1"/>
                <w:sz w:val="20"/>
              </w:rPr>
              <w:t>Assurance</w:t>
            </w:r>
          </w:p>
        </w:tc>
        <w:tc>
          <w:tcPr>
            <w:tcW w:w="6952" w:type="dxa"/>
            <w:tcBorders>
              <w:top w:val="single" w:sz="4" w:space="0" w:color="auto"/>
              <w:left w:val="single" w:sz="4" w:space="0" w:color="auto"/>
              <w:bottom w:val="single" w:sz="4" w:space="0" w:color="auto"/>
              <w:right w:val="single" w:sz="4" w:space="0" w:color="auto"/>
            </w:tcBorders>
            <w:shd w:val="clear" w:color="auto" w:fill="005A70"/>
            <w:hideMark/>
          </w:tcPr>
          <w:p w14:paraId="629D7EA8" w14:textId="77777777" w:rsidR="00E71249" w:rsidRPr="00B963AC" w:rsidRDefault="00E71249" w:rsidP="00496219">
            <w:pPr>
              <w:suppressAutoHyphens/>
              <w:jc w:val="both"/>
              <w:rPr>
                <w:rFonts w:ascii="Calibri" w:hAnsi="Calibri"/>
                <w:b/>
                <w:bCs/>
                <w:color w:val="FFFFFF" w:themeColor="background1"/>
                <w:sz w:val="20"/>
              </w:rPr>
            </w:pPr>
            <w:r w:rsidRPr="00B963AC">
              <w:rPr>
                <w:rFonts w:ascii="Calibri" w:hAnsi="Calibri"/>
                <w:b/>
                <w:bCs/>
                <w:color w:val="FFFFFF" w:themeColor="background1"/>
                <w:sz w:val="20"/>
              </w:rPr>
              <w:t>Definition</w:t>
            </w:r>
          </w:p>
        </w:tc>
      </w:tr>
      <w:tr w:rsidR="00E71249" w:rsidRPr="00B963AC" w14:paraId="590A4B83" w14:textId="77777777" w:rsidTr="00496219">
        <w:trPr>
          <w:trHeight w:val="784"/>
        </w:trPr>
        <w:tc>
          <w:tcPr>
            <w:tcW w:w="2264" w:type="dxa"/>
            <w:tcBorders>
              <w:top w:val="single" w:sz="4" w:space="0" w:color="auto"/>
              <w:left w:val="single" w:sz="4" w:space="0" w:color="auto"/>
              <w:bottom w:val="single" w:sz="4" w:space="0" w:color="auto"/>
              <w:right w:val="single" w:sz="4" w:space="0" w:color="auto"/>
            </w:tcBorders>
            <w:vAlign w:val="center"/>
            <w:hideMark/>
          </w:tcPr>
          <w:p w14:paraId="55A3F53F" w14:textId="77777777" w:rsidR="00E71249" w:rsidRPr="00B963AC" w:rsidRDefault="00E71249" w:rsidP="00496219">
            <w:pPr>
              <w:suppressAutoHyphens/>
              <w:rPr>
                <w:rFonts w:ascii="Calibri" w:hAnsi="Calibri"/>
                <w:color w:val="000000" w:themeColor="text1"/>
                <w:sz w:val="20"/>
              </w:rPr>
            </w:pPr>
            <w:r>
              <w:rPr>
                <w:noProof/>
              </w:rPr>
              <w:drawing>
                <wp:anchor distT="0" distB="0" distL="114300" distR="114300" simplePos="0" relativeHeight="251658246" behindDoc="0" locked="0" layoutInCell="1" allowOverlap="1" wp14:anchorId="1BCAA983" wp14:editId="01D24D8C">
                  <wp:simplePos x="0" y="0"/>
                  <wp:positionH relativeFrom="column">
                    <wp:posOffset>419</wp:posOffset>
                  </wp:positionH>
                  <wp:positionV relativeFrom="paragraph">
                    <wp:posOffset>14494</wp:posOffset>
                  </wp:positionV>
                  <wp:extent cx="885825" cy="342900"/>
                  <wp:effectExtent l="0" t="0" r="9525" b="0"/>
                  <wp:wrapNone/>
                  <wp:docPr id="1390865357" name="picture" descr="'Ti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65357" name="picture" descr="'Tier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5825" cy="342900"/>
                          </a:xfrm>
                          <a:prstGeom prst="rect">
                            <a:avLst/>
                          </a:prstGeom>
                        </pic:spPr>
                      </pic:pic>
                    </a:graphicData>
                  </a:graphic>
                </wp:anchor>
              </w:drawing>
            </w:r>
          </w:p>
        </w:tc>
        <w:tc>
          <w:tcPr>
            <w:tcW w:w="6952" w:type="dxa"/>
            <w:tcBorders>
              <w:top w:val="single" w:sz="4" w:space="0" w:color="auto"/>
              <w:left w:val="single" w:sz="4" w:space="0" w:color="auto"/>
              <w:bottom w:val="single" w:sz="4" w:space="0" w:color="auto"/>
              <w:right w:val="single" w:sz="4" w:space="0" w:color="auto"/>
            </w:tcBorders>
            <w:vAlign w:val="center"/>
            <w:hideMark/>
          </w:tcPr>
          <w:p w14:paraId="0E046102" w14:textId="77777777" w:rsidR="00E71249" w:rsidRPr="00B963AC" w:rsidRDefault="00E71249" w:rsidP="00496219">
            <w:pPr>
              <w:rPr>
                <w:rFonts w:ascii="Calibri" w:hAnsi="Calibri"/>
                <w:sz w:val="20"/>
              </w:rPr>
            </w:pPr>
            <w:r w:rsidRPr="00872CA4">
              <w:rPr>
                <w:rFonts w:cstheme="minorHAnsi"/>
                <w:szCs w:val="22"/>
                <w:lang w:eastAsia="en-GB"/>
              </w:rPr>
              <w:t>The department has assurances over this data.</w:t>
            </w:r>
          </w:p>
        </w:tc>
      </w:tr>
      <w:tr w:rsidR="00E71249" w:rsidRPr="00B963AC" w14:paraId="6AFCE458" w14:textId="77777777" w:rsidTr="00496219">
        <w:trPr>
          <w:trHeight w:val="970"/>
        </w:trPr>
        <w:tc>
          <w:tcPr>
            <w:tcW w:w="2264" w:type="dxa"/>
            <w:tcBorders>
              <w:top w:val="single" w:sz="4" w:space="0" w:color="auto"/>
              <w:left w:val="single" w:sz="4" w:space="0" w:color="auto"/>
              <w:bottom w:val="single" w:sz="4" w:space="0" w:color="auto"/>
              <w:right w:val="single" w:sz="4" w:space="0" w:color="auto"/>
            </w:tcBorders>
            <w:vAlign w:val="center"/>
            <w:hideMark/>
          </w:tcPr>
          <w:p w14:paraId="7AFFCCDC" w14:textId="77777777" w:rsidR="00E71249" w:rsidRPr="00B963AC" w:rsidRDefault="00E71249" w:rsidP="00496219">
            <w:pPr>
              <w:suppressAutoHyphens/>
              <w:rPr>
                <w:rFonts w:ascii="Calibri" w:hAnsi="Calibri"/>
                <w:color w:val="000000" w:themeColor="text1"/>
                <w:sz w:val="20"/>
              </w:rPr>
            </w:pPr>
            <w:r>
              <w:rPr>
                <w:noProof/>
              </w:rPr>
              <w:drawing>
                <wp:anchor distT="0" distB="0" distL="114300" distR="114300" simplePos="0" relativeHeight="251658247" behindDoc="0" locked="0" layoutInCell="1" allowOverlap="1" wp14:anchorId="4BAEA012" wp14:editId="42EBBD1D">
                  <wp:simplePos x="0" y="0"/>
                  <wp:positionH relativeFrom="column">
                    <wp:posOffset>6350</wp:posOffset>
                  </wp:positionH>
                  <wp:positionV relativeFrom="paragraph">
                    <wp:posOffset>6350</wp:posOffset>
                  </wp:positionV>
                  <wp:extent cx="885825" cy="342900"/>
                  <wp:effectExtent l="0" t="0" r="9525" b="0"/>
                  <wp:wrapNone/>
                  <wp:docPr id="427968040" name="picture" descr="'Ti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68040" name="picture" descr="'Tier 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85825" cy="342900"/>
                          </a:xfrm>
                          <a:prstGeom prst="rect">
                            <a:avLst/>
                          </a:prstGeom>
                        </pic:spPr>
                      </pic:pic>
                    </a:graphicData>
                  </a:graphic>
                  <wp14:sizeRelH relativeFrom="margin">
                    <wp14:pctWidth>0</wp14:pctWidth>
                  </wp14:sizeRelH>
                  <wp14:sizeRelV relativeFrom="margin">
                    <wp14:pctHeight>0</wp14:pctHeight>
                  </wp14:sizeRelV>
                </wp:anchor>
              </w:drawing>
            </w:r>
          </w:p>
        </w:tc>
        <w:tc>
          <w:tcPr>
            <w:tcW w:w="6952" w:type="dxa"/>
            <w:tcBorders>
              <w:top w:val="single" w:sz="4" w:space="0" w:color="auto"/>
              <w:left w:val="single" w:sz="4" w:space="0" w:color="auto"/>
              <w:bottom w:val="single" w:sz="4" w:space="0" w:color="auto"/>
              <w:right w:val="single" w:sz="4" w:space="0" w:color="auto"/>
            </w:tcBorders>
            <w:vAlign w:val="center"/>
            <w:hideMark/>
          </w:tcPr>
          <w:p w14:paraId="4262FFD2" w14:textId="77777777" w:rsidR="00E71249" w:rsidRPr="00865318" w:rsidRDefault="00E71249" w:rsidP="00496219">
            <w:pPr>
              <w:rPr>
                <w:rFonts w:cstheme="minorHAnsi"/>
                <w:sz w:val="20"/>
              </w:rPr>
            </w:pPr>
            <w:r w:rsidRPr="00872CA4">
              <w:rPr>
                <w:rFonts w:cstheme="minorHAnsi"/>
                <w:szCs w:val="22"/>
                <w:lang w:eastAsia="en-GB"/>
              </w:rPr>
              <w:t>The data is sourced from a third party. The department has some controls in place which assure this data, for example an agreement with the data provider outlining data quality expectations or data is supported by a quality statement.</w:t>
            </w:r>
          </w:p>
        </w:tc>
      </w:tr>
      <w:tr w:rsidR="00E71249" w:rsidRPr="00B963AC" w14:paraId="40125F92" w14:textId="77777777" w:rsidTr="00496219">
        <w:trPr>
          <w:trHeight w:val="970"/>
        </w:trPr>
        <w:tc>
          <w:tcPr>
            <w:tcW w:w="2264" w:type="dxa"/>
            <w:tcBorders>
              <w:top w:val="single" w:sz="4" w:space="0" w:color="auto"/>
              <w:left w:val="single" w:sz="4" w:space="0" w:color="auto"/>
              <w:bottom w:val="single" w:sz="4" w:space="0" w:color="auto"/>
              <w:right w:val="single" w:sz="4" w:space="0" w:color="auto"/>
            </w:tcBorders>
            <w:vAlign w:val="center"/>
            <w:hideMark/>
          </w:tcPr>
          <w:p w14:paraId="02D0E1A2" w14:textId="77777777" w:rsidR="00E71249" w:rsidRPr="00B963AC" w:rsidRDefault="00E71249" w:rsidP="00496219">
            <w:pPr>
              <w:suppressAutoHyphens/>
              <w:rPr>
                <w:rFonts w:ascii="Calibri" w:hAnsi="Calibri"/>
                <w:color w:val="000000" w:themeColor="text1"/>
                <w:sz w:val="20"/>
              </w:rPr>
            </w:pPr>
            <w:r>
              <w:rPr>
                <w:noProof/>
              </w:rPr>
              <w:drawing>
                <wp:anchor distT="0" distB="0" distL="114300" distR="114300" simplePos="0" relativeHeight="251658248" behindDoc="0" locked="0" layoutInCell="1" allowOverlap="1" wp14:anchorId="76185EAB" wp14:editId="53364B2C">
                  <wp:simplePos x="0" y="0"/>
                  <wp:positionH relativeFrom="column">
                    <wp:posOffset>419</wp:posOffset>
                  </wp:positionH>
                  <wp:positionV relativeFrom="paragraph">
                    <wp:posOffset>77988</wp:posOffset>
                  </wp:positionV>
                  <wp:extent cx="885825" cy="342900"/>
                  <wp:effectExtent l="0" t="0" r="9525" b="0"/>
                  <wp:wrapNone/>
                  <wp:docPr id="1107410931" name="picture" descr="'Ti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410931" name="picture" descr="'Tier 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85825" cy="342900"/>
                          </a:xfrm>
                          <a:prstGeom prst="rect">
                            <a:avLst/>
                          </a:prstGeom>
                        </pic:spPr>
                      </pic:pic>
                    </a:graphicData>
                  </a:graphic>
                </wp:anchor>
              </w:drawing>
            </w:r>
          </w:p>
        </w:tc>
        <w:tc>
          <w:tcPr>
            <w:tcW w:w="6952" w:type="dxa"/>
            <w:tcBorders>
              <w:top w:val="single" w:sz="4" w:space="0" w:color="auto"/>
              <w:left w:val="single" w:sz="4" w:space="0" w:color="auto"/>
              <w:bottom w:val="single" w:sz="4" w:space="0" w:color="auto"/>
              <w:right w:val="single" w:sz="4" w:space="0" w:color="auto"/>
            </w:tcBorders>
            <w:vAlign w:val="center"/>
            <w:hideMark/>
          </w:tcPr>
          <w:p w14:paraId="226CB96D" w14:textId="0AAA6403" w:rsidR="00E71249" w:rsidRPr="00865318" w:rsidRDefault="00E71249" w:rsidP="00496219">
            <w:pPr>
              <w:rPr>
                <w:rFonts w:cstheme="minorHAnsi"/>
                <w:sz w:val="20"/>
              </w:rPr>
            </w:pPr>
            <w:r w:rsidRPr="00872CA4">
              <w:rPr>
                <w:rFonts w:cstheme="minorHAnsi"/>
                <w:szCs w:val="22"/>
                <w:lang w:eastAsia="en-GB"/>
              </w:rPr>
              <w:t xml:space="preserve">Data is sourced from a third party, such as a contracted business or service provider. The </w:t>
            </w:r>
            <w:r w:rsidR="0054557F">
              <w:rPr>
                <w:rFonts w:cstheme="minorHAnsi"/>
                <w:szCs w:val="22"/>
                <w:lang w:eastAsia="en-GB"/>
              </w:rPr>
              <w:t>d</w:t>
            </w:r>
            <w:r w:rsidRPr="00872CA4">
              <w:rPr>
                <w:rFonts w:cstheme="minorHAnsi"/>
                <w:szCs w:val="22"/>
                <w:lang w:eastAsia="en-GB"/>
              </w:rPr>
              <w:t>epartment has minimal mechanisms by which to assure the data reported by the third party.</w:t>
            </w:r>
          </w:p>
        </w:tc>
      </w:tr>
    </w:tbl>
    <w:p w14:paraId="1BE92DC5" w14:textId="77777777" w:rsidR="00E71249" w:rsidRPr="00B963AC" w:rsidRDefault="00E71249" w:rsidP="00E71249"/>
    <w:p w14:paraId="5B8DAE37" w14:textId="77777777" w:rsidR="00E71249" w:rsidRPr="007300EE" w:rsidRDefault="00E71249" w:rsidP="007300EE">
      <w:pPr>
        <w:pStyle w:val="Heading3"/>
        <w:spacing w:before="240" w:after="120"/>
        <w:rPr>
          <w:sz w:val="40"/>
          <w:szCs w:val="40"/>
          <w:lang w:eastAsia="en-AU"/>
        </w:rPr>
      </w:pPr>
      <w:bookmarkStart w:id="63" w:name="_Toc77593299"/>
      <w:bookmarkStart w:id="64" w:name="_Toc111026123"/>
      <w:bookmarkStart w:id="65" w:name="_Toc172099801"/>
      <w:bookmarkStart w:id="66" w:name="_Toc175906057"/>
      <w:bookmarkStart w:id="67" w:name="_Toc201309090"/>
      <w:bookmarkStart w:id="68" w:name="_Toc201310786"/>
      <w:bookmarkStart w:id="69" w:name="_Toc207287353"/>
      <w:bookmarkStart w:id="70" w:name="_Toc238653287"/>
      <w:r w:rsidRPr="007300EE">
        <w:rPr>
          <w:sz w:val="40"/>
          <w:szCs w:val="40"/>
          <w:lang w:eastAsia="en-AU"/>
        </w:rPr>
        <w:lastRenderedPageBreak/>
        <w:t>Outcome 1: Social Security</w:t>
      </w:r>
      <w:bookmarkEnd w:id="63"/>
      <w:bookmarkEnd w:id="64"/>
      <w:bookmarkEnd w:id="65"/>
      <w:bookmarkEnd w:id="66"/>
      <w:bookmarkEnd w:id="67"/>
      <w:bookmarkEnd w:id="68"/>
      <w:bookmarkEnd w:id="69"/>
      <w:bookmarkEnd w:id="70"/>
    </w:p>
    <w:p w14:paraId="6561510A" w14:textId="6533EF2D" w:rsidR="00E71249" w:rsidRPr="0080104C" w:rsidRDefault="00E71249" w:rsidP="0080104C">
      <w:pPr>
        <w:pStyle w:val="Heading4"/>
        <w:rPr>
          <w:sz w:val="22"/>
          <w:szCs w:val="22"/>
        </w:rPr>
      </w:pPr>
      <w:bookmarkStart w:id="71" w:name="_Toc77593301"/>
      <w:bookmarkStart w:id="72" w:name="_Toc111026124"/>
      <w:bookmarkStart w:id="73" w:name="_Toc172099802"/>
      <w:bookmarkStart w:id="74" w:name="_Toc175906058"/>
      <w:bookmarkStart w:id="75" w:name="_Toc201309091"/>
      <w:bookmarkStart w:id="76" w:name="_Toc201310787"/>
      <w:bookmarkStart w:id="77" w:name="_Toc207287354"/>
      <w:r w:rsidRPr="0080104C">
        <w:rPr>
          <w:sz w:val="22"/>
          <w:szCs w:val="22"/>
        </w:rPr>
        <w:t>Programs and activities</w:t>
      </w:r>
      <w:bookmarkEnd w:id="71"/>
      <w:bookmarkEnd w:id="72"/>
      <w:bookmarkEnd w:id="73"/>
      <w:bookmarkEnd w:id="74"/>
      <w:bookmarkEnd w:id="75"/>
      <w:bookmarkEnd w:id="76"/>
      <w:bookmarkEnd w:id="77"/>
    </w:p>
    <w:p w14:paraId="616EDD66" w14:textId="77777777" w:rsidR="00E71249" w:rsidRPr="00A165B4" w:rsidRDefault="00E71249" w:rsidP="007300EE">
      <w:pPr>
        <w:spacing w:before="120" w:after="160"/>
        <w:rPr>
          <w:lang w:eastAsia="en-AU"/>
        </w:rPr>
      </w:pPr>
      <w:r w:rsidRPr="00A165B4">
        <w:rPr>
          <w:lang w:eastAsia="en-AU"/>
        </w:rPr>
        <w:t xml:space="preserve">Outcome 1 comprises </w:t>
      </w:r>
      <w:r>
        <w:rPr>
          <w:lang w:eastAsia="en-AU"/>
        </w:rPr>
        <w:t>9</w:t>
      </w:r>
      <w:r w:rsidRPr="00A165B4">
        <w:rPr>
          <w:lang w:eastAsia="en-AU"/>
        </w:rPr>
        <w:t xml:space="preserve"> programs and </w:t>
      </w:r>
      <w:proofErr w:type="gramStart"/>
      <w:r w:rsidRPr="00A165B4">
        <w:rPr>
          <w:lang w:eastAsia="en-AU"/>
        </w:rPr>
        <w:t>a number of</w:t>
      </w:r>
      <w:proofErr w:type="gramEnd"/>
      <w:r w:rsidRPr="00A165B4">
        <w:rPr>
          <w:lang w:eastAsia="en-AU"/>
        </w:rPr>
        <w:t xml:space="preserve"> activities, all of which contribute to achieving the social security outcome.</w:t>
      </w:r>
    </w:p>
    <w:p w14:paraId="75307A0D" w14:textId="77777777" w:rsidR="00E71249" w:rsidRPr="00A165B4" w:rsidRDefault="00E71249" w:rsidP="007300EE">
      <w:pPr>
        <w:spacing w:before="120" w:after="160"/>
        <w:rPr>
          <w:lang w:eastAsia="en-AU"/>
        </w:rPr>
      </w:pPr>
      <w:r w:rsidRPr="00A165B4">
        <w:rPr>
          <w:lang w:eastAsia="en-AU"/>
        </w:rPr>
        <w:t>An in-depth description of each of the activities, performance measures, targets, rationale, methodology and outputs are in the Performance Tables Section on the pages that follow.</w:t>
      </w:r>
    </w:p>
    <w:p w14:paraId="5FC7496B" w14:textId="77777777" w:rsidR="00E71249" w:rsidRPr="00DD6FA0" w:rsidRDefault="00E71249" w:rsidP="00DD6FA0">
      <w:pPr>
        <w:pStyle w:val="Heading3"/>
        <w:shd w:val="clear" w:color="auto" w:fill="005A70" w:themeFill="accent1"/>
        <w:rPr>
          <w:rFonts w:asciiTheme="minorHAnsi" w:hAnsiTheme="minorHAnsi" w:cstheme="minorHAnsi"/>
          <w:b/>
          <w:bCs w:val="0"/>
          <w:color w:val="FFFFFF" w:themeColor="background1"/>
          <w:sz w:val="22"/>
          <w:szCs w:val="22"/>
          <w:lang w:eastAsia="en-AU"/>
        </w:rPr>
      </w:pPr>
      <w:bookmarkStart w:id="78" w:name="_Toc238653288"/>
      <w:r w:rsidRPr="00DD6FA0">
        <w:rPr>
          <w:rFonts w:asciiTheme="minorHAnsi" w:hAnsiTheme="minorHAnsi" w:cstheme="minorHAnsi"/>
          <w:b/>
          <w:bCs w:val="0"/>
          <w:color w:val="FFFFFF" w:themeColor="background1"/>
          <w:sz w:val="22"/>
          <w:szCs w:val="22"/>
          <w:lang w:eastAsia="en-AU"/>
        </w:rPr>
        <w:t>Outcome 1 – Social Security</w:t>
      </w:r>
      <w:bookmarkEnd w:id="78"/>
    </w:p>
    <w:p w14:paraId="7B588215" w14:textId="77777777" w:rsidR="00E71249" w:rsidRPr="00B963AC" w:rsidRDefault="00E71249" w:rsidP="00E71249">
      <w:pPr>
        <w:shd w:val="clear" w:color="auto" w:fill="005A70"/>
        <w:spacing w:before="120" w:after="120" w:line="254" w:lineRule="auto"/>
        <w:rPr>
          <w:rFonts w:cstheme="minorHAnsi"/>
          <w:color w:val="FFFFFF" w:themeColor="background1"/>
          <w:bdr w:val="none" w:sz="0" w:space="0" w:color="auto" w:frame="1"/>
          <w:lang w:eastAsia="en-AU"/>
        </w:rPr>
      </w:pPr>
      <w:r w:rsidRPr="006D1732">
        <w:rPr>
          <w:rFonts w:cstheme="minorHAnsi"/>
          <w:color w:val="FFFFFF" w:themeColor="background1"/>
          <w:bdr w:val="none" w:sz="0" w:space="0" w:color="auto" w:frame="1"/>
          <w:lang w:eastAsia="en-AU"/>
        </w:rPr>
        <w:t>Support the financial wellbeing and self-sufficiency of people when they cannot fully support themselves, by providing targeted payments and assistance through the social security system, and disability employment services.</w:t>
      </w:r>
    </w:p>
    <w:tbl>
      <w:tblPr>
        <w:tblStyle w:val="Numericaltable1"/>
        <w:tblW w:w="5000" w:type="pct"/>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Caption w:val="Table 4 - Outcome 1 - Social Security"/>
        <w:tblDescription w:val="A table detailing Outcome 1's 9 Programs and the associated key activities that Outcome 1 comprises of.&#10;&#10;"/>
      </w:tblPr>
      <w:tblGrid>
        <w:gridCol w:w="2550"/>
        <w:gridCol w:w="2546"/>
        <w:gridCol w:w="2546"/>
        <w:gridCol w:w="2542"/>
      </w:tblGrid>
      <w:tr w:rsidR="00E71249" w:rsidRPr="00B963AC" w14:paraId="0069D005" w14:textId="77777777" w:rsidTr="00496219">
        <w:trPr>
          <w:tblHeader/>
        </w:trPr>
        <w:tc>
          <w:tcPr>
            <w:tcW w:w="125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A70"/>
            <w:hideMark/>
          </w:tcPr>
          <w:p w14:paraId="0D835545" w14:textId="77777777" w:rsidR="00E71249" w:rsidRPr="00B963AC" w:rsidRDefault="00E71249" w:rsidP="00496219">
            <w:pPr>
              <w:spacing w:before="120" w:after="120" w:line="254" w:lineRule="auto"/>
              <w:jc w:val="center"/>
              <w:rPr>
                <w:rFonts w:asciiTheme="minorHAnsi" w:hAnsiTheme="minorHAnsi" w:cstheme="minorHAnsi"/>
                <w:b/>
                <w:color w:val="FFFFFF" w:themeColor="background1"/>
                <w:szCs w:val="22"/>
              </w:rPr>
            </w:pPr>
            <w:r w:rsidRPr="00B963AC">
              <w:rPr>
                <w:rFonts w:asciiTheme="minorHAnsi" w:hAnsiTheme="minorHAnsi" w:cstheme="minorHAnsi"/>
                <w:b/>
                <w:color w:val="FFFFFF" w:themeColor="background1"/>
                <w:szCs w:val="22"/>
              </w:rPr>
              <w:t>Program 1.1</w:t>
            </w:r>
          </w:p>
          <w:p w14:paraId="026AF271" w14:textId="77777777" w:rsidR="00E71249" w:rsidRPr="00B963AC" w:rsidRDefault="00E71249" w:rsidP="00496219">
            <w:pPr>
              <w:spacing w:before="120" w:after="120" w:line="254" w:lineRule="auto"/>
              <w:jc w:val="center"/>
              <w:rPr>
                <w:rFonts w:asciiTheme="minorHAnsi" w:hAnsiTheme="minorHAnsi" w:cstheme="minorHAnsi"/>
                <w:b/>
                <w:color w:val="FFFFFF" w:themeColor="background1"/>
                <w:szCs w:val="22"/>
              </w:rPr>
            </w:pPr>
            <w:r w:rsidRPr="00B963AC">
              <w:rPr>
                <w:rFonts w:asciiTheme="minorHAnsi" w:hAnsiTheme="minorHAnsi" w:cstheme="minorHAnsi"/>
                <w:b/>
                <w:color w:val="FFFFFF" w:themeColor="background1"/>
                <w:szCs w:val="22"/>
              </w:rPr>
              <w:t>Support for Families</w:t>
            </w:r>
          </w:p>
        </w:tc>
        <w:tc>
          <w:tcPr>
            <w:tcW w:w="125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A70"/>
            <w:hideMark/>
          </w:tcPr>
          <w:p w14:paraId="5BE37945" w14:textId="77777777" w:rsidR="00E71249" w:rsidRPr="00B963AC" w:rsidRDefault="00E71249" w:rsidP="00496219">
            <w:pPr>
              <w:spacing w:before="120" w:after="120" w:line="254" w:lineRule="auto"/>
              <w:jc w:val="center"/>
              <w:rPr>
                <w:rFonts w:asciiTheme="minorHAnsi" w:hAnsiTheme="minorHAnsi" w:cstheme="minorHAnsi"/>
                <w:b/>
                <w:color w:val="FFFFFF" w:themeColor="background1"/>
                <w:szCs w:val="22"/>
              </w:rPr>
            </w:pPr>
            <w:r w:rsidRPr="00B963AC">
              <w:rPr>
                <w:rFonts w:asciiTheme="minorHAnsi" w:hAnsiTheme="minorHAnsi" w:cstheme="minorHAnsi"/>
                <w:b/>
                <w:color w:val="FFFFFF" w:themeColor="background1"/>
                <w:szCs w:val="22"/>
              </w:rPr>
              <w:t>Program 1.2</w:t>
            </w:r>
          </w:p>
          <w:p w14:paraId="40B029F4" w14:textId="77777777" w:rsidR="00E71249" w:rsidRPr="00B963AC" w:rsidRDefault="00E71249" w:rsidP="00496219">
            <w:pPr>
              <w:spacing w:before="120" w:after="120" w:line="254" w:lineRule="auto"/>
              <w:jc w:val="center"/>
              <w:rPr>
                <w:rFonts w:asciiTheme="minorHAnsi" w:hAnsiTheme="minorHAnsi" w:cstheme="minorHAnsi"/>
                <w:b/>
                <w:color w:val="FFFFFF" w:themeColor="background1"/>
                <w:szCs w:val="22"/>
              </w:rPr>
            </w:pPr>
            <w:r w:rsidRPr="00B963AC">
              <w:rPr>
                <w:rFonts w:asciiTheme="minorHAnsi" w:hAnsiTheme="minorHAnsi" w:cstheme="minorHAnsi"/>
                <w:b/>
                <w:color w:val="FFFFFF" w:themeColor="background1"/>
                <w:szCs w:val="22"/>
              </w:rPr>
              <w:t>Paid Parental Leave</w:t>
            </w:r>
          </w:p>
        </w:tc>
        <w:tc>
          <w:tcPr>
            <w:tcW w:w="124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A70"/>
          </w:tcPr>
          <w:p w14:paraId="414656F9" w14:textId="77777777" w:rsidR="00E71249" w:rsidRDefault="00E71249" w:rsidP="00496219">
            <w:pPr>
              <w:spacing w:before="120" w:after="120" w:line="254" w:lineRule="auto"/>
              <w:jc w:val="center"/>
              <w:rPr>
                <w:rFonts w:asciiTheme="minorHAnsi" w:hAnsiTheme="minorHAnsi" w:cstheme="minorHAnsi"/>
                <w:b/>
                <w:color w:val="FFFFFF" w:themeColor="background1"/>
                <w:szCs w:val="22"/>
              </w:rPr>
            </w:pPr>
            <w:r w:rsidRPr="00B963AC">
              <w:rPr>
                <w:rFonts w:asciiTheme="minorHAnsi" w:hAnsiTheme="minorHAnsi" w:cstheme="minorHAnsi"/>
                <w:b/>
                <w:color w:val="FFFFFF" w:themeColor="background1"/>
                <w:szCs w:val="22"/>
              </w:rPr>
              <w:t>Program 1.3</w:t>
            </w:r>
          </w:p>
          <w:p w14:paraId="4283666C" w14:textId="77777777" w:rsidR="00E71249" w:rsidRPr="00B963AC" w:rsidRDefault="00E71249" w:rsidP="00496219">
            <w:pPr>
              <w:spacing w:before="120" w:after="120" w:line="254" w:lineRule="auto"/>
              <w:jc w:val="center"/>
              <w:rPr>
                <w:rFonts w:asciiTheme="minorHAnsi" w:hAnsiTheme="minorHAnsi" w:cstheme="minorHAnsi"/>
                <w:b/>
                <w:color w:val="FFFFFF" w:themeColor="background1"/>
                <w:szCs w:val="22"/>
              </w:rPr>
            </w:pPr>
            <w:r w:rsidRPr="00B963AC">
              <w:rPr>
                <w:rFonts w:asciiTheme="minorHAnsi" w:hAnsiTheme="minorHAnsi" w:cstheme="minorHAnsi"/>
                <w:b/>
                <w:color w:val="FFFFFF" w:themeColor="background1"/>
                <w:szCs w:val="22"/>
              </w:rPr>
              <w:t>Support for Seniors</w:t>
            </w:r>
          </w:p>
        </w:tc>
        <w:tc>
          <w:tcPr>
            <w:tcW w:w="124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A70"/>
          </w:tcPr>
          <w:p w14:paraId="45FD2084" w14:textId="77777777" w:rsidR="00E71249" w:rsidRDefault="00E71249" w:rsidP="00496219">
            <w:pPr>
              <w:spacing w:before="120" w:after="120" w:line="254" w:lineRule="auto"/>
              <w:jc w:val="center"/>
              <w:rPr>
                <w:rFonts w:asciiTheme="minorHAnsi" w:hAnsiTheme="minorHAnsi" w:cstheme="minorHAnsi"/>
                <w:b/>
                <w:color w:val="FFFFFF" w:themeColor="background1"/>
                <w:szCs w:val="22"/>
              </w:rPr>
            </w:pPr>
            <w:r w:rsidRPr="00B963AC">
              <w:rPr>
                <w:rFonts w:asciiTheme="minorHAnsi" w:hAnsiTheme="minorHAnsi" w:cstheme="minorHAnsi"/>
                <w:b/>
                <w:color w:val="FFFFFF" w:themeColor="background1"/>
                <w:szCs w:val="22"/>
              </w:rPr>
              <w:t>Program 1.4</w:t>
            </w:r>
          </w:p>
          <w:p w14:paraId="1AD53548" w14:textId="77777777" w:rsidR="00E71249" w:rsidRPr="00B963AC" w:rsidRDefault="00E71249" w:rsidP="00496219">
            <w:pPr>
              <w:spacing w:before="120" w:after="120" w:line="254" w:lineRule="auto"/>
              <w:jc w:val="center"/>
              <w:rPr>
                <w:rFonts w:asciiTheme="minorHAnsi" w:hAnsiTheme="minorHAnsi" w:cstheme="minorHAnsi"/>
                <w:b/>
                <w:color w:val="FFFFFF" w:themeColor="background1"/>
                <w:szCs w:val="22"/>
              </w:rPr>
            </w:pPr>
            <w:r w:rsidRPr="00B963AC">
              <w:rPr>
                <w:rFonts w:asciiTheme="minorHAnsi" w:hAnsiTheme="minorHAnsi" w:cstheme="minorHAnsi"/>
                <w:b/>
                <w:color w:val="FFFFFF" w:themeColor="background1"/>
                <w:szCs w:val="22"/>
              </w:rPr>
              <w:t>Financial Support for People with Disability</w:t>
            </w:r>
          </w:p>
        </w:tc>
      </w:tr>
      <w:tr w:rsidR="00E71249" w:rsidRPr="00B963AC" w14:paraId="038048F2" w14:textId="77777777" w:rsidTr="00496219">
        <w:trPr>
          <w:trHeight w:val="50"/>
        </w:trPr>
        <w:tc>
          <w:tcPr>
            <w:tcW w:w="125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1E4E3"/>
            <w:hideMark/>
          </w:tcPr>
          <w:p w14:paraId="765E0084" w14:textId="77777777" w:rsidR="00E71249" w:rsidRPr="00B963AC" w:rsidRDefault="00E71249" w:rsidP="00496219">
            <w:pPr>
              <w:spacing w:before="120" w:after="120" w:line="254" w:lineRule="auto"/>
              <w:rPr>
                <w:rFonts w:asciiTheme="minorHAnsi" w:hAnsiTheme="minorHAnsi" w:cstheme="minorHAnsi"/>
                <w:b/>
                <w:szCs w:val="22"/>
              </w:rPr>
            </w:pPr>
            <w:r w:rsidRPr="00B963AC">
              <w:rPr>
                <w:rFonts w:asciiTheme="minorHAnsi" w:hAnsiTheme="minorHAnsi" w:cstheme="minorHAnsi"/>
                <w:b/>
                <w:szCs w:val="22"/>
              </w:rPr>
              <w:t xml:space="preserve">Key activities </w:t>
            </w:r>
          </w:p>
          <w:p w14:paraId="0F46CAB5" w14:textId="77777777" w:rsidR="00E71249" w:rsidRPr="00B963AC" w:rsidRDefault="00E71249" w:rsidP="00496219">
            <w:pPr>
              <w:spacing w:before="120" w:after="120" w:line="254" w:lineRule="auto"/>
              <w:rPr>
                <w:rFonts w:asciiTheme="minorHAnsi" w:hAnsiTheme="minorHAnsi" w:cstheme="minorHAnsi"/>
                <w:szCs w:val="22"/>
              </w:rPr>
            </w:pPr>
            <w:r>
              <w:rPr>
                <w:rFonts w:asciiTheme="minorHAnsi" w:hAnsiTheme="minorHAnsi" w:cstheme="minorHAnsi"/>
                <w:szCs w:val="22"/>
              </w:rPr>
              <w:t xml:space="preserve">1.1.1 </w:t>
            </w:r>
            <w:r w:rsidRPr="00B963AC">
              <w:rPr>
                <w:rFonts w:asciiTheme="minorHAnsi" w:hAnsiTheme="minorHAnsi" w:cstheme="minorHAnsi"/>
                <w:szCs w:val="22"/>
              </w:rPr>
              <w:t>Family Tax Benefit</w:t>
            </w:r>
          </w:p>
          <w:p w14:paraId="29DB4245" w14:textId="77777777" w:rsidR="00E71249" w:rsidRPr="00B963AC" w:rsidRDefault="00E71249" w:rsidP="00496219">
            <w:pPr>
              <w:spacing w:after="160"/>
              <w:contextualSpacing/>
              <w:rPr>
                <w:rFonts w:asciiTheme="minorHAnsi" w:hAnsiTheme="minorHAnsi" w:cstheme="minorHAnsi"/>
                <w:szCs w:val="22"/>
              </w:rPr>
            </w:pPr>
            <w:r>
              <w:rPr>
                <w:rFonts w:asciiTheme="minorHAnsi" w:hAnsiTheme="minorHAnsi" w:cstheme="minorHAnsi"/>
                <w:szCs w:val="22"/>
              </w:rPr>
              <w:t xml:space="preserve">1.1.2 </w:t>
            </w:r>
            <w:r w:rsidRPr="00B963AC">
              <w:rPr>
                <w:rFonts w:asciiTheme="minorHAnsi" w:hAnsiTheme="minorHAnsi" w:cstheme="minorHAnsi"/>
                <w:szCs w:val="22"/>
              </w:rPr>
              <w:t>Child Support Scheme</w:t>
            </w:r>
          </w:p>
        </w:tc>
        <w:tc>
          <w:tcPr>
            <w:tcW w:w="125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1E4E3"/>
          </w:tcPr>
          <w:p w14:paraId="5B8A139A" w14:textId="77777777" w:rsidR="00E71249" w:rsidRPr="00B963AC" w:rsidRDefault="00E71249" w:rsidP="00496219">
            <w:pPr>
              <w:spacing w:before="120" w:after="120" w:line="254" w:lineRule="auto"/>
              <w:rPr>
                <w:rFonts w:asciiTheme="minorHAnsi" w:hAnsiTheme="minorHAnsi" w:cstheme="minorHAnsi"/>
                <w:b/>
                <w:szCs w:val="22"/>
              </w:rPr>
            </w:pPr>
            <w:r w:rsidRPr="00B963AC">
              <w:rPr>
                <w:rFonts w:asciiTheme="minorHAnsi" w:hAnsiTheme="minorHAnsi" w:cstheme="minorHAnsi"/>
                <w:b/>
                <w:szCs w:val="22"/>
              </w:rPr>
              <w:t xml:space="preserve">Key activities </w:t>
            </w:r>
          </w:p>
          <w:p w14:paraId="5B1EE02C" w14:textId="77777777" w:rsidR="00E71249" w:rsidRPr="00B963AC" w:rsidRDefault="00E71249" w:rsidP="00496219">
            <w:pPr>
              <w:spacing w:before="120" w:after="120" w:line="254" w:lineRule="auto"/>
              <w:rPr>
                <w:rFonts w:asciiTheme="minorHAnsi" w:hAnsiTheme="minorHAnsi" w:cstheme="minorHAnsi"/>
                <w:szCs w:val="22"/>
              </w:rPr>
            </w:pPr>
            <w:r w:rsidRPr="00B963AC">
              <w:rPr>
                <w:rFonts w:asciiTheme="minorHAnsi" w:hAnsiTheme="minorHAnsi" w:cstheme="minorHAnsi"/>
                <w:szCs w:val="22"/>
              </w:rPr>
              <w:t xml:space="preserve">1.2.1 </w:t>
            </w:r>
            <w:r>
              <w:rPr>
                <w:rFonts w:asciiTheme="minorHAnsi" w:hAnsiTheme="minorHAnsi" w:cstheme="minorHAnsi"/>
                <w:szCs w:val="22"/>
              </w:rPr>
              <w:t xml:space="preserve">Paid </w:t>
            </w:r>
            <w:r w:rsidRPr="00B963AC">
              <w:rPr>
                <w:rFonts w:asciiTheme="minorHAnsi" w:hAnsiTheme="minorHAnsi" w:cstheme="minorHAnsi"/>
                <w:szCs w:val="22"/>
              </w:rPr>
              <w:t>Parental Leave</w:t>
            </w:r>
          </w:p>
        </w:tc>
        <w:tc>
          <w:tcPr>
            <w:tcW w:w="124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1E4E3"/>
          </w:tcPr>
          <w:p w14:paraId="4A8AE109" w14:textId="77777777" w:rsidR="00E71249" w:rsidRPr="00B963AC" w:rsidRDefault="00E71249" w:rsidP="00496219">
            <w:pPr>
              <w:spacing w:before="120" w:after="120" w:line="254" w:lineRule="auto"/>
              <w:rPr>
                <w:rFonts w:asciiTheme="minorHAnsi" w:hAnsiTheme="minorHAnsi" w:cstheme="minorHAnsi"/>
                <w:b/>
                <w:szCs w:val="22"/>
              </w:rPr>
            </w:pPr>
            <w:r w:rsidRPr="00B963AC">
              <w:rPr>
                <w:rFonts w:asciiTheme="minorHAnsi" w:hAnsiTheme="minorHAnsi" w:cstheme="minorHAnsi"/>
                <w:b/>
                <w:szCs w:val="22"/>
              </w:rPr>
              <w:t xml:space="preserve">Key activities </w:t>
            </w:r>
          </w:p>
          <w:p w14:paraId="4CE7E312" w14:textId="77777777" w:rsidR="00E71249" w:rsidRPr="00B963AC" w:rsidRDefault="00E71249" w:rsidP="00496219">
            <w:pPr>
              <w:spacing w:before="120" w:after="120" w:line="254" w:lineRule="auto"/>
              <w:rPr>
                <w:rFonts w:asciiTheme="minorHAnsi" w:hAnsiTheme="minorHAnsi" w:cstheme="minorHAnsi"/>
                <w:b/>
                <w:szCs w:val="22"/>
              </w:rPr>
            </w:pPr>
            <w:r w:rsidRPr="00B963AC">
              <w:rPr>
                <w:rFonts w:asciiTheme="minorHAnsi" w:hAnsiTheme="minorHAnsi" w:cstheme="minorHAnsi"/>
                <w:szCs w:val="22"/>
              </w:rPr>
              <w:t>1.3.1 Age Pension</w:t>
            </w:r>
          </w:p>
        </w:tc>
        <w:tc>
          <w:tcPr>
            <w:tcW w:w="124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1E4E3"/>
            <w:hideMark/>
          </w:tcPr>
          <w:p w14:paraId="76FF0A58" w14:textId="77777777" w:rsidR="00E71249" w:rsidRPr="00B963AC" w:rsidRDefault="00E71249" w:rsidP="00496219">
            <w:pPr>
              <w:spacing w:before="120" w:after="120" w:line="254" w:lineRule="auto"/>
              <w:rPr>
                <w:rFonts w:asciiTheme="minorHAnsi" w:hAnsiTheme="minorHAnsi" w:cstheme="minorHAnsi"/>
                <w:b/>
                <w:szCs w:val="22"/>
              </w:rPr>
            </w:pPr>
            <w:r w:rsidRPr="00B963AC">
              <w:rPr>
                <w:rFonts w:asciiTheme="minorHAnsi" w:hAnsiTheme="minorHAnsi" w:cstheme="minorHAnsi"/>
                <w:b/>
                <w:szCs w:val="22"/>
              </w:rPr>
              <w:t xml:space="preserve">Key activities </w:t>
            </w:r>
          </w:p>
          <w:p w14:paraId="313CC5E2" w14:textId="77777777" w:rsidR="00E71249" w:rsidRPr="00B963AC" w:rsidRDefault="00E71249" w:rsidP="00496219">
            <w:pPr>
              <w:spacing w:before="120" w:after="120" w:line="254" w:lineRule="auto"/>
              <w:rPr>
                <w:rFonts w:asciiTheme="minorHAnsi" w:hAnsiTheme="minorHAnsi" w:cstheme="minorHAnsi"/>
                <w:szCs w:val="22"/>
              </w:rPr>
            </w:pPr>
            <w:r w:rsidRPr="00B963AC">
              <w:rPr>
                <w:rFonts w:asciiTheme="minorHAnsi" w:hAnsiTheme="minorHAnsi" w:cstheme="minorHAnsi"/>
                <w:szCs w:val="22"/>
              </w:rPr>
              <w:t>1.4.1 Disability Support Pension</w:t>
            </w:r>
          </w:p>
        </w:tc>
      </w:tr>
      <w:tr w:rsidR="00E71249" w:rsidRPr="00B963AC" w14:paraId="52A70D69" w14:textId="77777777" w:rsidTr="00496219">
        <w:trPr>
          <w:tblHeader/>
        </w:trPr>
        <w:tc>
          <w:tcPr>
            <w:tcW w:w="125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A70"/>
            <w:hideMark/>
          </w:tcPr>
          <w:p w14:paraId="6B7B1738" w14:textId="77777777" w:rsidR="00E71249" w:rsidRPr="00B963AC" w:rsidRDefault="00E71249" w:rsidP="00496219">
            <w:pPr>
              <w:spacing w:before="120" w:after="120" w:line="254" w:lineRule="auto"/>
              <w:jc w:val="center"/>
              <w:rPr>
                <w:rFonts w:asciiTheme="minorHAnsi" w:hAnsiTheme="minorHAnsi" w:cstheme="minorHAnsi"/>
                <w:b/>
                <w:color w:val="FFFFFF" w:themeColor="background1"/>
                <w:szCs w:val="22"/>
              </w:rPr>
            </w:pPr>
            <w:r w:rsidRPr="00B963AC">
              <w:rPr>
                <w:rFonts w:asciiTheme="minorHAnsi" w:hAnsiTheme="minorHAnsi" w:cstheme="minorHAnsi"/>
                <w:b/>
                <w:color w:val="FFFFFF" w:themeColor="background1"/>
                <w:szCs w:val="22"/>
              </w:rPr>
              <w:t>Program 1.5</w:t>
            </w:r>
          </w:p>
          <w:p w14:paraId="6C36BF18" w14:textId="77777777" w:rsidR="00E71249" w:rsidRPr="00B963AC" w:rsidRDefault="00E71249" w:rsidP="00496219">
            <w:pPr>
              <w:spacing w:before="120" w:after="120" w:line="254" w:lineRule="auto"/>
              <w:jc w:val="center"/>
              <w:rPr>
                <w:rFonts w:asciiTheme="minorHAnsi" w:hAnsiTheme="minorHAnsi" w:cstheme="minorHAnsi"/>
                <w:b/>
                <w:color w:val="FFFFFF" w:themeColor="background1"/>
                <w:szCs w:val="22"/>
              </w:rPr>
            </w:pPr>
            <w:r w:rsidRPr="00B963AC">
              <w:rPr>
                <w:rFonts w:asciiTheme="minorHAnsi" w:hAnsiTheme="minorHAnsi" w:cstheme="minorHAnsi"/>
                <w:b/>
                <w:color w:val="FFFFFF" w:themeColor="background1"/>
                <w:szCs w:val="22"/>
              </w:rPr>
              <w:t>Financial Support for Carers</w:t>
            </w:r>
          </w:p>
        </w:tc>
        <w:tc>
          <w:tcPr>
            <w:tcW w:w="125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A70" w:themeFill="accent1"/>
            <w:hideMark/>
          </w:tcPr>
          <w:p w14:paraId="0B4DF063" w14:textId="77777777" w:rsidR="00E71249" w:rsidRDefault="00E71249" w:rsidP="00496219">
            <w:pPr>
              <w:spacing w:before="120" w:after="120" w:line="254" w:lineRule="auto"/>
              <w:jc w:val="center"/>
              <w:rPr>
                <w:rFonts w:asciiTheme="minorHAnsi" w:hAnsiTheme="minorHAnsi" w:cstheme="minorHAnsi"/>
                <w:b/>
                <w:color w:val="FFFFFF" w:themeColor="background1"/>
                <w:szCs w:val="22"/>
              </w:rPr>
            </w:pPr>
            <w:r w:rsidRPr="00B963AC">
              <w:rPr>
                <w:rFonts w:asciiTheme="minorHAnsi" w:hAnsiTheme="minorHAnsi" w:cstheme="minorHAnsi"/>
                <w:b/>
                <w:color w:val="FFFFFF" w:themeColor="background1"/>
                <w:szCs w:val="22"/>
              </w:rPr>
              <w:t>Program 1.6</w:t>
            </w:r>
          </w:p>
          <w:p w14:paraId="480BB266" w14:textId="77777777" w:rsidR="00E71249" w:rsidRPr="00B963AC" w:rsidRDefault="00E71249" w:rsidP="00496219">
            <w:pPr>
              <w:spacing w:before="120" w:after="120" w:line="254" w:lineRule="auto"/>
              <w:jc w:val="center"/>
              <w:rPr>
                <w:rFonts w:asciiTheme="minorHAnsi" w:hAnsiTheme="minorHAnsi" w:cstheme="minorHAnsi"/>
                <w:b/>
                <w:color w:val="FFFFFF" w:themeColor="background1"/>
                <w:szCs w:val="22"/>
              </w:rPr>
            </w:pPr>
            <w:r w:rsidRPr="00B963AC">
              <w:rPr>
                <w:rFonts w:asciiTheme="minorHAnsi" w:hAnsiTheme="minorHAnsi" w:cstheme="minorHAnsi"/>
                <w:b/>
                <w:color w:val="FFFFFF" w:themeColor="background1"/>
                <w:szCs w:val="22"/>
              </w:rPr>
              <w:t>Working Age Payments</w:t>
            </w:r>
          </w:p>
        </w:tc>
        <w:tc>
          <w:tcPr>
            <w:tcW w:w="125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A70"/>
            <w:hideMark/>
          </w:tcPr>
          <w:p w14:paraId="03C7C1E2" w14:textId="77777777" w:rsidR="00E71249" w:rsidRDefault="00E71249" w:rsidP="00496219">
            <w:pPr>
              <w:spacing w:before="120" w:after="120" w:line="254" w:lineRule="auto"/>
              <w:jc w:val="center"/>
              <w:rPr>
                <w:rFonts w:asciiTheme="minorHAnsi" w:hAnsiTheme="minorHAnsi" w:cstheme="minorHAnsi"/>
                <w:b/>
                <w:color w:val="FFFFFF" w:themeColor="background1"/>
                <w:szCs w:val="22"/>
              </w:rPr>
            </w:pPr>
            <w:r w:rsidRPr="00B963AC">
              <w:rPr>
                <w:rFonts w:asciiTheme="minorHAnsi" w:hAnsiTheme="minorHAnsi" w:cstheme="minorHAnsi"/>
                <w:b/>
                <w:color w:val="FFFFFF" w:themeColor="background1"/>
                <w:szCs w:val="22"/>
              </w:rPr>
              <w:t>Program 1.7</w:t>
            </w:r>
          </w:p>
          <w:p w14:paraId="2165B1E0" w14:textId="77777777" w:rsidR="00E71249" w:rsidRPr="00B963AC" w:rsidRDefault="00E71249" w:rsidP="00496219">
            <w:pPr>
              <w:spacing w:before="120" w:after="120" w:line="254" w:lineRule="auto"/>
              <w:jc w:val="center"/>
              <w:rPr>
                <w:rFonts w:asciiTheme="minorHAnsi" w:hAnsiTheme="minorHAnsi" w:cstheme="minorHAnsi"/>
                <w:b/>
                <w:color w:val="FFFFFF" w:themeColor="background1"/>
                <w:szCs w:val="22"/>
              </w:rPr>
            </w:pPr>
            <w:r w:rsidRPr="00B963AC">
              <w:rPr>
                <w:rFonts w:asciiTheme="minorHAnsi" w:hAnsiTheme="minorHAnsi" w:cstheme="minorHAnsi"/>
                <w:b/>
                <w:color w:val="FFFFFF" w:themeColor="background1"/>
                <w:szCs w:val="22"/>
              </w:rPr>
              <w:t>Student Payments</w:t>
            </w:r>
          </w:p>
        </w:tc>
        <w:tc>
          <w:tcPr>
            <w:tcW w:w="125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A70"/>
          </w:tcPr>
          <w:p w14:paraId="5565AFBF" w14:textId="77777777" w:rsidR="00E71249" w:rsidRDefault="00E71249" w:rsidP="00496219">
            <w:pPr>
              <w:spacing w:before="120" w:after="120" w:line="254" w:lineRule="auto"/>
              <w:jc w:val="center"/>
              <w:rPr>
                <w:rFonts w:asciiTheme="minorHAnsi" w:hAnsiTheme="minorHAnsi" w:cstheme="minorHAnsi"/>
                <w:b/>
                <w:bCs/>
                <w:color w:val="FFFFFF" w:themeColor="background1"/>
                <w:szCs w:val="22"/>
                <w:lang w:eastAsia="en-AU"/>
              </w:rPr>
            </w:pPr>
            <w:r w:rsidRPr="00B963AC">
              <w:rPr>
                <w:rFonts w:asciiTheme="minorHAnsi" w:hAnsiTheme="minorHAnsi" w:cstheme="minorHAnsi"/>
                <w:b/>
                <w:bCs/>
                <w:color w:val="FFFFFF" w:themeColor="background1"/>
                <w:szCs w:val="22"/>
                <w:lang w:eastAsia="en-AU"/>
              </w:rPr>
              <w:t>Program 1.8</w:t>
            </w:r>
          </w:p>
          <w:p w14:paraId="39141644" w14:textId="77777777" w:rsidR="00E71249" w:rsidRPr="00793D56" w:rsidRDefault="00E71249" w:rsidP="00496219">
            <w:pPr>
              <w:spacing w:before="120" w:after="120" w:line="254" w:lineRule="auto"/>
              <w:jc w:val="center"/>
              <w:rPr>
                <w:rFonts w:asciiTheme="minorHAnsi" w:hAnsiTheme="minorHAnsi" w:cstheme="minorHAnsi"/>
                <w:b/>
                <w:bCs/>
                <w:color w:val="FFFFFF" w:themeColor="background1"/>
                <w:szCs w:val="22"/>
                <w:lang w:eastAsia="en-AU"/>
              </w:rPr>
            </w:pPr>
            <w:r w:rsidRPr="00B963AC">
              <w:rPr>
                <w:rFonts w:asciiTheme="minorHAnsi" w:hAnsiTheme="minorHAnsi" w:cstheme="minorHAnsi"/>
                <w:b/>
                <w:bCs/>
                <w:color w:val="FFFFFF" w:themeColor="background1"/>
                <w:szCs w:val="22"/>
                <w:lang w:eastAsia="en-AU"/>
              </w:rPr>
              <w:t>Disability Employment Services</w:t>
            </w:r>
          </w:p>
        </w:tc>
      </w:tr>
      <w:tr w:rsidR="00E71249" w:rsidRPr="00B963AC" w14:paraId="00F453A2" w14:textId="77777777" w:rsidTr="00496219">
        <w:tc>
          <w:tcPr>
            <w:tcW w:w="125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1E4E3"/>
            <w:hideMark/>
          </w:tcPr>
          <w:p w14:paraId="6DBA65C2" w14:textId="77777777" w:rsidR="00E71249" w:rsidRPr="00B963AC" w:rsidRDefault="00E71249" w:rsidP="00496219">
            <w:pPr>
              <w:spacing w:before="120" w:after="120" w:line="254" w:lineRule="auto"/>
              <w:rPr>
                <w:rFonts w:asciiTheme="minorHAnsi" w:hAnsiTheme="minorHAnsi" w:cstheme="minorHAnsi"/>
                <w:b/>
                <w:szCs w:val="22"/>
              </w:rPr>
            </w:pPr>
            <w:r w:rsidRPr="00B963AC">
              <w:rPr>
                <w:rFonts w:asciiTheme="minorHAnsi" w:hAnsiTheme="minorHAnsi" w:cstheme="minorHAnsi"/>
                <w:b/>
                <w:szCs w:val="22"/>
              </w:rPr>
              <w:t xml:space="preserve">Key activities </w:t>
            </w:r>
          </w:p>
          <w:p w14:paraId="22DEC3E8" w14:textId="77777777" w:rsidR="00E71249" w:rsidRPr="00B963AC" w:rsidRDefault="00E71249" w:rsidP="00496219">
            <w:pPr>
              <w:spacing w:before="120" w:after="120" w:line="254" w:lineRule="auto"/>
              <w:rPr>
                <w:rFonts w:asciiTheme="minorHAnsi" w:hAnsiTheme="minorHAnsi" w:cstheme="minorHAnsi"/>
                <w:b/>
                <w:color w:val="FFFFFF" w:themeColor="background1"/>
                <w:szCs w:val="22"/>
              </w:rPr>
            </w:pPr>
            <w:r w:rsidRPr="00B963AC">
              <w:rPr>
                <w:rFonts w:asciiTheme="minorHAnsi" w:hAnsiTheme="minorHAnsi" w:cstheme="minorHAnsi"/>
                <w:szCs w:val="22"/>
              </w:rPr>
              <w:t>1.5.1 Carer Payment and Carer Allowance</w:t>
            </w:r>
          </w:p>
        </w:tc>
        <w:tc>
          <w:tcPr>
            <w:tcW w:w="125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1E4E3"/>
            <w:hideMark/>
          </w:tcPr>
          <w:p w14:paraId="570E5BA5" w14:textId="77777777" w:rsidR="00E71249" w:rsidRPr="00B963AC" w:rsidRDefault="00E71249" w:rsidP="00496219">
            <w:pPr>
              <w:spacing w:before="120" w:after="120" w:line="254" w:lineRule="auto"/>
              <w:rPr>
                <w:rFonts w:asciiTheme="minorHAnsi" w:hAnsiTheme="minorHAnsi" w:cstheme="minorHAnsi"/>
                <w:b/>
                <w:szCs w:val="22"/>
              </w:rPr>
            </w:pPr>
            <w:r w:rsidRPr="00B963AC">
              <w:rPr>
                <w:rFonts w:asciiTheme="minorHAnsi" w:hAnsiTheme="minorHAnsi" w:cstheme="minorHAnsi"/>
                <w:b/>
                <w:szCs w:val="22"/>
              </w:rPr>
              <w:t xml:space="preserve">Key activities </w:t>
            </w:r>
          </w:p>
          <w:p w14:paraId="5CDEA3E7" w14:textId="77777777" w:rsidR="00E71249" w:rsidRPr="00B963AC" w:rsidRDefault="00E71249" w:rsidP="00496219">
            <w:pPr>
              <w:spacing w:before="120" w:after="120" w:line="254" w:lineRule="auto"/>
              <w:rPr>
                <w:rFonts w:asciiTheme="minorHAnsi" w:hAnsiTheme="minorHAnsi" w:cstheme="minorHAnsi"/>
                <w:b/>
                <w:color w:val="FFFFFF" w:themeColor="background1"/>
                <w:szCs w:val="22"/>
              </w:rPr>
            </w:pPr>
            <w:r w:rsidRPr="00B963AC">
              <w:rPr>
                <w:rFonts w:asciiTheme="minorHAnsi" w:hAnsiTheme="minorHAnsi" w:cstheme="minorHAnsi"/>
                <w:szCs w:val="22"/>
              </w:rPr>
              <w:t xml:space="preserve">1.6.1 </w:t>
            </w:r>
            <w:proofErr w:type="spellStart"/>
            <w:r w:rsidRPr="00B963AC">
              <w:rPr>
                <w:rFonts w:asciiTheme="minorHAnsi" w:hAnsiTheme="minorHAnsi" w:cstheme="minorHAnsi"/>
                <w:szCs w:val="22"/>
              </w:rPr>
              <w:t>JobSeeker</w:t>
            </w:r>
            <w:proofErr w:type="spellEnd"/>
            <w:r w:rsidRPr="00B963AC">
              <w:rPr>
                <w:rFonts w:asciiTheme="minorHAnsi" w:hAnsiTheme="minorHAnsi" w:cstheme="minorHAnsi"/>
                <w:szCs w:val="22"/>
              </w:rPr>
              <w:t xml:space="preserve"> Payment, Youth Allowance (other) and Parenting Payment</w:t>
            </w:r>
          </w:p>
        </w:tc>
        <w:tc>
          <w:tcPr>
            <w:tcW w:w="125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1E4E3"/>
            <w:hideMark/>
          </w:tcPr>
          <w:p w14:paraId="6442C263" w14:textId="77777777" w:rsidR="00E71249" w:rsidRPr="00B963AC" w:rsidRDefault="00E71249" w:rsidP="00496219">
            <w:pPr>
              <w:spacing w:before="120" w:after="120" w:line="254" w:lineRule="auto"/>
              <w:rPr>
                <w:rFonts w:asciiTheme="minorHAnsi" w:hAnsiTheme="minorHAnsi" w:cstheme="minorHAnsi"/>
                <w:b/>
                <w:szCs w:val="22"/>
              </w:rPr>
            </w:pPr>
            <w:r w:rsidRPr="00B963AC">
              <w:rPr>
                <w:rFonts w:asciiTheme="minorHAnsi" w:hAnsiTheme="minorHAnsi" w:cstheme="minorHAnsi"/>
                <w:b/>
                <w:szCs w:val="22"/>
              </w:rPr>
              <w:t xml:space="preserve">Key activities </w:t>
            </w:r>
          </w:p>
          <w:p w14:paraId="70283843" w14:textId="77777777" w:rsidR="00E71249" w:rsidRPr="00B963AC" w:rsidRDefault="00E71249" w:rsidP="00496219">
            <w:pPr>
              <w:spacing w:before="120" w:after="120" w:line="254" w:lineRule="auto"/>
              <w:rPr>
                <w:rFonts w:asciiTheme="minorHAnsi" w:hAnsiTheme="minorHAnsi" w:cstheme="minorHAnsi"/>
                <w:b/>
                <w:color w:val="FFFFFF" w:themeColor="background1"/>
                <w:szCs w:val="22"/>
              </w:rPr>
            </w:pPr>
            <w:r w:rsidRPr="00B963AC">
              <w:rPr>
                <w:rFonts w:asciiTheme="minorHAnsi" w:hAnsiTheme="minorHAnsi" w:cstheme="minorHAnsi"/>
                <w:szCs w:val="22"/>
              </w:rPr>
              <w:t xml:space="preserve">1.7.1 Youth Allowance (Student), </w:t>
            </w:r>
            <w:proofErr w:type="spellStart"/>
            <w:r w:rsidRPr="00B963AC">
              <w:rPr>
                <w:rFonts w:asciiTheme="minorHAnsi" w:hAnsiTheme="minorHAnsi" w:cstheme="minorHAnsi"/>
                <w:szCs w:val="22"/>
              </w:rPr>
              <w:t>Austudy</w:t>
            </w:r>
            <w:proofErr w:type="spellEnd"/>
            <w:r w:rsidRPr="00B963AC">
              <w:rPr>
                <w:rFonts w:asciiTheme="minorHAnsi" w:hAnsiTheme="minorHAnsi" w:cstheme="minorHAnsi"/>
                <w:szCs w:val="22"/>
              </w:rPr>
              <w:t xml:space="preserve"> and ABSTUDY</w:t>
            </w:r>
          </w:p>
        </w:tc>
        <w:tc>
          <w:tcPr>
            <w:tcW w:w="125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1E4E3"/>
          </w:tcPr>
          <w:p w14:paraId="52035C8C" w14:textId="77777777" w:rsidR="00E71249" w:rsidRPr="00B963AC" w:rsidRDefault="00E71249" w:rsidP="00496219">
            <w:pPr>
              <w:spacing w:before="120" w:after="120" w:line="254" w:lineRule="auto"/>
              <w:rPr>
                <w:rFonts w:asciiTheme="minorHAnsi" w:hAnsiTheme="minorHAnsi" w:cstheme="minorHAnsi"/>
                <w:b/>
                <w:szCs w:val="22"/>
              </w:rPr>
            </w:pPr>
            <w:r w:rsidRPr="00B963AC">
              <w:rPr>
                <w:rFonts w:asciiTheme="minorHAnsi" w:hAnsiTheme="minorHAnsi" w:cstheme="minorHAnsi"/>
                <w:b/>
                <w:szCs w:val="22"/>
              </w:rPr>
              <w:t xml:space="preserve">Key activities </w:t>
            </w:r>
          </w:p>
          <w:p w14:paraId="66024A96" w14:textId="77777777" w:rsidR="00E71249" w:rsidRPr="00B963AC" w:rsidRDefault="00E71249" w:rsidP="00496219">
            <w:pPr>
              <w:spacing w:before="120" w:after="120" w:line="254" w:lineRule="auto"/>
              <w:rPr>
                <w:rFonts w:asciiTheme="minorHAnsi" w:hAnsiTheme="minorHAnsi" w:cstheme="minorHAnsi"/>
                <w:b/>
                <w:szCs w:val="22"/>
              </w:rPr>
            </w:pPr>
            <w:r w:rsidRPr="00B963AC">
              <w:rPr>
                <w:rFonts w:asciiTheme="minorHAnsi" w:hAnsiTheme="minorHAnsi" w:cstheme="minorHAnsi"/>
                <w:szCs w:val="22"/>
              </w:rPr>
              <w:t xml:space="preserve">1.8.1 </w:t>
            </w:r>
            <w:r>
              <w:rPr>
                <w:rFonts w:asciiTheme="minorHAnsi" w:hAnsiTheme="minorHAnsi" w:cstheme="minorHAnsi"/>
                <w:szCs w:val="22"/>
              </w:rPr>
              <w:t>Inclusive Employment Australia</w:t>
            </w:r>
          </w:p>
        </w:tc>
      </w:tr>
    </w:tbl>
    <w:tbl>
      <w:tblPr>
        <w:tblStyle w:val="Numericaltable1112"/>
        <w:tblW w:w="5006" w:type="pct"/>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Caption w:val="Table 4 - Outcome 1 - Social Security"/>
        <w:tblDescription w:val="Program 1.1 Family assistance&#10;Program 1.2 Support for Seniors&#10;Program 1.3 Financial Support for People with Disability&#10;Program 1.4 Financial Support for Carers&#10;Program 1.5 Working Age Payments&#10;Program 1.6 Student Payments"/>
      </w:tblPr>
      <w:tblGrid>
        <w:gridCol w:w="2543"/>
        <w:gridCol w:w="7653"/>
      </w:tblGrid>
      <w:tr w:rsidR="00E71249" w:rsidRPr="00E21CEF" w14:paraId="38119A96" w14:textId="77777777" w:rsidTr="00E91744">
        <w:tc>
          <w:tcPr>
            <w:tcW w:w="1247" w:type="pct"/>
            <w:shd w:val="clear" w:color="auto" w:fill="005A70" w:themeFill="accent1"/>
          </w:tcPr>
          <w:p w14:paraId="01A6B1DE" w14:textId="45CB7FF6" w:rsidR="00E71249" w:rsidRPr="00E21CEF" w:rsidRDefault="00E71249" w:rsidP="00496219">
            <w:pPr>
              <w:spacing w:before="120" w:after="120" w:line="280" w:lineRule="atLeast"/>
              <w:jc w:val="center"/>
              <w:rPr>
                <w:rFonts w:asciiTheme="minorHAnsi" w:hAnsiTheme="minorHAnsi" w:cstheme="minorHAnsi"/>
                <w:b/>
                <w:spacing w:val="4"/>
                <w:szCs w:val="16"/>
              </w:rPr>
            </w:pPr>
            <w:r w:rsidRPr="00E21CEF">
              <w:rPr>
                <w:rFonts w:asciiTheme="minorHAnsi" w:hAnsiTheme="minorHAnsi" w:cstheme="minorHAnsi"/>
                <w:b/>
                <w:color w:val="FFFFFF" w:themeColor="background1"/>
                <w:spacing w:val="4"/>
                <w:szCs w:val="16"/>
              </w:rPr>
              <w:t>Program 1.9</w:t>
            </w:r>
            <w:r w:rsidRPr="00E21CEF">
              <w:rPr>
                <w:rFonts w:asciiTheme="minorHAnsi" w:hAnsiTheme="minorHAnsi" w:cstheme="minorHAnsi"/>
                <w:b/>
                <w:color w:val="FFFFFF" w:themeColor="background1"/>
                <w:spacing w:val="4"/>
                <w:szCs w:val="16"/>
              </w:rPr>
              <w:br/>
              <w:t>Income Apportionment Resolution Scheme</w:t>
            </w:r>
          </w:p>
        </w:tc>
        <w:tc>
          <w:tcPr>
            <w:tcW w:w="3753" w:type="pct"/>
            <w:shd w:val="clear" w:color="auto" w:fill="005A70" w:themeFill="accent1"/>
          </w:tcPr>
          <w:p w14:paraId="73023E01" w14:textId="77777777" w:rsidR="00E71249" w:rsidRPr="00E21CEF" w:rsidRDefault="00E71249" w:rsidP="00496219">
            <w:pPr>
              <w:spacing w:before="120" w:after="120" w:line="280" w:lineRule="atLeast"/>
              <w:jc w:val="center"/>
              <w:rPr>
                <w:rFonts w:asciiTheme="minorHAnsi" w:hAnsiTheme="minorHAnsi" w:cstheme="minorHAnsi"/>
                <w:b/>
                <w:spacing w:val="4"/>
                <w:szCs w:val="16"/>
              </w:rPr>
            </w:pPr>
            <w:r w:rsidRPr="00E21CEF">
              <w:rPr>
                <w:rFonts w:asciiTheme="minorHAnsi" w:hAnsiTheme="minorHAnsi" w:cstheme="minorHAnsi"/>
                <w:b/>
                <w:color w:val="FFFFFF" w:themeColor="background1"/>
                <w:spacing w:val="4"/>
                <w:szCs w:val="16"/>
              </w:rPr>
              <w:t>Cross-Program</w:t>
            </w:r>
            <w:r w:rsidRPr="00E21CEF">
              <w:rPr>
                <w:rFonts w:asciiTheme="minorHAnsi" w:hAnsiTheme="minorHAnsi" w:cstheme="minorHAnsi"/>
                <w:b/>
                <w:color w:val="FFFFFF" w:themeColor="background1"/>
                <w:spacing w:val="4"/>
                <w:szCs w:val="16"/>
              </w:rPr>
              <w:br/>
              <w:t>Rent Assistance</w:t>
            </w:r>
          </w:p>
        </w:tc>
      </w:tr>
      <w:tr w:rsidR="00E71249" w:rsidRPr="00E21CEF" w14:paraId="7F84E00A" w14:textId="77777777" w:rsidTr="00E91744">
        <w:tc>
          <w:tcPr>
            <w:tcW w:w="1247" w:type="pct"/>
            <w:shd w:val="clear" w:color="auto" w:fill="B1E4E3" w:themeFill="accent3"/>
          </w:tcPr>
          <w:p w14:paraId="16643301" w14:textId="77777777" w:rsidR="00E71249" w:rsidRPr="00E21CEF" w:rsidRDefault="00E71249" w:rsidP="00496219">
            <w:pPr>
              <w:spacing w:before="120" w:after="120" w:line="280" w:lineRule="atLeast"/>
              <w:rPr>
                <w:rFonts w:asciiTheme="minorHAnsi" w:hAnsiTheme="minorHAnsi" w:cstheme="minorHAnsi"/>
                <w:b/>
                <w:spacing w:val="4"/>
                <w:szCs w:val="16"/>
              </w:rPr>
            </w:pPr>
            <w:r w:rsidRPr="00E21CEF">
              <w:rPr>
                <w:rFonts w:asciiTheme="minorHAnsi" w:hAnsiTheme="minorHAnsi" w:cstheme="minorHAnsi"/>
                <w:b/>
                <w:spacing w:val="4"/>
                <w:szCs w:val="16"/>
              </w:rPr>
              <w:t xml:space="preserve">Key activities </w:t>
            </w:r>
          </w:p>
          <w:p w14:paraId="1D055DEB" w14:textId="77777777" w:rsidR="00E71249" w:rsidRPr="00E21CEF" w:rsidRDefault="00E71249" w:rsidP="00496219">
            <w:pPr>
              <w:spacing w:before="120" w:after="120" w:line="280" w:lineRule="atLeast"/>
              <w:rPr>
                <w:rFonts w:asciiTheme="minorHAnsi" w:hAnsiTheme="minorHAnsi" w:cstheme="minorHAnsi"/>
                <w:b/>
                <w:spacing w:val="4"/>
                <w:szCs w:val="16"/>
              </w:rPr>
            </w:pPr>
            <w:r w:rsidRPr="00E21CEF">
              <w:rPr>
                <w:rFonts w:asciiTheme="minorHAnsi" w:hAnsiTheme="minorHAnsi" w:cstheme="minorHAnsi"/>
                <w:spacing w:val="4"/>
                <w:szCs w:val="16"/>
              </w:rPr>
              <w:t>1.9.1 Income Apportionment Resolution Payment</w:t>
            </w:r>
          </w:p>
        </w:tc>
        <w:tc>
          <w:tcPr>
            <w:tcW w:w="3753" w:type="pct"/>
            <w:shd w:val="clear" w:color="auto" w:fill="B1E4E3" w:themeFill="accent3"/>
          </w:tcPr>
          <w:p w14:paraId="71F0CED1" w14:textId="77777777" w:rsidR="00E71249" w:rsidRPr="00E21CEF" w:rsidRDefault="00E71249" w:rsidP="00496219">
            <w:pPr>
              <w:spacing w:before="120" w:after="120" w:line="280" w:lineRule="atLeast"/>
              <w:rPr>
                <w:rFonts w:asciiTheme="minorHAnsi" w:hAnsiTheme="minorHAnsi" w:cstheme="minorHAnsi"/>
                <w:b/>
                <w:spacing w:val="4"/>
                <w:szCs w:val="16"/>
              </w:rPr>
            </w:pPr>
            <w:r w:rsidRPr="00E21CEF">
              <w:rPr>
                <w:rFonts w:asciiTheme="minorHAnsi" w:hAnsiTheme="minorHAnsi" w:cstheme="minorHAnsi"/>
                <w:b/>
                <w:spacing w:val="4"/>
                <w:szCs w:val="16"/>
              </w:rPr>
              <w:t xml:space="preserve">Key activities </w:t>
            </w:r>
          </w:p>
          <w:p w14:paraId="3E3B2EF2" w14:textId="77777777" w:rsidR="00E71249" w:rsidRPr="00E21CEF" w:rsidRDefault="00E71249" w:rsidP="00496219">
            <w:pPr>
              <w:spacing w:before="120" w:after="120" w:line="280" w:lineRule="atLeast"/>
              <w:rPr>
                <w:rFonts w:asciiTheme="minorHAnsi" w:hAnsiTheme="minorHAnsi" w:cstheme="minorHAnsi"/>
                <w:b/>
                <w:spacing w:val="4"/>
                <w:szCs w:val="16"/>
              </w:rPr>
            </w:pPr>
            <w:r w:rsidRPr="00E21CEF">
              <w:rPr>
                <w:rFonts w:asciiTheme="minorHAnsi" w:hAnsiTheme="minorHAnsi" w:cstheme="minorHAnsi"/>
                <w:spacing w:val="4"/>
                <w:szCs w:val="16"/>
              </w:rPr>
              <w:t>Cross Program Rent Assistance</w:t>
            </w:r>
          </w:p>
        </w:tc>
      </w:tr>
    </w:tbl>
    <w:p w14:paraId="2793CF94" w14:textId="77777777" w:rsidR="00E71249" w:rsidRPr="001456A5" w:rsidRDefault="00E71249" w:rsidP="00E71249">
      <w:pPr>
        <w:spacing w:after="240"/>
        <w:rPr>
          <w:rFonts w:cstheme="minorHAnsi"/>
          <w:szCs w:val="22"/>
          <w:lang w:eastAsia="en-AU"/>
        </w:rPr>
      </w:pPr>
    </w:p>
    <w:p w14:paraId="6C8F22A0" w14:textId="77777777" w:rsidR="00E71249" w:rsidRDefault="00E71249" w:rsidP="00E71249">
      <w:pPr>
        <w:spacing w:after="240"/>
        <w:rPr>
          <w:rFonts w:ascii="Arial" w:eastAsia="Times New Roman" w:hAnsi="Arial" w:cs="Arial"/>
          <w:b/>
          <w:color w:val="FFFFFF"/>
          <w:sz w:val="20"/>
          <w:szCs w:val="20"/>
          <w:lang w:eastAsia="en-AU"/>
        </w:rPr>
      </w:pPr>
      <w:bookmarkStart w:id="79" w:name="_Toc256000028"/>
      <w:bookmarkStart w:id="80" w:name="_Hlk204163465"/>
    </w:p>
    <w:p w14:paraId="3A4DE59D" w14:textId="77777777" w:rsidR="00E71249" w:rsidRDefault="00E71249" w:rsidP="00E71249">
      <w:pPr>
        <w:spacing w:after="240"/>
        <w:rPr>
          <w:rFonts w:ascii="Arial" w:eastAsia="Times New Roman" w:hAnsi="Arial" w:cs="Arial"/>
          <w:b/>
          <w:color w:val="FFFFFF"/>
          <w:sz w:val="20"/>
          <w:szCs w:val="20"/>
          <w:lang w:eastAsia="en-AU"/>
        </w:rPr>
      </w:pPr>
    </w:p>
    <w:p w14:paraId="1E085132" w14:textId="77777777" w:rsidR="00E71249" w:rsidRDefault="00E71249" w:rsidP="00E71249">
      <w:pPr>
        <w:spacing w:after="240"/>
        <w:rPr>
          <w:rFonts w:ascii="Arial" w:eastAsia="Times New Roman" w:hAnsi="Arial" w:cs="Arial"/>
          <w:b/>
          <w:color w:val="FFFFFF"/>
          <w:sz w:val="20"/>
          <w:szCs w:val="20"/>
          <w:lang w:eastAsia="en-AU"/>
        </w:rPr>
      </w:pPr>
    </w:p>
    <w:p w14:paraId="4A30475D" w14:textId="7CAAC62C" w:rsidR="00E71249" w:rsidRPr="00DD6FA0" w:rsidRDefault="00E71249" w:rsidP="00DD6FA0">
      <w:pPr>
        <w:pStyle w:val="Heading3"/>
        <w:shd w:val="clear" w:color="auto" w:fill="005A70" w:themeFill="accent1"/>
        <w:rPr>
          <w:rFonts w:asciiTheme="minorHAnsi" w:hAnsiTheme="minorHAnsi" w:cstheme="minorHAnsi"/>
          <w:b/>
          <w:bCs w:val="0"/>
          <w:color w:val="FFFFFF" w:themeColor="background1"/>
          <w:sz w:val="22"/>
          <w:szCs w:val="22"/>
          <w:lang w:eastAsia="en-AU"/>
        </w:rPr>
      </w:pPr>
      <w:bookmarkStart w:id="81" w:name="_Toc238653289"/>
      <w:r w:rsidRPr="00DD6FA0">
        <w:rPr>
          <w:rFonts w:asciiTheme="minorHAnsi" w:hAnsiTheme="minorHAnsi" w:cstheme="minorHAnsi"/>
          <w:b/>
          <w:bCs w:val="0"/>
          <w:color w:val="FFFFFF" w:themeColor="background1"/>
          <w:sz w:val="22"/>
          <w:szCs w:val="22"/>
          <w:lang w:eastAsia="en-AU"/>
        </w:rPr>
        <w:t>P</w:t>
      </w:r>
      <w:r w:rsidR="0080104C" w:rsidRPr="00DD6FA0">
        <w:rPr>
          <w:rFonts w:asciiTheme="minorHAnsi" w:hAnsiTheme="minorHAnsi" w:cstheme="minorHAnsi"/>
          <w:b/>
          <w:bCs w:val="0"/>
          <w:color w:val="FFFFFF" w:themeColor="background1"/>
          <w:sz w:val="22"/>
          <w:szCs w:val="22"/>
          <w:lang w:eastAsia="en-AU"/>
        </w:rPr>
        <w:t>rogram</w:t>
      </w:r>
      <w:r w:rsidRPr="00DD6FA0">
        <w:rPr>
          <w:rFonts w:asciiTheme="minorHAnsi" w:hAnsiTheme="minorHAnsi" w:cstheme="minorHAnsi"/>
          <w:b/>
          <w:bCs w:val="0"/>
          <w:color w:val="FFFFFF" w:themeColor="background1"/>
          <w:sz w:val="22"/>
          <w:szCs w:val="22"/>
          <w:lang w:eastAsia="en-AU"/>
        </w:rPr>
        <w:t xml:space="preserve"> 1.1 </w:t>
      </w:r>
      <w:bookmarkEnd w:id="79"/>
      <w:r w:rsidR="0080104C" w:rsidRPr="00DD6FA0">
        <w:rPr>
          <w:rFonts w:asciiTheme="minorHAnsi" w:hAnsiTheme="minorHAnsi" w:cstheme="minorHAnsi"/>
          <w:b/>
          <w:bCs w:val="0"/>
          <w:color w:val="FFFFFF" w:themeColor="background1"/>
          <w:sz w:val="22"/>
          <w:szCs w:val="22"/>
          <w:lang w:eastAsia="en-AU"/>
        </w:rPr>
        <w:t>Support for Families</w:t>
      </w:r>
      <w:bookmarkEnd w:id="81"/>
    </w:p>
    <w:p w14:paraId="392EA2B6" w14:textId="77777777" w:rsidR="00E71249" w:rsidRPr="00087716" w:rsidRDefault="00E71249" w:rsidP="00E71249">
      <w:pPr>
        <w:shd w:val="clear" w:color="auto" w:fill="005A70"/>
        <w:spacing w:before="240" w:after="0" w:line="256" w:lineRule="auto"/>
        <w:rPr>
          <w:rFonts w:eastAsia="Times New Roman" w:cstheme="minorHAnsi"/>
          <w:color w:val="FFFFFF"/>
          <w:szCs w:val="22"/>
          <w:lang w:eastAsia="en-AU"/>
        </w:rPr>
      </w:pPr>
      <w:r w:rsidRPr="00087716">
        <w:rPr>
          <w:rFonts w:eastAsia="Times New Roman" w:cstheme="minorHAnsi"/>
          <w:color w:val="FFFFFF"/>
          <w:szCs w:val="22"/>
          <w:lang w:eastAsia="en-AU"/>
        </w:rPr>
        <w:t>Assist eligible families with the cost of raising children while ensuring that parents remain primarily responsible for supporting their children.</w:t>
      </w:r>
    </w:p>
    <w:p w14:paraId="4D24F77C" w14:textId="77777777" w:rsidR="00E71249" w:rsidRPr="002A5B00" w:rsidRDefault="00E71249" w:rsidP="002A5B00">
      <w:pPr>
        <w:pStyle w:val="Heading4"/>
        <w:shd w:val="clear" w:color="auto" w:fill="B1E4E3" w:themeFill="accent3"/>
        <w:spacing w:before="60" w:after="60"/>
        <w:rPr>
          <w:color w:val="auto"/>
          <w:sz w:val="22"/>
          <w:szCs w:val="22"/>
        </w:rPr>
      </w:pPr>
      <w:r w:rsidRPr="002A5B00">
        <w:rPr>
          <w:color w:val="auto"/>
          <w:sz w:val="22"/>
          <w:szCs w:val="22"/>
        </w:rPr>
        <w:t>Key Activity — 1.1.1 Family Tax Benefit</w:t>
      </w:r>
    </w:p>
    <w:p w14:paraId="1E3721F2" w14:textId="77777777" w:rsidR="00E71249" w:rsidRPr="00087716" w:rsidRDefault="00E71249" w:rsidP="007D2C0A">
      <w:pPr>
        <w:spacing w:before="120" w:after="160" w:line="240" w:lineRule="auto"/>
        <w:rPr>
          <w:rFonts w:eastAsia="Times New Roman" w:cstheme="minorHAnsi"/>
          <w:szCs w:val="22"/>
        </w:rPr>
      </w:pPr>
      <w:r w:rsidRPr="00087716">
        <w:rPr>
          <w:rFonts w:eastAsia="Times New Roman" w:cstheme="minorHAnsi"/>
          <w:szCs w:val="22"/>
        </w:rPr>
        <w:t xml:space="preserve">Family Tax Benefit (FTB) is a key activity of the Support for Families Program. The FTB activity makes payments to eligible </w:t>
      </w:r>
      <w:proofErr w:type="gramStart"/>
      <w:r w:rsidRPr="00087716">
        <w:rPr>
          <w:rFonts w:eastAsia="Times New Roman" w:cstheme="minorHAnsi"/>
          <w:szCs w:val="22"/>
        </w:rPr>
        <w:t>low and medium income</w:t>
      </w:r>
      <w:proofErr w:type="gramEnd"/>
      <w:r w:rsidRPr="00087716">
        <w:rPr>
          <w:rFonts w:eastAsia="Times New Roman" w:cstheme="minorHAnsi"/>
          <w:szCs w:val="22"/>
        </w:rPr>
        <w:t xml:space="preserve"> families to help with the direct and indirect cost of raising dependent children. It comprises two parts:</w:t>
      </w:r>
    </w:p>
    <w:p w14:paraId="441E08D8" w14:textId="307ABE74" w:rsidR="00E71249" w:rsidRPr="00087716" w:rsidRDefault="00E71249" w:rsidP="007D2C0A">
      <w:pPr>
        <w:pStyle w:val="ListParagraph"/>
        <w:spacing w:before="120" w:after="160"/>
        <w:ind w:left="0" w:hanging="11"/>
      </w:pPr>
      <w:r w:rsidRPr="00087716">
        <w:t>FTB Part A –</w:t>
      </w:r>
      <w:r w:rsidR="00CC4BFB">
        <w:t xml:space="preserve"> </w:t>
      </w:r>
      <w:r w:rsidRPr="00087716">
        <w:t>is paid per child and the amount paid is based on the family’s circumstances.</w:t>
      </w:r>
    </w:p>
    <w:p w14:paraId="4F462EB2" w14:textId="43E482CD" w:rsidR="00E71249" w:rsidRPr="00087716" w:rsidRDefault="00E71249" w:rsidP="007D2C0A">
      <w:pPr>
        <w:pStyle w:val="ListParagraph"/>
        <w:spacing w:before="120" w:after="160"/>
        <w:ind w:left="0" w:hanging="11"/>
      </w:pPr>
      <w:r w:rsidRPr="00087716">
        <w:t>FTB Part B –</w:t>
      </w:r>
      <w:r w:rsidR="00CC4BFB">
        <w:t xml:space="preserve"> </w:t>
      </w:r>
      <w:r w:rsidRPr="00087716">
        <w:t>is paid per family and gives extra help to single parents and some couple families with one main income.</w:t>
      </w:r>
    </w:p>
    <w:p w14:paraId="527A2F8A" w14:textId="77777777" w:rsidR="00E71249" w:rsidRPr="00087716" w:rsidRDefault="00E71249" w:rsidP="007D2C0A">
      <w:pPr>
        <w:spacing w:before="120" w:after="160" w:line="240" w:lineRule="auto"/>
        <w:rPr>
          <w:rFonts w:eastAsia="Times New Roman" w:cstheme="minorHAnsi"/>
          <w:szCs w:val="22"/>
        </w:rPr>
      </w:pPr>
      <w:r w:rsidRPr="00087716">
        <w:rPr>
          <w:rFonts w:eastAsia="Times New Roman" w:cstheme="minorHAnsi"/>
          <w:szCs w:val="22"/>
        </w:rPr>
        <w:t>FTB can be paid fortnightly or as a lump sum at the end of the financial year. Families who are eligible for FTB may also be eligible for other payments and supplements, such as Newborn Supplement, Newborn Upfront Payment, and Rent Assistance. FTB Part A recipients must also meet immunisation and health check requirements (where applicable).</w:t>
      </w:r>
    </w:p>
    <w:p w14:paraId="347EA8E9" w14:textId="650FBA81" w:rsidR="00E71249" w:rsidRPr="00087716" w:rsidRDefault="00E71249" w:rsidP="007D2C0A">
      <w:pPr>
        <w:spacing w:before="120" w:after="160" w:line="240" w:lineRule="auto"/>
        <w:rPr>
          <w:rFonts w:eastAsia="Times New Roman" w:cstheme="minorHAnsi"/>
          <w:szCs w:val="22"/>
        </w:rPr>
      </w:pPr>
      <w:r w:rsidRPr="00087716">
        <w:rPr>
          <w:rFonts w:eastAsia="Times New Roman" w:cstheme="minorHAnsi"/>
          <w:b/>
          <w:bCs/>
          <w:szCs w:val="22"/>
        </w:rPr>
        <w:t xml:space="preserve">The </w:t>
      </w:r>
      <w:r w:rsidR="0054557F">
        <w:rPr>
          <w:rFonts w:eastAsia="Times New Roman" w:cstheme="minorHAnsi"/>
          <w:b/>
          <w:bCs/>
          <w:szCs w:val="22"/>
        </w:rPr>
        <w:t>d</w:t>
      </w:r>
      <w:r w:rsidRPr="00087716">
        <w:rPr>
          <w:rFonts w:eastAsia="Times New Roman" w:cstheme="minorHAnsi"/>
          <w:b/>
          <w:bCs/>
          <w:szCs w:val="22"/>
        </w:rPr>
        <w:t>epartment</w:t>
      </w:r>
      <w:r w:rsidRPr="00087716">
        <w:rPr>
          <w:rFonts w:eastAsia="Times New Roman" w:cstheme="minorHAnsi"/>
          <w:szCs w:val="22"/>
        </w:rPr>
        <w:t xml:space="preserve"> is responsible for designing and implementing the key activity. This includes providing advice to government on policy and legislation, program implementation and management, program performance, monitoring and meeting all relevant deliverables, setting key performance indicators, and providing guidance and advice to Services Australia on the administration of the program.</w:t>
      </w:r>
    </w:p>
    <w:p w14:paraId="7A22BC12" w14:textId="2772DB87" w:rsidR="00E71249" w:rsidRPr="00087716" w:rsidRDefault="00E71249" w:rsidP="00E71249">
      <w:pPr>
        <w:spacing w:before="120" w:after="0" w:line="240" w:lineRule="auto"/>
        <w:rPr>
          <w:rFonts w:eastAsia="Times New Roman" w:cstheme="minorHAnsi"/>
          <w:szCs w:val="22"/>
        </w:rPr>
      </w:pPr>
      <w:r w:rsidRPr="00087716">
        <w:rPr>
          <w:rFonts w:eastAsia="Times New Roman" w:cstheme="minorHAnsi"/>
          <w:b/>
          <w:bCs/>
          <w:szCs w:val="22"/>
        </w:rPr>
        <w:t>Services Australia</w:t>
      </w:r>
      <w:r w:rsidRPr="00087716">
        <w:rPr>
          <w:rFonts w:eastAsia="Times New Roman" w:cstheme="minorHAnsi"/>
          <w:szCs w:val="22"/>
        </w:rPr>
        <w:t xml:space="preserve"> is responsible for administering FTB on the </w:t>
      </w:r>
      <w:r w:rsidR="0054557F">
        <w:rPr>
          <w:rFonts w:eastAsia="Times New Roman" w:cstheme="minorHAnsi"/>
          <w:szCs w:val="22"/>
        </w:rPr>
        <w:t>d</w:t>
      </w:r>
      <w:r w:rsidRPr="00087716">
        <w:rPr>
          <w:rFonts w:eastAsia="Times New Roman" w:cstheme="minorHAnsi"/>
          <w:szCs w:val="22"/>
        </w:rPr>
        <w:t>epartment’s behalf, including receiving, processing, and managing payment applications and making payments.</w:t>
      </w:r>
    </w:p>
    <w:p w14:paraId="2195FF0B" w14:textId="77777777" w:rsidR="00E71249" w:rsidRPr="0080104C" w:rsidRDefault="00E71249" w:rsidP="0080104C">
      <w:pPr>
        <w:pStyle w:val="Heading4"/>
        <w:rPr>
          <w:sz w:val="22"/>
          <w:szCs w:val="22"/>
          <w:lang w:eastAsia="en-GB"/>
        </w:rPr>
      </w:pPr>
      <w:r w:rsidRPr="0080104C">
        <w:rPr>
          <w:sz w:val="22"/>
          <w:szCs w:val="22"/>
        </w:rPr>
        <w:t>Performance Measure</w:t>
      </w:r>
    </w:p>
    <w:p w14:paraId="12661042" w14:textId="7CD35D39" w:rsidR="00E71249" w:rsidRPr="00087716" w:rsidRDefault="00E71249" w:rsidP="00E71249">
      <w:pPr>
        <w:spacing w:before="120" w:after="0" w:line="240" w:lineRule="auto"/>
        <w:rPr>
          <w:rFonts w:eastAsia="Times New Roman" w:cstheme="minorHAnsi"/>
          <w:szCs w:val="22"/>
        </w:rPr>
      </w:pPr>
      <w:r w:rsidRPr="00087716">
        <w:rPr>
          <w:rFonts w:eastAsia="Times New Roman" w:cstheme="minorHAnsi"/>
          <w:szCs w:val="22"/>
        </w:rPr>
        <w:t>1.1.1-1 Extent to which families with lower incomes are supported with the costs of raising children through Family Tax Benefit.</w:t>
      </w:r>
      <w:r w:rsidR="00292AB1" w:rsidRPr="00292AB1">
        <w:t xml:space="preserve"> </w:t>
      </w:r>
    </w:p>
    <w:tbl>
      <w:tblPr>
        <w:tblStyle w:val="Numericaltable11"/>
        <w:tblW w:w="10163" w:type="dxa"/>
        <w:tblInd w:w="-5" w:type="dxa"/>
        <w:tblLayout w:type="fixed"/>
        <w:tblLook w:val="04A0" w:firstRow="1" w:lastRow="0" w:firstColumn="1" w:lastColumn="0" w:noHBand="0" w:noVBand="1"/>
        <w:tblCaption w:val="Table 5 - 1.1.1-1 - Extent to which families with lower incomes are supported with the costs of raising children through Family Tax Benefit."/>
        <w:tblDescription w:val="Target for the extent to which families with lower incomes are supported with the costs of raising children through Family Tax Benefit."/>
      </w:tblPr>
      <w:tblGrid>
        <w:gridCol w:w="3971"/>
        <w:gridCol w:w="1548"/>
        <w:gridCol w:w="1548"/>
        <w:gridCol w:w="1548"/>
        <w:gridCol w:w="1548"/>
      </w:tblGrid>
      <w:tr w:rsidR="00E71249" w:rsidRPr="00087716" w14:paraId="5C7A790A" w14:textId="77777777" w:rsidTr="00496219">
        <w:trPr>
          <w:trHeight w:val="417"/>
        </w:trPr>
        <w:tc>
          <w:tcPr>
            <w:tcW w:w="3971" w:type="dxa"/>
            <w:shd w:val="clear" w:color="auto" w:fill="D9D9D6"/>
          </w:tcPr>
          <w:p w14:paraId="708A5D7C" w14:textId="77777777" w:rsidR="00E71249" w:rsidRPr="00087716" w:rsidRDefault="00E71249" w:rsidP="00496219">
            <w:pPr>
              <w:spacing w:before="240" w:after="120"/>
              <w:rPr>
                <w:rFonts w:cstheme="minorHAnsi"/>
              </w:rPr>
            </w:pPr>
            <w:r w:rsidRPr="00087716">
              <w:rPr>
                <w:rFonts w:cstheme="minorHAnsi"/>
                <w:b/>
              </w:rPr>
              <w:t>Target</w:t>
            </w:r>
          </w:p>
        </w:tc>
        <w:tc>
          <w:tcPr>
            <w:tcW w:w="1548" w:type="dxa"/>
            <w:shd w:val="clear" w:color="auto" w:fill="D9D9D6"/>
          </w:tcPr>
          <w:p w14:paraId="07315004" w14:textId="77777777" w:rsidR="00E71249" w:rsidRPr="00087716" w:rsidRDefault="00E71249" w:rsidP="00496219">
            <w:pPr>
              <w:spacing w:before="240" w:after="120"/>
              <w:jc w:val="both"/>
              <w:rPr>
                <w:rFonts w:cstheme="minorHAnsi"/>
                <w:b/>
              </w:rPr>
            </w:pPr>
            <w:r w:rsidRPr="00087716">
              <w:rPr>
                <w:rFonts w:cstheme="minorHAnsi"/>
                <w:b/>
              </w:rPr>
              <w:t>2026–27</w:t>
            </w:r>
          </w:p>
        </w:tc>
        <w:tc>
          <w:tcPr>
            <w:tcW w:w="1548" w:type="dxa"/>
            <w:shd w:val="clear" w:color="auto" w:fill="D9D9D6"/>
          </w:tcPr>
          <w:p w14:paraId="09D76793" w14:textId="77777777" w:rsidR="00E71249" w:rsidRPr="00087716" w:rsidRDefault="00E71249" w:rsidP="00496219">
            <w:pPr>
              <w:spacing w:before="240" w:after="120"/>
              <w:jc w:val="both"/>
              <w:rPr>
                <w:rFonts w:cstheme="minorHAnsi"/>
                <w:b/>
              </w:rPr>
            </w:pPr>
            <w:r w:rsidRPr="00087716">
              <w:rPr>
                <w:rFonts w:cstheme="minorHAnsi"/>
                <w:b/>
              </w:rPr>
              <w:t>2027–28</w:t>
            </w:r>
          </w:p>
        </w:tc>
        <w:tc>
          <w:tcPr>
            <w:tcW w:w="1548" w:type="dxa"/>
            <w:shd w:val="clear" w:color="auto" w:fill="D9D9D6"/>
          </w:tcPr>
          <w:p w14:paraId="27AD15C5" w14:textId="77777777" w:rsidR="00E71249" w:rsidRPr="00087716" w:rsidRDefault="00E71249" w:rsidP="00496219">
            <w:pPr>
              <w:spacing w:before="240" w:after="120"/>
              <w:jc w:val="both"/>
              <w:rPr>
                <w:rFonts w:cstheme="minorHAnsi"/>
                <w:b/>
              </w:rPr>
            </w:pPr>
            <w:r w:rsidRPr="00087716">
              <w:rPr>
                <w:rFonts w:cstheme="minorHAnsi"/>
                <w:b/>
              </w:rPr>
              <w:t>2028–29</w:t>
            </w:r>
          </w:p>
        </w:tc>
        <w:tc>
          <w:tcPr>
            <w:tcW w:w="1548" w:type="dxa"/>
            <w:shd w:val="clear" w:color="auto" w:fill="D9D9D6"/>
          </w:tcPr>
          <w:p w14:paraId="3628F637" w14:textId="77777777" w:rsidR="00E71249" w:rsidRPr="00087716" w:rsidRDefault="00E71249" w:rsidP="00496219">
            <w:pPr>
              <w:spacing w:before="240" w:after="120"/>
              <w:jc w:val="both"/>
              <w:rPr>
                <w:rFonts w:cstheme="minorHAnsi"/>
                <w:b/>
              </w:rPr>
            </w:pPr>
            <w:r w:rsidRPr="00087716">
              <w:rPr>
                <w:rFonts w:cstheme="minorHAnsi"/>
                <w:b/>
              </w:rPr>
              <w:t>2029–30</w:t>
            </w:r>
          </w:p>
        </w:tc>
      </w:tr>
      <w:tr w:rsidR="00E71249" w:rsidRPr="00087716" w14:paraId="6E197064" w14:textId="77777777" w:rsidTr="00496219">
        <w:trPr>
          <w:trHeight w:val="3127"/>
        </w:trPr>
        <w:tc>
          <w:tcPr>
            <w:tcW w:w="3971" w:type="dxa"/>
            <w:shd w:val="clear" w:color="auto" w:fill="FFFFFF" w:themeFill="background1"/>
          </w:tcPr>
          <w:p w14:paraId="61826566" w14:textId="4900F481" w:rsidR="00E71249" w:rsidRPr="00087716" w:rsidRDefault="00292AB1" w:rsidP="00496219">
            <w:pPr>
              <w:spacing w:before="240" w:after="120"/>
              <w:rPr>
                <w:rFonts w:cstheme="minorHAnsi"/>
              </w:rPr>
            </w:pPr>
            <w:r w:rsidRPr="00B8228A">
              <w:rPr>
                <w:noProof/>
              </w:rPr>
              <w:drawing>
                <wp:inline distT="0" distB="0" distL="0" distR="0" wp14:anchorId="183D73A4" wp14:editId="7D554CE5">
                  <wp:extent cx="107334" cy="107334"/>
                  <wp:effectExtent l="0" t="0" r="6985" b="6985"/>
                  <wp:docPr id="105820057" name="Picture 1" descr="The diamond symbol represents Performance measures that may be impacted by external f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0057" name="Picture 1" descr="The diamond symbol represents Performance measures that may be impacted by external factors."/>
                          <pic:cNvPicPr/>
                        </pic:nvPicPr>
                        <pic:blipFill>
                          <a:blip r:embed="rId25"/>
                          <a:stretch>
                            <a:fillRect/>
                          </a:stretch>
                        </pic:blipFill>
                        <pic:spPr>
                          <a:xfrm>
                            <a:off x="0" y="0"/>
                            <a:ext cx="109226" cy="109226"/>
                          </a:xfrm>
                          <a:prstGeom prst="rect">
                            <a:avLst/>
                          </a:prstGeom>
                        </pic:spPr>
                      </pic:pic>
                    </a:graphicData>
                  </a:graphic>
                </wp:inline>
              </w:drawing>
            </w:r>
            <w:r w:rsidR="00E37322">
              <w:rPr>
                <w:rFonts w:eastAsiaTheme="minorEastAsia" w:cstheme="minorHAnsi"/>
                <w:lang w:eastAsia="en-AU"/>
              </w:rPr>
              <w:t xml:space="preserve"> </w:t>
            </w:r>
            <w:r w:rsidR="00E71249" w:rsidRPr="00087716">
              <w:rPr>
                <w:rFonts w:cstheme="minorHAnsi"/>
              </w:rPr>
              <w:t>1.1.1-1A – The number of FTB Part A families with adjusted taxable income under the FTB Part A Lower Income Free Area is aligned with the number of families in Australia with family income under the FTB Part A Lower Income Free Area.</w:t>
            </w:r>
          </w:p>
        </w:tc>
        <w:tc>
          <w:tcPr>
            <w:tcW w:w="1548" w:type="dxa"/>
          </w:tcPr>
          <w:p w14:paraId="6278E20E" w14:textId="77777777" w:rsidR="00E71249" w:rsidRPr="00087716" w:rsidRDefault="00E71249" w:rsidP="00496219">
            <w:pPr>
              <w:spacing w:before="240" w:after="120"/>
              <w:rPr>
                <w:rFonts w:cstheme="minorHAnsi"/>
              </w:rPr>
            </w:pPr>
            <w:r w:rsidRPr="00087716">
              <w:rPr>
                <w:rFonts w:cstheme="minorHAnsi"/>
              </w:rPr>
              <w:t>Recipient numbers align with the proportion of families with income under the FTB Part A Lower Income Free Area</w:t>
            </w:r>
          </w:p>
        </w:tc>
        <w:tc>
          <w:tcPr>
            <w:tcW w:w="1548" w:type="dxa"/>
          </w:tcPr>
          <w:p w14:paraId="5285116B" w14:textId="77777777" w:rsidR="00E71249" w:rsidRPr="00087716" w:rsidRDefault="00E71249" w:rsidP="00496219">
            <w:pPr>
              <w:spacing w:before="240" w:after="120"/>
              <w:rPr>
                <w:rFonts w:cstheme="minorHAnsi"/>
              </w:rPr>
            </w:pPr>
            <w:r w:rsidRPr="00087716">
              <w:rPr>
                <w:rFonts w:cstheme="minorHAnsi"/>
              </w:rPr>
              <w:t>Recipient numbers align with the proportion of families with income under the FTB Part A Lower Income Free Area</w:t>
            </w:r>
          </w:p>
        </w:tc>
        <w:tc>
          <w:tcPr>
            <w:tcW w:w="1548" w:type="dxa"/>
          </w:tcPr>
          <w:p w14:paraId="55FA2A02" w14:textId="77777777" w:rsidR="00E71249" w:rsidRPr="00087716" w:rsidRDefault="00E71249" w:rsidP="00496219">
            <w:pPr>
              <w:spacing w:before="240" w:after="120"/>
              <w:rPr>
                <w:rFonts w:cstheme="minorHAnsi"/>
              </w:rPr>
            </w:pPr>
            <w:r w:rsidRPr="00087716">
              <w:rPr>
                <w:rFonts w:cstheme="minorHAnsi"/>
              </w:rPr>
              <w:t xml:space="preserve">Recipient numbers align with the proportion of families with income under the FTB Part A Lower Income Free Area </w:t>
            </w:r>
          </w:p>
        </w:tc>
        <w:tc>
          <w:tcPr>
            <w:tcW w:w="1548" w:type="dxa"/>
          </w:tcPr>
          <w:p w14:paraId="792A7D64" w14:textId="77777777" w:rsidR="00E71249" w:rsidRPr="00087716" w:rsidRDefault="00E71249" w:rsidP="00496219">
            <w:pPr>
              <w:spacing w:before="240" w:after="120"/>
              <w:rPr>
                <w:rFonts w:cstheme="minorHAnsi"/>
              </w:rPr>
            </w:pPr>
            <w:r w:rsidRPr="00087716">
              <w:rPr>
                <w:rFonts w:cstheme="minorHAnsi"/>
              </w:rPr>
              <w:t xml:space="preserve">Recipient numbers align with the proportion of families with income under the FTB Part A Lower Income Free Area </w:t>
            </w:r>
          </w:p>
        </w:tc>
      </w:tr>
    </w:tbl>
    <w:p w14:paraId="60F9B153" w14:textId="77777777" w:rsidR="00E71249" w:rsidRPr="00087716" w:rsidRDefault="00E71249" w:rsidP="0080104C">
      <w:pPr>
        <w:pStyle w:val="CPCustom3"/>
      </w:pPr>
      <w:r w:rsidRPr="00087716">
        <w:t>Rationale</w:t>
      </w:r>
    </w:p>
    <w:p w14:paraId="6614A6E0" w14:textId="77777777" w:rsidR="00E71249" w:rsidRPr="00087716" w:rsidRDefault="00E71249" w:rsidP="00F216D7">
      <w:pPr>
        <w:spacing w:before="120" w:after="160"/>
        <w:rPr>
          <w:lang w:eastAsia="en-AU"/>
        </w:rPr>
      </w:pPr>
      <w:r w:rsidRPr="00087716">
        <w:rPr>
          <w:lang w:eastAsia="en-AU"/>
        </w:rPr>
        <w:t xml:space="preserve">Measuring the extent to which families with lower incomes are supported with the costs of raising children through the FTB aims to demonstrate how the payment is targeted towards these families. </w:t>
      </w:r>
      <w:r w:rsidRPr="00087716">
        <w:rPr>
          <w:lang w:eastAsia="en-AU"/>
        </w:rPr>
        <w:lastRenderedPageBreak/>
        <w:t xml:space="preserve">This measure demonstrates the </w:t>
      </w:r>
      <w:r w:rsidRPr="00087716">
        <w:rPr>
          <w:b/>
          <w:bCs/>
          <w:lang w:eastAsia="en-AU"/>
        </w:rPr>
        <w:t>effectiveness</w:t>
      </w:r>
      <w:r w:rsidRPr="00087716">
        <w:rPr>
          <w:lang w:eastAsia="en-AU"/>
        </w:rPr>
        <w:t xml:space="preserve"> of the FTB in achieving the objective of the key activity, which is to ensure eligible families are helped with the cost of raising children.</w:t>
      </w:r>
    </w:p>
    <w:p w14:paraId="4152C487" w14:textId="7C5C9CC3" w:rsidR="00E71249" w:rsidRDefault="00E71249" w:rsidP="00F216D7">
      <w:pPr>
        <w:spacing w:before="120" w:after="160"/>
        <w:rPr>
          <w:lang w:eastAsia="en-AU"/>
        </w:rPr>
      </w:pPr>
      <w:r w:rsidRPr="00087716">
        <w:rPr>
          <w:lang w:eastAsia="en-AU"/>
        </w:rPr>
        <w:t xml:space="preserve">The target demonstrates the </w:t>
      </w:r>
      <w:r w:rsidRPr="00087716">
        <w:rPr>
          <w:b/>
          <w:bCs/>
          <w:lang w:eastAsia="en-AU"/>
        </w:rPr>
        <w:t>effectiveness</w:t>
      </w:r>
      <w:r w:rsidRPr="00087716">
        <w:rPr>
          <w:lang w:eastAsia="en-AU"/>
        </w:rPr>
        <w:t xml:space="preserve"> of the </w:t>
      </w:r>
      <w:r w:rsidR="0054557F">
        <w:rPr>
          <w:lang w:eastAsia="en-AU"/>
        </w:rPr>
        <w:t>d</w:t>
      </w:r>
      <w:r w:rsidRPr="00087716">
        <w:rPr>
          <w:lang w:eastAsia="en-AU"/>
        </w:rPr>
        <w:t xml:space="preserve">epartment’s role in delivering the key activity by showing the extent to which </w:t>
      </w:r>
      <w:proofErr w:type="gramStart"/>
      <w:r w:rsidRPr="00087716">
        <w:rPr>
          <w:lang w:eastAsia="en-AU"/>
        </w:rPr>
        <w:t>low income</w:t>
      </w:r>
      <w:proofErr w:type="gramEnd"/>
      <w:r w:rsidRPr="00087716">
        <w:rPr>
          <w:lang w:eastAsia="en-AU"/>
        </w:rPr>
        <w:t xml:space="preserve"> families are supported by FTB.</w:t>
      </w:r>
    </w:p>
    <w:p w14:paraId="5EBE9EFF" w14:textId="77777777" w:rsidR="00E71249" w:rsidRPr="00087716" w:rsidRDefault="00E71249" w:rsidP="00E71249">
      <w:pPr>
        <w:suppressAutoHyphens/>
        <w:spacing w:before="120" w:after="120" w:line="257" w:lineRule="auto"/>
        <w:rPr>
          <w:rFonts w:eastAsia="Times New Roman" w:cstheme="minorHAnsi"/>
          <w:szCs w:val="22"/>
          <w:lang w:eastAsia="en-AU"/>
        </w:rPr>
      </w:pPr>
    </w:p>
    <w:p w14:paraId="1F4A5120" w14:textId="77777777" w:rsidR="00E71249" w:rsidRPr="00087716" w:rsidRDefault="00E71249" w:rsidP="0080104C">
      <w:pPr>
        <w:pStyle w:val="CPCustom3"/>
      </w:pPr>
      <w:r w:rsidRPr="00087716">
        <w:t>Methodology</w:t>
      </w:r>
    </w:p>
    <w:p w14:paraId="0117098D" w14:textId="77777777" w:rsidR="00E71249" w:rsidRPr="00087716" w:rsidRDefault="00E71249" w:rsidP="00F216D7">
      <w:pPr>
        <w:spacing w:before="120" w:after="160"/>
        <w:rPr>
          <w:rFonts w:eastAsia="Times New Roman"/>
          <w:lang w:eastAsia="en-AU"/>
        </w:rPr>
      </w:pPr>
      <w:r w:rsidRPr="00087716">
        <w:rPr>
          <w:lang w:eastAsia="en-AU"/>
        </w:rPr>
        <w:t>The number of FTB Part A families with adjusted taxable income under the FTB Part A Lower Income Free Area is aligned with the number of families in Australia with family income under the FTB Part A Lower Income Free Area is calculated by</w:t>
      </w:r>
      <w:r w:rsidRPr="00087716">
        <w:rPr>
          <w:rFonts w:eastAsia="Times New Roman"/>
          <w:lang w:eastAsia="en-AU"/>
        </w:rPr>
        <w:t>:</w:t>
      </w:r>
    </w:p>
    <w:p w14:paraId="6BD6204A" w14:textId="77777777" w:rsidR="00E71249" w:rsidRPr="00087716" w:rsidRDefault="00E71249" w:rsidP="00F216D7">
      <w:pPr>
        <w:pStyle w:val="ListParagraph"/>
        <w:spacing w:before="120" w:after="160"/>
        <w:ind w:left="714" w:hanging="357"/>
        <w:rPr>
          <w:lang w:eastAsia="en-AU"/>
        </w:rPr>
      </w:pPr>
      <w:r w:rsidRPr="00087716">
        <w:rPr>
          <w:lang w:eastAsia="en-AU"/>
        </w:rPr>
        <w:t>using the number of FTB Part A families with adjusted taxable income under the FTB Part A Lower Income Free Area, divided by,</w:t>
      </w:r>
    </w:p>
    <w:p w14:paraId="10A1AE53" w14:textId="77777777" w:rsidR="00E71249" w:rsidRPr="00087716" w:rsidRDefault="00E71249" w:rsidP="00F216D7">
      <w:pPr>
        <w:pStyle w:val="ListParagraph"/>
        <w:spacing w:before="120" w:after="160"/>
        <w:ind w:left="714" w:hanging="357"/>
        <w:rPr>
          <w:lang w:eastAsia="en-AU"/>
        </w:rPr>
      </w:pPr>
      <w:r w:rsidRPr="00087716">
        <w:rPr>
          <w:lang w:eastAsia="en-AU"/>
        </w:rPr>
        <w:t>the number of families in Australia with family income under the FTB Part A Lower Income Free Area.</w:t>
      </w:r>
    </w:p>
    <w:p w14:paraId="25A95356" w14:textId="77777777" w:rsidR="00E71249" w:rsidRPr="00087716" w:rsidRDefault="00E71249" w:rsidP="00F216D7">
      <w:pPr>
        <w:spacing w:before="120" w:after="160"/>
        <w:rPr>
          <w:lang w:eastAsia="en-AU"/>
        </w:rPr>
      </w:pPr>
      <w:r w:rsidRPr="00087716">
        <w:rPr>
          <w:lang w:eastAsia="en-AU"/>
        </w:rPr>
        <w:t xml:space="preserve">This is used to measure the proportion of lower income families in Australia who are supported by receiving FTB. </w:t>
      </w:r>
    </w:p>
    <w:p w14:paraId="6BEED205" w14:textId="77777777" w:rsidR="00E71249" w:rsidRPr="00087716" w:rsidRDefault="00E71249" w:rsidP="0080104C">
      <w:pPr>
        <w:pStyle w:val="CPCustom3"/>
        <w:rPr>
          <w:lang w:eastAsia="en-AU"/>
        </w:rPr>
      </w:pPr>
      <w:r w:rsidRPr="00087716">
        <w:rPr>
          <w:lang w:eastAsia="en-AU"/>
        </w:rPr>
        <w:t>Data Categorisation</w:t>
      </w:r>
    </w:p>
    <w:tbl>
      <w:tblPr>
        <w:tblStyle w:val="Numericaltable2"/>
        <w:tblW w:w="10201" w:type="dxa"/>
        <w:tblLook w:val="04A0" w:firstRow="1" w:lastRow="0" w:firstColumn="1" w:lastColumn="0" w:noHBand="0" w:noVBand="1"/>
        <w:tblCaption w:val="Table 6 - Categorisation of data source"/>
        <w:tblDescription w:val="Categorisation of data source"/>
      </w:tblPr>
      <w:tblGrid>
        <w:gridCol w:w="3823"/>
        <w:gridCol w:w="6378"/>
      </w:tblGrid>
      <w:tr w:rsidR="00E71249" w:rsidRPr="00087716" w14:paraId="72827703" w14:textId="77777777" w:rsidTr="00496219">
        <w:trPr>
          <w:trHeight w:val="306"/>
          <w:tblHeader/>
        </w:trPr>
        <w:tc>
          <w:tcPr>
            <w:tcW w:w="3823" w:type="dxa"/>
            <w:tcBorders>
              <w:top w:val="single" w:sz="4" w:space="0" w:color="auto"/>
              <w:left w:val="single" w:sz="4" w:space="0" w:color="auto"/>
              <w:bottom w:val="single" w:sz="4" w:space="0" w:color="auto"/>
              <w:right w:val="single" w:sz="4" w:space="0" w:color="auto"/>
            </w:tcBorders>
            <w:shd w:val="clear" w:color="auto" w:fill="215868"/>
            <w:hideMark/>
          </w:tcPr>
          <w:p w14:paraId="43FC0A78" w14:textId="77777777" w:rsidR="00E71249" w:rsidRPr="00087716" w:rsidRDefault="00E71249" w:rsidP="00496219">
            <w:pPr>
              <w:suppressAutoHyphens/>
              <w:spacing w:before="120" w:after="120"/>
              <w:rPr>
                <w:rFonts w:asciiTheme="minorHAnsi" w:eastAsia="Times New Roman" w:hAnsiTheme="minorHAnsi" w:cstheme="minorHAnsi"/>
                <w:b/>
                <w:bCs/>
                <w:color w:val="FFFFFF" w:themeColor="background1"/>
                <w:lang w:eastAsia="en-AU"/>
              </w:rPr>
            </w:pPr>
            <w:r w:rsidRPr="00087716">
              <w:rPr>
                <w:rFonts w:asciiTheme="minorHAnsi" w:eastAsia="Times New Roman" w:hAnsiTheme="minorHAnsi" w:cstheme="minorHAnsi"/>
                <w:b/>
                <w:bCs/>
                <w:color w:val="FFFFFF" w:themeColor="background1"/>
                <w:lang w:eastAsia="en-AU"/>
              </w:rPr>
              <w:t xml:space="preserve">Categorisation of data source </w:t>
            </w:r>
          </w:p>
        </w:tc>
        <w:tc>
          <w:tcPr>
            <w:tcW w:w="6378" w:type="dxa"/>
            <w:tcBorders>
              <w:top w:val="single" w:sz="4" w:space="0" w:color="auto"/>
              <w:left w:val="single" w:sz="4" w:space="0" w:color="auto"/>
              <w:bottom w:val="single" w:sz="4" w:space="0" w:color="auto"/>
              <w:right w:val="single" w:sz="4" w:space="0" w:color="auto"/>
            </w:tcBorders>
            <w:shd w:val="clear" w:color="auto" w:fill="215868"/>
            <w:hideMark/>
          </w:tcPr>
          <w:p w14:paraId="372A72CA" w14:textId="77777777" w:rsidR="00E71249" w:rsidRPr="00087716" w:rsidRDefault="00E71249" w:rsidP="00496219">
            <w:pPr>
              <w:suppressAutoHyphens/>
              <w:spacing w:before="120" w:after="120"/>
              <w:rPr>
                <w:rFonts w:asciiTheme="minorHAnsi" w:eastAsia="Times New Roman" w:hAnsiTheme="minorHAnsi" w:cstheme="minorHAnsi"/>
                <w:b/>
                <w:bCs/>
                <w:color w:val="FFFFFF" w:themeColor="background1"/>
                <w:lang w:eastAsia="en-AU"/>
              </w:rPr>
            </w:pPr>
            <w:r w:rsidRPr="00087716">
              <w:rPr>
                <w:rFonts w:asciiTheme="minorHAnsi" w:eastAsia="Times New Roman" w:hAnsiTheme="minorHAnsi" w:cstheme="minorHAnsi"/>
                <w:b/>
                <w:bCs/>
                <w:color w:val="FFFFFF" w:themeColor="background1"/>
                <w:lang w:eastAsia="en-AU"/>
              </w:rPr>
              <w:t xml:space="preserve">Data source </w:t>
            </w:r>
          </w:p>
        </w:tc>
      </w:tr>
      <w:tr w:rsidR="00E71249" w:rsidRPr="00087716" w14:paraId="327C3050" w14:textId="77777777" w:rsidTr="00496219">
        <w:trPr>
          <w:trHeight w:val="900"/>
        </w:trPr>
        <w:tc>
          <w:tcPr>
            <w:tcW w:w="3823" w:type="dxa"/>
            <w:tcBorders>
              <w:top w:val="single" w:sz="4" w:space="0" w:color="auto"/>
              <w:left w:val="single" w:sz="4" w:space="0" w:color="auto"/>
              <w:bottom w:val="single" w:sz="4" w:space="0" w:color="auto"/>
              <w:right w:val="single" w:sz="4" w:space="0" w:color="auto"/>
            </w:tcBorders>
            <w:vAlign w:val="center"/>
            <w:hideMark/>
          </w:tcPr>
          <w:p w14:paraId="121CA0CF" w14:textId="77777777" w:rsidR="00E71249" w:rsidRPr="00087716" w:rsidRDefault="00E71249" w:rsidP="00496219">
            <w:pPr>
              <w:suppressAutoHyphens/>
              <w:spacing w:before="120" w:after="120"/>
              <w:rPr>
                <w:rFonts w:asciiTheme="minorHAnsi" w:eastAsia="Times New Roman" w:hAnsiTheme="minorHAnsi" w:cstheme="minorHAnsi"/>
                <w:color w:val="000000" w:themeColor="text1"/>
                <w:lang w:eastAsia="en-AU"/>
              </w:rPr>
            </w:pPr>
            <w:r w:rsidRPr="00087716">
              <w:rPr>
                <w:rFonts w:cstheme="minorHAnsi"/>
                <w:noProof/>
              </w:rPr>
              <w:drawing>
                <wp:inline distT="0" distB="0" distL="0" distR="0" wp14:anchorId="09279568" wp14:editId="4E9B769F">
                  <wp:extent cx="1209675" cy="352425"/>
                  <wp:effectExtent l="0" t="0" r="9525" b="9525"/>
                  <wp:docPr id="1586690906" name="picture" descr="Second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058469" name="picture" descr="Secondary Sour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9675" cy="352425"/>
                          </a:xfrm>
                          <a:prstGeom prst="rect">
                            <a:avLst/>
                          </a:prstGeom>
                        </pic:spPr>
                      </pic:pic>
                    </a:graphicData>
                  </a:graphic>
                </wp:inline>
              </w:drawing>
            </w:r>
            <w:r w:rsidRPr="00087716">
              <w:rPr>
                <w:rFonts w:cstheme="minorHAnsi"/>
                <w:noProof/>
              </w:rPr>
              <w:drawing>
                <wp:inline distT="0" distB="0" distL="0" distR="0" wp14:anchorId="3D22824F" wp14:editId="6FEDF4A7">
                  <wp:extent cx="885825" cy="342900"/>
                  <wp:effectExtent l="0" t="0" r="9525" b="0"/>
                  <wp:docPr id="559679364" name="picture" descr="Tier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882574" name="picture" descr="Tier 1&#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5825" cy="342900"/>
                          </a:xfrm>
                          <a:prstGeom prst="rect">
                            <a:avLst/>
                          </a:prstGeom>
                        </pic:spPr>
                      </pic:pic>
                    </a:graphicData>
                  </a:graphic>
                </wp:inline>
              </w:drawing>
            </w:r>
          </w:p>
        </w:tc>
        <w:tc>
          <w:tcPr>
            <w:tcW w:w="6378" w:type="dxa"/>
            <w:tcBorders>
              <w:top w:val="single" w:sz="4" w:space="0" w:color="auto"/>
              <w:left w:val="single" w:sz="4" w:space="0" w:color="auto"/>
              <w:bottom w:val="single" w:sz="4" w:space="0" w:color="auto"/>
              <w:right w:val="single" w:sz="4" w:space="0" w:color="auto"/>
            </w:tcBorders>
            <w:vAlign w:val="center"/>
            <w:hideMark/>
          </w:tcPr>
          <w:p w14:paraId="6F51DC45" w14:textId="77777777" w:rsidR="00E71249" w:rsidRPr="00087716" w:rsidRDefault="00E71249" w:rsidP="00496219">
            <w:pPr>
              <w:suppressAutoHyphens/>
              <w:spacing w:before="120" w:after="120"/>
              <w:rPr>
                <w:rFonts w:asciiTheme="minorHAnsi" w:eastAsia="Times New Roman" w:hAnsiTheme="minorHAnsi" w:cstheme="minorHAnsi"/>
                <w:color w:val="000000" w:themeColor="text1"/>
                <w:lang w:eastAsia="en-AU"/>
              </w:rPr>
            </w:pPr>
            <w:r w:rsidRPr="00087716">
              <w:rPr>
                <w:rFonts w:asciiTheme="minorHAnsi" w:eastAsia="Times New Roman" w:hAnsiTheme="minorHAnsi" w:cstheme="minorHAnsi"/>
                <w:lang w:eastAsia="en-AU"/>
              </w:rPr>
              <w:t>Services Australia administrative data.</w:t>
            </w:r>
          </w:p>
        </w:tc>
      </w:tr>
      <w:tr w:rsidR="00E71249" w:rsidRPr="00087716" w14:paraId="2F29046E" w14:textId="77777777" w:rsidTr="00496219">
        <w:trPr>
          <w:trHeight w:val="900"/>
        </w:trPr>
        <w:tc>
          <w:tcPr>
            <w:tcW w:w="3823" w:type="dxa"/>
            <w:tcBorders>
              <w:top w:val="single" w:sz="4" w:space="0" w:color="auto"/>
              <w:left w:val="single" w:sz="4" w:space="0" w:color="auto"/>
              <w:bottom w:val="single" w:sz="4" w:space="0" w:color="auto"/>
              <w:right w:val="single" w:sz="4" w:space="0" w:color="auto"/>
            </w:tcBorders>
            <w:vAlign w:val="center"/>
          </w:tcPr>
          <w:p w14:paraId="6156409B" w14:textId="77777777" w:rsidR="00E71249" w:rsidRPr="00087716" w:rsidRDefault="00E71249" w:rsidP="00496219">
            <w:pPr>
              <w:suppressAutoHyphens/>
              <w:spacing w:before="120" w:after="120"/>
              <w:rPr>
                <w:rFonts w:asciiTheme="minorHAnsi" w:eastAsia="Times New Roman" w:hAnsiTheme="minorHAnsi" w:cstheme="minorHAnsi"/>
                <w:noProof/>
                <w:color w:val="000000" w:themeColor="text1"/>
                <w:lang w:eastAsia="en-AU"/>
              </w:rPr>
            </w:pPr>
            <w:r w:rsidRPr="00087716">
              <w:rPr>
                <w:rFonts w:cstheme="minorHAnsi"/>
                <w:noProof/>
              </w:rPr>
              <w:drawing>
                <wp:inline distT="0" distB="0" distL="0" distR="0" wp14:anchorId="16CF9059" wp14:editId="33E16C8A">
                  <wp:extent cx="1209675" cy="352425"/>
                  <wp:effectExtent l="0" t="0" r="9525" b="9525"/>
                  <wp:docPr id="1347187668" name="picture" descr="Second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461371" name="picture" descr="Secondary Sour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9675" cy="352425"/>
                          </a:xfrm>
                          <a:prstGeom prst="rect">
                            <a:avLst/>
                          </a:prstGeom>
                        </pic:spPr>
                      </pic:pic>
                    </a:graphicData>
                  </a:graphic>
                </wp:inline>
              </w:drawing>
            </w:r>
            <w:r w:rsidRPr="00087716">
              <w:rPr>
                <w:rFonts w:cstheme="minorHAnsi"/>
                <w:noProof/>
              </w:rPr>
              <w:drawing>
                <wp:inline distT="0" distB="0" distL="0" distR="0" wp14:anchorId="6A0DCB8A" wp14:editId="2E464C12">
                  <wp:extent cx="885825" cy="342900"/>
                  <wp:effectExtent l="0" t="0" r="9525" b="0"/>
                  <wp:docPr id="355740559" name="picture" descr="Tier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446902" name="picture" descr="Tier 1&#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5825" cy="342900"/>
                          </a:xfrm>
                          <a:prstGeom prst="rect">
                            <a:avLst/>
                          </a:prstGeom>
                        </pic:spPr>
                      </pic:pic>
                    </a:graphicData>
                  </a:graphic>
                </wp:inline>
              </w:drawing>
            </w:r>
          </w:p>
        </w:tc>
        <w:tc>
          <w:tcPr>
            <w:tcW w:w="6378" w:type="dxa"/>
            <w:tcBorders>
              <w:top w:val="single" w:sz="4" w:space="0" w:color="auto"/>
              <w:left w:val="single" w:sz="4" w:space="0" w:color="auto"/>
              <w:bottom w:val="single" w:sz="4" w:space="0" w:color="auto"/>
              <w:right w:val="single" w:sz="4" w:space="0" w:color="auto"/>
            </w:tcBorders>
            <w:vAlign w:val="center"/>
          </w:tcPr>
          <w:p w14:paraId="44F96874" w14:textId="77777777" w:rsidR="00E71249" w:rsidRPr="00087716" w:rsidRDefault="00E71249" w:rsidP="00496219">
            <w:pPr>
              <w:suppressAutoHyphens/>
              <w:spacing w:before="120" w:after="120"/>
              <w:rPr>
                <w:rFonts w:asciiTheme="minorHAnsi" w:eastAsia="Times New Roman" w:hAnsiTheme="minorHAnsi" w:cstheme="minorHAnsi"/>
                <w:lang w:eastAsia="en-AU"/>
              </w:rPr>
            </w:pPr>
            <w:r w:rsidRPr="00087716">
              <w:rPr>
                <w:rFonts w:asciiTheme="minorHAnsi" w:eastAsia="Times New Roman" w:hAnsiTheme="minorHAnsi" w:cstheme="minorHAnsi"/>
                <w:lang w:eastAsia="en-AU"/>
              </w:rPr>
              <w:t>Australian Bureau of Statistics (ABS).</w:t>
            </w:r>
          </w:p>
        </w:tc>
      </w:tr>
    </w:tbl>
    <w:p w14:paraId="539BC514" w14:textId="77777777" w:rsidR="00E71249" w:rsidRPr="00087716" w:rsidRDefault="00E71249" w:rsidP="00F216D7">
      <w:pPr>
        <w:spacing w:before="120" w:after="160"/>
        <w:rPr>
          <w:lang w:eastAsia="en-AU"/>
        </w:rPr>
      </w:pPr>
      <w:r w:rsidRPr="00087716">
        <w:rPr>
          <w:lang w:eastAsia="en-AU"/>
        </w:rPr>
        <w:t>Note: FTB data is not considered mature until 2 years (8 quarters) after the end of the entitlement year.</w:t>
      </w:r>
    </w:p>
    <w:p w14:paraId="19E4774B" w14:textId="77777777" w:rsidR="00E71249" w:rsidRPr="00087716" w:rsidRDefault="00E71249" w:rsidP="0080104C">
      <w:pPr>
        <w:pStyle w:val="CPCustom3"/>
        <w:rPr>
          <w:lang w:eastAsia="en-AU"/>
        </w:rPr>
      </w:pPr>
      <w:r w:rsidRPr="00087716">
        <w:rPr>
          <w:lang w:eastAsia="en-AU"/>
        </w:rPr>
        <w:t>Supporting Information</w:t>
      </w:r>
    </w:p>
    <w:p w14:paraId="6CC148B7" w14:textId="77777777" w:rsidR="00E71249" w:rsidRPr="00087716" w:rsidRDefault="00E71249" w:rsidP="00F216D7">
      <w:pPr>
        <w:pStyle w:val="ListParagraph"/>
        <w:spacing w:before="120" w:after="160"/>
        <w:ind w:left="714" w:hanging="357"/>
        <w:rPr>
          <w:lang w:eastAsia="en-AU"/>
        </w:rPr>
      </w:pPr>
      <w:r w:rsidRPr="00087716">
        <w:rPr>
          <w:lang w:eastAsia="en-AU"/>
        </w:rPr>
        <w:t xml:space="preserve">Administered outlays </w:t>
      </w:r>
    </w:p>
    <w:p w14:paraId="4E0F97D4" w14:textId="77777777" w:rsidR="00E71249" w:rsidRPr="00087716" w:rsidRDefault="00E71249" w:rsidP="00F216D7">
      <w:pPr>
        <w:pStyle w:val="ListParagraph"/>
        <w:spacing w:before="120" w:after="160"/>
        <w:ind w:left="714" w:hanging="357"/>
        <w:rPr>
          <w:lang w:eastAsia="en-AU"/>
        </w:rPr>
      </w:pPr>
      <w:r w:rsidRPr="00087716">
        <w:rPr>
          <w:lang w:eastAsia="en-AU"/>
        </w:rPr>
        <w:t>Payment accuracy</w:t>
      </w:r>
    </w:p>
    <w:p w14:paraId="474089E4" w14:textId="77777777" w:rsidR="00E71249" w:rsidRPr="00087716" w:rsidRDefault="00E71249" w:rsidP="00F216D7">
      <w:pPr>
        <w:pStyle w:val="ListParagraph"/>
        <w:spacing w:before="120" w:after="160"/>
        <w:ind w:left="714" w:hanging="357"/>
        <w:rPr>
          <w:lang w:eastAsia="en-AU"/>
        </w:rPr>
      </w:pPr>
      <w:r w:rsidRPr="00087716">
        <w:rPr>
          <w:lang w:eastAsia="en-AU"/>
        </w:rPr>
        <w:t>Number of recipients – FTB Part A and Part B</w:t>
      </w:r>
    </w:p>
    <w:p w14:paraId="11F6BC8F" w14:textId="77777777" w:rsidR="00E71249" w:rsidRPr="00087716" w:rsidRDefault="00E71249" w:rsidP="00F216D7">
      <w:pPr>
        <w:pStyle w:val="ListParagraph"/>
        <w:spacing w:before="120" w:after="160"/>
        <w:ind w:left="714" w:hanging="357"/>
        <w:rPr>
          <w:lang w:eastAsia="en-AU"/>
        </w:rPr>
      </w:pPr>
      <w:r w:rsidRPr="00087716">
        <w:rPr>
          <w:lang w:eastAsia="en-AU"/>
        </w:rPr>
        <w:t>Number of children – FTB Part A and Part B</w:t>
      </w:r>
    </w:p>
    <w:p w14:paraId="41AC6D6D" w14:textId="77777777" w:rsidR="00E71249" w:rsidRPr="00087716" w:rsidRDefault="00E71249" w:rsidP="00E71249">
      <w:pPr>
        <w:spacing w:before="120" w:after="240"/>
        <w:rPr>
          <w:rFonts w:ascii="Arial" w:hAnsi="Arial" w:cs="Arial"/>
          <w:szCs w:val="22"/>
          <w:lang w:eastAsia="en-AU"/>
        </w:rPr>
      </w:pPr>
      <w:r w:rsidRPr="00087716">
        <w:rPr>
          <w:rFonts w:ascii="Arial" w:hAnsi="Arial" w:cs="Arial"/>
          <w:szCs w:val="22"/>
          <w:lang w:eastAsia="en-AU"/>
        </w:rPr>
        <w:br w:type="page"/>
      </w:r>
    </w:p>
    <w:p w14:paraId="0EEEC046" w14:textId="6A3F1C3A" w:rsidR="00E71249" w:rsidRPr="00DD6FA0" w:rsidRDefault="00E71249" w:rsidP="00DD6FA0">
      <w:pPr>
        <w:pStyle w:val="Heading3"/>
        <w:shd w:val="clear" w:color="auto" w:fill="005A70" w:themeFill="accent1"/>
        <w:rPr>
          <w:rFonts w:asciiTheme="minorHAnsi" w:hAnsiTheme="minorHAnsi" w:cstheme="minorHAnsi"/>
          <w:b/>
          <w:bCs w:val="0"/>
          <w:color w:val="FFFFFF" w:themeColor="background1"/>
          <w:sz w:val="22"/>
          <w:szCs w:val="22"/>
          <w:lang w:eastAsia="en-AU"/>
        </w:rPr>
      </w:pPr>
      <w:bookmarkStart w:id="82" w:name="_Toc238653290"/>
      <w:r w:rsidRPr="00DD6FA0">
        <w:rPr>
          <w:rFonts w:asciiTheme="minorHAnsi" w:hAnsiTheme="minorHAnsi" w:cstheme="minorHAnsi"/>
          <w:b/>
          <w:bCs w:val="0"/>
          <w:color w:val="FFFFFF" w:themeColor="background1"/>
          <w:sz w:val="22"/>
          <w:szCs w:val="22"/>
          <w:lang w:eastAsia="en-AU"/>
        </w:rPr>
        <w:lastRenderedPageBreak/>
        <w:t>P</w:t>
      </w:r>
      <w:r w:rsidR="00FD4C88" w:rsidRPr="00DD6FA0">
        <w:rPr>
          <w:rFonts w:asciiTheme="minorHAnsi" w:hAnsiTheme="minorHAnsi" w:cstheme="minorHAnsi"/>
          <w:b/>
          <w:bCs w:val="0"/>
          <w:color w:val="FFFFFF" w:themeColor="background1"/>
          <w:sz w:val="22"/>
          <w:szCs w:val="22"/>
          <w:lang w:eastAsia="en-AU"/>
        </w:rPr>
        <w:t>rogram</w:t>
      </w:r>
      <w:r w:rsidRPr="00DD6FA0">
        <w:rPr>
          <w:rFonts w:asciiTheme="minorHAnsi" w:hAnsiTheme="minorHAnsi" w:cstheme="minorHAnsi"/>
          <w:b/>
          <w:bCs w:val="0"/>
          <w:color w:val="FFFFFF" w:themeColor="background1"/>
          <w:sz w:val="22"/>
          <w:szCs w:val="22"/>
          <w:lang w:eastAsia="en-AU"/>
        </w:rPr>
        <w:t xml:space="preserve"> 1.1 S</w:t>
      </w:r>
      <w:r w:rsidR="00FD4C88" w:rsidRPr="00DD6FA0">
        <w:rPr>
          <w:rFonts w:asciiTheme="minorHAnsi" w:hAnsiTheme="minorHAnsi" w:cstheme="minorHAnsi"/>
          <w:b/>
          <w:bCs w:val="0"/>
          <w:color w:val="FFFFFF" w:themeColor="background1"/>
          <w:sz w:val="22"/>
          <w:szCs w:val="22"/>
          <w:lang w:eastAsia="en-AU"/>
        </w:rPr>
        <w:t>upport</w:t>
      </w:r>
      <w:r w:rsidRPr="00DD6FA0">
        <w:rPr>
          <w:rFonts w:asciiTheme="minorHAnsi" w:hAnsiTheme="minorHAnsi" w:cstheme="minorHAnsi"/>
          <w:b/>
          <w:bCs w:val="0"/>
          <w:color w:val="FFFFFF" w:themeColor="background1"/>
          <w:sz w:val="22"/>
          <w:szCs w:val="22"/>
          <w:lang w:eastAsia="en-AU"/>
        </w:rPr>
        <w:t xml:space="preserve"> </w:t>
      </w:r>
      <w:r w:rsidR="00FD4C88" w:rsidRPr="00DD6FA0">
        <w:rPr>
          <w:rFonts w:asciiTheme="minorHAnsi" w:hAnsiTheme="minorHAnsi" w:cstheme="minorHAnsi"/>
          <w:b/>
          <w:bCs w:val="0"/>
          <w:color w:val="FFFFFF" w:themeColor="background1"/>
          <w:sz w:val="22"/>
          <w:szCs w:val="22"/>
          <w:lang w:eastAsia="en-AU"/>
        </w:rPr>
        <w:t>for</w:t>
      </w:r>
      <w:r w:rsidRPr="00DD6FA0">
        <w:rPr>
          <w:rFonts w:asciiTheme="minorHAnsi" w:hAnsiTheme="minorHAnsi" w:cstheme="minorHAnsi"/>
          <w:b/>
          <w:bCs w:val="0"/>
          <w:color w:val="FFFFFF" w:themeColor="background1"/>
          <w:sz w:val="22"/>
          <w:szCs w:val="22"/>
          <w:lang w:eastAsia="en-AU"/>
        </w:rPr>
        <w:t xml:space="preserve"> F</w:t>
      </w:r>
      <w:r w:rsidR="00FD4C88" w:rsidRPr="00DD6FA0">
        <w:rPr>
          <w:rFonts w:asciiTheme="minorHAnsi" w:hAnsiTheme="minorHAnsi" w:cstheme="minorHAnsi"/>
          <w:b/>
          <w:bCs w:val="0"/>
          <w:color w:val="FFFFFF" w:themeColor="background1"/>
          <w:sz w:val="22"/>
          <w:szCs w:val="22"/>
          <w:lang w:eastAsia="en-AU"/>
        </w:rPr>
        <w:t>amilies</w:t>
      </w:r>
      <w:bookmarkEnd w:id="82"/>
    </w:p>
    <w:p w14:paraId="7852F074" w14:textId="77777777" w:rsidR="00E71249" w:rsidRPr="00087716" w:rsidRDefault="00E71249" w:rsidP="00E71249">
      <w:pPr>
        <w:shd w:val="clear" w:color="auto" w:fill="005A70"/>
        <w:spacing w:before="240" w:after="0" w:line="256" w:lineRule="auto"/>
        <w:rPr>
          <w:rFonts w:eastAsia="Times New Roman" w:cstheme="minorHAnsi"/>
          <w:color w:val="FFFFFF"/>
          <w:szCs w:val="22"/>
          <w:lang w:eastAsia="en-AU"/>
        </w:rPr>
      </w:pPr>
      <w:r w:rsidRPr="00087716">
        <w:rPr>
          <w:rFonts w:eastAsia="Times New Roman" w:cstheme="minorHAnsi"/>
          <w:color w:val="FFFFFF"/>
          <w:szCs w:val="22"/>
          <w:lang w:eastAsia="en-AU"/>
        </w:rPr>
        <w:t>Assist eligible families with the cost of raising children while ensuring that parents remain primarily responsible for supporting their children.</w:t>
      </w:r>
    </w:p>
    <w:p w14:paraId="20DF86BB" w14:textId="77777777" w:rsidR="00E71249" w:rsidRPr="002A5B00" w:rsidRDefault="00E71249" w:rsidP="002A5B00">
      <w:pPr>
        <w:pStyle w:val="Heading4"/>
        <w:shd w:val="clear" w:color="auto" w:fill="B1E4E3" w:themeFill="accent3"/>
        <w:spacing w:before="60" w:after="60"/>
        <w:rPr>
          <w:color w:val="auto"/>
          <w:sz w:val="22"/>
          <w:szCs w:val="22"/>
        </w:rPr>
      </w:pPr>
      <w:r w:rsidRPr="002A5B00">
        <w:rPr>
          <w:color w:val="auto"/>
          <w:sz w:val="22"/>
          <w:szCs w:val="22"/>
        </w:rPr>
        <w:t>Key Activity — 1.1.2 Child Support Scheme</w:t>
      </w:r>
    </w:p>
    <w:p w14:paraId="3A407FB0" w14:textId="77777777" w:rsidR="00E71249" w:rsidRPr="00087716" w:rsidRDefault="00E71249" w:rsidP="00F216D7">
      <w:pPr>
        <w:spacing w:before="120" w:after="160"/>
        <w:rPr>
          <w:lang w:eastAsia="en-AU"/>
        </w:rPr>
      </w:pPr>
      <w:r w:rsidRPr="00087716">
        <w:rPr>
          <w:lang w:eastAsia="en-AU"/>
        </w:rPr>
        <w:t xml:space="preserve">The Child Support Scheme is a key activity of the Support for Families Program. The Child Support Scheme ensures children receive an appropriate level of support from their </w:t>
      </w:r>
      <w:proofErr w:type="gramStart"/>
      <w:r w:rsidRPr="00087716">
        <w:rPr>
          <w:lang w:eastAsia="en-AU"/>
        </w:rPr>
        <w:t>parents</w:t>
      </w:r>
      <w:proofErr w:type="gramEnd"/>
      <w:r w:rsidRPr="00087716">
        <w:rPr>
          <w:lang w:eastAsia="en-AU"/>
        </w:rPr>
        <w:t xml:space="preserve"> following separation.</w:t>
      </w:r>
    </w:p>
    <w:p w14:paraId="576F4EEA" w14:textId="77777777" w:rsidR="00E71249" w:rsidRPr="00087716" w:rsidRDefault="00E71249" w:rsidP="00F216D7">
      <w:pPr>
        <w:spacing w:before="120" w:after="160"/>
        <w:rPr>
          <w:lang w:eastAsia="en-AU"/>
        </w:rPr>
      </w:pPr>
      <w:r w:rsidRPr="00087716">
        <w:rPr>
          <w:lang w:eastAsia="en-AU"/>
        </w:rPr>
        <w:t>Child support payments are calculated according to an administrative formula that uses an income shares approach and is based on research into the cost of raising children in Australia. Child support payments can be transferred privately (Private Collect), or Services Australia can collect and transfer the payments on parents’ behalf (Agency Collect).</w:t>
      </w:r>
    </w:p>
    <w:p w14:paraId="643347E3" w14:textId="77777777" w:rsidR="00E71249" w:rsidRDefault="00E71249" w:rsidP="00F216D7">
      <w:pPr>
        <w:spacing w:before="120" w:after="160"/>
        <w:rPr>
          <w:lang w:eastAsia="en-AU"/>
        </w:rPr>
      </w:pPr>
      <w:r w:rsidRPr="00087716">
        <w:rPr>
          <w:lang w:eastAsia="en-AU"/>
        </w:rPr>
        <w:t>Child support legislation provides Services Australia with extensive collection and enforcement powers to collect child support in Agency Collect cases.</w:t>
      </w:r>
    </w:p>
    <w:p w14:paraId="4892ADBA" w14:textId="62AF5E05" w:rsidR="0022364D" w:rsidRPr="00B16388" w:rsidRDefault="0022364D" w:rsidP="0022364D">
      <w:pPr>
        <w:spacing w:before="120" w:after="160"/>
        <w:rPr>
          <w:lang w:eastAsia="en-AU"/>
        </w:rPr>
      </w:pPr>
      <w:r w:rsidRPr="00B16388">
        <w:rPr>
          <w:lang w:eastAsia="en-AU"/>
        </w:rPr>
        <w:t xml:space="preserve">The department is working with Services Australia, the Australian Taxation Office and other </w:t>
      </w:r>
      <w:r>
        <w:rPr>
          <w:lang w:eastAsia="en-AU"/>
        </w:rPr>
        <w:t>Australian Government</w:t>
      </w:r>
      <w:r w:rsidRPr="00B16388">
        <w:rPr>
          <w:lang w:eastAsia="en-AU"/>
        </w:rPr>
        <w:t xml:space="preserve"> agencies to implement reforms announced in the 2026-27 Budget to make the child support system safer and to help more children get the support they are owed. This package of reforms will help prevent the weaponisation of the child support system and protect parents and children from financial abuse.</w:t>
      </w:r>
    </w:p>
    <w:p w14:paraId="1E59CA5A" w14:textId="07F6D310" w:rsidR="00E71249" w:rsidRPr="00087716" w:rsidRDefault="00E71249" w:rsidP="00F216D7">
      <w:pPr>
        <w:spacing w:before="120" w:after="160"/>
        <w:rPr>
          <w:lang w:eastAsia="en-AU"/>
        </w:rPr>
      </w:pPr>
      <w:r w:rsidRPr="00087716">
        <w:rPr>
          <w:b/>
          <w:bCs/>
          <w:lang w:eastAsia="en-AU"/>
        </w:rPr>
        <w:t xml:space="preserve">The </w:t>
      </w:r>
      <w:r w:rsidR="0054557F">
        <w:rPr>
          <w:b/>
          <w:bCs/>
          <w:lang w:eastAsia="en-AU"/>
        </w:rPr>
        <w:t>d</w:t>
      </w:r>
      <w:r w:rsidRPr="00087716">
        <w:rPr>
          <w:b/>
          <w:bCs/>
          <w:lang w:eastAsia="en-AU"/>
        </w:rPr>
        <w:t>epartment</w:t>
      </w:r>
      <w:r w:rsidRPr="00087716">
        <w:rPr>
          <w:lang w:eastAsia="en-AU"/>
        </w:rPr>
        <w:t xml:space="preserve"> is responsible for designing and implementing the Child Support Scheme, including child support policy and legislation.</w:t>
      </w:r>
    </w:p>
    <w:p w14:paraId="75B48DF9" w14:textId="77777777" w:rsidR="00E71249" w:rsidRPr="00087716" w:rsidRDefault="00E71249" w:rsidP="00F216D7">
      <w:pPr>
        <w:spacing w:before="120" w:after="160"/>
        <w:rPr>
          <w:lang w:eastAsia="en-AU"/>
        </w:rPr>
      </w:pPr>
      <w:r w:rsidRPr="00087716">
        <w:rPr>
          <w:b/>
          <w:bCs/>
          <w:lang w:eastAsia="en-AU"/>
        </w:rPr>
        <w:t>Services Australia</w:t>
      </w:r>
      <w:r w:rsidRPr="00087716">
        <w:rPr>
          <w:lang w:eastAsia="en-AU"/>
        </w:rPr>
        <w:t xml:space="preserve"> delivers the Child Support Scheme on the department’s behalf and provides services to parents and carers. Services Australia assists parents to apply for a child support assessment, determines the amount payable and, where applicable, facilitates the collection and transfer of child support payments. Where payments are not made voluntarily, Services Australia has a range of powers to enforce the collection of child support. The Child Support Registrar in Services Australia has decision making powers under child support legislation.</w:t>
      </w:r>
    </w:p>
    <w:p w14:paraId="2AB77AE6" w14:textId="77777777" w:rsidR="00E71249" w:rsidRPr="00FD4C88" w:rsidRDefault="00E71249" w:rsidP="00FD4C88">
      <w:pPr>
        <w:pStyle w:val="Heading4"/>
        <w:rPr>
          <w:sz w:val="22"/>
          <w:szCs w:val="22"/>
        </w:rPr>
      </w:pPr>
      <w:r w:rsidRPr="00FD4C88">
        <w:rPr>
          <w:sz w:val="22"/>
          <w:szCs w:val="22"/>
        </w:rPr>
        <w:t>Performance Measure</w:t>
      </w:r>
    </w:p>
    <w:p w14:paraId="5BF2A3B1" w14:textId="77777777" w:rsidR="00E71249" w:rsidRPr="00087716" w:rsidRDefault="00E71249" w:rsidP="00F216D7">
      <w:pPr>
        <w:spacing w:before="120" w:after="160"/>
        <w:rPr>
          <w:rFonts w:eastAsia="Times New Roman"/>
          <w:lang w:eastAsia="en-AU"/>
        </w:rPr>
      </w:pPr>
      <w:r w:rsidRPr="00087716">
        <w:rPr>
          <w:lang w:eastAsia="en-AU"/>
        </w:rPr>
        <w:t>1.1.2.1</w:t>
      </w:r>
      <w:r w:rsidRPr="00087716">
        <w:rPr>
          <w:rFonts w:eastAsia="Times New Roman"/>
          <w:lang w:eastAsia="en-AU"/>
        </w:rPr>
        <w:t xml:space="preserve"> </w:t>
      </w:r>
      <w:r w:rsidRPr="00087716">
        <w:rPr>
          <w:lang w:eastAsia="en-AU"/>
        </w:rPr>
        <w:t>Extent to which separated parents in the child support system meet their financial obligations to</w:t>
      </w:r>
      <w:r w:rsidRPr="00087716">
        <w:t xml:space="preserve"> </w:t>
      </w:r>
      <w:r w:rsidRPr="00087716">
        <w:rPr>
          <w:lang w:eastAsia="en-AU"/>
        </w:rPr>
        <w:t>support their children.</w:t>
      </w:r>
    </w:p>
    <w:tbl>
      <w:tblPr>
        <w:tblStyle w:val="TableGrid391"/>
        <w:tblW w:w="4992" w:type="pct"/>
        <w:jc w:val="center"/>
        <w:tblBorders>
          <w:insideH w:val="single" w:sz="6" w:space="0" w:color="auto"/>
          <w:insideV w:val="single" w:sz="6" w:space="0" w:color="auto"/>
        </w:tblBorders>
        <w:tblLook w:val="04A0" w:firstRow="1" w:lastRow="0" w:firstColumn="1" w:lastColumn="0" w:noHBand="0" w:noVBand="1"/>
        <w:tblCaption w:val="Table 7 - 1.1.2.1 - Extent to which separated parents in the child support system meet their financial obligations to support their children."/>
        <w:tblDescription w:val="Target for the extent to which separated parents in the child support system are supporting their children"/>
      </w:tblPr>
      <w:tblGrid>
        <w:gridCol w:w="4446"/>
        <w:gridCol w:w="1364"/>
        <w:gridCol w:w="1364"/>
        <w:gridCol w:w="1502"/>
        <w:gridCol w:w="1502"/>
      </w:tblGrid>
      <w:tr w:rsidR="00E71249" w:rsidRPr="00087716" w14:paraId="17130DBB" w14:textId="77777777" w:rsidTr="00496219">
        <w:trPr>
          <w:cantSplit/>
          <w:trHeight w:val="356"/>
          <w:tblHeader/>
          <w:jc w:val="center"/>
        </w:trPr>
        <w:tc>
          <w:tcPr>
            <w:tcW w:w="2184" w:type="pct"/>
            <w:tcBorders>
              <w:top w:val="single" w:sz="4" w:space="0" w:color="auto"/>
              <w:left w:val="single" w:sz="4" w:space="0" w:color="auto"/>
              <w:bottom w:val="single" w:sz="6" w:space="0" w:color="auto"/>
              <w:right w:val="single" w:sz="6" w:space="0" w:color="auto"/>
            </w:tcBorders>
            <w:shd w:val="clear" w:color="auto" w:fill="D9D9D6"/>
            <w:vAlign w:val="center"/>
            <w:hideMark/>
          </w:tcPr>
          <w:p w14:paraId="067EAADA" w14:textId="77777777" w:rsidR="00E71249" w:rsidRPr="00087716" w:rsidRDefault="00E71249" w:rsidP="00496219">
            <w:pPr>
              <w:spacing w:before="120"/>
              <w:rPr>
                <w:rFonts w:asciiTheme="minorHAnsi" w:hAnsiTheme="minorHAnsi" w:cstheme="minorHAnsi"/>
                <w:szCs w:val="22"/>
              </w:rPr>
            </w:pPr>
            <w:r w:rsidRPr="00087716">
              <w:rPr>
                <w:rFonts w:asciiTheme="minorHAnsi" w:hAnsiTheme="minorHAnsi" w:cstheme="minorHAnsi"/>
                <w:b/>
                <w:bCs/>
                <w:szCs w:val="22"/>
              </w:rPr>
              <w:t>Target</w:t>
            </w:r>
          </w:p>
        </w:tc>
        <w:tc>
          <w:tcPr>
            <w:tcW w:w="670" w:type="pct"/>
            <w:tcBorders>
              <w:top w:val="single" w:sz="4" w:space="0" w:color="auto"/>
              <w:left w:val="single" w:sz="6" w:space="0" w:color="auto"/>
              <w:bottom w:val="single" w:sz="6" w:space="0" w:color="auto"/>
              <w:right w:val="single" w:sz="6" w:space="0" w:color="auto"/>
            </w:tcBorders>
            <w:shd w:val="clear" w:color="auto" w:fill="D9D9D6"/>
            <w:vAlign w:val="center"/>
            <w:hideMark/>
          </w:tcPr>
          <w:p w14:paraId="446D0FBD" w14:textId="77777777" w:rsidR="00E71249" w:rsidRPr="00087716" w:rsidRDefault="00E71249" w:rsidP="00496219">
            <w:pPr>
              <w:spacing w:before="120" w:after="60" w:line="252" w:lineRule="auto"/>
              <w:rPr>
                <w:rFonts w:asciiTheme="minorHAnsi" w:hAnsiTheme="minorHAnsi" w:cstheme="minorHAnsi"/>
                <w:szCs w:val="22"/>
              </w:rPr>
            </w:pPr>
            <w:r w:rsidRPr="00087716">
              <w:rPr>
                <w:rFonts w:asciiTheme="minorHAnsi" w:hAnsiTheme="minorHAnsi" w:cstheme="minorHAnsi"/>
                <w:b/>
                <w:szCs w:val="22"/>
              </w:rPr>
              <w:t>2026–27</w:t>
            </w:r>
          </w:p>
        </w:tc>
        <w:tc>
          <w:tcPr>
            <w:tcW w:w="670" w:type="pct"/>
            <w:tcBorders>
              <w:top w:val="single" w:sz="4" w:space="0" w:color="auto"/>
              <w:left w:val="single" w:sz="6" w:space="0" w:color="auto"/>
              <w:bottom w:val="single" w:sz="6" w:space="0" w:color="auto"/>
              <w:right w:val="single" w:sz="6" w:space="0" w:color="auto"/>
            </w:tcBorders>
            <w:shd w:val="clear" w:color="auto" w:fill="D9D9D6"/>
            <w:vAlign w:val="center"/>
            <w:hideMark/>
          </w:tcPr>
          <w:p w14:paraId="27019563" w14:textId="77777777" w:rsidR="00E71249" w:rsidRPr="00087716" w:rsidRDefault="00E71249" w:rsidP="00496219">
            <w:pPr>
              <w:spacing w:before="120" w:after="60" w:line="252" w:lineRule="auto"/>
              <w:rPr>
                <w:rFonts w:asciiTheme="minorHAnsi" w:hAnsiTheme="minorHAnsi" w:cstheme="minorHAnsi"/>
                <w:b/>
                <w:szCs w:val="22"/>
              </w:rPr>
            </w:pPr>
            <w:r w:rsidRPr="00087716">
              <w:rPr>
                <w:rFonts w:asciiTheme="minorHAnsi" w:hAnsiTheme="minorHAnsi" w:cstheme="minorHAnsi"/>
                <w:b/>
                <w:szCs w:val="22"/>
              </w:rPr>
              <w:t>2027–28</w:t>
            </w:r>
          </w:p>
        </w:tc>
        <w:tc>
          <w:tcPr>
            <w:tcW w:w="738" w:type="pct"/>
            <w:tcBorders>
              <w:top w:val="single" w:sz="4" w:space="0" w:color="auto"/>
              <w:left w:val="single" w:sz="6" w:space="0" w:color="auto"/>
              <w:bottom w:val="single" w:sz="6" w:space="0" w:color="auto"/>
              <w:right w:val="single" w:sz="6" w:space="0" w:color="auto"/>
            </w:tcBorders>
            <w:shd w:val="clear" w:color="auto" w:fill="D9D9D6"/>
            <w:vAlign w:val="center"/>
            <w:hideMark/>
          </w:tcPr>
          <w:p w14:paraId="02CCB4A3" w14:textId="77777777" w:rsidR="00E71249" w:rsidRPr="00087716" w:rsidRDefault="00E71249" w:rsidP="00496219">
            <w:pPr>
              <w:spacing w:before="120" w:after="60" w:line="252" w:lineRule="auto"/>
              <w:rPr>
                <w:rFonts w:asciiTheme="minorHAnsi" w:hAnsiTheme="minorHAnsi" w:cstheme="minorHAnsi"/>
                <w:b/>
                <w:szCs w:val="22"/>
              </w:rPr>
            </w:pPr>
            <w:r w:rsidRPr="00087716">
              <w:rPr>
                <w:rFonts w:asciiTheme="minorHAnsi" w:hAnsiTheme="minorHAnsi" w:cstheme="minorHAnsi"/>
                <w:b/>
                <w:szCs w:val="22"/>
              </w:rPr>
              <w:t>2028–29</w:t>
            </w:r>
          </w:p>
        </w:tc>
        <w:tc>
          <w:tcPr>
            <w:tcW w:w="738" w:type="pct"/>
            <w:tcBorders>
              <w:top w:val="single" w:sz="4" w:space="0" w:color="auto"/>
              <w:left w:val="single" w:sz="6" w:space="0" w:color="auto"/>
              <w:bottom w:val="single" w:sz="6" w:space="0" w:color="auto"/>
              <w:right w:val="single" w:sz="4" w:space="0" w:color="auto"/>
            </w:tcBorders>
            <w:shd w:val="clear" w:color="auto" w:fill="D9D9D6"/>
            <w:vAlign w:val="center"/>
            <w:hideMark/>
          </w:tcPr>
          <w:p w14:paraId="023A7123" w14:textId="77777777" w:rsidR="00E71249" w:rsidRPr="00087716" w:rsidRDefault="00E71249" w:rsidP="00496219">
            <w:pPr>
              <w:spacing w:before="120" w:after="60" w:line="252" w:lineRule="auto"/>
              <w:rPr>
                <w:rFonts w:asciiTheme="minorHAnsi" w:hAnsiTheme="minorHAnsi" w:cstheme="minorHAnsi"/>
                <w:b/>
                <w:bCs/>
                <w:szCs w:val="22"/>
              </w:rPr>
            </w:pPr>
            <w:r w:rsidRPr="00087716">
              <w:rPr>
                <w:rFonts w:asciiTheme="minorHAnsi" w:hAnsiTheme="minorHAnsi" w:cstheme="minorHAnsi"/>
                <w:b/>
                <w:szCs w:val="22"/>
              </w:rPr>
              <w:t>2029–30</w:t>
            </w:r>
          </w:p>
        </w:tc>
      </w:tr>
      <w:tr w:rsidR="00E71249" w:rsidRPr="00087716" w14:paraId="4FEA135F" w14:textId="77777777" w:rsidTr="00496219">
        <w:trPr>
          <w:cantSplit/>
          <w:trHeight w:val="905"/>
          <w:jc w:val="center"/>
        </w:trPr>
        <w:tc>
          <w:tcPr>
            <w:tcW w:w="2184" w:type="pct"/>
            <w:tcBorders>
              <w:top w:val="single" w:sz="6" w:space="0" w:color="auto"/>
              <w:left w:val="single" w:sz="4" w:space="0" w:color="auto"/>
              <w:bottom w:val="single" w:sz="4" w:space="0" w:color="auto"/>
              <w:right w:val="single" w:sz="6" w:space="0" w:color="auto"/>
            </w:tcBorders>
            <w:hideMark/>
          </w:tcPr>
          <w:p w14:paraId="51028A62" w14:textId="5D847828" w:rsidR="00E71249" w:rsidRPr="00087716" w:rsidRDefault="0061319D" w:rsidP="00496219">
            <w:pPr>
              <w:spacing w:before="120"/>
              <w:rPr>
                <w:rFonts w:asciiTheme="minorHAnsi" w:hAnsiTheme="minorHAnsi" w:cstheme="minorHAnsi"/>
                <w:szCs w:val="22"/>
              </w:rPr>
            </w:pPr>
            <w:r>
              <w:rPr>
                <w:rFonts w:cstheme="minorHAnsi"/>
                <w:noProof/>
                <w:szCs w:val="22"/>
              </w:rPr>
              <mc:AlternateContent>
                <mc:Choice Requires="wps">
                  <w:drawing>
                    <wp:anchor distT="0" distB="0" distL="114300" distR="114300" simplePos="0" relativeHeight="251659272" behindDoc="0" locked="0" layoutInCell="1" allowOverlap="1" wp14:anchorId="448B4894" wp14:editId="7F798979">
                      <wp:simplePos x="0" y="0"/>
                      <wp:positionH relativeFrom="column">
                        <wp:posOffset>-36195</wp:posOffset>
                      </wp:positionH>
                      <wp:positionV relativeFrom="paragraph">
                        <wp:posOffset>104140</wp:posOffset>
                      </wp:positionV>
                      <wp:extent cx="46800" cy="115200"/>
                      <wp:effectExtent l="0" t="0" r="10795" b="18415"/>
                      <wp:wrapNone/>
                      <wp:docPr id="842531554" name="Diamond 1" descr="The diamond symbol represents Performance measures that may be impacted by external factors."/>
                      <wp:cNvGraphicFramePr/>
                      <a:graphic xmlns:a="http://schemas.openxmlformats.org/drawingml/2006/main">
                        <a:graphicData uri="http://schemas.microsoft.com/office/word/2010/wordprocessingShape">
                          <wps:wsp>
                            <wps:cNvSpPr/>
                            <wps:spPr>
                              <a:xfrm>
                                <a:off x="0" y="0"/>
                                <a:ext cx="46800" cy="115200"/>
                              </a:xfrm>
                              <a:prstGeom prst="diamond">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168122" id="_x0000_t4" coordsize="21600,21600" o:spt="4" path="m10800,l,10800,10800,21600,21600,10800xe">
                      <v:stroke joinstyle="miter"/>
                      <v:path gradientshapeok="t" o:connecttype="rect" textboxrect="5400,5400,16200,16200"/>
                    </v:shapetype>
                    <v:shape id="Diamond 1" o:spid="_x0000_s1026" type="#_x0000_t4" alt="The diamond symbol represents Performance measures that may be impacted by external factors." style="position:absolute;margin-left:-2.85pt;margin-top:8.2pt;width:3.7pt;height:9.05pt;z-index:251659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" fillcolor="black [3213]" strokecolor="#000d10 [484]" strokeweight=".73403mm"/>
                  </w:pict>
                </mc:Fallback>
              </mc:AlternateContent>
            </w:r>
            <w:r w:rsidR="00E71249" w:rsidRPr="00087716">
              <w:rPr>
                <w:rFonts w:asciiTheme="minorHAnsi" w:hAnsiTheme="minorHAnsi" w:cstheme="minorHAnsi"/>
                <w:szCs w:val="22"/>
              </w:rPr>
              <w:t xml:space="preserve"> </w:t>
            </w:r>
            <w:r w:rsidR="005A2AFD">
              <w:rPr>
                <w:rFonts w:asciiTheme="minorHAnsi" w:hAnsiTheme="minorHAnsi" w:cstheme="minorHAnsi"/>
                <w:szCs w:val="22"/>
              </w:rPr>
              <w:t xml:space="preserve"> </w:t>
            </w:r>
            <w:r w:rsidR="00E71249" w:rsidRPr="00087716">
              <w:rPr>
                <w:rFonts w:asciiTheme="minorHAnsi" w:hAnsiTheme="minorHAnsi" w:cstheme="minorHAnsi"/>
                <w:szCs w:val="22"/>
              </w:rPr>
              <w:t>1.1.2.1A – Services Australia collects payments equivalent to more than 95% of child support liabilities in Agency Collect cases each year.</w:t>
            </w:r>
          </w:p>
        </w:tc>
        <w:tc>
          <w:tcPr>
            <w:tcW w:w="670" w:type="pct"/>
            <w:tcBorders>
              <w:top w:val="single" w:sz="6" w:space="0" w:color="auto"/>
              <w:left w:val="single" w:sz="6" w:space="0" w:color="auto"/>
              <w:bottom w:val="single" w:sz="4" w:space="0" w:color="auto"/>
              <w:right w:val="single" w:sz="6" w:space="0" w:color="auto"/>
            </w:tcBorders>
            <w:hideMark/>
          </w:tcPr>
          <w:p w14:paraId="6983A071" w14:textId="77777777" w:rsidR="00E71249" w:rsidRPr="00087716" w:rsidRDefault="00E71249" w:rsidP="00496219">
            <w:pPr>
              <w:spacing w:before="120" w:after="60" w:line="252" w:lineRule="auto"/>
              <w:rPr>
                <w:rFonts w:asciiTheme="minorHAnsi" w:hAnsiTheme="minorHAnsi" w:cstheme="minorHAnsi"/>
                <w:szCs w:val="22"/>
              </w:rPr>
            </w:pPr>
            <w:r w:rsidRPr="00087716">
              <w:rPr>
                <w:rFonts w:asciiTheme="minorHAnsi" w:hAnsiTheme="minorHAnsi" w:cstheme="minorHAnsi"/>
                <w:szCs w:val="22"/>
              </w:rPr>
              <w:t>&gt;95%</w:t>
            </w:r>
          </w:p>
        </w:tc>
        <w:tc>
          <w:tcPr>
            <w:tcW w:w="670" w:type="pct"/>
            <w:tcBorders>
              <w:top w:val="single" w:sz="6" w:space="0" w:color="auto"/>
              <w:left w:val="single" w:sz="6" w:space="0" w:color="auto"/>
              <w:bottom w:val="single" w:sz="4" w:space="0" w:color="auto"/>
              <w:right w:val="single" w:sz="6" w:space="0" w:color="auto"/>
            </w:tcBorders>
            <w:hideMark/>
          </w:tcPr>
          <w:p w14:paraId="79AF0AAE" w14:textId="77777777" w:rsidR="00E71249" w:rsidRPr="00087716" w:rsidRDefault="00E71249" w:rsidP="00496219">
            <w:pPr>
              <w:spacing w:before="120" w:after="60" w:line="252" w:lineRule="auto"/>
              <w:rPr>
                <w:rFonts w:asciiTheme="minorHAnsi" w:hAnsiTheme="minorHAnsi" w:cstheme="minorHAnsi"/>
                <w:szCs w:val="22"/>
              </w:rPr>
            </w:pPr>
            <w:r w:rsidRPr="00087716">
              <w:rPr>
                <w:rFonts w:asciiTheme="minorHAnsi" w:hAnsiTheme="minorHAnsi" w:cstheme="minorHAnsi"/>
                <w:szCs w:val="22"/>
              </w:rPr>
              <w:t>&gt;95%</w:t>
            </w:r>
          </w:p>
        </w:tc>
        <w:tc>
          <w:tcPr>
            <w:tcW w:w="738" w:type="pct"/>
            <w:tcBorders>
              <w:top w:val="single" w:sz="6" w:space="0" w:color="auto"/>
              <w:left w:val="single" w:sz="6" w:space="0" w:color="auto"/>
              <w:bottom w:val="single" w:sz="4" w:space="0" w:color="auto"/>
              <w:right w:val="single" w:sz="6" w:space="0" w:color="auto"/>
            </w:tcBorders>
            <w:hideMark/>
          </w:tcPr>
          <w:p w14:paraId="4B39AA2C" w14:textId="77777777" w:rsidR="00E71249" w:rsidRPr="00087716" w:rsidRDefault="00E71249" w:rsidP="00496219">
            <w:pPr>
              <w:spacing w:before="120" w:after="60" w:line="252" w:lineRule="auto"/>
              <w:rPr>
                <w:rFonts w:asciiTheme="minorHAnsi" w:hAnsiTheme="minorHAnsi" w:cstheme="minorHAnsi"/>
                <w:szCs w:val="22"/>
              </w:rPr>
            </w:pPr>
            <w:r w:rsidRPr="00087716">
              <w:rPr>
                <w:rFonts w:asciiTheme="minorHAnsi" w:hAnsiTheme="minorHAnsi" w:cstheme="minorHAnsi"/>
                <w:szCs w:val="22"/>
              </w:rPr>
              <w:t>&gt;95%</w:t>
            </w:r>
          </w:p>
        </w:tc>
        <w:tc>
          <w:tcPr>
            <w:tcW w:w="738" w:type="pct"/>
            <w:tcBorders>
              <w:top w:val="single" w:sz="6" w:space="0" w:color="auto"/>
              <w:left w:val="single" w:sz="6" w:space="0" w:color="auto"/>
              <w:bottom w:val="single" w:sz="4" w:space="0" w:color="auto"/>
              <w:right w:val="single" w:sz="4" w:space="0" w:color="auto"/>
            </w:tcBorders>
            <w:shd w:val="clear" w:color="auto" w:fill="FFFFFF" w:themeFill="background1"/>
            <w:hideMark/>
          </w:tcPr>
          <w:p w14:paraId="7E4248A6" w14:textId="77777777" w:rsidR="00E71249" w:rsidRPr="00087716" w:rsidRDefault="00E71249" w:rsidP="00496219">
            <w:pPr>
              <w:spacing w:before="120" w:after="60" w:line="252" w:lineRule="auto"/>
              <w:rPr>
                <w:rFonts w:asciiTheme="minorHAnsi" w:hAnsiTheme="minorHAnsi" w:cstheme="minorHAnsi"/>
                <w:szCs w:val="22"/>
              </w:rPr>
            </w:pPr>
            <w:r w:rsidRPr="00087716">
              <w:rPr>
                <w:rFonts w:asciiTheme="minorHAnsi" w:hAnsiTheme="minorHAnsi" w:cstheme="minorHAnsi"/>
                <w:szCs w:val="22"/>
              </w:rPr>
              <w:t>&gt;95%</w:t>
            </w:r>
          </w:p>
        </w:tc>
      </w:tr>
    </w:tbl>
    <w:p w14:paraId="61F60225" w14:textId="77777777" w:rsidR="00E71249" w:rsidRPr="00087716" w:rsidRDefault="00E71249" w:rsidP="00FD4C88">
      <w:pPr>
        <w:pStyle w:val="CPCustom3"/>
        <w:rPr>
          <w:lang w:eastAsia="en-AU"/>
        </w:rPr>
      </w:pPr>
      <w:r w:rsidRPr="00087716">
        <w:rPr>
          <w:lang w:eastAsia="en-AU"/>
        </w:rPr>
        <w:t>Rationale</w:t>
      </w:r>
    </w:p>
    <w:p w14:paraId="35BD2F17" w14:textId="77777777" w:rsidR="00E71249" w:rsidRPr="00087716" w:rsidRDefault="00E71249" w:rsidP="00F216D7">
      <w:pPr>
        <w:spacing w:before="120" w:after="160"/>
        <w:rPr>
          <w:lang w:eastAsia="en-AU"/>
        </w:rPr>
      </w:pPr>
      <w:r w:rsidRPr="00087716">
        <w:rPr>
          <w:lang w:eastAsia="en-AU"/>
        </w:rPr>
        <w:t xml:space="preserve">Measuring the extent to which separated parents who are assessed to pay child support in Agency Collect cases are complying with their obligation demonstrates the effectiveness of the Child Support Scheme in supporting children of separated parents. The measure is also relevant to the </w:t>
      </w:r>
      <w:r w:rsidRPr="00087716">
        <w:rPr>
          <w:lang w:eastAsia="en-AU"/>
        </w:rPr>
        <w:lastRenderedPageBreak/>
        <w:t>effectiveness of enforcement payments in the Child Support Scheme. This demonstrates how the Child Support Scheme is effective in maximising the economic resources available to raise their children.</w:t>
      </w:r>
    </w:p>
    <w:p w14:paraId="35C4638B" w14:textId="77777777" w:rsidR="00E71249" w:rsidRPr="00087716" w:rsidRDefault="00E71249" w:rsidP="00F216D7">
      <w:pPr>
        <w:spacing w:before="120" w:after="160"/>
        <w:rPr>
          <w:lang w:eastAsia="en-AU"/>
        </w:rPr>
      </w:pPr>
      <w:r w:rsidRPr="00087716">
        <w:rPr>
          <w:lang w:eastAsia="en-AU"/>
        </w:rPr>
        <w:t xml:space="preserve">The target demonstrates the </w:t>
      </w:r>
      <w:r w:rsidRPr="00087716">
        <w:rPr>
          <w:b/>
          <w:bCs/>
          <w:lang w:eastAsia="en-AU"/>
        </w:rPr>
        <w:t>effectiveness</w:t>
      </w:r>
      <w:r w:rsidRPr="00087716">
        <w:rPr>
          <w:lang w:eastAsia="en-AU"/>
        </w:rPr>
        <w:t xml:space="preserve"> of the key activity by showing: </w:t>
      </w:r>
    </w:p>
    <w:p w14:paraId="4A2B8B56" w14:textId="77777777" w:rsidR="00E71249" w:rsidRPr="00087716" w:rsidRDefault="00E71249" w:rsidP="00527C2D">
      <w:pPr>
        <w:pStyle w:val="ListParagraph"/>
        <w:spacing w:before="120" w:after="160"/>
        <w:ind w:left="714" w:hanging="357"/>
        <w:rPr>
          <w:lang w:eastAsia="en-AU"/>
        </w:rPr>
      </w:pPr>
      <w:r w:rsidRPr="00087716">
        <w:rPr>
          <w:lang w:eastAsia="en-AU"/>
        </w:rPr>
        <w:t>the value of child support payments collected by Services Australia and paid to receiving parents, as a proportion of all child support liabilities raised in Agency Collect cases.</w:t>
      </w:r>
    </w:p>
    <w:p w14:paraId="038D32CB" w14:textId="77777777" w:rsidR="00E71249" w:rsidRPr="00087716" w:rsidRDefault="00E71249" w:rsidP="00527C2D">
      <w:pPr>
        <w:pStyle w:val="ListParagraph"/>
        <w:spacing w:before="120" w:after="160"/>
        <w:ind w:left="714" w:hanging="357"/>
        <w:rPr>
          <w:lang w:eastAsia="en-AU"/>
        </w:rPr>
      </w:pPr>
      <w:r w:rsidRPr="00087716">
        <w:rPr>
          <w:lang w:eastAsia="en-AU"/>
        </w:rPr>
        <w:t xml:space="preserve">a significant percentage of children continue to receive financial support from their </w:t>
      </w:r>
      <w:proofErr w:type="gramStart"/>
      <w:r w:rsidRPr="00087716">
        <w:rPr>
          <w:lang w:eastAsia="en-AU"/>
        </w:rPr>
        <w:t>parents</w:t>
      </w:r>
      <w:proofErr w:type="gramEnd"/>
      <w:r w:rsidRPr="00087716">
        <w:rPr>
          <w:lang w:eastAsia="en-AU"/>
        </w:rPr>
        <w:t xml:space="preserve"> following separation.</w:t>
      </w:r>
    </w:p>
    <w:p w14:paraId="5AE25356" w14:textId="77777777" w:rsidR="00E71249" w:rsidRPr="00087716" w:rsidRDefault="00E71249" w:rsidP="00FD4C88">
      <w:pPr>
        <w:pStyle w:val="CPCustom3"/>
        <w:rPr>
          <w:lang w:eastAsia="en-AU"/>
        </w:rPr>
      </w:pPr>
      <w:r w:rsidRPr="00087716">
        <w:rPr>
          <w:lang w:eastAsia="en-AU"/>
        </w:rPr>
        <w:t>Methodology</w:t>
      </w:r>
    </w:p>
    <w:p w14:paraId="37A3EFEC" w14:textId="77777777" w:rsidR="00E71249" w:rsidRPr="00087716" w:rsidRDefault="00E71249" w:rsidP="00527C2D">
      <w:pPr>
        <w:spacing w:before="120" w:after="160"/>
        <w:rPr>
          <w:lang w:eastAsia="en-AU"/>
        </w:rPr>
      </w:pPr>
      <w:r w:rsidRPr="00087716">
        <w:rPr>
          <w:lang w:eastAsia="en-AU"/>
        </w:rPr>
        <w:t>For each financial year (from 2025–26 onwards):</w:t>
      </w:r>
    </w:p>
    <w:p w14:paraId="2737F6DE" w14:textId="77777777" w:rsidR="00E71249" w:rsidRPr="00087716" w:rsidRDefault="00E71249" w:rsidP="00527C2D">
      <w:pPr>
        <w:pStyle w:val="ListParagraph"/>
        <w:spacing w:before="120" w:after="160"/>
        <w:ind w:left="714" w:hanging="357"/>
        <w:rPr>
          <w:lang w:eastAsia="en-AU"/>
        </w:rPr>
      </w:pPr>
      <w:r w:rsidRPr="00087716">
        <w:rPr>
          <w:lang w:eastAsia="en-AU"/>
        </w:rPr>
        <w:t>Annual Agency Collect liabilities assessed; and</w:t>
      </w:r>
    </w:p>
    <w:p w14:paraId="29067D17" w14:textId="77777777" w:rsidR="00E71249" w:rsidRPr="00087716" w:rsidRDefault="00E71249" w:rsidP="00527C2D">
      <w:pPr>
        <w:pStyle w:val="ListParagraph"/>
        <w:spacing w:before="120" w:after="160"/>
        <w:ind w:left="714" w:hanging="357"/>
        <w:rPr>
          <w:lang w:eastAsia="en-AU"/>
        </w:rPr>
      </w:pPr>
      <w:r w:rsidRPr="00087716">
        <w:rPr>
          <w:lang w:eastAsia="en-AU"/>
        </w:rPr>
        <w:t>Annual Agency Collect liabilities collected.</w:t>
      </w:r>
    </w:p>
    <w:p w14:paraId="78F9980B" w14:textId="77777777" w:rsidR="00E71249" w:rsidRPr="00087716" w:rsidRDefault="00E71249" w:rsidP="00527C2D">
      <w:pPr>
        <w:spacing w:before="120" w:after="160" w:line="257" w:lineRule="auto"/>
        <w:rPr>
          <w:rFonts w:cstheme="minorHAnsi"/>
          <w:szCs w:val="22"/>
          <w:lang w:eastAsia="en-AU"/>
        </w:rPr>
      </w:pPr>
      <w:r w:rsidRPr="00087716">
        <w:rPr>
          <w:rFonts w:cstheme="minorHAnsi"/>
          <w:szCs w:val="22"/>
          <w:lang w:eastAsia="en-AU"/>
        </w:rPr>
        <w:t>The percentage is the Annual Agency Collect liabilities collected divided by the Annual Agency Collect liabilities assessed.</w:t>
      </w:r>
    </w:p>
    <w:p w14:paraId="1A4AE325" w14:textId="77777777" w:rsidR="00E71249" w:rsidRPr="00087716" w:rsidRDefault="00E71249" w:rsidP="00FD4C88">
      <w:pPr>
        <w:pStyle w:val="CPCustom3"/>
        <w:rPr>
          <w:lang w:eastAsia="en-AU"/>
        </w:rPr>
      </w:pPr>
      <w:r w:rsidRPr="00087716">
        <w:rPr>
          <w:lang w:eastAsia="en-AU"/>
        </w:rPr>
        <w:t xml:space="preserve">Data Categorisation </w:t>
      </w:r>
    </w:p>
    <w:tbl>
      <w:tblPr>
        <w:tblStyle w:val="Numericaltable3"/>
        <w:tblW w:w="5000" w:type="pct"/>
        <w:tblLook w:val="04A0" w:firstRow="1" w:lastRow="0" w:firstColumn="1" w:lastColumn="0" w:noHBand="0" w:noVBand="1"/>
        <w:tblCaption w:val="Table 8 - Categorisation of data source "/>
        <w:tblDescription w:val="Categorisation of data source "/>
      </w:tblPr>
      <w:tblGrid>
        <w:gridCol w:w="4642"/>
        <w:gridCol w:w="5552"/>
      </w:tblGrid>
      <w:tr w:rsidR="00E71249" w:rsidRPr="00087716" w14:paraId="273781DF" w14:textId="77777777" w:rsidTr="00496219">
        <w:trPr>
          <w:tblHeader/>
        </w:trPr>
        <w:tc>
          <w:tcPr>
            <w:tcW w:w="2277" w:type="pct"/>
            <w:tcBorders>
              <w:top w:val="single" w:sz="4" w:space="0" w:color="auto"/>
              <w:left w:val="single" w:sz="4" w:space="0" w:color="auto"/>
              <w:bottom w:val="single" w:sz="4" w:space="0" w:color="auto"/>
              <w:right w:val="single" w:sz="4" w:space="0" w:color="auto"/>
            </w:tcBorders>
            <w:shd w:val="clear" w:color="auto" w:fill="215868"/>
            <w:vAlign w:val="center"/>
            <w:hideMark/>
          </w:tcPr>
          <w:p w14:paraId="45F8D3BD" w14:textId="77777777" w:rsidR="00E71249" w:rsidRPr="00087716" w:rsidRDefault="00E71249" w:rsidP="00496219">
            <w:pPr>
              <w:suppressAutoHyphens/>
              <w:spacing w:before="120" w:after="120"/>
              <w:rPr>
                <w:rFonts w:asciiTheme="minorHAnsi" w:hAnsiTheme="minorHAnsi" w:cstheme="minorHAnsi"/>
                <w:b/>
                <w:bCs/>
                <w:color w:val="FFFFFF" w:themeColor="background1"/>
              </w:rPr>
            </w:pPr>
            <w:r w:rsidRPr="00087716">
              <w:rPr>
                <w:rFonts w:asciiTheme="minorHAnsi" w:hAnsiTheme="minorHAnsi" w:cstheme="minorHAnsi"/>
                <w:b/>
                <w:bCs/>
                <w:color w:val="FFFFFF" w:themeColor="background1"/>
              </w:rPr>
              <w:t xml:space="preserve">Categorisation of data source </w:t>
            </w:r>
          </w:p>
        </w:tc>
        <w:tc>
          <w:tcPr>
            <w:tcW w:w="2723" w:type="pct"/>
            <w:tcBorders>
              <w:top w:val="single" w:sz="4" w:space="0" w:color="auto"/>
              <w:left w:val="single" w:sz="4" w:space="0" w:color="auto"/>
              <w:bottom w:val="single" w:sz="4" w:space="0" w:color="auto"/>
              <w:right w:val="single" w:sz="4" w:space="0" w:color="auto"/>
            </w:tcBorders>
            <w:shd w:val="clear" w:color="auto" w:fill="215868"/>
            <w:vAlign w:val="center"/>
            <w:hideMark/>
          </w:tcPr>
          <w:p w14:paraId="75DFD691" w14:textId="77777777" w:rsidR="00E71249" w:rsidRPr="00087716" w:rsidRDefault="00E71249" w:rsidP="00496219">
            <w:pPr>
              <w:suppressAutoHyphens/>
              <w:spacing w:before="120" w:after="120"/>
              <w:rPr>
                <w:rFonts w:asciiTheme="minorHAnsi" w:hAnsiTheme="minorHAnsi" w:cstheme="minorHAnsi"/>
                <w:b/>
                <w:bCs/>
                <w:color w:val="FFFFFF" w:themeColor="background1"/>
              </w:rPr>
            </w:pPr>
            <w:r w:rsidRPr="00087716">
              <w:rPr>
                <w:rFonts w:asciiTheme="minorHAnsi" w:hAnsiTheme="minorHAnsi" w:cstheme="minorHAnsi"/>
                <w:b/>
                <w:bCs/>
                <w:color w:val="FFFFFF" w:themeColor="background1"/>
              </w:rPr>
              <w:t>Data source</w:t>
            </w:r>
          </w:p>
        </w:tc>
      </w:tr>
      <w:tr w:rsidR="00E71249" w:rsidRPr="00087716" w14:paraId="18316238" w14:textId="77777777" w:rsidTr="00496219">
        <w:tc>
          <w:tcPr>
            <w:tcW w:w="2277" w:type="pct"/>
            <w:tcBorders>
              <w:top w:val="single" w:sz="4" w:space="0" w:color="auto"/>
              <w:left w:val="single" w:sz="4" w:space="0" w:color="auto"/>
              <w:bottom w:val="single" w:sz="4" w:space="0" w:color="auto"/>
              <w:right w:val="single" w:sz="4" w:space="0" w:color="auto"/>
            </w:tcBorders>
            <w:hideMark/>
          </w:tcPr>
          <w:p w14:paraId="177E11F8" w14:textId="77777777" w:rsidR="00E71249" w:rsidRPr="00087716" w:rsidRDefault="00E71249" w:rsidP="00496219">
            <w:pPr>
              <w:suppressAutoHyphens/>
              <w:spacing w:before="120" w:after="120"/>
              <w:rPr>
                <w:rFonts w:asciiTheme="minorHAnsi" w:hAnsiTheme="minorHAnsi" w:cstheme="minorHAnsi"/>
                <w:color w:val="000000" w:themeColor="text1"/>
              </w:rPr>
            </w:pPr>
            <w:r w:rsidRPr="00087716">
              <w:rPr>
                <w:rFonts w:cstheme="minorHAnsi"/>
                <w:noProof/>
              </w:rPr>
              <w:drawing>
                <wp:inline distT="0" distB="0" distL="0" distR="0" wp14:anchorId="59E10755" wp14:editId="28E33BF2">
                  <wp:extent cx="1209675" cy="352425"/>
                  <wp:effectExtent l="0" t="0" r="9525" b="9525"/>
                  <wp:docPr id="1214573968" name="picture" descr="second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362573" name="picture" descr="secondary sour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9675" cy="352425"/>
                          </a:xfrm>
                          <a:prstGeom prst="rect">
                            <a:avLst/>
                          </a:prstGeom>
                        </pic:spPr>
                      </pic:pic>
                    </a:graphicData>
                  </a:graphic>
                </wp:inline>
              </w:drawing>
            </w:r>
            <w:r w:rsidRPr="00087716">
              <w:rPr>
                <w:rFonts w:cstheme="minorHAnsi"/>
                <w:noProof/>
              </w:rPr>
              <w:drawing>
                <wp:inline distT="0" distB="0" distL="0" distR="0" wp14:anchorId="307F7441" wp14:editId="249BA414">
                  <wp:extent cx="885825" cy="342900"/>
                  <wp:effectExtent l="0" t="0" r="9525" b="0"/>
                  <wp:docPr id="1889186329" name="picture" descr="ti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806936" name="picture" descr="tier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5825" cy="342900"/>
                          </a:xfrm>
                          <a:prstGeom prst="rect">
                            <a:avLst/>
                          </a:prstGeom>
                        </pic:spPr>
                      </pic:pic>
                    </a:graphicData>
                  </a:graphic>
                </wp:inline>
              </w:drawing>
            </w:r>
          </w:p>
        </w:tc>
        <w:tc>
          <w:tcPr>
            <w:tcW w:w="2723" w:type="pct"/>
            <w:tcBorders>
              <w:top w:val="single" w:sz="4" w:space="0" w:color="auto"/>
              <w:left w:val="single" w:sz="4" w:space="0" w:color="auto"/>
              <w:bottom w:val="single" w:sz="4" w:space="0" w:color="auto"/>
              <w:right w:val="single" w:sz="4" w:space="0" w:color="auto"/>
            </w:tcBorders>
            <w:hideMark/>
          </w:tcPr>
          <w:p w14:paraId="5A841548" w14:textId="77777777" w:rsidR="00E71249" w:rsidRPr="00087716" w:rsidRDefault="00E71249" w:rsidP="00496219">
            <w:pPr>
              <w:suppressAutoHyphens/>
              <w:spacing w:before="120" w:after="120"/>
              <w:rPr>
                <w:rFonts w:asciiTheme="minorHAnsi" w:hAnsiTheme="minorHAnsi" w:cstheme="minorHAnsi"/>
                <w:color w:val="000000" w:themeColor="text1"/>
              </w:rPr>
            </w:pPr>
            <w:r w:rsidRPr="00087716">
              <w:rPr>
                <w:rFonts w:asciiTheme="minorHAnsi" w:hAnsiTheme="minorHAnsi" w:cstheme="minorHAnsi"/>
              </w:rPr>
              <w:t>Services Australia administrative data.</w:t>
            </w:r>
          </w:p>
        </w:tc>
      </w:tr>
    </w:tbl>
    <w:p w14:paraId="3991C9DF" w14:textId="77777777" w:rsidR="00E71249" w:rsidRPr="00087716" w:rsidRDefault="00E71249" w:rsidP="00FD4C88">
      <w:pPr>
        <w:pStyle w:val="CPCustom3"/>
        <w:rPr>
          <w:lang w:eastAsia="en-AU"/>
        </w:rPr>
      </w:pPr>
      <w:r w:rsidRPr="00087716">
        <w:rPr>
          <w:lang w:eastAsia="en-AU"/>
        </w:rPr>
        <w:t>Supporting Information</w:t>
      </w:r>
    </w:p>
    <w:p w14:paraId="28FA4D73" w14:textId="77777777" w:rsidR="00E71249" w:rsidRPr="00087716" w:rsidRDefault="00E71249" w:rsidP="00527C2D">
      <w:pPr>
        <w:pStyle w:val="ListParagraph"/>
        <w:spacing w:before="120" w:after="160"/>
        <w:ind w:left="714" w:hanging="357"/>
        <w:rPr>
          <w:lang w:eastAsia="en-AU"/>
        </w:rPr>
      </w:pPr>
      <w:r w:rsidRPr="00087716">
        <w:rPr>
          <w:lang w:eastAsia="en-AU"/>
        </w:rPr>
        <w:t>Child Support Scheme (number of cases)</w:t>
      </w:r>
    </w:p>
    <w:p w14:paraId="2579FBA9" w14:textId="77777777" w:rsidR="00E71249" w:rsidRPr="00087716" w:rsidRDefault="00E71249" w:rsidP="00E71249">
      <w:pPr>
        <w:spacing w:after="240"/>
        <w:rPr>
          <w:rFonts w:eastAsiaTheme="minorEastAsia" w:cs="Arial"/>
          <w:szCs w:val="22"/>
          <w:lang w:eastAsia="en-AU"/>
        </w:rPr>
      </w:pPr>
      <w:r w:rsidRPr="00087716">
        <w:rPr>
          <w:rFonts w:eastAsiaTheme="minorEastAsia" w:cs="Arial"/>
          <w:szCs w:val="22"/>
          <w:lang w:eastAsia="en-AU"/>
        </w:rPr>
        <w:br w:type="page"/>
      </w:r>
    </w:p>
    <w:p w14:paraId="53B855CA" w14:textId="651857CD" w:rsidR="00E71249" w:rsidRPr="00DD6FA0" w:rsidRDefault="00E71249" w:rsidP="00DD6FA0">
      <w:pPr>
        <w:pStyle w:val="Heading3"/>
        <w:shd w:val="clear" w:color="auto" w:fill="005A70" w:themeFill="accent1"/>
        <w:rPr>
          <w:rFonts w:asciiTheme="minorHAnsi" w:hAnsiTheme="minorHAnsi" w:cstheme="minorHAnsi"/>
          <w:b/>
          <w:bCs w:val="0"/>
          <w:color w:val="FFFFFF" w:themeColor="background1"/>
          <w:sz w:val="22"/>
          <w:szCs w:val="22"/>
          <w:lang w:eastAsia="en-AU"/>
        </w:rPr>
      </w:pPr>
      <w:bookmarkStart w:id="83" w:name="_Toc256000021"/>
      <w:bookmarkStart w:id="84" w:name="_Toc238653291"/>
      <w:bookmarkStart w:id="85" w:name="_Toc256000031"/>
      <w:bookmarkEnd w:id="80"/>
      <w:r w:rsidRPr="00DD6FA0">
        <w:rPr>
          <w:rFonts w:asciiTheme="minorHAnsi" w:hAnsiTheme="minorHAnsi" w:cstheme="minorHAnsi"/>
          <w:b/>
          <w:bCs w:val="0"/>
          <w:color w:val="FFFFFF" w:themeColor="background1"/>
          <w:sz w:val="22"/>
          <w:szCs w:val="22"/>
          <w:lang w:eastAsia="en-AU"/>
        </w:rPr>
        <w:lastRenderedPageBreak/>
        <w:t xml:space="preserve">Program 1.2 </w:t>
      </w:r>
      <w:bookmarkEnd w:id="83"/>
      <w:r w:rsidR="00FD4C88" w:rsidRPr="00DD6FA0">
        <w:rPr>
          <w:rFonts w:asciiTheme="minorHAnsi" w:hAnsiTheme="minorHAnsi" w:cstheme="minorHAnsi"/>
          <w:b/>
          <w:bCs w:val="0"/>
          <w:color w:val="FFFFFF" w:themeColor="background1"/>
          <w:sz w:val="22"/>
          <w:szCs w:val="22"/>
          <w:lang w:eastAsia="en-AU"/>
        </w:rPr>
        <w:t>Paid Parental Leave</w:t>
      </w:r>
      <w:bookmarkEnd w:id="84"/>
    </w:p>
    <w:p w14:paraId="61C00697" w14:textId="77777777" w:rsidR="00E71249" w:rsidRPr="00087716" w:rsidRDefault="00E71249" w:rsidP="00527C2D">
      <w:pPr>
        <w:shd w:val="clear" w:color="auto" w:fill="005A70"/>
        <w:spacing w:before="120" w:after="160" w:line="257" w:lineRule="auto"/>
        <w:rPr>
          <w:rFonts w:cstheme="minorHAnsi"/>
          <w:color w:val="FFFFFF" w:themeColor="background1"/>
          <w:szCs w:val="22"/>
          <w:lang w:eastAsia="en-AU"/>
        </w:rPr>
      </w:pPr>
      <w:r w:rsidRPr="00087716">
        <w:rPr>
          <w:rFonts w:cstheme="minorHAnsi"/>
          <w:color w:val="FFFFFF" w:themeColor="background1"/>
          <w:szCs w:val="22"/>
          <w:lang w:eastAsia="en-AU"/>
        </w:rPr>
        <w:t>Assist parents to take time out of the workforce to bond with their children following birth or adoption and encourage continued participation in the workforce.</w:t>
      </w:r>
    </w:p>
    <w:p w14:paraId="1EC9B163" w14:textId="77777777" w:rsidR="00E71249" w:rsidRPr="002A5B00" w:rsidRDefault="00E71249" w:rsidP="002A5B00">
      <w:pPr>
        <w:pStyle w:val="Heading4"/>
        <w:shd w:val="clear" w:color="auto" w:fill="B1E4E3" w:themeFill="accent3"/>
        <w:spacing w:before="60" w:after="60"/>
        <w:rPr>
          <w:color w:val="auto"/>
          <w:sz w:val="22"/>
          <w:szCs w:val="22"/>
        </w:rPr>
      </w:pPr>
      <w:r w:rsidRPr="002A5B00">
        <w:rPr>
          <w:color w:val="auto"/>
          <w:sz w:val="22"/>
          <w:szCs w:val="22"/>
        </w:rPr>
        <w:t>Key Activity — 1.2.1 Paid Parental Leave</w:t>
      </w:r>
    </w:p>
    <w:p w14:paraId="3AA6F756" w14:textId="77777777" w:rsidR="00E71249" w:rsidRPr="00E91744" w:rsidRDefault="00E71249" w:rsidP="00527C2D">
      <w:pPr>
        <w:suppressAutoHyphens/>
        <w:spacing w:before="120" w:after="160" w:line="257" w:lineRule="auto"/>
        <w:rPr>
          <w:rFonts w:cstheme="minorHAnsi"/>
          <w:szCs w:val="22"/>
          <w:lang w:eastAsia="en-AU"/>
        </w:rPr>
      </w:pPr>
      <w:r w:rsidRPr="00087716">
        <w:rPr>
          <w:rFonts w:cstheme="minorHAnsi"/>
          <w:szCs w:val="22"/>
          <w:lang w:eastAsia="en-AU"/>
        </w:rPr>
        <w:t xml:space="preserve">Paid Parental Leave is a key activity of the Paid Parental Leave Program. Paid Parental Leave provides financial support to help eligible parents to take time off work to care for a newborn or recently adopted child, to encourage women’s workforce participation, to enhance the health and development of mothers and their children and promote equality between men and women, and the balance between work and family life. It also aims to increase the time that fathers and partners take off work around the time of birth or adoption to provide further opportunities for fathers and partners to take </w:t>
      </w:r>
      <w:r w:rsidRPr="00E91744">
        <w:rPr>
          <w:rFonts w:cstheme="minorHAnsi"/>
          <w:szCs w:val="22"/>
          <w:lang w:eastAsia="en-AU"/>
        </w:rPr>
        <w:t>a greater share of caring responsibilities.</w:t>
      </w:r>
    </w:p>
    <w:p w14:paraId="3800F206" w14:textId="77777777" w:rsidR="00E91744" w:rsidRPr="00E91744" w:rsidRDefault="00E91744" w:rsidP="00527C2D">
      <w:pPr>
        <w:suppressAutoHyphens/>
        <w:spacing w:before="120" w:after="160" w:line="257" w:lineRule="auto"/>
        <w:rPr>
          <w:rFonts w:cstheme="minorHAnsi"/>
          <w:szCs w:val="22"/>
          <w:lang w:eastAsia="en-AU"/>
        </w:rPr>
      </w:pPr>
      <w:r w:rsidRPr="00E91744">
        <w:rPr>
          <w:rFonts w:cstheme="minorHAnsi"/>
          <w:szCs w:val="22"/>
          <w:lang w:eastAsia="en-AU"/>
        </w:rPr>
        <w:t xml:space="preserve">For children born or adopted from 1 July 2026, Paid Parental Leave provides eligible families with up to 26 weeks of pay based on the national minimum wage. To support a more balanced approach to paid and unpaid work within families, 4 weeks are reserved on a dedicated ‘use it or lose it’ basis for each parent. Single parents can access the full 26 weeks. To be eligible for Paid Parental Leave, a claimant must meet the scheme's work test, income test, and residency requirements. </w:t>
      </w:r>
    </w:p>
    <w:p w14:paraId="5D32EE99" w14:textId="5F21AD8A" w:rsidR="00E71249" w:rsidRPr="00087716" w:rsidRDefault="00E71249" w:rsidP="00527C2D">
      <w:pPr>
        <w:spacing w:before="120" w:after="160"/>
        <w:rPr>
          <w:rFonts w:cstheme="minorHAnsi"/>
          <w:szCs w:val="22"/>
          <w:lang w:eastAsia="en-AU"/>
        </w:rPr>
      </w:pPr>
      <w:r w:rsidRPr="00087716">
        <w:rPr>
          <w:rFonts w:cstheme="minorHAnsi"/>
          <w:szCs w:val="22"/>
          <w:lang w:eastAsia="en-AU"/>
        </w:rPr>
        <w:t>For children born or adopted from 1 July 2025, eligible parents receive an additional 12% of their Paid Parental Leave as a contribution to their superannuation account.</w:t>
      </w:r>
    </w:p>
    <w:p w14:paraId="05F83CD3" w14:textId="230BC7C8" w:rsidR="00E71249" w:rsidRPr="00087716" w:rsidRDefault="00E71249" w:rsidP="00527C2D">
      <w:pPr>
        <w:suppressAutoHyphens/>
        <w:spacing w:before="120" w:after="160" w:line="257" w:lineRule="auto"/>
        <w:rPr>
          <w:rFonts w:cstheme="minorHAnsi"/>
          <w:szCs w:val="22"/>
          <w:lang w:eastAsia="en-AU"/>
        </w:rPr>
      </w:pPr>
      <w:r w:rsidRPr="00087716">
        <w:rPr>
          <w:rFonts w:cstheme="minorHAnsi"/>
          <w:b/>
          <w:bCs/>
          <w:szCs w:val="22"/>
          <w:lang w:eastAsia="en-AU"/>
        </w:rPr>
        <w:t xml:space="preserve">The </w:t>
      </w:r>
      <w:r w:rsidR="0054557F">
        <w:rPr>
          <w:rFonts w:cstheme="minorHAnsi"/>
          <w:b/>
          <w:bCs/>
          <w:szCs w:val="22"/>
          <w:lang w:eastAsia="en-AU"/>
        </w:rPr>
        <w:t>d</w:t>
      </w:r>
      <w:r w:rsidRPr="00087716">
        <w:rPr>
          <w:rFonts w:cstheme="minorHAnsi"/>
          <w:b/>
          <w:bCs/>
          <w:szCs w:val="22"/>
          <w:lang w:eastAsia="en-AU"/>
        </w:rPr>
        <w:t>epartment</w:t>
      </w:r>
      <w:r w:rsidRPr="00087716">
        <w:rPr>
          <w:rFonts w:cstheme="minorHAnsi"/>
          <w:szCs w:val="22"/>
          <w:lang w:eastAsia="en-AU"/>
        </w:rPr>
        <w:t xml:space="preserve"> is responsible for designing and implementing the key activity, including providing advice to government on policy and legislation, program implementation and management, program performance, monitoring and meeting all relevant deliverables, setting guidelines, and providing guidance and advice to Services Australia on the administration of the program.</w:t>
      </w:r>
    </w:p>
    <w:p w14:paraId="1F422AF1" w14:textId="15FC1BA0" w:rsidR="00E71249" w:rsidRPr="00087716" w:rsidRDefault="00E71249" w:rsidP="00527C2D">
      <w:pPr>
        <w:suppressAutoHyphens/>
        <w:spacing w:before="120" w:after="160" w:line="256" w:lineRule="auto"/>
        <w:rPr>
          <w:rFonts w:cstheme="minorHAnsi"/>
          <w:szCs w:val="22"/>
          <w:lang w:eastAsia="en-AU"/>
        </w:rPr>
      </w:pPr>
      <w:r w:rsidRPr="00087716">
        <w:rPr>
          <w:rFonts w:cstheme="minorHAnsi"/>
          <w:b/>
          <w:bCs/>
          <w:szCs w:val="22"/>
          <w:lang w:eastAsia="en-AU"/>
        </w:rPr>
        <w:t>Services Australia</w:t>
      </w:r>
      <w:r w:rsidRPr="00087716">
        <w:rPr>
          <w:rFonts w:cstheme="minorHAnsi"/>
          <w:szCs w:val="22"/>
          <w:lang w:eastAsia="en-AU"/>
        </w:rPr>
        <w:t xml:space="preserve"> is responsible for administering Paid Parental Leave on the </w:t>
      </w:r>
      <w:r w:rsidR="0054557F">
        <w:rPr>
          <w:rFonts w:cstheme="minorHAnsi"/>
          <w:szCs w:val="22"/>
          <w:lang w:eastAsia="en-AU"/>
        </w:rPr>
        <w:t>d</w:t>
      </w:r>
      <w:r w:rsidRPr="00087716">
        <w:rPr>
          <w:rFonts w:cstheme="minorHAnsi"/>
          <w:szCs w:val="22"/>
          <w:lang w:eastAsia="en-AU"/>
        </w:rPr>
        <w:t>epartment’s behalf, including receiving, processing, and managing payment applications and delivering Paid Parental Leave.</w:t>
      </w:r>
    </w:p>
    <w:p w14:paraId="4876338C" w14:textId="77777777" w:rsidR="00E71249" w:rsidRPr="00087716" w:rsidRDefault="00E71249" w:rsidP="00527C2D">
      <w:pPr>
        <w:suppressAutoHyphens/>
        <w:spacing w:before="120" w:after="160" w:line="256" w:lineRule="auto"/>
        <w:rPr>
          <w:rFonts w:cstheme="minorHAnsi"/>
          <w:szCs w:val="22"/>
          <w:lang w:eastAsia="en-AU"/>
        </w:rPr>
      </w:pPr>
      <w:r w:rsidRPr="00087716">
        <w:rPr>
          <w:rFonts w:cstheme="minorHAnsi"/>
          <w:szCs w:val="22"/>
          <w:lang w:eastAsia="en-AU"/>
        </w:rPr>
        <w:t>Employers are responsible for providing Paid Parental Leave on the government’s behalf to eligible employees in their usual pay cycle.</w:t>
      </w:r>
    </w:p>
    <w:p w14:paraId="79A44D16" w14:textId="77777777" w:rsidR="00E71249" w:rsidRPr="00FD4C88" w:rsidRDefault="00E71249" w:rsidP="00FD4C88">
      <w:pPr>
        <w:pStyle w:val="Heading4"/>
        <w:rPr>
          <w:sz w:val="22"/>
          <w:szCs w:val="22"/>
        </w:rPr>
      </w:pPr>
      <w:r w:rsidRPr="00FD4C88">
        <w:rPr>
          <w:sz w:val="22"/>
          <w:szCs w:val="22"/>
        </w:rPr>
        <w:t>Performance Measure</w:t>
      </w:r>
    </w:p>
    <w:p w14:paraId="2F2E2CEB" w14:textId="77777777" w:rsidR="00E71249" w:rsidRPr="00087716" w:rsidRDefault="00E71249" w:rsidP="00E71249">
      <w:pPr>
        <w:suppressAutoHyphens/>
        <w:spacing w:before="120" w:after="120" w:line="256" w:lineRule="auto"/>
        <w:rPr>
          <w:rFonts w:cstheme="minorHAnsi"/>
          <w:szCs w:val="22"/>
          <w:lang w:eastAsia="en-AU"/>
        </w:rPr>
      </w:pPr>
      <w:r w:rsidRPr="00087716">
        <w:rPr>
          <w:rFonts w:cstheme="minorHAnsi"/>
          <w:szCs w:val="22"/>
          <w:lang w:eastAsia="en-AU"/>
        </w:rPr>
        <w:t>1.2.1-1 Extent to which eligible families use their unreserved entitlement to Paid Parental Leave.</w:t>
      </w:r>
    </w:p>
    <w:tbl>
      <w:tblPr>
        <w:tblStyle w:val="TableGrid391"/>
        <w:tblW w:w="4976" w:type="pct"/>
        <w:jc w:val="center"/>
        <w:tblLook w:val="04A0" w:firstRow="1" w:lastRow="0" w:firstColumn="1" w:lastColumn="0" w:noHBand="0" w:noVBand="1"/>
        <w:tblCaption w:val="Table 9 - 1.2.1-1 - Extent to which eligible families use their unreserved entitlement to Parental Leave Pay"/>
        <w:tblDescription w:val="Target for the extent to which eligible families use their unreserved entitlement to Parental Leave Pay"/>
      </w:tblPr>
      <w:tblGrid>
        <w:gridCol w:w="3901"/>
        <w:gridCol w:w="1563"/>
        <w:gridCol w:w="1563"/>
        <w:gridCol w:w="1562"/>
        <w:gridCol w:w="1556"/>
      </w:tblGrid>
      <w:tr w:rsidR="00E71249" w:rsidRPr="00087716" w14:paraId="2CAD7AFE" w14:textId="77777777" w:rsidTr="00496219">
        <w:trPr>
          <w:cantSplit/>
          <w:trHeight w:val="356"/>
          <w:tblHeader/>
          <w:jc w:val="center"/>
        </w:trPr>
        <w:tc>
          <w:tcPr>
            <w:tcW w:w="1922" w:type="pct"/>
            <w:tcBorders>
              <w:top w:val="single" w:sz="4" w:space="0" w:color="auto"/>
              <w:left w:val="single" w:sz="4" w:space="0" w:color="auto"/>
              <w:bottom w:val="single" w:sz="4" w:space="0" w:color="auto"/>
              <w:right w:val="single" w:sz="6" w:space="0" w:color="auto"/>
            </w:tcBorders>
            <w:shd w:val="clear" w:color="auto" w:fill="D9D9D6"/>
            <w:hideMark/>
          </w:tcPr>
          <w:p w14:paraId="197E0AD1" w14:textId="77777777" w:rsidR="00E71249" w:rsidRPr="00087716" w:rsidRDefault="00E71249" w:rsidP="00496219">
            <w:pPr>
              <w:spacing w:before="120" w:after="60" w:line="252" w:lineRule="auto"/>
              <w:rPr>
                <w:rFonts w:asciiTheme="minorHAnsi" w:hAnsiTheme="minorHAnsi" w:cstheme="minorHAnsi"/>
                <w:szCs w:val="22"/>
              </w:rPr>
            </w:pPr>
            <w:r w:rsidRPr="00087716">
              <w:rPr>
                <w:rFonts w:asciiTheme="minorHAnsi" w:hAnsiTheme="minorHAnsi" w:cstheme="minorHAnsi"/>
                <w:b/>
                <w:bCs/>
                <w:szCs w:val="22"/>
              </w:rPr>
              <w:t>Target</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tcPr>
          <w:p w14:paraId="1371A66E" w14:textId="77777777" w:rsidR="00E71249" w:rsidRPr="00087716" w:rsidRDefault="00E71249" w:rsidP="00496219">
            <w:pPr>
              <w:spacing w:before="120" w:after="60" w:line="252" w:lineRule="auto"/>
              <w:rPr>
                <w:rFonts w:asciiTheme="minorHAnsi" w:hAnsiTheme="minorHAnsi" w:cstheme="minorHAnsi"/>
                <w:szCs w:val="22"/>
              </w:rPr>
            </w:pPr>
            <w:r w:rsidRPr="00087716">
              <w:rPr>
                <w:rFonts w:asciiTheme="minorHAnsi" w:hAnsiTheme="minorHAnsi" w:cstheme="minorHAnsi"/>
                <w:b/>
                <w:szCs w:val="22"/>
              </w:rPr>
              <w:t>2026–27</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tcPr>
          <w:p w14:paraId="0A0A8DC6" w14:textId="77777777" w:rsidR="00E71249" w:rsidRPr="00087716" w:rsidRDefault="00E71249" w:rsidP="00496219">
            <w:pPr>
              <w:spacing w:before="120" w:after="60" w:line="252" w:lineRule="auto"/>
              <w:rPr>
                <w:rFonts w:asciiTheme="minorHAnsi" w:hAnsiTheme="minorHAnsi" w:cstheme="minorHAnsi"/>
                <w:b/>
                <w:szCs w:val="22"/>
              </w:rPr>
            </w:pPr>
            <w:r w:rsidRPr="00087716">
              <w:rPr>
                <w:rFonts w:asciiTheme="minorHAnsi" w:hAnsiTheme="minorHAnsi" w:cstheme="minorHAnsi"/>
                <w:b/>
                <w:szCs w:val="22"/>
              </w:rPr>
              <w:t>2027–28</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tcPr>
          <w:p w14:paraId="51EDA72A" w14:textId="77777777" w:rsidR="00E71249" w:rsidRPr="00087716" w:rsidRDefault="00E71249" w:rsidP="00496219">
            <w:pPr>
              <w:spacing w:before="120" w:after="60" w:line="252" w:lineRule="auto"/>
              <w:rPr>
                <w:rFonts w:asciiTheme="minorHAnsi" w:hAnsiTheme="minorHAnsi" w:cstheme="minorHAnsi"/>
                <w:b/>
                <w:szCs w:val="22"/>
              </w:rPr>
            </w:pPr>
            <w:r w:rsidRPr="00087716">
              <w:rPr>
                <w:rFonts w:asciiTheme="minorHAnsi" w:hAnsiTheme="minorHAnsi" w:cstheme="minorHAnsi"/>
                <w:b/>
                <w:szCs w:val="22"/>
              </w:rPr>
              <w:t>2028–29</w:t>
            </w:r>
          </w:p>
        </w:tc>
        <w:tc>
          <w:tcPr>
            <w:tcW w:w="767" w:type="pct"/>
            <w:tcBorders>
              <w:top w:val="single" w:sz="4" w:space="0" w:color="auto"/>
              <w:left w:val="single" w:sz="6" w:space="0" w:color="auto"/>
              <w:bottom w:val="single" w:sz="4" w:space="0" w:color="auto"/>
              <w:right w:val="single" w:sz="4" w:space="0" w:color="auto"/>
            </w:tcBorders>
            <w:shd w:val="clear" w:color="auto" w:fill="D9D9D6"/>
            <w:vAlign w:val="center"/>
          </w:tcPr>
          <w:p w14:paraId="2532E5FA" w14:textId="77777777" w:rsidR="00E71249" w:rsidRPr="00087716" w:rsidRDefault="00E71249" w:rsidP="00496219">
            <w:pPr>
              <w:spacing w:before="120" w:after="60" w:line="252" w:lineRule="auto"/>
              <w:rPr>
                <w:rFonts w:asciiTheme="minorHAnsi" w:hAnsiTheme="minorHAnsi" w:cstheme="minorHAnsi"/>
                <w:b/>
                <w:szCs w:val="22"/>
              </w:rPr>
            </w:pPr>
            <w:r w:rsidRPr="00087716">
              <w:rPr>
                <w:rFonts w:asciiTheme="minorHAnsi" w:hAnsiTheme="minorHAnsi" w:cstheme="minorHAnsi"/>
                <w:b/>
                <w:szCs w:val="22"/>
              </w:rPr>
              <w:t>2029–30</w:t>
            </w:r>
          </w:p>
        </w:tc>
      </w:tr>
      <w:tr w:rsidR="00E71249" w:rsidRPr="00087716" w14:paraId="40B43414" w14:textId="77777777" w:rsidTr="00496219">
        <w:trPr>
          <w:cantSplit/>
          <w:trHeight w:val="356"/>
          <w:jc w:val="center"/>
        </w:trPr>
        <w:tc>
          <w:tcPr>
            <w:tcW w:w="1922" w:type="pct"/>
            <w:tcBorders>
              <w:top w:val="single" w:sz="4" w:space="0" w:color="auto"/>
              <w:left w:val="single" w:sz="4" w:space="0" w:color="auto"/>
              <w:bottom w:val="single" w:sz="4" w:space="0" w:color="auto"/>
              <w:right w:val="single" w:sz="4" w:space="0" w:color="auto"/>
            </w:tcBorders>
            <w:hideMark/>
          </w:tcPr>
          <w:p w14:paraId="16542D94" w14:textId="3E027098" w:rsidR="00E71249" w:rsidRPr="00087716" w:rsidRDefault="0061319D" w:rsidP="00496219">
            <w:pPr>
              <w:spacing w:before="120" w:after="60" w:line="252" w:lineRule="auto"/>
              <w:rPr>
                <w:rFonts w:asciiTheme="minorHAnsi" w:hAnsiTheme="minorHAnsi" w:cstheme="minorHAnsi"/>
                <w:szCs w:val="22"/>
              </w:rPr>
            </w:pPr>
            <w:r>
              <w:rPr>
                <w:rFonts w:cstheme="minorHAnsi"/>
                <w:noProof/>
                <w:szCs w:val="22"/>
              </w:rPr>
              <mc:AlternateContent>
                <mc:Choice Requires="wps">
                  <w:drawing>
                    <wp:anchor distT="0" distB="0" distL="114300" distR="114300" simplePos="0" relativeHeight="251660296" behindDoc="0" locked="0" layoutInCell="1" allowOverlap="1" wp14:anchorId="59271E68" wp14:editId="6719673D">
                      <wp:simplePos x="0" y="0"/>
                      <wp:positionH relativeFrom="column">
                        <wp:posOffset>-31654</wp:posOffset>
                      </wp:positionH>
                      <wp:positionV relativeFrom="paragraph">
                        <wp:posOffset>100794</wp:posOffset>
                      </wp:positionV>
                      <wp:extent cx="45719" cy="88711"/>
                      <wp:effectExtent l="0" t="0" r="12065" b="26035"/>
                      <wp:wrapNone/>
                      <wp:docPr id="1920418970" name="Diamond 2" descr="The diamond symbol represents Performance measures that may be impacted by external factors."/>
                      <wp:cNvGraphicFramePr/>
                      <a:graphic xmlns:a="http://schemas.openxmlformats.org/drawingml/2006/main">
                        <a:graphicData uri="http://schemas.microsoft.com/office/word/2010/wordprocessingShape">
                          <wps:wsp>
                            <wps:cNvSpPr/>
                            <wps:spPr>
                              <a:xfrm>
                                <a:off x="0" y="0"/>
                                <a:ext cx="45719" cy="88711"/>
                              </a:xfrm>
                              <a:prstGeom prst="diamond">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562052" id="Diamond 2" o:spid="_x0000_s1026" type="#_x0000_t4" alt="The diamond symbol represents Performance measures that may be impacted by external factors." style="position:absolute;margin-left:-2.5pt;margin-top:7.95pt;width:3.6pt;height:7pt;z-index:251660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" fillcolor="black [3213]" strokecolor="#000d10 [484]" strokeweight=".73403mm"/>
                  </w:pict>
                </mc:Fallback>
              </mc:AlternateContent>
            </w:r>
            <w:r w:rsidR="00E71249" w:rsidRPr="00087716">
              <w:rPr>
                <w:rFonts w:asciiTheme="minorHAnsi" w:hAnsiTheme="minorHAnsi" w:cstheme="minorHAnsi"/>
                <w:szCs w:val="22"/>
              </w:rPr>
              <w:t xml:space="preserve"> </w:t>
            </w:r>
            <w:r w:rsidR="005A2AFD">
              <w:rPr>
                <w:rFonts w:asciiTheme="minorHAnsi" w:hAnsiTheme="minorHAnsi" w:cstheme="minorHAnsi"/>
                <w:szCs w:val="22"/>
              </w:rPr>
              <w:t xml:space="preserve"> </w:t>
            </w:r>
            <w:r w:rsidR="00E71249" w:rsidRPr="00087716">
              <w:rPr>
                <w:rFonts w:asciiTheme="minorHAnsi" w:hAnsiTheme="minorHAnsi" w:cstheme="minorHAnsi"/>
                <w:szCs w:val="22"/>
              </w:rPr>
              <w:t>1.2.1-1A – At least 95% of eligible Paid Parental Leave families receive payment.</w:t>
            </w:r>
          </w:p>
        </w:tc>
        <w:tc>
          <w:tcPr>
            <w:tcW w:w="770" w:type="pct"/>
            <w:tcBorders>
              <w:top w:val="single" w:sz="4" w:space="0" w:color="auto"/>
              <w:left w:val="single" w:sz="4" w:space="0" w:color="auto"/>
              <w:bottom w:val="single" w:sz="4" w:space="0" w:color="auto"/>
              <w:right w:val="single" w:sz="4" w:space="0" w:color="auto"/>
            </w:tcBorders>
          </w:tcPr>
          <w:p w14:paraId="36654F4C" w14:textId="77777777" w:rsidR="00E71249" w:rsidRPr="00087716" w:rsidRDefault="00E71249" w:rsidP="00496219">
            <w:pPr>
              <w:spacing w:before="120" w:after="60" w:line="252" w:lineRule="auto"/>
              <w:rPr>
                <w:rFonts w:asciiTheme="minorHAnsi" w:hAnsiTheme="minorHAnsi" w:cstheme="minorHAnsi"/>
                <w:szCs w:val="22"/>
              </w:rPr>
            </w:pPr>
            <w:r w:rsidRPr="00087716">
              <w:rPr>
                <w:rFonts w:asciiTheme="minorHAnsi" w:hAnsiTheme="minorHAnsi" w:cstheme="minorHAnsi"/>
                <w:szCs w:val="22"/>
              </w:rPr>
              <w:t>≥95%</w:t>
            </w:r>
          </w:p>
        </w:tc>
        <w:tc>
          <w:tcPr>
            <w:tcW w:w="770" w:type="pct"/>
            <w:tcBorders>
              <w:top w:val="single" w:sz="4" w:space="0" w:color="auto"/>
              <w:left w:val="single" w:sz="4" w:space="0" w:color="auto"/>
              <w:bottom w:val="single" w:sz="4" w:space="0" w:color="auto"/>
              <w:right w:val="single" w:sz="4" w:space="0" w:color="auto"/>
            </w:tcBorders>
          </w:tcPr>
          <w:p w14:paraId="679FE9DA" w14:textId="77777777" w:rsidR="00E71249" w:rsidRPr="00087716" w:rsidRDefault="00E71249" w:rsidP="00496219">
            <w:pPr>
              <w:spacing w:before="120" w:after="60" w:line="252" w:lineRule="auto"/>
              <w:rPr>
                <w:rFonts w:asciiTheme="minorHAnsi" w:hAnsiTheme="minorHAnsi" w:cstheme="minorHAnsi"/>
                <w:szCs w:val="22"/>
              </w:rPr>
            </w:pPr>
            <w:r w:rsidRPr="00087716">
              <w:rPr>
                <w:rFonts w:asciiTheme="minorHAnsi" w:hAnsiTheme="minorHAnsi" w:cstheme="minorHAnsi"/>
                <w:szCs w:val="22"/>
              </w:rPr>
              <w:t>≥95%</w:t>
            </w:r>
          </w:p>
        </w:tc>
        <w:tc>
          <w:tcPr>
            <w:tcW w:w="770" w:type="pct"/>
            <w:tcBorders>
              <w:top w:val="single" w:sz="4" w:space="0" w:color="auto"/>
              <w:left w:val="single" w:sz="4" w:space="0" w:color="auto"/>
              <w:bottom w:val="single" w:sz="4" w:space="0" w:color="auto"/>
              <w:right w:val="single" w:sz="4" w:space="0" w:color="auto"/>
            </w:tcBorders>
          </w:tcPr>
          <w:p w14:paraId="7CDB48D4" w14:textId="77777777" w:rsidR="00E71249" w:rsidRPr="00087716" w:rsidRDefault="00E71249" w:rsidP="00496219">
            <w:pPr>
              <w:spacing w:before="120" w:after="60" w:line="252" w:lineRule="auto"/>
              <w:rPr>
                <w:rFonts w:asciiTheme="minorHAnsi" w:hAnsiTheme="minorHAnsi" w:cstheme="minorHAnsi"/>
                <w:szCs w:val="22"/>
              </w:rPr>
            </w:pPr>
            <w:r w:rsidRPr="00087716">
              <w:rPr>
                <w:rFonts w:asciiTheme="minorHAnsi" w:hAnsiTheme="minorHAnsi" w:cstheme="minorHAnsi"/>
                <w:szCs w:val="22"/>
              </w:rPr>
              <w:t>≥95%</w:t>
            </w:r>
          </w:p>
        </w:tc>
        <w:tc>
          <w:tcPr>
            <w:tcW w:w="767" w:type="pct"/>
            <w:tcBorders>
              <w:top w:val="single" w:sz="4" w:space="0" w:color="auto"/>
              <w:left w:val="single" w:sz="4" w:space="0" w:color="auto"/>
              <w:bottom w:val="single" w:sz="4" w:space="0" w:color="auto"/>
              <w:right w:val="single" w:sz="4" w:space="0" w:color="auto"/>
            </w:tcBorders>
          </w:tcPr>
          <w:p w14:paraId="0385D7CB" w14:textId="77777777" w:rsidR="00E71249" w:rsidRPr="00087716" w:rsidRDefault="00E71249" w:rsidP="00496219">
            <w:pPr>
              <w:spacing w:before="120" w:after="60" w:line="252" w:lineRule="auto"/>
              <w:rPr>
                <w:rFonts w:asciiTheme="minorHAnsi" w:hAnsiTheme="minorHAnsi" w:cstheme="minorHAnsi"/>
                <w:szCs w:val="22"/>
              </w:rPr>
            </w:pPr>
            <w:r w:rsidRPr="00087716">
              <w:rPr>
                <w:rFonts w:asciiTheme="minorHAnsi" w:hAnsiTheme="minorHAnsi" w:cstheme="minorHAnsi"/>
                <w:szCs w:val="22"/>
              </w:rPr>
              <w:t>≥95%</w:t>
            </w:r>
          </w:p>
        </w:tc>
      </w:tr>
    </w:tbl>
    <w:p w14:paraId="5C3EB8FB" w14:textId="77777777" w:rsidR="00E71249" w:rsidRPr="00087716" w:rsidRDefault="00E71249" w:rsidP="00FD4C88">
      <w:pPr>
        <w:pStyle w:val="CPCustom3"/>
        <w:rPr>
          <w:lang w:eastAsia="en-AU"/>
        </w:rPr>
      </w:pPr>
      <w:r w:rsidRPr="00087716">
        <w:rPr>
          <w:lang w:eastAsia="en-AU"/>
        </w:rPr>
        <w:t>Rationale</w:t>
      </w:r>
    </w:p>
    <w:p w14:paraId="6D4B6D97" w14:textId="77777777" w:rsidR="00E71249" w:rsidRPr="00087716" w:rsidRDefault="00E71249" w:rsidP="00527C2D">
      <w:pPr>
        <w:suppressAutoHyphens/>
        <w:spacing w:before="120" w:after="160" w:line="257" w:lineRule="auto"/>
        <w:rPr>
          <w:rFonts w:cstheme="minorHAnsi"/>
          <w:szCs w:val="22"/>
          <w:lang w:eastAsia="en-AU"/>
        </w:rPr>
      </w:pPr>
      <w:r w:rsidRPr="00087716">
        <w:rPr>
          <w:rFonts w:cstheme="minorHAnsi"/>
          <w:szCs w:val="22"/>
          <w:lang w:eastAsia="en-AU"/>
        </w:rPr>
        <w:t xml:space="preserve">Measuring the extent to which families use their unreserved entitlement to Paid Parental Leave aims to demonstrate that parents are financially assisted to take time off work following the birth or adoption of a child. </w:t>
      </w:r>
    </w:p>
    <w:p w14:paraId="01B83617" w14:textId="77777777" w:rsidR="00E71249" w:rsidRPr="00087716" w:rsidRDefault="00E71249" w:rsidP="00527C2D">
      <w:pPr>
        <w:suppressAutoHyphens/>
        <w:spacing w:before="120" w:after="160" w:line="257" w:lineRule="auto"/>
        <w:rPr>
          <w:rFonts w:cstheme="minorHAnsi"/>
          <w:szCs w:val="22"/>
          <w:lang w:eastAsia="en-AU"/>
        </w:rPr>
      </w:pPr>
      <w:r w:rsidRPr="00087716">
        <w:rPr>
          <w:rFonts w:cstheme="minorHAnsi"/>
          <w:szCs w:val="22"/>
          <w:lang w:eastAsia="en-AU"/>
        </w:rPr>
        <w:t>This performance measure demonstrates the effectiveness of Paid Parental Leave in achieving the objectives of enhancing the health and development of mothers and children, encouraging women’s workforce participation, and promoting equality between men and women and balance between work and family life.</w:t>
      </w:r>
    </w:p>
    <w:p w14:paraId="12FFCA21" w14:textId="77777777" w:rsidR="00E71249" w:rsidRPr="00087716" w:rsidRDefault="00E71249" w:rsidP="00527C2D">
      <w:pPr>
        <w:suppressAutoHyphens/>
        <w:spacing w:before="120" w:after="160" w:line="257" w:lineRule="auto"/>
        <w:rPr>
          <w:rFonts w:cstheme="minorHAnsi"/>
          <w:szCs w:val="22"/>
          <w:lang w:eastAsia="en-AU"/>
        </w:rPr>
      </w:pPr>
      <w:r w:rsidRPr="00087716">
        <w:rPr>
          <w:rFonts w:cstheme="minorHAnsi"/>
          <w:szCs w:val="22"/>
          <w:lang w:eastAsia="en-AU"/>
        </w:rPr>
        <w:lastRenderedPageBreak/>
        <w:t>Targeting at least 95% of eligible Paid Parental Leave families using at least the entire unreserved entitlement demonstrates the effectiveness of the key activity by showing the extent of assistance accessed by eligible families to take time off work following the birth or adoption of a child.</w:t>
      </w:r>
    </w:p>
    <w:p w14:paraId="79FA0930" w14:textId="77777777" w:rsidR="00E71249" w:rsidRPr="00087716" w:rsidRDefault="00E71249" w:rsidP="00FD4C88">
      <w:pPr>
        <w:pStyle w:val="CPCustom3"/>
        <w:rPr>
          <w:color w:val="000000" w:themeColor="text1"/>
          <w:lang w:eastAsia="en-AU"/>
        </w:rPr>
      </w:pPr>
      <w:r w:rsidRPr="00087716">
        <w:rPr>
          <w:lang w:eastAsia="en-AU"/>
        </w:rPr>
        <w:t>Methodology</w:t>
      </w:r>
    </w:p>
    <w:p w14:paraId="083F65EF" w14:textId="77777777" w:rsidR="00E71249" w:rsidRPr="00087716" w:rsidRDefault="00E71249" w:rsidP="00CD5645">
      <w:pPr>
        <w:suppressAutoHyphens/>
        <w:spacing w:before="120" w:after="160" w:line="257" w:lineRule="auto"/>
        <w:rPr>
          <w:rFonts w:cstheme="minorHAnsi"/>
          <w:szCs w:val="22"/>
          <w:lang w:eastAsia="en-AU"/>
        </w:rPr>
      </w:pPr>
      <w:r w:rsidRPr="00087716">
        <w:rPr>
          <w:rFonts w:cstheme="minorHAnsi"/>
          <w:szCs w:val="22"/>
          <w:lang w:eastAsia="en-AU"/>
        </w:rPr>
        <w:t>‘Eligible Paid Parental Leave families’ is defined as the number of children whose parents or carers received Paid Parental Leave. ‘Receive payment’ is defined as the receipt of Paid Parental Leave for at least the entire unreserved period for children born or adopted on or after 1 July 2023.</w:t>
      </w:r>
    </w:p>
    <w:p w14:paraId="03364018" w14:textId="77777777" w:rsidR="00E71249" w:rsidRPr="00087716" w:rsidRDefault="00E71249" w:rsidP="00CD5645">
      <w:pPr>
        <w:suppressAutoHyphens/>
        <w:spacing w:before="120" w:after="160" w:line="257" w:lineRule="auto"/>
        <w:rPr>
          <w:rFonts w:cstheme="minorHAnsi"/>
          <w:szCs w:val="22"/>
          <w:lang w:eastAsia="en-AU"/>
        </w:rPr>
      </w:pPr>
      <w:r w:rsidRPr="00087716">
        <w:rPr>
          <w:rFonts w:cstheme="minorHAnsi"/>
          <w:szCs w:val="22"/>
          <w:lang w:eastAsia="en-AU"/>
        </w:rPr>
        <w:t>The percentage is based on the number of Paid Parental Leave children whose parents or combination of carers took at least the full number of unreserved weeks of Paid Parental Leave as a proportion of the total number of Paid Parental Leave children whose entitlement and two-year claim period finished during the financial year.</w:t>
      </w:r>
    </w:p>
    <w:p w14:paraId="53458A05" w14:textId="77777777" w:rsidR="00E71249" w:rsidRPr="00087716" w:rsidRDefault="00E71249" w:rsidP="00CD5645">
      <w:pPr>
        <w:suppressAutoHyphens/>
        <w:spacing w:before="120" w:after="160" w:line="256" w:lineRule="auto"/>
        <w:rPr>
          <w:rFonts w:cstheme="minorHAnsi"/>
          <w:szCs w:val="22"/>
          <w:lang w:eastAsia="en-AU"/>
        </w:rPr>
      </w:pPr>
      <w:r w:rsidRPr="00087716">
        <w:rPr>
          <w:rFonts w:cstheme="minorHAnsi"/>
          <w:szCs w:val="22"/>
          <w:lang w:eastAsia="en-AU"/>
        </w:rPr>
        <w:t>As the scheme expands the number of unreserved weeks will increase. For children born or adopted:</w:t>
      </w:r>
    </w:p>
    <w:p w14:paraId="2DCCCF97" w14:textId="77777777" w:rsidR="00E71249" w:rsidRPr="00087716" w:rsidRDefault="00E71249" w:rsidP="00CD5645">
      <w:pPr>
        <w:pStyle w:val="ListParagraph"/>
        <w:spacing w:before="120" w:after="160"/>
        <w:ind w:left="714" w:hanging="357"/>
        <w:rPr>
          <w:lang w:eastAsia="en-AU"/>
        </w:rPr>
      </w:pPr>
      <w:r w:rsidRPr="00087716">
        <w:rPr>
          <w:lang w:eastAsia="en-AU"/>
        </w:rPr>
        <w:t>between 1 July 2024 and 30 June 2025, there are 20 weeks of unreserved Paid Parental Leave;</w:t>
      </w:r>
    </w:p>
    <w:p w14:paraId="2544A24F" w14:textId="77777777" w:rsidR="00E71249" w:rsidRPr="00087716" w:rsidRDefault="00E71249" w:rsidP="00CD5645">
      <w:pPr>
        <w:pStyle w:val="ListParagraph"/>
        <w:spacing w:before="120" w:after="160"/>
        <w:ind w:left="714" w:hanging="357"/>
        <w:rPr>
          <w:lang w:eastAsia="en-AU"/>
        </w:rPr>
      </w:pPr>
      <w:r w:rsidRPr="00087716">
        <w:rPr>
          <w:lang w:eastAsia="en-AU"/>
        </w:rPr>
        <w:t>between 1 July 2025 and 30 June 2026, there are 21 weeks of unreserved Paid Parental Leave; and</w:t>
      </w:r>
    </w:p>
    <w:p w14:paraId="55136AFE" w14:textId="77777777" w:rsidR="00E71249" w:rsidRPr="003D7CFA" w:rsidRDefault="00E71249" w:rsidP="00CD5645">
      <w:pPr>
        <w:pStyle w:val="ListParagraph"/>
        <w:spacing w:before="120" w:after="160"/>
        <w:ind w:left="714" w:hanging="357"/>
        <w:rPr>
          <w:lang w:eastAsia="en-AU"/>
        </w:rPr>
      </w:pPr>
      <w:r w:rsidRPr="00087716">
        <w:rPr>
          <w:lang w:eastAsia="en-AU"/>
        </w:rPr>
        <w:t>from 1 July 2026, there are 22 weeks of unreserved Paid Parental Leave.</w:t>
      </w:r>
    </w:p>
    <w:p w14:paraId="64FC7840" w14:textId="77777777" w:rsidR="00E71249" w:rsidRPr="00087716" w:rsidRDefault="00E71249" w:rsidP="00FD4C88">
      <w:pPr>
        <w:pStyle w:val="CPCustom3"/>
        <w:rPr>
          <w:lang w:eastAsia="en-AU"/>
        </w:rPr>
      </w:pPr>
      <w:r w:rsidRPr="00087716">
        <w:rPr>
          <w:lang w:eastAsia="en-AU"/>
        </w:rPr>
        <w:t xml:space="preserve">Data Categorisation </w:t>
      </w:r>
    </w:p>
    <w:tbl>
      <w:tblPr>
        <w:tblStyle w:val="TableGrid6"/>
        <w:tblpPr w:leftFromText="180" w:rightFromText="180" w:vertAnchor="text" w:horzAnchor="margin" w:tblpY="11"/>
        <w:tblW w:w="10485" w:type="dxa"/>
        <w:tblLook w:val="04A0" w:firstRow="1" w:lastRow="0" w:firstColumn="1" w:lastColumn="0" w:noHBand="0" w:noVBand="1"/>
        <w:tblCaption w:val="Table 10 - Categorisation of data source"/>
        <w:tblDescription w:val="Categorisation of data source"/>
      </w:tblPr>
      <w:tblGrid>
        <w:gridCol w:w="3964"/>
        <w:gridCol w:w="6521"/>
      </w:tblGrid>
      <w:tr w:rsidR="00E71249" w:rsidRPr="00087716" w14:paraId="11C3C105" w14:textId="77777777" w:rsidTr="00496219">
        <w:trPr>
          <w:trHeight w:val="563"/>
          <w:tblHeader/>
        </w:trPr>
        <w:tc>
          <w:tcPr>
            <w:tcW w:w="3964" w:type="dxa"/>
            <w:tcBorders>
              <w:top w:val="single" w:sz="4" w:space="0" w:color="auto"/>
              <w:left w:val="single" w:sz="4" w:space="0" w:color="auto"/>
              <w:bottom w:val="single" w:sz="4" w:space="0" w:color="auto"/>
              <w:right w:val="single" w:sz="4" w:space="0" w:color="auto"/>
            </w:tcBorders>
            <w:shd w:val="clear" w:color="auto" w:fill="215868"/>
            <w:hideMark/>
          </w:tcPr>
          <w:p w14:paraId="449E1142" w14:textId="77777777" w:rsidR="00E71249" w:rsidRPr="00087716" w:rsidRDefault="00E71249" w:rsidP="00496219">
            <w:pPr>
              <w:suppressAutoHyphens/>
              <w:spacing w:before="120" w:after="120"/>
              <w:rPr>
                <w:rFonts w:asciiTheme="minorHAnsi" w:hAnsiTheme="minorHAnsi" w:cstheme="minorHAnsi"/>
                <w:b/>
                <w:bCs/>
                <w:color w:val="FFFFFF" w:themeColor="background1"/>
                <w:szCs w:val="22"/>
              </w:rPr>
            </w:pPr>
            <w:r w:rsidRPr="00087716">
              <w:rPr>
                <w:rFonts w:asciiTheme="minorHAnsi" w:hAnsiTheme="minorHAnsi" w:cstheme="minorHAnsi"/>
                <w:b/>
                <w:bCs/>
                <w:color w:val="FFFFFF" w:themeColor="background1"/>
                <w:szCs w:val="22"/>
              </w:rPr>
              <w:t>Categorisation of data source</w:t>
            </w:r>
          </w:p>
        </w:tc>
        <w:tc>
          <w:tcPr>
            <w:tcW w:w="6521" w:type="dxa"/>
            <w:tcBorders>
              <w:top w:val="single" w:sz="4" w:space="0" w:color="auto"/>
              <w:left w:val="single" w:sz="4" w:space="0" w:color="auto"/>
              <w:bottom w:val="single" w:sz="4" w:space="0" w:color="auto"/>
              <w:right w:val="single" w:sz="4" w:space="0" w:color="auto"/>
            </w:tcBorders>
            <w:shd w:val="clear" w:color="auto" w:fill="215868"/>
            <w:hideMark/>
          </w:tcPr>
          <w:p w14:paraId="7F08DAED" w14:textId="77777777" w:rsidR="00E71249" w:rsidRPr="00087716" w:rsidRDefault="00E71249" w:rsidP="00496219">
            <w:pPr>
              <w:tabs>
                <w:tab w:val="left" w:pos="1380"/>
              </w:tabs>
              <w:suppressAutoHyphens/>
              <w:spacing w:before="120" w:after="120"/>
              <w:rPr>
                <w:rFonts w:asciiTheme="minorHAnsi" w:hAnsiTheme="minorHAnsi" w:cstheme="minorHAnsi"/>
                <w:b/>
                <w:bCs/>
                <w:color w:val="FFFFFF" w:themeColor="background1"/>
                <w:szCs w:val="22"/>
              </w:rPr>
            </w:pPr>
            <w:r w:rsidRPr="00087716">
              <w:rPr>
                <w:rFonts w:asciiTheme="minorHAnsi" w:hAnsiTheme="minorHAnsi" w:cstheme="minorHAnsi"/>
                <w:b/>
                <w:bCs/>
                <w:color w:val="FFFFFF" w:themeColor="background1"/>
                <w:szCs w:val="22"/>
              </w:rPr>
              <w:t>Data source</w:t>
            </w:r>
          </w:p>
        </w:tc>
      </w:tr>
      <w:tr w:rsidR="00E71249" w:rsidRPr="00087716" w14:paraId="271093E2" w14:textId="77777777" w:rsidTr="00496219">
        <w:trPr>
          <w:trHeight w:val="563"/>
        </w:trPr>
        <w:tc>
          <w:tcPr>
            <w:tcW w:w="3964" w:type="dxa"/>
            <w:tcBorders>
              <w:top w:val="single" w:sz="4" w:space="0" w:color="auto"/>
              <w:left w:val="single" w:sz="4" w:space="0" w:color="auto"/>
              <w:bottom w:val="single" w:sz="4" w:space="0" w:color="auto"/>
              <w:right w:val="single" w:sz="4" w:space="0" w:color="auto"/>
            </w:tcBorders>
            <w:hideMark/>
          </w:tcPr>
          <w:p w14:paraId="1DD0874E" w14:textId="77777777" w:rsidR="00E71249" w:rsidRPr="00087716" w:rsidRDefault="00E71249" w:rsidP="00496219">
            <w:pPr>
              <w:suppressAutoHyphens/>
              <w:spacing w:before="120" w:after="120"/>
              <w:rPr>
                <w:rFonts w:asciiTheme="minorHAnsi" w:hAnsiTheme="minorHAnsi" w:cstheme="minorHAnsi"/>
                <w:color w:val="000000" w:themeColor="text1"/>
                <w:szCs w:val="22"/>
              </w:rPr>
            </w:pPr>
            <w:r w:rsidRPr="00087716">
              <w:rPr>
                <w:rFonts w:cstheme="minorHAnsi"/>
                <w:noProof/>
                <w:szCs w:val="22"/>
              </w:rPr>
              <w:drawing>
                <wp:inline distT="0" distB="0" distL="0" distR="0" wp14:anchorId="01F24B2B" wp14:editId="473A5111">
                  <wp:extent cx="1209675" cy="352425"/>
                  <wp:effectExtent l="0" t="0" r="9525" b="9525"/>
                  <wp:docPr id="1689772065" name="picture" descr="second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411192" name="picture" descr="secondary sour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9675" cy="352425"/>
                          </a:xfrm>
                          <a:prstGeom prst="rect">
                            <a:avLst/>
                          </a:prstGeom>
                        </pic:spPr>
                      </pic:pic>
                    </a:graphicData>
                  </a:graphic>
                </wp:inline>
              </w:drawing>
            </w:r>
            <w:r w:rsidRPr="00087716">
              <w:rPr>
                <w:rFonts w:cstheme="minorHAnsi"/>
                <w:noProof/>
                <w:szCs w:val="22"/>
              </w:rPr>
              <w:drawing>
                <wp:inline distT="0" distB="0" distL="0" distR="0" wp14:anchorId="2344C59B" wp14:editId="205DA048">
                  <wp:extent cx="885825" cy="342900"/>
                  <wp:effectExtent l="0" t="0" r="9525" b="0"/>
                  <wp:docPr id="1155517446" name="picture" descr="Ti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128029" name="picture" descr="Tier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5825" cy="342900"/>
                          </a:xfrm>
                          <a:prstGeom prst="rect">
                            <a:avLst/>
                          </a:prstGeom>
                        </pic:spPr>
                      </pic:pic>
                    </a:graphicData>
                  </a:graphic>
                </wp:inline>
              </w:drawing>
            </w:r>
          </w:p>
        </w:tc>
        <w:tc>
          <w:tcPr>
            <w:tcW w:w="6521" w:type="dxa"/>
            <w:tcBorders>
              <w:top w:val="single" w:sz="4" w:space="0" w:color="auto"/>
              <w:left w:val="single" w:sz="4" w:space="0" w:color="auto"/>
              <w:bottom w:val="single" w:sz="4" w:space="0" w:color="auto"/>
              <w:right w:val="single" w:sz="4" w:space="0" w:color="auto"/>
            </w:tcBorders>
            <w:hideMark/>
          </w:tcPr>
          <w:p w14:paraId="63E36E6F" w14:textId="77777777" w:rsidR="00E71249" w:rsidRPr="00087716" w:rsidRDefault="00E71249" w:rsidP="00496219">
            <w:pPr>
              <w:tabs>
                <w:tab w:val="left" w:pos="1380"/>
              </w:tabs>
              <w:suppressAutoHyphens/>
              <w:spacing w:before="120" w:after="120"/>
              <w:rPr>
                <w:rFonts w:asciiTheme="minorHAnsi" w:hAnsiTheme="minorHAnsi" w:cstheme="minorHAnsi"/>
                <w:color w:val="000000" w:themeColor="text1"/>
                <w:szCs w:val="22"/>
              </w:rPr>
            </w:pPr>
            <w:r w:rsidRPr="00087716">
              <w:rPr>
                <w:rFonts w:asciiTheme="minorHAnsi" w:hAnsiTheme="minorHAnsi" w:cstheme="minorHAnsi"/>
                <w:color w:val="000000" w:themeColor="text1"/>
                <w:szCs w:val="22"/>
              </w:rPr>
              <w:t>Services Australia administrative data.</w:t>
            </w:r>
          </w:p>
        </w:tc>
      </w:tr>
    </w:tbl>
    <w:p w14:paraId="42060CBC" w14:textId="77777777" w:rsidR="00E71249" w:rsidRPr="00087716" w:rsidRDefault="00E71249" w:rsidP="00FD4C88">
      <w:pPr>
        <w:pStyle w:val="CPCustom3"/>
        <w:rPr>
          <w:lang w:eastAsia="en-AU"/>
        </w:rPr>
      </w:pPr>
      <w:r w:rsidRPr="00087716">
        <w:rPr>
          <w:lang w:eastAsia="en-AU"/>
        </w:rPr>
        <w:t xml:space="preserve">Supporting Information </w:t>
      </w:r>
    </w:p>
    <w:p w14:paraId="7D2354A5" w14:textId="77777777" w:rsidR="00E71249" w:rsidRPr="00087716" w:rsidRDefault="00E71249" w:rsidP="00CD5645">
      <w:pPr>
        <w:pStyle w:val="ListParagraph"/>
        <w:spacing w:before="120" w:after="160"/>
        <w:ind w:left="714" w:hanging="357"/>
        <w:rPr>
          <w:lang w:eastAsia="en-AU"/>
        </w:rPr>
      </w:pPr>
      <w:r w:rsidRPr="00087716">
        <w:rPr>
          <w:lang w:eastAsia="en-AU"/>
        </w:rPr>
        <w:t xml:space="preserve">Administered outlays </w:t>
      </w:r>
    </w:p>
    <w:p w14:paraId="4F7341AA" w14:textId="77777777" w:rsidR="00E71249" w:rsidRPr="00087716" w:rsidRDefault="00E71249" w:rsidP="00CD5645">
      <w:pPr>
        <w:pStyle w:val="ListParagraph"/>
        <w:spacing w:before="120" w:after="160"/>
        <w:ind w:left="714" w:hanging="357"/>
        <w:rPr>
          <w:lang w:eastAsia="en-AU"/>
        </w:rPr>
      </w:pPr>
      <w:r w:rsidRPr="00087716">
        <w:rPr>
          <w:lang w:eastAsia="en-AU"/>
        </w:rPr>
        <w:t>Number of recipients</w:t>
      </w:r>
    </w:p>
    <w:p w14:paraId="13AAFD30" w14:textId="77777777" w:rsidR="00E71249" w:rsidRPr="00087716" w:rsidRDefault="00E71249" w:rsidP="00E71249">
      <w:pPr>
        <w:spacing w:after="240"/>
        <w:rPr>
          <w:rFonts w:ascii="Arial" w:hAnsi="Arial" w:cs="Arial"/>
          <w:szCs w:val="22"/>
          <w:lang w:eastAsia="en-AU"/>
        </w:rPr>
      </w:pPr>
      <w:r w:rsidRPr="00087716">
        <w:rPr>
          <w:rFonts w:ascii="Arial" w:hAnsi="Arial" w:cs="Arial"/>
          <w:szCs w:val="22"/>
          <w:lang w:eastAsia="en-AU"/>
        </w:rPr>
        <w:br w:type="page"/>
      </w:r>
    </w:p>
    <w:p w14:paraId="21BFD988" w14:textId="161DCCF8" w:rsidR="00E71249" w:rsidRPr="00DD6FA0" w:rsidRDefault="00E71249" w:rsidP="00DD6FA0">
      <w:pPr>
        <w:pStyle w:val="Heading3"/>
        <w:shd w:val="clear" w:color="auto" w:fill="005A70" w:themeFill="accent1"/>
        <w:rPr>
          <w:rFonts w:asciiTheme="minorHAnsi" w:hAnsiTheme="minorHAnsi" w:cstheme="minorHAnsi"/>
          <w:b/>
          <w:bCs w:val="0"/>
          <w:color w:val="FFFFFF" w:themeColor="background1"/>
          <w:sz w:val="22"/>
          <w:szCs w:val="22"/>
          <w:lang w:eastAsia="en-AU"/>
        </w:rPr>
      </w:pPr>
      <w:bookmarkStart w:id="86" w:name="_Toc201310788"/>
      <w:bookmarkStart w:id="87" w:name="_Toc238653292"/>
      <w:bookmarkStart w:id="88" w:name="_Toc201309092"/>
      <w:bookmarkEnd w:id="85"/>
      <w:r w:rsidRPr="00DD6FA0">
        <w:rPr>
          <w:rFonts w:asciiTheme="minorHAnsi" w:hAnsiTheme="minorHAnsi" w:cstheme="minorHAnsi"/>
          <w:b/>
          <w:bCs w:val="0"/>
          <w:color w:val="FFFFFF" w:themeColor="background1"/>
          <w:sz w:val="22"/>
          <w:szCs w:val="22"/>
          <w:lang w:eastAsia="en-AU"/>
        </w:rPr>
        <w:lastRenderedPageBreak/>
        <w:t>P</w:t>
      </w:r>
      <w:r w:rsidR="00FD4C88" w:rsidRPr="00DD6FA0">
        <w:rPr>
          <w:rFonts w:asciiTheme="minorHAnsi" w:hAnsiTheme="minorHAnsi" w:cstheme="minorHAnsi"/>
          <w:b/>
          <w:bCs w:val="0"/>
          <w:color w:val="FFFFFF" w:themeColor="background1"/>
          <w:sz w:val="22"/>
          <w:szCs w:val="22"/>
          <w:lang w:eastAsia="en-AU"/>
        </w:rPr>
        <w:t>rogram</w:t>
      </w:r>
      <w:r w:rsidRPr="00DD6FA0">
        <w:rPr>
          <w:rFonts w:asciiTheme="minorHAnsi" w:hAnsiTheme="minorHAnsi" w:cstheme="minorHAnsi"/>
          <w:b/>
          <w:bCs w:val="0"/>
          <w:color w:val="FFFFFF" w:themeColor="background1"/>
          <w:sz w:val="22"/>
          <w:szCs w:val="22"/>
          <w:lang w:eastAsia="en-AU"/>
        </w:rPr>
        <w:t xml:space="preserve"> - 1.3 </w:t>
      </w:r>
      <w:bookmarkEnd w:id="86"/>
      <w:r w:rsidR="00FD4C88" w:rsidRPr="00DD6FA0">
        <w:rPr>
          <w:rFonts w:asciiTheme="minorHAnsi" w:hAnsiTheme="minorHAnsi" w:cstheme="minorHAnsi"/>
          <w:b/>
          <w:bCs w:val="0"/>
          <w:color w:val="FFFFFF" w:themeColor="background1"/>
          <w:sz w:val="22"/>
          <w:szCs w:val="22"/>
          <w:lang w:eastAsia="en-AU"/>
        </w:rPr>
        <w:t>Support for Seniors</w:t>
      </w:r>
      <w:bookmarkEnd w:id="87"/>
    </w:p>
    <w:bookmarkEnd w:id="88"/>
    <w:p w14:paraId="5808E7A2" w14:textId="77777777" w:rsidR="00E71249" w:rsidRPr="00087716" w:rsidRDefault="00E71249" w:rsidP="00E71249">
      <w:pPr>
        <w:shd w:val="clear" w:color="auto" w:fill="005A70"/>
        <w:spacing w:before="120" w:after="160" w:line="256" w:lineRule="auto"/>
        <w:rPr>
          <w:rFonts w:eastAsia="Aptos" w:cstheme="minorHAnsi"/>
          <w:color w:val="FFFFFF"/>
          <w:kern w:val="2"/>
          <w:szCs w:val="22"/>
          <w:lang w:eastAsia="en-AU"/>
          <w14:ligatures w14:val="standardContextual"/>
        </w:rPr>
      </w:pPr>
      <w:r w:rsidRPr="00087716">
        <w:rPr>
          <w:rFonts w:eastAsia="Aptos" w:cstheme="minorHAnsi"/>
          <w:color w:val="FFFFFF"/>
          <w:kern w:val="2"/>
          <w:szCs w:val="22"/>
          <w:lang w:eastAsia="en-AU"/>
          <w14:ligatures w14:val="standardContextual"/>
        </w:rPr>
        <w:t>Assist eligible senior Australians financially and to encourage them to use their financial resources to support their retirement income.</w:t>
      </w:r>
    </w:p>
    <w:p w14:paraId="68AB18A7" w14:textId="77777777" w:rsidR="00E71249" w:rsidRPr="002A5B00" w:rsidRDefault="00E71249" w:rsidP="002A5B00">
      <w:pPr>
        <w:pStyle w:val="Heading4"/>
        <w:shd w:val="clear" w:color="auto" w:fill="B1E4E3" w:themeFill="accent3"/>
        <w:spacing w:before="60" w:after="60"/>
        <w:rPr>
          <w:color w:val="auto"/>
          <w:sz w:val="22"/>
          <w:szCs w:val="22"/>
        </w:rPr>
      </w:pPr>
      <w:r w:rsidRPr="002A5B00">
        <w:rPr>
          <w:color w:val="auto"/>
          <w:sz w:val="22"/>
          <w:szCs w:val="22"/>
        </w:rPr>
        <w:t>Key Activity — 1.3.1 Age Pension</w:t>
      </w:r>
    </w:p>
    <w:p w14:paraId="06DDA09A" w14:textId="77777777" w:rsidR="00E71249" w:rsidRPr="00087716" w:rsidRDefault="00E71249" w:rsidP="00CD5645">
      <w:pPr>
        <w:spacing w:before="120" w:after="160"/>
      </w:pPr>
      <w:r w:rsidRPr="00087716">
        <w:t>The Age Pension is a key activity of the Support for Seniors Program. The key activity provides income support to senior Australians who need it, while encouraging pensioners to maximise their overall incomes. The Age Pension is paid to people who meet age and residency requirements, subject to a means test. Pension rates are indexed to ensure they keep pace with Australian price increases and benchmarked to wages.</w:t>
      </w:r>
    </w:p>
    <w:p w14:paraId="7F66F6ED" w14:textId="03BC860C" w:rsidR="00E71249" w:rsidRPr="00087716" w:rsidRDefault="00E71249" w:rsidP="00CD5645">
      <w:pPr>
        <w:spacing w:before="120" w:after="160"/>
      </w:pPr>
      <w:r w:rsidRPr="00087716">
        <w:rPr>
          <w:b/>
          <w:bCs/>
        </w:rPr>
        <w:t xml:space="preserve">The </w:t>
      </w:r>
      <w:r w:rsidR="0054557F">
        <w:rPr>
          <w:b/>
          <w:bCs/>
        </w:rPr>
        <w:t>d</w:t>
      </w:r>
      <w:r w:rsidRPr="00087716">
        <w:rPr>
          <w:b/>
          <w:bCs/>
        </w:rPr>
        <w:t>epartment</w:t>
      </w:r>
      <w:r w:rsidRPr="00087716">
        <w:t xml:space="preserve"> is responsible for designing and implementing the Age Pension, including providing advice to government on policy and legislation, program implementation and management, program performance, monitoring and meeting all relevant deliverables, setting guidelines and providing guidance and advice to Services Australia on the administration of the program.</w:t>
      </w:r>
    </w:p>
    <w:p w14:paraId="2C1BF123" w14:textId="77777777" w:rsidR="00E71249" w:rsidRPr="00087716" w:rsidRDefault="00E71249" w:rsidP="00CD5645">
      <w:pPr>
        <w:spacing w:before="120" w:after="160"/>
      </w:pPr>
      <w:r w:rsidRPr="00087716">
        <w:rPr>
          <w:b/>
          <w:bCs/>
        </w:rPr>
        <w:t>Services Australia</w:t>
      </w:r>
      <w:r w:rsidRPr="00087716">
        <w:t xml:space="preserve"> is the primary portfolio agency responsible for administering the Age Pension, including receiving, processing and managing applications and delivering payments.</w:t>
      </w:r>
    </w:p>
    <w:p w14:paraId="46FE9C1D" w14:textId="77777777" w:rsidR="00E71249" w:rsidRPr="00FD4C88" w:rsidRDefault="00E71249" w:rsidP="00FD4C88">
      <w:pPr>
        <w:pStyle w:val="Heading4"/>
        <w:rPr>
          <w:sz w:val="22"/>
          <w:szCs w:val="22"/>
        </w:rPr>
      </w:pPr>
      <w:r w:rsidRPr="00FD4C88">
        <w:rPr>
          <w:sz w:val="22"/>
          <w:szCs w:val="22"/>
        </w:rPr>
        <w:t>Performance Measure</w:t>
      </w:r>
    </w:p>
    <w:p w14:paraId="30B7DA8E" w14:textId="77777777" w:rsidR="00E71249" w:rsidRPr="00087716" w:rsidRDefault="00E71249" w:rsidP="00E71249">
      <w:pPr>
        <w:suppressAutoHyphens/>
        <w:spacing w:before="120" w:after="120"/>
        <w:rPr>
          <w:rFonts w:cstheme="minorHAnsi"/>
          <w:color w:val="000000"/>
          <w:szCs w:val="22"/>
          <w:lang w:eastAsia="en-AU"/>
        </w:rPr>
      </w:pPr>
      <w:r w:rsidRPr="00087716">
        <w:rPr>
          <w:rFonts w:eastAsia="Aptos" w:cstheme="minorHAnsi"/>
          <w:kern w:val="2"/>
          <w:szCs w:val="22"/>
          <w:lang w:eastAsia="en-AU"/>
          <w14:ligatures w14:val="standardContextual"/>
        </w:rPr>
        <w:t>1.3.1-1 Extent to which people over the Age Pension qualification age are supported in their retirement through the Age Pension or other income support.</w:t>
      </w:r>
    </w:p>
    <w:tbl>
      <w:tblPr>
        <w:tblStyle w:val="TableGrid393"/>
        <w:tblW w:w="4976" w:type="pct"/>
        <w:jc w:val="center"/>
        <w:tblLook w:val="04A0" w:firstRow="1" w:lastRow="0" w:firstColumn="1" w:lastColumn="0" w:noHBand="0" w:noVBand="1"/>
        <w:tblCaption w:val="Table 11 - Extent to which people over the Age Pension qualification age are supported in their retirement through the Age Pension or other income support."/>
        <w:tblDescription w:val="Target for the extent to which people over the Age Pension qualification age are supported in their retirement through the Age Pension or other income support."/>
      </w:tblPr>
      <w:tblGrid>
        <w:gridCol w:w="3899"/>
        <w:gridCol w:w="1562"/>
        <w:gridCol w:w="1562"/>
        <w:gridCol w:w="1562"/>
        <w:gridCol w:w="1560"/>
      </w:tblGrid>
      <w:tr w:rsidR="00E71249" w:rsidRPr="00087716" w14:paraId="553377BE" w14:textId="77777777" w:rsidTr="00496219">
        <w:trPr>
          <w:cantSplit/>
          <w:trHeight w:val="356"/>
          <w:tblHeader/>
          <w:jc w:val="center"/>
        </w:trPr>
        <w:tc>
          <w:tcPr>
            <w:tcW w:w="1921" w:type="pct"/>
            <w:tcBorders>
              <w:top w:val="single" w:sz="4" w:space="0" w:color="auto"/>
              <w:bottom w:val="single" w:sz="4" w:space="0" w:color="auto"/>
              <w:right w:val="single" w:sz="6" w:space="0" w:color="auto"/>
            </w:tcBorders>
            <w:shd w:val="clear" w:color="auto" w:fill="D9D9D6"/>
          </w:tcPr>
          <w:p w14:paraId="18484125" w14:textId="77777777" w:rsidR="00E71249" w:rsidRPr="00087716" w:rsidRDefault="00E71249" w:rsidP="00496219">
            <w:pPr>
              <w:spacing w:before="120" w:after="60" w:line="252" w:lineRule="auto"/>
              <w:rPr>
                <w:rFonts w:asciiTheme="minorHAnsi" w:hAnsiTheme="minorHAnsi" w:cstheme="minorHAnsi"/>
                <w:szCs w:val="22"/>
              </w:rPr>
            </w:pPr>
            <w:r w:rsidRPr="00087716">
              <w:rPr>
                <w:rFonts w:asciiTheme="minorHAnsi" w:hAnsiTheme="minorHAnsi" w:cstheme="minorHAnsi"/>
                <w:b/>
                <w:szCs w:val="22"/>
              </w:rPr>
              <w:t>Target</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tcPr>
          <w:p w14:paraId="26F7EDD4" w14:textId="77777777" w:rsidR="00E71249" w:rsidRPr="00087716" w:rsidRDefault="00E71249" w:rsidP="00496219">
            <w:pPr>
              <w:spacing w:before="120" w:after="60" w:line="252" w:lineRule="auto"/>
              <w:rPr>
                <w:rFonts w:asciiTheme="minorHAnsi" w:hAnsiTheme="minorHAnsi" w:cstheme="minorHAnsi"/>
                <w:szCs w:val="22"/>
              </w:rPr>
            </w:pPr>
            <w:r w:rsidRPr="00087716">
              <w:rPr>
                <w:rFonts w:asciiTheme="minorHAnsi" w:hAnsiTheme="minorHAnsi" w:cstheme="minorHAnsi"/>
                <w:b/>
                <w:szCs w:val="22"/>
              </w:rPr>
              <w:t>2026–27</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tcPr>
          <w:p w14:paraId="106B9923" w14:textId="77777777" w:rsidR="00E71249" w:rsidRPr="00087716" w:rsidRDefault="00E71249" w:rsidP="00496219">
            <w:pPr>
              <w:spacing w:before="120" w:after="60" w:line="252" w:lineRule="auto"/>
              <w:rPr>
                <w:rFonts w:asciiTheme="minorHAnsi" w:hAnsiTheme="minorHAnsi" w:cstheme="minorHAnsi"/>
                <w:b/>
                <w:szCs w:val="22"/>
              </w:rPr>
            </w:pPr>
            <w:r w:rsidRPr="00087716">
              <w:rPr>
                <w:rFonts w:asciiTheme="minorHAnsi" w:hAnsiTheme="minorHAnsi" w:cstheme="minorHAnsi"/>
                <w:b/>
                <w:szCs w:val="22"/>
              </w:rPr>
              <w:t>2027–28</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tcPr>
          <w:p w14:paraId="0ADE9342" w14:textId="77777777" w:rsidR="00E71249" w:rsidRPr="00087716" w:rsidRDefault="00E71249" w:rsidP="00496219">
            <w:pPr>
              <w:spacing w:before="120" w:after="60" w:line="252" w:lineRule="auto"/>
              <w:rPr>
                <w:rFonts w:asciiTheme="minorHAnsi" w:hAnsiTheme="minorHAnsi" w:cstheme="minorHAnsi"/>
                <w:b/>
                <w:szCs w:val="22"/>
              </w:rPr>
            </w:pPr>
            <w:r w:rsidRPr="00087716">
              <w:rPr>
                <w:rFonts w:asciiTheme="minorHAnsi" w:hAnsiTheme="minorHAnsi" w:cstheme="minorHAnsi"/>
                <w:b/>
                <w:szCs w:val="22"/>
              </w:rPr>
              <w:t>2028–29</w:t>
            </w:r>
          </w:p>
        </w:tc>
        <w:tc>
          <w:tcPr>
            <w:tcW w:w="769" w:type="pct"/>
            <w:tcBorders>
              <w:top w:val="single" w:sz="4" w:space="0" w:color="auto"/>
              <w:left w:val="single" w:sz="6" w:space="0" w:color="auto"/>
              <w:bottom w:val="single" w:sz="4" w:space="0" w:color="auto"/>
              <w:right w:val="single" w:sz="4" w:space="0" w:color="auto"/>
            </w:tcBorders>
            <w:shd w:val="clear" w:color="auto" w:fill="D9D9D6"/>
            <w:vAlign w:val="center"/>
          </w:tcPr>
          <w:p w14:paraId="17C3FFA7" w14:textId="77777777" w:rsidR="00E71249" w:rsidRPr="00087716" w:rsidRDefault="00E71249" w:rsidP="00496219">
            <w:pPr>
              <w:spacing w:before="120" w:after="60" w:line="252" w:lineRule="auto"/>
              <w:rPr>
                <w:rFonts w:asciiTheme="minorHAnsi" w:hAnsiTheme="minorHAnsi" w:cstheme="minorHAnsi"/>
                <w:b/>
                <w:szCs w:val="22"/>
              </w:rPr>
            </w:pPr>
            <w:r w:rsidRPr="00087716">
              <w:rPr>
                <w:rFonts w:asciiTheme="minorHAnsi" w:hAnsiTheme="minorHAnsi" w:cstheme="minorHAnsi"/>
                <w:b/>
                <w:szCs w:val="22"/>
              </w:rPr>
              <w:t>2029–30</w:t>
            </w:r>
          </w:p>
        </w:tc>
      </w:tr>
      <w:tr w:rsidR="00E71249" w:rsidRPr="00087716" w14:paraId="4784A7B1" w14:textId="77777777" w:rsidTr="00496219">
        <w:trPr>
          <w:cantSplit/>
          <w:trHeight w:val="356"/>
          <w:jc w:val="center"/>
        </w:trPr>
        <w:tc>
          <w:tcPr>
            <w:tcW w:w="1921" w:type="pct"/>
            <w:tcBorders>
              <w:top w:val="single" w:sz="4" w:space="0" w:color="auto"/>
              <w:bottom w:val="single" w:sz="4" w:space="0" w:color="auto"/>
            </w:tcBorders>
          </w:tcPr>
          <w:p w14:paraId="32859834" w14:textId="7EA65DCB" w:rsidR="00E71249" w:rsidRPr="00087716" w:rsidRDefault="0061319D" w:rsidP="00496219">
            <w:pPr>
              <w:spacing w:before="120" w:after="60" w:line="252" w:lineRule="auto"/>
              <w:rPr>
                <w:rFonts w:asciiTheme="minorHAnsi" w:hAnsiTheme="minorHAnsi" w:cstheme="minorHAnsi"/>
                <w:szCs w:val="22"/>
              </w:rPr>
            </w:pPr>
            <w:r>
              <w:rPr>
                <w:rFonts w:cstheme="minorHAnsi"/>
                <w:noProof/>
                <w:szCs w:val="22"/>
              </w:rPr>
              <mc:AlternateContent>
                <mc:Choice Requires="wps">
                  <w:drawing>
                    <wp:anchor distT="0" distB="0" distL="114300" distR="114300" simplePos="0" relativeHeight="251661320" behindDoc="0" locked="0" layoutInCell="1" allowOverlap="1" wp14:anchorId="70BC4CAC" wp14:editId="54354B31">
                      <wp:simplePos x="0" y="0"/>
                      <wp:positionH relativeFrom="column">
                        <wp:posOffset>-13231</wp:posOffset>
                      </wp:positionH>
                      <wp:positionV relativeFrom="paragraph">
                        <wp:posOffset>132260</wp:posOffset>
                      </wp:positionV>
                      <wp:extent cx="45719" cy="88711"/>
                      <wp:effectExtent l="0" t="0" r="12065" b="26035"/>
                      <wp:wrapNone/>
                      <wp:docPr id="1658579325" name="Diamond 3" descr="The diamond symbol represents Performance measures that may be impacted by external factors."/>
                      <wp:cNvGraphicFramePr/>
                      <a:graphic xmlns:a="http://schemas.openxmlformats.org/drawingml/2006/main">
                        <a:graphicData uri="http://schemas.microsoft.com/office/word/2010/wordprocessingShape">
                          <wps:wsp>
                            <wps:cNvSpPr/>
                            <wps:spPr>
                              <a:xfrm>
                                <a:off x="0" y="0"/>
                                <a:ext cx="45719" cy="88711"/>
                              </a:xfrm>
                              <a:prstGeom prst="diamond">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080FAB" id="Diamond 3" o:spid="_x0000_s1026" type="#_x0000_t4" alt="The diamond symbol represents Performance measures that may be impacted by external factors." style="position:absolute;margin-left:-1.05pt;margin-top:10.4pt;width:3.6pt;height:7pt;z-index:251661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" fillcolor="black [3213]" strokecolor="#000d10 [484]" strokeweight=".73403mm"/>
                  </w:pict>
                </mc:Fallback>
              </mc:AlternateContent>
            </w:r>
            <w:r w:rsidR="00E71249" w:rsidRPr="00087716">
              <w:rPr>
                <w:rFonts w:asciiTheme="minorHAnsi" w:hAnsiTheme="minorHAnsi" w:cstheme="minorHAnsi"/>
                <w:szCs w:val="22"/>
              </w:rPr>
              <w:t xml:space="preserve"> </w:t>
            </w:r>
            <w:r w:rsidR="005A2AFD">
              <w:rPr>
                <w:rFonts w:asciiTheme="minorHAnsi" w:hAnsiTheme="minorHAnsi" w:cstheme="minorHAnsi"/>
                <w:szCs w:val="22"/>
              </w:rPr>
              <w:t xml:space="preserve"> </w:t>
            </w:r>
            <w:r w:rsidR="00E71249" w:rsidRPr="00087716">
              <w:rPr>
                <w:rFonts w:asciiTheme="minorHAnsi" w:hAnsiTheme="minorHAnsi" w:cstheme="minorHAnsi"/>
                <w:szCs w:val="22"/>
              </w:rPr>
              <w:t>1.3.1-1A – 75% or below of people of Age Pension age are supported by the Age Pension or other income support.</w:t>
            </w:r>
          </w:p>
        </w:tc>
        <w:tc>
          <w:tcPr>
            <w:tcW w:w="770" w:type="pct"/>
            <w:tcBorders>
              <w:top w:val="single" w:sz="4" w:space="0" w:color="auto"/>
              <w:bottom w:val="single" w:sz="4" w:space="0" w:color="auto"/>
            </w:tcBorders>
          </w:tcPr>
          <w:p w14:paraId="4A2CD71C" w14:textId="77777777" w:rsidR="00E71249" w:rsidRPr="00087716" w:rsidRDefault="00E71249" w:rsidP="00496219">
            <w:pPr>
              <w:spacing w:before="120" w:after="60" w:line="252" w:lineRule="auto"/>
              <w:rPr>
                <w:rFonts w:asciiTheme="minorHAnsi" w:hAnsiTheme="minorHAnsi" w:cstheme="minorHAnsi"/>
                <w:szCs w:val="22"/>
              </w:rPr>
            </w:pPr>
            <w:r w:rsidRPr="00087716">
              <w:rPr>
                <w:rFonts w:asciiTheme="minorHAnsi" w:hAnsiTheme="minorHAnsi" w:cstheme="minorHAnsi"/>
                <w:szCs w:val="22"/>
                <w:u w:val="single"/>
                <w:lang w:eastAsia="en-GB"/>
              </w:rPr>
              <w:t>&lt;</w:t>
            </w:r>
            <w:r w:rsidRPr="00087716">
              <w:rPr>
                <w:rFonts w:asciiTheme="minorHAnsi" w:hAnsiTheme="minorHAnsi" w:cstheme="minorHAnsi"/>
                <w:szCs w:val="22"/>
                <w:lang w:eastAsia="en-GB"/>
              </w:rPr>
              <w:t xml:space="preserve"> 75%</w:t>
            </w:r>
          </w:p>
        </w:tc>
        <w:tc>
          <w:tcPr>
            <w:tcW w:w="770" w:type="pct"/>
            <w:tcBorders>
              <w:top w:val="single" w:sz="4" w:space="0" w:color="auto"/>
              <w:bottom w:val="single" w:sz="4" w:space="0" w:color="auto"/>
            </w:tcBorders>
          </w:tcPr>
          <w:p w14:paraId="35452D4E" w14:textId="77777777" w:rsidR="00E71249" w:rsidRPr="00087716" w:rsidRDefault="00E71249" w:rsidP="00496219">
            <w:pPr>
              <w:spacing w:before="120" w:after="60" w:line="252" w:lineRule="auto"/>
              <w:rPr>
                <w:rFonts w:asciiTheme="minorHAnsi" w:hAnsiTheme="minorHAnsi" w:cstheme="minorHAnsi"/>
                <w:szCs w:val="22"/>
              </w:rPr>
            </w:pPr>
            <w:r w:rsidRPr="00087716">
              <w:rPr>
                <w:rFonts w:asciiTheme="minorHAnsi" w:hAnsiTheme="minorHAnsi" w:cstheme="minorHAnsi"/>
                <w:szCs w:val="22"/>
                <w:u w:val="single"/>
                <w:lang w:eastAsia="en-GB"/>
              </w:rPr>
              <w:t>&lt;</w:t>
            </w:r>
            <w:r w:rsidRPr="00087716">
              <w:rPr>
                <w:rFonts w:asciiTheme="minorHAnsi" w:hAnsiTheme="minorHAnsi" w:cstheme="minorHAnsi"/>
                <w:szCs w:val="22"/>
                <w:lang w:eastAsia="en-GB"/>
              </w:rPr>
              <w:t xml:space="preserve"> 75%</w:t>
            </w:r>
          </w:p>
        </w:tc>
        <w:tc>
          <w:tcPr>
            <w:tcW w:w="770" w:type="pct"/>
            <w:tcBorders>
              <w:top w:val="single" w:sz="4" w:space="0" w:color="auto"/>
              <w:bottom w:val="single" w:sz="4" w:space="0" w:color="auto"/>
            </w:tcBorders>
          </w:tcPr>
          <w:p w14:paraId="39E7E4E6" w14:textId="77777777" w:rsidR="00E71249" w:rsidRPr="00087716" w:rsidRDefault="00E71249" w:rsidP="00496219">
            <w:pPr>
              <w:spacing w:before="120" w:after="60" w:line="252" w:lineRule="auto"/>
              <w:rPr>
                <w:rFonts w:asciiTheme="minorHAnsi" w:hAnsiTheme="minorHAnsi" w:cstheme="minorHAnsi"/>
                <w:szCs w:val="22"/>
              </w:rPr>
            </w:pPr>
            <w:r w:rsidRPr="00087716">
              <w:rPr>
                <w:rFonts w:asciiTheme="minorHAnsi" w:hAnsiTheme="minorHAnsi" w:cstheme="minorHAnsi"/>
                <w:szCs w:val="22"/>
                <w:u w:val="single"/>
                <w:lang w:eastAsia="en-GB"/>
              </w:rPr>
              <w:t>&lt;</w:t>
            </w:r>
            <w:r w:rsidRPr="00087716">
              <w:rPr>
                <w:rFonts w:asciiTheme="minorHAnsi" w:hAnsiTheme="minorHAnsi" w:cstheme="minorHAnsi"/>
                <w:szCs w:val="22"/>
                <w:lang w:eastAsia="en-GB"/>
              </w:rPr>
              <w:t xml:space="preserve"> 75%</w:t>
            </w:r>
          </w:p>
        </w:tc>
        <w:tc>
          <w:tcPr>
            <w:tcW w:w="769" w:type="pct"/>
            <w:tcBorders>
              <w:top w:val="single" w:sz="4" w:space="0" w:color="auto"/>
              <w:bottom w:val="single" w:sz="4" w:space="0" w:color="auto"/>
            </w:tcBorders>
          </w:tcPr>
          <w:p w14:paraId="1045240C" w14:textId="77777777" w:rsidR="00E71249" w:rsidRPr="00087716" w:rsidRDefault="00E71249" w:rsidP="00496219">
            <w:pPr>
              <w:spacing w:before="120" w:after="60" w:line="252" w:lineRule="auto"/>
              <w:rPr>
                <w:rFonts w:asciiTheme="minorHAnsi" w:hAnsiTheme="minorHAnsi" w:cstheme="minorHAnsi"/>
                <w:szCs w:val="22"/>
              </w:rPr>
            </w:pPr>
            <w:r w:rsidRPr="00087716">
              <w:rPr>
                <w:rFonts w:asciiTheme="minorHAnsi" w:hAnsiTheme="minorHAnsi" w:cstheme="minorHAnsi"/>
                <w:szCs w:val="22"/>
                <w:u w:val="single"/>
                <w:lang w:eastAsia="en-GB"/>
              </w:rPr>
              <w:t>&lt;</w:t>
            </w:r>
            <w:r w:rsidRPr="00087716">
              <w:rPr>
                <w:rFonts w:asciiTheme="minorHAnsi" w:hAnsiTheme="minorHAnsi" w:cstheme="minorHAnsi"/>
                <w:szCs w:val="22"/>
                <w:lang w:eastAsia="en-GB"/>
              </w:rPr>
              <w:t xml:space="preserve"> 75%</w:t>
            </w:r>
          </w:p>
        </w:tc>
      </w:tr>
    </w:tbl>
    <w:p w14:paraId="47220824" w14:textId="77777777" w:rsidR="00E71249" w:rsidRPr="00087716" w:rsidRDefault="00E71249" w:rsidP="00FD4C88">
      <w:pPr>
        <w:pStyle w:val="CPCustom3"/>
        <w:rPr>
          <w:lang w:eastAsia="en-AU"/>
        </w:rPr>
      </w:pPr>
      <w:r w:rsidRPr="00087716">
        <w:rPr>
          <w:lang w:eastAsia="en-AU"/>
        </w:rPr>
        <w:t>Rationale</w:t>
      </w:r>
    </w:p>
    <w:p w14:paraId="7F9F3AEB" w14:textId="77777777" w:rsidR="00E71249" w:rsidRPr="00087716" w:rsidRDefault="00E71249" w:rsidP="00CD5645">
      <w:pPr>
        <w:spacing w:before="120" w:after="160" w:line="257" w:lineRule="auto"/>
        <w:rPr>
          <w:rFonts w:cstheme="minorHAnsi"/>
          <w:szCs w:val="22"/>
        </w:rPr>
      </w:pPr>
      <w:r w:rsidRPr="00087716">
        <w:rPr>
          <w:rFonts w:cstheme="minorHAnsi"/>
          <w:szCs w:val="22"/>
        </w:rPr>
        <w:t xml:space="preserve">This measure aims to demonstrate that senior Australians with low to moderate means are assisted financially, and the </w:t>
      </w:r>
      <w:r w:rsidRPr="00087716">
        <w:rPr>
          <w:rFonts w:cstheme="minorHAnsi"/>
          <w:b/>
          <w:bCs/>
          <w:szCs w:val="22"/>
        </w:rPr>
        <w:t>effectiveness</w:t>
      </w:r>
      <w:r w:rsidRPr="00087716">
        <w:rPr>
          <w:rFonts w:cstheme="minorHAnsi"/>
          <w:szCs w:val="22"/>
        </w:rPr>
        <w:t xml:space="preserve"> of the Age Pension in achieving the objective of the key activity: senior Australians are assisted financially in a manner that encourages them to manage resources and life transitions through self-reliance.</w:t>
      </w:r>
    </w:p>
    <w:p w14:paraId="1AA45484" w14:textId="77777777" w:rsidR="00E71249" w:rsidRPr="00087716" w:rsidRDefault="00E71249" w:rsidP="00CD5645">
      <w:pPr>
        <w:spacing w:before="120" w:after="160" w:line="257" w:lineRule="auto"/>
        <w:rPr>
          <w:rFonts w:cstheme="minorHAnsi"/>
          <w:szCs w:val="22"/>
        </w:rPr>
      </w:pPr>
      <w:r w:rsidRPr="00087716">
        <w:rPr>
          <w:rFonts w:cstheme="minorHAnsi"/>
          <w:szCs w:val="22"/>
        </w:rPr>
        <w:t xml:space="preserve">The target demonstrates the </w:t>
      </w:r>
      <w:r w:rsidRPr="00087716">
        <w:rPr>
          <w:rFonts w:cstheme="minorHAnsi"/>
          <w:b/>
          <w:szCs w:val="22"/>
        </w:rPr>
        <w:t>effectiveness</w:t>
      </w:r>
      <w:r w:rsidRPr="00087716">
        <w:rPr>
          <w:rFonts w:cstheme="minorHAnsi"/>
          <w:szCs w:val="22"/>
        </w:rPr>
        <w:t xml:space="preserve"> of the key activity by showing funding is targeted to eligible senior Australians and that ineligible senior Australians can fully support themselves due to the level of their income and assets.</w:t>
      </w:r>
    </w:p>
    <w:p w14:paraId="2D4B0B45" w14:textId="77777777" w:rsidR="00E71249" w:rsidRPr="00087716" w:rsidRDefault="00E71249" w:rsidP="00FD4C88">
      <w:pPr>
        <w:pStyle w:val="CPCustom3"/>
        <w:rPr>
          <w:lang w:eastAsia="en-AU"/>
        </w:rPr>
      </w:pPr>
      <w:r w:rsidRPr="00087716">
        <w:rPr>
          <w:lang w:eastAsia="en-AU"/>
        </w:rPr>
        <w:t>Methodology</w:t>
      </w:r>
    </w:p>
    <w:p w14:paraId="32FC1C33" w14:textId="77777777" w:rsidR="00E71249" w:rsidRPr="00087716" w:rsidRDefault="00E71249" w:rsidP="00CD5645">
      <w:pPr>
        <w:spacing w:before="120" w:after="160"/>
        <w:rPr>
          <w:rFonts w:cstheme="minorHAnsi"/>
          <w:szCs w:val="22"/>
        </w:rPr>
      </w:pPr>
      <w:r w:rsidRPr="00087716">
        <w:rPr>
          <w:rFonts w:cstheme="minorHAnsi"/>
          <w:szCs w:val="22"/>
        </w:rPr>
        <w:t>The number of people supported by the Age Pension or other income support (the numerator for the calculation of the measure) is calculated using the sum of:</w:t>
      </w:r>
    </w:p>
    <w:p w14:paraId="0CD2AAF8" w14:textId="77777777" w:rsidR="00E71249" w:rsidRPr="00087716" w:rsidRDefault="00E71249" w:rsidP="00CD5645">
      <w:pPr>
        <w:pStyle w:val="ListParagraph"/>
        <w:spacing w:before="120" w:after="160"/>
        <w:ind w:left="714" w:hanging="357"/>
      </w:pPr>
      <w:r w:rsidRPr="00087716">
        <w:t>Age Pension recipients</w:t>
      </w:r>
    </w:p>
    <w:p w14:paraId="08F5A8CA" w14:textId="77777777" w:rsidR="00E71249" w:rsidRPr="00087716" w:rsidRDefault="00E71249" w:rsidP="00CD5645">
      <w:pPr>
        <w:pStyle w:val="ListParagraph"/>
        <w:spacing w:before="120" w:after="160"/>
        <w:ind w:left="714" w:hanging="357"/>
      </w:pPr>
      <w:r w:rsidRPr="00087716">
        <w:t>DVA Service Pension and Income Support Supplement recipients over Age Pension age</w:t>
      </w:r>
    </w:p>
    <w:p w14:paraId="535905CE" w14:textId="77777777" w:rsidR="00E71249" w:rsidRPr="00087716" w:rsidRDefault="00E71249" w:rsidP="00CD5645">
      <w:pPr>
        <w:pStyle w:val="ListParagraph"/>
        <w:spacing w:before="120" w:after="160"/>
        <w:ind w:left="714" w:hanging="357"/>
      </w:pPr>
      <w:r w:rsidRPr="00087716">
        <w:t>other income support recipients over Age Pension age.</w:t>
      </w:r>
    </w:p>
    <w:p w14:paraId="19408110" w14:textId="77777777" w:rsidR="00E71249" w:rsidRPr="00087716" w:rsidRDefault="00E71249" w:rsidP="00CD5645">
      <w:pPr>
        <w:spacing w:before="120" w:after="160" w:line="280" w:lineRule="atLeast"/>
        <w:rPr>
          <w:rFonts w:cstheme="minorHAnsi"/>
          <w:szCs w:val="22"/>
          <w:lang w:eastAsia="en-AU"/>
        </w:rPr>
      </w:pPr>
      <w:r w:rsidRPr="00087716">
        <w:rPr>
          <w:rFonts w:cstheme="minorHAnsi"/>
          <w:szCs w:val="22"/>
        </w:rPr>
        <w:t>The number of people over pension age is based on Australian Bureau of Statistics population projections, which draws on the base population data set released on 23 November 2023.</w:t>
      </w:r>
    </w:p>
    <w:p w14:paraId="5AA3F264" w14:textId="77777777" w:rsidR="00E71249" w:rsidRPr="00087716" w:rsidRDefault="00E71249" w:rsidP="00FD4C88">
      <w:pPr>
        <w:pStyle w:val="CPCustom3"/>
        <w:rPr>
          <w:lang w:eastAsia="en-AU"/>
        </w:rPr>
      </w:pPr>
      <w:r w:rsidRPr="00087716">
        <w:rPr>
          <w:lang w:eastAsia="en-AU"/>
        </w:rPr>
        <w:lastRenderedPageBreak/>
        <w:t>Data Categorisation</w:t>
      </w:r>
    </w:p>
    <w:tbl>
      <w:tblPr>
        <w:tblStyle w:val="Numericaltable15"/>
        <w:tblpPr w:leftFromText="180" w:rightFromText="180" w:vertAnchor="text" w:horzAnchor="margin" w:tblpY="11"/>
        <w:tblW w:w="10485" w:type="dxa"/>
        <w:tblLook w:val="04A0" w:firstRow="1" w:lastRow="0" w:firstColumn="1" w:lastColumn="0" w:noHBand="0" w:noVBand="1"/>
        <w:tblCaption w:val="Table 12 - Categorisation of data source"/>
        <w:tblDescription w:val="Categorisation of data source"/>
      </w:tblPr>
      <w:tblGrid>
        <w:gridCol w:w="3823"/>
        <w:gridCol w:w="6662"/>
      </w:tblGrid>
      <w:tr w:rsidR="00E71249" w:rsidRPr="00087716" w14:paraId="7F489080" w14:textId="77777777" w:rsidTr="00496219">
        <w:trPr>
          <w:trHeight w:val="558"/>
          <w:tblHeader/>
        </w:trPr>
        <w:tc>
          <w:tcPr>
            <w:tcW w:w="3823" w:type="dxa"/>
            <w:shd w:val="clear" w:color="auto" w:fill="215868"/>
          </w:tcPr>
          <w:p w14:paraId="5E96CD47" w14:textId="77777777" w:rsidR="00E71249" w:rsidRPr="00087716" w:rsidRDefault="00E71249" w:rsidP="00496219">
            <w:pPr>
              <w:suppressAutoHyphens/>
              <w:spacing w:before="120" w:after="120"/>
              <w:rPr>
                <w:rFonts w:asciiTheme="minorHAnsi" w:hAnsiTheme="minorHAnsi" w:cstheme="minorHAnsi"/>
                <w:b/>
                <w:bCs/>
                <w:color w:val="FFFFFF"/>
                <w:szCs w:val="22"/>
              </w:rPr>
            </w:pPr>
            <w:r w:rsidRPr="00087716">
              <w:rPr>
                <w:rFonts w:asciiTheme="minorHAnsi" w:hAnsiTheme="minorHAnsi" w:cstheme="minorHAnsi"/>
                <w:b/>
                <w:bCs/>
                <w:color w:val="FFFFFF"/>
                <w:szCs w:val="22"/>
              </w:rPr>
              <w:t xml:space="preserve">Categorisation of data source </w:t>
            </w:r>
          </w:p>
        </w:tc>
        <w:tc>
          <w:tcPr>
            <w:tcW w:w="6662" w:type="dxa"/>
            <w:shd w:val="clear" w:color="auto" w:fill="215868"/>
          </w:tcPr>
          <w:p w14:paraId="5A4E0CA9" w14:textId="77777777" w:rsidR="00E71249" w:rsidRPr="00087716" w:rsidRDefault="00E71249" w:rsidP="00496219">
            <w:pPr>
              <w:suppressAutoHyphens/>
              <w:spacing w:before="120" w:after="120"/>
              <w:rPr>
                <w:rFonts w:asciiTheme="minorHAnsi" w:hAnsiTheme="minorHAnsi" w:cstheme="minorHAnsi"/>
                <w:b/>
                <w:bCs/>
                <w:color w:val="FFFFFF"/>
                <w:szCs w:val="22"/>
              </w:rPr>
            </w:pPr>
            <w:r w:rsidRPr="00087716">
              <w:rPr>
                <w:rFonts w:asciiTheme="minorHAnsi" w:hAnsiTheme="minorHAnsi" w:cstheme="minorHAnsi"/>
                <w:b/>
                <w:bCs/>
                <w:color w:val="FFFFFF"/>
                <w:szCs w:val="22"/>
              </w:rPr>
              <w:t xml:space="preserve">Data source </w:t>
            </w:r>
          </w:p>
        </w:tc>
      </w:tr>
      <w:tr w:rsidR="00E71249" w:rsidRPr="00087716" w14:paraId="2A300D50" w14:textId="77777777" w:rsidTr="00496219">
        <w:trPr>
          <w:trHeight w:val="558"/>
        </w:trPr>
        <w:tc>
          <w:tcPr>
            <w:tcW w:w="3823" w:type="dxa"/>
          </w:tcPr>
          <w:p w14:paraId="1DDC67ED" w14:textId="77777777" w:rsidR="00E71249" w:rsidRPr="00087716" w:rsidRDefault="00E71249" w:rsidP="00496219">
            <w:pPr>
              <w:suppressAutoHyphens/>
              <w:spacing w:before="120" w:after="120"/>
              <w:rPr>
                <w:rFonts w:asciiTheme="minorHAnsi" w:hAnsiTheme="minorHAnsi" w:cstheme="minorHAnsi"/>
                <w:color w:val="000000"/>
                <w:szCs w:val="22"/>
              </w:rPr>
            </w:pPr>
            <w:r w:rsidRPr="00087716">
              <w:rPr>
                <w:rFonts w:cstheme="minorHAnsi"/>
                <w:noProof/>
                <w:szCs w:val="22"/>
              </w:rPr>
              <w:drawing>
                <wp:inline distT="0" distB="0" distL="0" distR="0" wp14:anchorId="42DA9CE2" wp14:editId="57C162D1">
                  <wp:extent cx="1205357" cy="351909"/>
                  <wp:effectExtent l="0" t="0" r="0" b="0"/>
                  <wp:docPr id="1256551382" name="picture" descr="Second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432533" name="picture" descr="Secondary sour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5357" cy="351909"/>
                          </a:xfrm>
                          <a:prstGeom prst="rect">
                            <a:avLst/>
                          </a:prstGeom>
                        </pic:spPr>
                      </pic:pic>
                    </a:graphicData>
                  </a:graphic>
                </wp:inline>
              </w:drawing>
            </w:r>
            <w:r w:rsidRPr="00087716">
              <w:rPr>
                <w:rFonts w:cstheme="minorHAnsi"/>
                <w:noProof/>
                <w:szCs w:val="22"/>
              </w:rPr>
              <w:drawing>
                <wp:inline distT="0" distB="0" distL="0" distR="0" wp14:anchorId="30F8C82A" wp14:editId="5323BDBC">
                  <wp:extent cx="886700" cy="346367"/>
                  <wp:effectExtent l="0" t="0" r="8890" b="0"/>
                  <wp:docPr id="1540693953" name="picture" descr=" 'Ti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122245" name="picture" descr=" 'Tier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6700" cy="346367"/>
                          </a:xfrm>
                          <a:prstGeom prst="rect">
                            <a:avLst/>
                          </a:prstGeom>
                        </pic:spPr>
                      </pic:pic>
                    </a:graphicData>
                  </a:graphic>
                </wp:inline>
              </w:drawing>
            </w:r>
          </w:p>
        </w:tc>
        <w:tc>
          <w:tcPr>
            <w:tcW w:w="6662" w:type="dxa"/>
          </w:tcPr>
          <w:p w14:paraId="2B8BB874" w14:textId="77777777" w:rsidR="00E71249" w:rsidRPr="00087716" w:rsidRDefault="00E71249" w:rsidP="00496219">
            <w:pPr>
              <w:suppressAutoHyphens/>
              <w:spacing w:before="120" w:after="120"/>
              <w:rPr>
                <w:rFonts w:asciiTheme="minorHAnsi" w:hAnsiTheme="minorHAnsi" w:cstheme="minorHAnsi"/>
                <w:color w:val="000000"/>
                <w:szCs w:val="22"/>
              </w:rPr>
            </w:pPr>
            <w:r w:rsidRPr="00087716">
              <w:rPr>
                <w:rFonts w:asciiTheme="minorHAnsi" w:hAnsiTheme="minorHAnsi" w:cstheme="minorHAnsi"/>
                <w:color w:val="000000"/>
                <w:szCs w:val="22"/>
              </w:rPr>
              <w:t>Services Australia administrative data.</w:t>
            </w:r>
          </w:p>
        </w:tc>
      </w:tr>
      <w:tr w:rsidR="00E71249" w:rsidRPr="00087716" w14:paraId="4F12D575" w14:textId="77777777" w:rsidTr="00496219">
        <w:trPr>
          <w:trHeight w:val="558"/>
        </w:trPr>
        <w:tc>
          <w:tcPr>
            <w:tcW w:w="3823" w:type="dxa"/>
          </w:tcPr>
          <w:p w14:paraId="107B815E" w14:textId="77777777" w:rsidR="00E71249" w:rsidRPr="00087716" w:rsidRDefault="00E71249" w:rsidP="00496219">
            <w:pPr>
              <w:suppressAutoHyphens/>
              <w:spacing w:before="120" w:after="120"/>
              <w:rPr>
                <w:rFonts w:asciiTheme="minorHAnsi" w:hAnsiTheme="minorHAnsi" w:cstheme="minorHAnsi"/>
                <w:noProof/>
                <w:szCs w:val="22"/>
                <w:lang w:eastAsia="en-GB"/>
              </w:rPr>
            </w:pPr>
            <w:r w:rsidRPr="00087716">
              <w:rPr>
                <w:rFonts w:cstheme="minorHAnsi"/>
                <w:noProof/>
                <w:szCs w:val="22"/>
              </w:rPr>
              <w:drawing>
                <wp:inline distT="0" distB="0" distL="0" distR="0" wp14:anchorId="1D32C445" wp14:editId="3FA03EEB">
                  <wp:extent cx="1205357" cy="351909"/>
                  <wp:effectExtent l="0" t="0" r="0" b="0"/>
                  <wp:docPr id="141327024" name="picture" descr="Second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773798" name="picture" descr="Secondary Sour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5357" cy="351909"/>
                          </a:xfrm>
                          <a:prstGeom prst="rect">
                            <a:avLst/>
                          </a:prstGeom>
                        </pic:spPr>
                      </pic:pic>
                    </a:graphicData>
                  </a:graphic>
                </wp:inline>
              </w:drawing>
            </w:r>
            <w:r w:rsidRPr="00087716">
              <w:rPr>
                <w:rFonts w:cstheme="minorHAnsi"/>
                <w:noProof/>
                <w:szCs w:val="22"/>
              </w:rPr>
              <w:drawing>
                <wp:inline distT="0" distB="0" distL="0" distR="0" wp14:anchorId="019A8B87" wp14:editId="20E75877">
                  <wp:extent cx="886700" cy="346367"/>
                  <wp:effectExtent l="0" t="0" r="8890" b="0"/>
                  <wp:docPr id="710623206" name="picture" descr="'Ti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83901" name="picture" descr="'Tier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6700" cy="346367"/>
                          </a:xfrm>
                          <a:prstGeom prst="rect">
                            <a:avLst/>
                          </a:prstGeom>
                        </pic:spPr>
                      </pic:pic>
                    </a:graphicData>
                  </a:graphic>
                </wp:inline>
              </w:drawing>
            </w:r>
          </w:p>
        </w:tc>
        <w:tc>
          <w:tcPr>
            <w:tcW w:w="6662" w:type="dxa"/>
          </w:tcPr>
          <w:p w14:paraId="6D1EBBAD" w14:textId="77777777" w:rsidR="00E71249" w:rsidRPr="00087716" w:rsidRDefault="00E71249" w:rsidP="00496219">
            <w:pPr>
              <w:suppressAutoHyphens/>
              <w:spacing w:before="120" w:after="120"/>
              <w:rPr>
                <w:rFonts w:asciiTheme="minorHAnsi" w:hAnsiTheme="minorHAnsi" w:cstheme="minorHAnsi"/>
                <w:color w:val="000000"/>
                <w:szCs w:val="22"/>
              </w:rPr>
            </w:pPr>
            <w:r w:rsidRPr="00087716">
              <w:rPr>
                <w:rFonts w:asciiTheme="minorHAnsi" w:hAnsiTheme="minorHAnsi" w:cstheme="minorHAnsi"/>
                <w:color w:val="000000"/>
                <w:szCs w:val="22"/>
              </w:rPr>
              <w:t>Department of Veterans’ Affairs administrative data.</w:t>
            </w:r>
          </w:p>
        </w:tc>
      </w:tr>
      <w:tr w:rsidR="00E71249" w:rsidRPr="00087716" w14:paraId="643787E6" w14:textId="77777777" w:rsidTr="00496219">
        <w:trPr>
          <w:trHeight w:val="558"/>
        </w:trPr>
        <w:tc>
          <w:tcPr>
            <w:tcW w:w="3823" w:type="dxa"/>
          </w:tcPr>
          <w:p w14:paraId="2093BBDA" w14:textId="77777777" w:rsidR="00E71249" w:rsidRPr="00087716" w:rsidRDefault="00E71249" w:rsidP="00496219">
            <w:pPr>
              <w:suppressAutoHyphens/>
              <w:spacing w:before="120" w:after="120"/>
              <w:rPr>
                <w:rFonts w:asciiTheme="minorHAnsi" w:hAnsiTheme="minorHAnsi" w:cstheme="minorHAnsi"/>
                <w:noProof/>
                <w:szCs w:val="22"/>
                <w:lang w:eastAsia="en-GB"/>
              </w:rPr>
            </w:pPr>
            <w:r w:rsidRPr="00087716">
              <w:rPr>
                <w:rFonts w:cstheme="minorHAnsi"/>
                <w:noProof/>
                <w:szCs w:val="22"/>
              </w:rPr>
              <w:drawing>
                <wp:inline distT="0" distB="0" distL="0" distR="0" wp14:anchorId="66399D54" wp14:editId="4B558B86">
                  <wp:extent cx="1205357" cy="351909"/>
                  <wp:effectExtent l="0" t="0" r="0" b="0"/>
                  <wp:docPr id="2020763421" name="picture" descr="Second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02552" name="picture" descr="Secondary sour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5357" cy="351909"/>
                          </a:xfrm>
                          <a:prstGeom prst="rect">
                            <a:avLst/>
                          </a:prstGeom>
                        </pic:spPr>
                      </pic:pic>
                    </a:graphicData>
                  </a:graphic>
                </wp:inline>
              </w:drawing>
            </w:r>
            <w:r w:rsidRPr="00087716">
              <w:rPr>
                <w:rFonts w:cstheme="minorHAnsi"/>
                <w:noProof/>
                <w:szCs w:val="22"/>
              </w:rPr>
              <w:drawing>
                <wp:inline distT="0" distB="0" distL="0" distR="0" wp14:anchorId="2BD67A55" wp14:editId="5E1FE2DF">
                  <wp:extent cx="886700" cy="346367"/>
                  <wp:effectExtent l="0" t="0" r="8890" b="0"/>
                  <wp:docPr id="376418482" name="picture" descr="'Ti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271776" name="picture" descr="'Tier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6700" cy="346367"/>
                          </a:xfrm>
                          <a:prstGeom prst="rect">
                            <a:avLst/>
                          </a:prstGeom>
                        </pic:spPr>
                      </pic:pic>
                    </a:graphicData>
                  </a:graphic>
                </wp:inline>
              </w:drawing>
            </w:r>
          </w:p>
        </w:tc>
        <w:tc>
          <w:tcPr>
            <w:tcW w:w="6662" w:type="dxa"/>
          </w:tcPr>
          <w:p w14:paraId="5E9A6592" w14:textId="77777777" w:rsidR="00E71249" w:rsidRPr="00087716" w:rsidRDefault="00E71249" w:rsidP="00496219">
            <w:pPr>
              <w:tabs>
                <w:tab w:val="left" w:pos="939"/>
              </w:tabs>
              <w:suppressAutoHyphens/>
              <w:spacing w:before="120" w:after="120"/>
              <w:rPr>
                <w:rFonts w:asciiTheme="minorHAnsi" w:hAnsiTheme="minorHAnsi" w:cstheme="minorHAnsi"/>
                <w:color w:val="000000"/>
                <w:szCs w:val="22"/>
              </w:rPr>
            </w:pPr>
            <w:r w:rsidRPr="00087716">
              <w:rPr>
                <w:rFonts w:asciiTheme="minorHAnsi" w:hAnsiTheme="minorHAnsi" w:cstheme="minorHAnsi"/>
                <w:bCs/>
                <w:caps/>
                <w:color w:val="000000"/>
                <w:szCs w:val="22"/>
              </w:rPr>
              <w:t xml:space="preserve">ABS </w:t>
            </w:r>
            <w:r w:rsidRPr="00087716">
              <w:rPr>
                <w:rFonts w:asciiTheme="minorHAnsi" w:hAnsiTheme="minorHAnsi" w:cstheme="minorHAnsi"/>
                <w:color w:val="000000"/>
                <w:szCs w:val="22"/>
              </w:rPr>
              <w:t>- Population Projections, Australia 2022-2071.</w:t>
            </w:r>
          </w:p>
        </w:tc>
      </w:tr>
    </w:tbl>
    <w:p w14:paraId="4165780B" w14:textId="77777777" w:rsidR="00E71249" w:rsidRPr="00087716" w:rsidRDefault="00E71249" w:rsidP="00FD4C88">
      <w:pPr>
        <w:pStyle w:val="CPCustom3"/>
        <w:rPr>
          <w:lang w:eastAsia="en-AU"/>
        </w:rPr>
      </w:pPr>
      <w:r w:rsidRPr="00087716">
        <w:rPr>
          <w:lang w:eastAsia="en-AU"/>
        </w:rPr>
        <w:t>Supporting Information</w:t>
      </w:r>
    </w:p>
    <w:p w14:paraId="6CBB10A4" w14:textId="77777777" w:rsidR="00E71249" w:rsidRPr="00087716" w:rsidRDefault="00E71249" w:rsidP="00CD5645">
      <w:pPr>
        <w:pStyle w:val="ListParagraph"/>
        <w:spacing w:before="120" w:after="160"/>
        <w:ind w:left="714" w:hanging="357"/>
        <w:rPr>
          <w:lang w:eastAsia="en-AU"/>
        </w:rPr>
      </w:pPr>
      <w:r w:rsidRPr="00087716">
        <w:rPr>
          <w:lang w:eastAsia="en-AU"/>
        </w:rPr>
        <w:t>Administered outlays</w:t>
      </w:r>
    </w:p>
    <w:p w14:paraId="5F7A4AD4" w14:textId="77777777" w:rsidR="00E71249" w:rsidRPr="00087716" w:rsidRDefault="00E71249" w:rsidP="00CD5645">
      <w:pPr>
        <w:pStyle w:val="ListParagraph"/>
        <w:spacing w:before="120" w:after="160"/>
        <w:ind w:left="714" w:hanging="357"/>
        <w:rPr>
          <w:lang w:eastAsia="en-AU"/>
        </w:rPr>
      </w:pPr>
      <w:r w:rsidRPr="00087716">
        <w:rPr>
          <w:lang w:eastAsia="en-AU"/>
        </w:rPr>
        <w:t>Payment accuracy</w:t>
      </w:r>
    </w:p>
    <w:p w14:paraId="71958C8A" w14:textId="77777777" w:rsidR="00E71249" w:rsidRPr="00087716" w:rsidRDefault="00E71249" w:rsidP="00CD5645">
      <w:pPr>
        <w:pStyle w:val="ListParagraph"/>
        <w:spacing w:before="120" w:after="160"/>
        <w:ind w:left="714" w:hanging="357"/>
        <w:rPr>
          <w:lang w:eastAsia="en-AU"/>
        </w:rPr>
      </w:pPr>
      <w:r w:rsidRPr="00087716">
        <w:rPr>
          <w:lang w:eastAsia="en-AU"/>
        </w:rPr>
        <w:t>Number of recipients</w:t>
      </w:r>
    </w:p>
    <w:p w14:paraId="113D8F0F" w14:textId="77777777" w:rsidR="00E71249" w:rsidRPr="00087716" w:rsidRDefault="00E71249" w:rsidP="00E71249">
      <w:pPr>
        <w:autoSpaceDE w:val="0"/>
        <w:autoSpaceDN w:val="0"/>
        <w:adjustRightInd w:val="0"/>
        <w:spacing w:after="160" w:line="256" w:lineRule="auto"/>
        <w:ind w:left="360"/>
        <w:contextualSpacing/>
        <w:rPr>
          <w:rFonts w:ascii="Arial" w:eastAsia="Aptos" w:hAnsi="Arial" w:cs="Arial"/>
          <w:bCs/>
          <w:kern w:val="2"/>
          <w:szCs w:val="22"/>
          <w:lang w:eastAsia="en-AU"/>
          <w14:ligatures w14:val="standardContextual"/>
        </w:rPr>
      </w:pPr>
    </w:p>
    <w:p w14:paraId="01A5EEEC" w14:textId="77777777" w:rsidR="00E71249" w:rsidRPr="00087716" w:rsidRDefault="00E71249" w:rsidP="00E71249">
      <w:pPr>
        <w:spacing w:after="240"/>
        <w:rPr>
          <w:rFonts w:ascii="Arial" w:eastAsia="Aptos" w:hAnsi="Arial" w:cs="Arial"/>
          <w:bCs/>
          <w:kern w:val="2"/>
          <w:szCs w:val="22"/>
          <w:lang w:eastAsia="en-AU"/>
          <w14:ligatures w14:val="standardContextual"/>
        </w:rPr>
      </w:pPr>
      <w:r w:rsidRPr="00087716">
        <w:rPr>
          <w:rFonts w:ascii="Arial" w:eastAsia="Aptos" w:hAnsi="Arial" w:cs="Arial"/>
          <w:bCs/>
          <w:kern w:val="2"/>
          <w:szCs w:val="22"/>
          <w:lang w:eastAsia="en-AU"/>
          <w14:ligatures w14:val="standardContextual"/>
        </w:rPr>
        <w:br w:type="page"/>
      </w:r>
    </w:p>
    <w:p w14:paraId="55CB7740" w14:textId="1BE217ED" w:rsidR="00E71249" w:rsidRPr="00DD6FA0" w:rsidRDefault="00E71249" w:rsidP="00DD6FA0">
      <w:pPr>
        <w:pStyle w:val="Heading3"/>
        <w:shd w:val="clear" w:color="auto" w:fill="005A70" w:themeFill="accent1"/>
        <w:rPr>
          <w:rFonts w:asciiTheme="minorHAnsi" w:hAnsiTheme="minorHAnsi" w:cstheme="minorHAnsi"/>
          <w:b/>
          <w:bCs w:val="0"/>
          <w:color w:val="FFFFFF" w:themeColor="background1"/>
          <w:sz w:val="22"/>
          <w:szCs w:val="22"/>
          <w:lang w:eastAsia="en-AU"/>
        </w:rPr>
      </w:pPr>
      <w:bookmarkStart w:id="89" w:name="_Toc238653293"/>
      <w:bookmarkStart w:id="90" w:name="_Hlk203986173"/>
      <w:r w:rsidRPr="00DD6FA0">
        <w:rPr>
          <w:rFonts w:asciiTheme="minorHAnsi" w:hAnsiTheme="minorHAnsi" w:cstheme="minorHAnsi"/>
          <w:b/>
          <w:bCs w:val="0"/>
          <w:color w:val="FFFFFF" w:themeColor="background1"/>
          <w:sz w:val="22"/>
          <w:szCs w:val="22"/>
          <w:lang w:eastAsia="en-AU"/>
        </w:rPr>
        <w:lastRenderedPageBreak/>
        <w:t>Program 1.4 F</w:t>
      </w:r>
      <w:r w:rsidR="00FD4C88" w:rsidRPr="00DD6FA0">
        <w:rPr>
          <w:rFonts w:asciiTheme="minorHAnsi" w:hAnsiTheme="minorHAnsi" w:cstheme="minorHAnsi"/>
          <w:b/>
          <w:bCs w:val="0"/>
          <w:color w:val="FFFFFF" w:themeColor="background1"/>
          <w:sz w:val="22"/>
          <w:szCs w:val="22"/>
          <w:lang w:eastAsia="en-AU"/>
        </w:rPr>
        <w:t>inancial Support for People with Disability</w:t>
      </w:r>
      <w:bookmarkEnd w:id="89"/>
    </w:p>
    <w:p w14:paraId="79AAAFD5" w14:textId="77777777" w:rsidR="00E71249" w:rsidRPr="00087716" w:rsidRDefault="00E71249" w:rsidP="00E71249">
      <w:pPr>
        <w:shd w:val="clear" w:color="auto" w:fill="005A70"/>
        <w:spacing w:before="120" w:line="259" w:lineRule="auto"/>
        <w:rPr>
          <w:rFonts w:eastAsiaTheme="minorEastAsia" w:cstheme="minorHAnsi"/>
          <w:color w:val="FFFFFF" w:themeColor="background1"/>
          <w:szCs w:val="22"/>
          <w:lang w:eastAsia="en-AU"/>
        </w:rPr>
      </w:pPr>
      <w:r w:rsidRPr="00087716">
        <w:rPr>
          <w:rFonts w:eastAsiaTheme="minorEastAsia" w:cstheme="minorHAnsi"/>
          <w:color w:val="FFFFFF" w:themeColor="background1"/>
          <w:szCs w:val="22"/>
          <w:lang w:eastAsia="en-AU"/>
        </w:rPr>
        <w:t>To financially assist eligible people with disability.</w:t>
      </w:r>
    </w:p>
    <w:p w14:paraId="24288507" w14:textId="77777777" w:rsidR="00E71249" w:rsidRPr="002A5B00" w:rsidRDefault="00E71249" w:rsidP="002A5B00">
      <w:pPr>
        <w:pStyle w:val="Heading4"/>
        <w:shd w:val="clear" w:color="auto" w:fill="B1E4E3" w:themeFill="accent3"/>
        <w:spacing w:before="60" w:after="60"/>
        <w:rPr>
          <w:color w:val="auto"/>
          <w:sz w:val="22"/>
          <w:szCs w:val="22"/>
        </w:rPr>
      </w:pPr>
      <w:r w:rsidRPr="002A5B00">
        <w:rPr>
          <w:color w:val="auto"/>
          <w:sz w:val="22"/>
          <w:szCs w:val="22"/>
        </w:rPr>
        <w:t>Key Activity — 1.4.1 Disability Support Pension</w:t>
      </w:r>
      <w:bookmarkEnd w:id="90"/>
    </w:p>
    <w:p w14:paraId="418420C1" w14:textId="77777777" w:rsidR="00E71249" w:rsidRPr="00087716" w:rsidRDefault="00E71249" w:rsidP="00CD5645">
      <w:pPr>
        <w:spacing w:before="120" w:after="160"/>
        <w:rPr>
          <w:rFonts w:eastAsia="Times New Roman" w:cstheme="minorHAnsi"/>
          <w:szCs w:val="22"/>
          <w:lang w:eastAsia="en-AU"/>
        </w:rPr>
      </w:pPr>
      <w:r w:rsidRPr="00087716">
        <w:rPr>
          <w:rFonts w:eastAsia="Times New Roman" w:cstheme="minorHAnsi"/>
          <w:szCs w:val="22"/>
          <w:lang w:eastAsia="en-AU"/>
        </w:rPr>
        <w:t>The Disability Support Pension key activity aims to make payments to eligible people with disability who cannot fully support themselves.</w:t>
      </w:r>
    </w:p>
    <w:p w14:paraId="04E96355" w14:textId="77777777" w:rsidR="00E71249" w:rsidRPr="00087716" w:rsidRDefault="00E71249" w:rsidP="00CD5645">
      <w:pPr>
        <w:suppressAutoHyphens/>
        <w:spacing w:before="120" w:after="160"/>
        <w:rPr>
          <w:rFonts w:eastAsia="Times New Roman" w:cstheme="minorHAnsi"/>
          <w:szCs w:val="22"/>
          <w:lang w:eastAsia="en-AU"/>
        </w:rPr>
      </w:pPr>
      <w:r w:rsidRPr="00087716">
        <w:rPr>
          <w:rFonts w:eastAsia="Times New Roman" w:cstheme="minorHAnsi"/>
          <w:szCs w:val="22"/>
          <w:lang w:eastAsia="en-AU"/>
        </w:rPr>
        <w:t xml:space="preserve">The Disability Support Pension is an income support payment, for people who have a physical, intellectual or psychiatric impairment which is expected to persist, in light of available evidence, for at least 2 years, and attracts at least 20 points under the </w:t>
      </w:r>
      <w:r w:rsidRPr="00087716">
        <w:rPr>
          <w:rFonts w:eastAsia="Times New Roman" w:cstheme="minorHAnsi"/>
          <w:i/>
          <w:iCs/>
          <w:szCs w:val="22"/>
          <w:lang w:eastAsia="en-AU"/>
        </w:rPr>
        <w:t>Tables for the Assessment of Work-related Impairment for Disability Support Pension</w:t>
      </w:r>
      <w:r w:rsidRPr="00087716">
        <w:rPr>
          <w:rFonts w:eastAsia="Times New Roman" w:cstheme="minorHAnsi"/>
          <w:szCs w:val="22"/>
          <w:lang w:eastAsia="en-AU"/>
        </w:rPr>
        <w:t xml:space="preserve"> (the Impairment Tables). People who are eligible to claim Disability Support Pension include people who are unable to work for at least 15 hours per week at or above the relevant minimum wage.</w:t>
      </w:r>
      <w:r w:rsidRPr="00087716">
        <w:rPr>
          <w:rFonts w:eastAsia="Times New Roman" w:cstheme="minorHAnsi"/>
          <w:szCs w:val="22"/>
          <w:lang w:eastAsia="en-AU"/>
        </w:rPr>
        <w:br/>
        <w:t xml:space="preserve"> The person must be aged 16 years or over and </w:t>
      </w:r>
      <w:proofErr w:type="gramStart"/>
      <w:r w:rsidRPr="00087716">
        <w:rPr>
          <w:rFonts w:eastAsia="Times New Roman" w:cstheme="minorHAnsi"/>
          <w:szCs w:val="22"/>
          <w:lang w:eastAsia="en-AU"/>
        </w:rPr>
        <w:t>under Age</w:t>
      </w:r>
      <w:proofErr w:type="gramEnd"/>
      <w:r w:rsidRPr="00087716">
        <w:rPr>
          <w:rFonts w:eastAsia="Times New Roman" w:cstheme="minorHAnsi"/>
          <w:szCs w:val="22"/>
          <w:lang w:eastAsia="en-AU"/>
        </w:rPr>
        <w:t xml:space="preserve"> Pension age at the time of claim. Disability Support Pension recipients are automatically issued with a Pensioner Concession Card. Disability Support Pension is income and assets tested.</w:t>
      </w:r>
    </w:p>
    <w:p w14:paraId="089477D8" w14:textId="726F2152" w:rsidR="00E71249" w:rsidRPr="00087716" w:rsidRDefault="00E71249" w:rsidP="00CD5645">
      <w:pPr>
        <w:suppressAutoHyphens/>
        <w:spacing w:before="120" w:after="160"/>
        <w:rPr>
          <w:rFonts w:eastAsia="Times New Roman" w:cstheme="minorHAnsi"/>
          <w:color w:val="000000" w:themeColor="text1"/>
          <w:szCs w:val="22"/>
          <w:lang w:eastAsia="en-AU"/>
        </w:rPr>
      </w:pPr>
      <w:r w:rsidRPr="00087716">
        <w:rPr>
          <w:rFonts w:eastAsia="Times New Roman" w:cstheme="minorHAnsi"/>
          <w:b/>
          <w:color w:val="000000" w:themeColor="text1"/>
          <w:szCs w:val="22"/>
          <w:lang w:eastAsia="en-AU"/>
        </w:rPr>
        <w:t xml:space="preserve">The </w:t>
      </w:r>
      <w:r w:rsidR="0054557F">
        <w:rPr>
          <w:rFonts w:eastAsia="Times New Roman" w:cstheme="minorHAnsi"/>
          <w:b/>
          <w:color w:val="000000" w:themeColor="text1"/>
          <w:szCs w:val="22"/>
          <w:lang w:eastAsia="en-AU"/>
        </w:rPr>
        <w:t>d</w:t>
      </w:r>
      <w:r w:rsidRPr="00087716">
        <w:rPr>
          <w:rFonts w:eastAsia="Times New Roman" w:cstheme="minorHAnsi"/>
          <w:b/>
          <w:color w:val="000000" w:themeColor="text1"/>
          <w:szCs w:val="22"/>
          <w:lang w:eastAsia="en-AU"/>
        </w:rPr>
        <w:t>epartment</w:t>
      </w:r>
      <w:r w:rsidRPr="00087716">
        <w:rPr>
          <w:rFonts w:eastAsia="Times New Roman" w:cstheme="minorHAnsi"/>
          <w:color w:val="000000" w:themeColor="text1"/>
          <w:szCs w:val="22"/>
          <w:lang w:eastAsia="en-AU"/>
        </w:rPr>
        <w:t xml:space="preserve"> </w:t>
      </w:r>
      <w:r w:rsidRPr="00087716">
        <w:rPr>
          <w:rFonts w:eastAsia="Times New Roman" w:cstheme="minorHAnsi"/>
          <w:szCs w:val="22"/>
          <w:lang w:eastAsia="en-AU"/>
        </w:rPr>
        <w:t>is responsible for designing and implementing the key activity, including providing advice to government on policy and legislation, program implementation and management, program performance, monitoring and meeting all relevant deliverables, setting guidelines and providing guidance and advice to Services Australia on the administration of the program.</w:t>
      </w:r>
    </w:p>
    <w:p w14:paraId="42C64347" w14:textId="2C5E3203" w:rsidR="00E71249" w:rsidRPr="00087716" w:rsidRDefault="00E71249" w:rsidP="00CD5645">
      <w:pPr>
        <w:suppressAutoHyphens/>
        <w:spacing w:before="120" w:after="160"/>
        <w:rPr>
          <w:rFonts w:eastAsia="Times New Roman" w:cstheme="minorHAnsi"/>
          <w:color w:val="000000" w:themeColor="text1"/>
          <w:szCs w:val="22"/>
          <w:lang w:eastAsia="en-AU"/>
        </w:rPr>
      </w:pPr>
      <w:r w:rsidRPr="00087716">
        <w:rPr>
          <w:rFonts w:eastAsia="Times New Roman" w:cstheme="minorHAnsi"/>
          <w:b/>
          <w:color w:val="000000" w:themeColor="text1"/>
          <w:szCs w:val="22"/>
          <w:lang w:eastAsia="en-AU"/>
        </w:rPr>
        <w:t>Services Australia</w:t>
      </w:r>
      <w:r w:rsidRPr="00087716">
        <w:rPr>
          <w:rFonts w:eastAsia="Times New Roman" w:cstheme="minorHAnsi"/>
          <w:color w:val="000000" w:themeColor="text1"/>
          <w:szCs w:val="22"/>
          <w:lang w:eastAsia="en-AU"/>
        </w:rPr>
        <w:t xml:space="preserve"> is responsible for administering the Disability Support Pension on the </w:t>
      </w:r>
      <w:r w:rsidR="0054557F">
        <w:rPr>
          <w:rFonts w:eastAsia="Times New Roman" w:cstheme="minorHAnsi"/>
          <w:color w:val="000000" w:themeColor="text1"/>
          <w:szCs w:val="22"/>
          <w:lang w:eastAsia="en-AU"/>
        </w:rPr>
        <w:t>d</w:t>
      </w:r>
      <w:r w:rsidRPr="00087716">
        <w:rPr>
          <w:rFonts w:eastAsia="Times New Roman" w:cstheme="minorHAnsi"/>
          <w:color w:val="000000" w:themeColor="text1"/>
          <w:szCs w:val="22"/>
          <w:lang w:eastAsia="en-AU"/>
        </w:rPr>
        <w:t>epartment’s behalf, including managing applications and making payments.</w:t>
      </w:r>
    </w:p>
    <w:p w14:paraId="4B0FE245" w14:textId="49513E0D" w:rsidR="00E71249" w:rsidRPr="00FD4C88" w:rsidRDefault="00E71249" w:rsidP="00FD4C88">
      <w:pPr>
        <w:pStyle w:val="Heading4"/>
        <w:rPr>
          <w:sz w:val="22"/>
          <w:szCs w:val="22"/>
        </w:rPr>
      </w:pPr>
      <w:r w:rsidRPr="00FD4C88">
        <w:rPr>
          <w:sz w:val="22"/>
          <w:szCs w:val="22"/>
        </w:rPr>
        <w:t>Performance Measure</w:t>
      </w:r>
    </w:p>
    <w:p w14:paraId="3B6844FD" w14:textId="77777777" w:rsidR="00E71249" w:rsidRPr="00087716" w:rsidRDefault="00E71249" w:rsidP="00CD5645">
      <w:pPr>
        <w:suppressAutoHyphens/>
        <w:spacing w:before="120" w:after="160"/>
        <w:rPr>
          <w:rFonts w:eastAsia="Times New Roman" w:cstheme="minorHAnsi"/>
          <w:color w:val="000000" w:themeColor="text1"/>
          <w:szCs w:val="22"/>
          <w:lang w:eastAsia="en-AU"/>
        </w:rPr>
      </w:pPr>
      <w:r w:rsidRPr="00087716">
        <w:rPr>
          <w:rFonts w:eastAsia="Times New Roman" w:cstheme="minorHAnsi"/>
          <w:color w:val="000000" w:themeColor="text1"/>
          <w:szCs w:val="22"/>
          <w:lang w:eastAsia="en-AU"/>
        </w:rPr>
        <w:t>1.4.1-1 Extent to which Disability Support Pension policies support a Disability Support Pension recipient to participate in the workforce.</w:t>
      </w:r>
    </w:p>
    <w:tbl>
      <w:tblPr>
        <w:tblStyle w:val="TableGrid39"/>
        <w:tblW w:w="4976" w:type="pct"/>
        <w:jc w:val="center"/>
        <w:tblLook w:val="04A0" w:firstRow="1" w:lastRow="0" w:firstColumn="1" w:lastColumn="0" w:noHBand="0" w:noVBand="1"/>
        <w:tblCaption w:val="Table 13 - Extent to which Disability Support Pension policies support a Disability Support Pension recipient to participate in the workforce"/>
        <w:tblDescription w:val="Target for the extent to which Disability Support Pension policies support a Disability Support Pension recipient to participate in the workforce"/>
      </w:tblPr>
      <w:tblGrid>
        <w:gridCol w:w="3899"/>
        <w:gridCol w:w="1563"/>
        <w:gridCol w:w="1563"/>
        <w:gridCol w:w="1562"/>
        <w:gridCol w:w="1558"/>
      </w:tblGrid>
      <w:tr w:rsidR="00E71249" w:rsidRPr="00087716" w14:paraId="04FF8CB4" w14:textId="77777777" w:rsidTr="00496219">
        <w:trPr>
          <w:cantSplit/>
          <w:trHeight w:val="356"/>
          <w:tblHeader/>
          <w:jc w:val="center"/>
        </w:trPr>
        <w:tc>
          <w:tcPr>
            <w:tcW w:w="1921" w:type="pct"/>
            <w:tcBorders>
              <w:top w:val="single" w:sz="4" w:space="0" w:color="auto"/>
              <w:bottom w:val="single" w:sz="4" w:space="0" w:color="auto"/>
              <w:right w:val="single" w:sz="6" w:space="0" w:color="auto"/>
            </w:tcBorders>
            <w:shd w:val="clear" w:color="auto" w:fill="D9D9D6"/>
          </w:tcPr>
          <w:p w14:paraId="2A2B622C" w14:textId="77777777" w:rsidR="00E71249" w:rsidRPr="00087716" w:rsidRDefault="00E71249" w:rsidP="00496219">
            <w:pPr>
              <w:spacing w:before="120" w:after="60" w:line="252" w:lineRule="auto"/>
              <w:rPr>
                <w:rFonts w:asciiTheme="minorHAnsi" w:hAnsiTheme="minorHAnsi" w:cstheme="minorHAnsi"/>
                <w:szCs w:val="22"/>
              </w:rPr>
            </w:pPr>
            <w:r w:rsidRPr="00087716">
              <w:rPr>
                <w:rFonts w:asciiTheme="minorHAnsi" w:hAnsiTheme="minorHAnsi" w:cstheme="minorHAnsi"/>
                <w:b/>
                <w:szCs w:val="22"/>
              </w:rPr>
              <w:t>Target</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tcPr>
          <w:p w14:paraId="5D61F7AB" w14:textId="77777777" w:rsidR="00E71249" w:rsidRPr="00087716" w:rsidRDefault="00E71249" w:rsidP="00496219">
            <w:pPr>
              <w:spacing w:before="120" w:after="60" w:line="252" w:lineRule="auto"/>
              <w:rPr>
                <w:rFonts w:asciiTheme="minorHAnsi" w:hAnsiTheme="minorHAnsi" w:cstheme="minorHAnsi"/>
                <w:szCs w:val="22"/>
              </w:rPr>
            </w:pPr>
            <w:r w:rsidRPr="00087716">
              <w:rPr>
                <w:rFonts w:asciiTheme="minorHAnsi" w:hAnsiTheme="minorHAnsi" w:cstheme="minorHAnsi"/>
                <w:b/>
                <w:szCs w:val="22"/>
              </w:rPr>
              <w:t>2026–27</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tcPr>
          <w:p w14:paraId="1267321E" w14:textId="77777777" w:rsidR="00E71249" w:rsidRPr="00087716" w:rsidRDefault="00E71249" w:rsidP="00496219">
            <w:pPr>
              <w:spacing w:before="120" w:after="60" w:line="252" w:lineRule="auto"/>
              <w:rPr>
                <w:rFonts w:asciiTheme="minorHAnsi" w:hAnsiTheme="minorHAnsi" w:cstheme="minorHAnsi"/>
                <w:b/>
                <w:szCs w:val="22"/>
              </w:rPr>
            </w:pPr>
            <w:r w:rsidRPr="00087716">
              <w:rPr>
                <w:rFonts w:asciiTheme="minorHAnsi" w:hAnsiTheme="minorHAnsi" w:cstheme="minorHAnsi"/>
                <w:b/>
                <w:szCs w:val="22"/>
              </w:rPr>
              <w:t>2027–28</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tcPr>
          <w:p w14:paraId="1BFA57F5" w14:textId="77777777" w:rsidR="00E71249" w:rsidRPr="00087716" w:rsidRDefault="00E71249" w:rsidP="00496219">
            <w:pPr>
              <w:spacing w:before="120" w:after="60" w:line="252" w:lineRule="auto"/>
              <w:rPr>
                <w:rFonts w:asciiTheme="minorHAnsi" w:hAnsiTheme="minorHAnsi" w:cstheme="minorHAnsi"/>
                <w:b/>
                <w:szCs w:val="22"/>
              </w:rPr>
            </w:pPr>
            <w:r w:rsidRPr="00087716">
              <w:rPr>
                <w:rFonts w:asciiTheme="minorHAnsi" w:hAnsiTheme="minorHAnsi" w:cstheme="minorHAnsi"/>
                <w:b/>
                <w:szCs w:val="22"/>
              </w:rPr>
              <w:t>2028–29</w:t>
            </w:r>
          </w:p>
        </w:tc>
        <w:tc>
          <w:tcPr>
            <w:tcW w:w="768" w:type="pct"/>
            <w:tcBorders>
              <w:top w:val="single" w:sz="4" w:space="0" w:color="auto"/>
              <w:left w:val="single" w:sz="6" w:space="0" w:color="auto"/>
              <w:bottom w:val="single" w:sz="4" w:space="0" w:color="auto"/>
              <w:right w:val="single" w:sz="4" w:space="0" w:color="auto"/>
            </w:tcBorders>
            <w:shd w:val="clear" w:color="auto" w:fill="D9D9D6"/>
            <w:vAlign w:val="center"/>
          </w:tcPr>
          <w:p w14:paraId="6E0D082D" w14:textId="77777777" w:rsidR="00E71249" w:rsidRPr="00087716" w:rsidRDefault="00E71249" w:rsidP="00496219">
            <w:pPr>
              <w:spacing w:before="120" w:after="60" w:line="252" w:lineRule="auto"/>
              <w:rPr>
                <w:rFonts w:asciiTheme="minorHAnsi" w:hAnsiTheme="minorHAnsi" w:cstheme="minorHAnsi"/>
                <w:b/>
                <w:szCs w:val="22"/>
              </w:rPr>
            </w:pPr>
            <w:r w:rsidRPr="00087716">
              <w:rPr>
                <w:rFonts w:asciiTheme="minorHAnsi" w:hAnsiTheme="minorHAnsi" w:cstheme="minorHAnsi"/>
                <w:b/>
                <w:szCs w:val="22"/>
              </w:rPr>
              <w:t>2029–30</w:t>
            </w:r>
          </w:p>
        </w:tc>
      </w:tr>
      <w:tr w:rsidR="00E71249" w:rsidRPr="00087716" w14:paraId="75336C9D" w14:textId="77777777" w:rsidTr="00496219">
        <w:trPr>
          <w:cantSplit/>
          <w:trHeight w:val="356"/>
          <w:jc w:val="center"/>
        </w:trPr>
        <w:tc>
          <w:tcPr>
            <w:tcW w:w="1921" w:type="pct"/>
            <w:tcBorders>
              <w:top w:val="single" w:sz="4" w:space="0" w:color="auto"/>
            </w:tcBorders>
          </w:tcPr>
          <w:p w14:paraId="5AC58DA9" w14:textId="4F692823" w:rsidR="00E71249" w:rsidRPr="00087716" w:rsidRDefault="0061319D" w:rsidP="00496219">
            <w:pPr>
              <w:spacing w:before="120" w:after="60" w:line="252" w:lineRule="auto"/>
              <w:rPr>
                <w:rFonts w:asciiTheme="minorHAnsi" w:hAnsiTheme="minorHAnsi" w:cstheme="minorHAnsi"/>
                <w:szCs w:val="22"/>
              </w:rPr>
            </w:pPr>
            <w:r>
              <w:rPr>
                <w:rFonts w:cstheme="minorHAnsi"/>
                <w:noProof/>
                <w:spacing w:val="4"/>
                <w:szCs w:val="22"/>
                <w:lang w:eastAsia="en-AU"/>
              </w:rPr>
              <mc:AlternateContent>
                <mc:Choice Requires="wps">
                  <w:drawing>
                    <wp:anchor distT="0" distB="0" distL="114300" distR="114300" simplePos="0" relativeHeight="251662344" behindDoc="0" locked="0" layoutInCell="1" allowOverlap="1" wp14:anchorId="1D1FCB33" wp14:editId="0C8369AB">
                      <wp:simplePos x="0" y="0"/>
                      <wp:positionH relativeFrom="column">
                        <wp:posOffset>-20055</wp:posOffset>
                      </wp:positionH>
                      <wp:positionV relativeFrom="paragraph">
                        <wp:posOffset>127862</wp:posOffset>
                      </wp:positionV>
                      <wp:extent cx="45719" cy="95535"/>
                      <wp:effectExtent l="0" t="0" r="12065" b="19050"/>
                      <wp:wrapNone/>
                      <wp:docPr id="1479635526" name="Diamond 5" descr="The diamond symbol represents Performance measures that may be impacted by external factors."/>
                      <wp:cNvGraphicFramePr/>
                      <a:graphic xmlns:a="http://schemas.openxmlformats.org/drawingml/2006/main">
                        <a:graphicData uri="http://schemas.microsoft.com/office/word/2010/wordprocessingShape">
                          <wps:wsp>
                            <wps:cNvSpPr/>
                            <wps:spPr>
                              <a:xfrm>
                                <a:off x="0" y="0"/>
                                <a:ext cx="45719" cy="95535"/>
                              </a:xfrm>
                              <a:prstGeom prst="diamond">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FF88A5" id="Diamond 5" o:spid="_x0000_s1026" type="#_x0000_t4" alt="The diamond symbol represents Performance measures that may be impacted by external factors." style="position:absolute;margin-left:-1.6pt;margin-top:10.05pt;width:3.6pt;height:7.5pt;z-index:251662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" fillcolor="black [3213]" strokecolor="#000d10 [484]" strokeweight=".73403mm"/>
                  </w:pict>
                </mc:Fallback>
              </mc:AlternateContent>
            </w:r>
            <w:r>
              <w:rPr>
                <w:rFonts w:asciiTheme="minorHAnsi" w:hAnsiTheme="minorHAnsi" w:cstheme="minorHAnsi"/>
                <w:spacing w:val="4"/>
                <w:szCs w:val="22"/>
                <w:lang w:eastAsia="en-AU"/>
              </w:rPr>
              <w:t xml:space="preserve"> </w:t>
            </w:r>
            <w:r w:rsidR="005A2AFD">
              <w:rPr>
                <w:rFonts w:asciiTheme="minorHAnsi" w:hAnsiTheme="minorHAnsi" w:cstheme="minorHAnsi"/>
                <w:spacing w:val="4"/>
                <w:szCs w:val="22"/>
                <w:lang w:eastAsia="en-AU"/>
              </w:rPr>
              <w:t xml:space="preserve"> </w:t>
            </w:r>
            <w:r w:rsidR="00E71249" w:rsidRPr="00087716">
              <w:rPr>
                <w:rFonts w:asciiTheme="minorHAnsi" w:hAnsiTheme="minorHAnsi" w:cstheme="minorHAnsi"/>
                <w:spacing w:val="4"/>
                <w:szCs w:val="22"/>
                <w:lang w:eastAsia="en-AU"/>
              </w:rPr>
              <w:t>1.4.1-1A</w:t>
            </w:r>
            <w:r w:rsidR="00E71249" w:rsidRPr="00087716">
              <w:rPr>
                <w:rFonts w:asciiTheme="minorHAnsi" w:hAnsiTheme="minorHAnsi" w:cstheme="minorHAnsi"/>
                <w:szCs w:val="22"/>
              </w:rPr>
              <w:t xml:space="preserve"> – </w:t>
            </w:r>
            <w:r w:rsidR="00E71249" w:rsidRPr="00087716">
              <w:rPr>
                <w:rFonts w:asciiTheme="minorHAnsi" w:hAnsiTheme="minorHAnsi" w:cstheme="minorHAnsi"/>
                <w:spacing w:val="4"/>
                <w:szCs w:val="22"/>
                <w:lang w:eastAsia="en-AU"/>
              </w:rPr>
              <w:t>Longer-term Disability Support Pension recipients participate in the workforce at a higher rate than newly granted Disability Support Pension recipients.</w:t>
            </w:r>
          </w:p>
        </w:tc>
        <w:tc>
          <w:tcPr>
            <w:tcW w:w="770" w:type="pct"/>
            <w:tcBorders>
              <w:top w:val="single" w:sz="4" w:space="0" w:color="auto"/>
            </w:tcBorders>
          </w:tcPr>
          <w:p w14:paraId="67D8760B" w14:textId="77777777" w:rsidR="00E71249" w:rsidRPr="00087716" w:rsidRDefault="00E71249" w:rsidP="00496219">
            <w:pPr>
              <w:spacing w:before="120" w:after="60" w:line="252" w:lineRule="auto"/>
              <w:rPr>
                <w:rFonts w:asciiTheme="minorHAnsi" w:hAnsiTheme="minorHAnsi" w:cstheme="minorHAnsi"/>
                <w:szCs w:val="22"/>
              </w:rPr>
            </w:pPr>
            <w:r w:rsidRPr="00087716">
              <w:rPr>
                <w:rFonts w:asciiTheme="minorHAnsi" w:hAnsiTheme="minorHAnsi" w:cstheme="minorHAnsi"/>
                <w:spacing w:val="4"/>
                <w:szCs w:val="22"/>
                <w:lang w:eastAsia="en-AU"/>
              </w:rPr>
              <w:t>Met/Not Met</w:t>
            </w:r>
          </w:p>
        </w:tc>
        <w:tc>
          <w:tcPr>
            <w:tcW w:w="770" w:type="pct"/>
            <w:tcBorders>
              <w:top w:val="single" w:sz="4" w:space="0" w:color="auto"/>
            </w:tcBorders>
          </w:tcPr>
          <w:p w14:paraId="7635622E" w14:textId="77777777" w:rsidR="00E71249" w:rsidRPr="00087716" w:rsidRDefault="00E71249" w:rsidP="00496219">
            <w:pPr>
              <w:spacing w:before="120" w:after="60" w:line="252" w:lineRule="auto"/>
              <w:rPr>
                <w:rFonts w:asciiTheme="minorHAnsi" w:hAnsiTheme="minorHAnsi" w:cstheme="minorHAnsi"/>
                <w:szCs w:val="22"/>
              </w:rPr>
            </w:pPr>
            <w:r w:rsidRPr="00087716">
              <w:rPr>
                <w:rFonts w:asciiTheme="minorHAnsi" w:hAnsiTheme="minorHAnsi" w:cstheme="minorHAnsi"/>
                <w:spacing w:val="4"/>
                <w:szCs w:val="22"/>
                <w:lang w:eastAsia="en-AU"/>
              </w:rPr>
              <w:t>Met/Not Met</w:t>
            </w:r>
          </w:p>
        </w:tc>
        <w:tc>
          <w:tcPr>
            <w:tcW w:w="770" w:type="pct"/>
            <w:tcBorders>
              <w:top w:val="single" w:sz="4" w:space="0" w:color="auto"/>
            </w:tcBorders>
          </w:tcPr>
          <w:p w14:paraId="790464E9" w14:textId="77777777" w:rsidR="00E71249" w:rsidRPr="00087716" w:rsidRDefault="00E71249" w:rsidP="00496219">
            <w:pPr>
              <w:spacing w:before="120" w:after="60" w:line="252" w:lineRule="auto"/>
              <w:rPr>
                <w:rFonts w:asciiTheme="minorHAnsi" w:hAnsiTheme="minorHAnsi" w:cstheme="minorHAnsi"/>
                <w:szCs w:val="22"/>
              </w:rPr>
            </w:pPr>
            <w:r w:rsidRPr="00087716">
              <w:rPr>
                <w:rFonts w:asciiTheme="minorHAnsi" w:hAnsiTheme="minorHAnsi" w:cstheme="minorHAnsi"/>
                <w:spacing w:val="4"/>
                <w:szCs w:val="22"/>
                <w:lang w:eastAsia="en-AU"/>
              </w:rPr>
              <w:t>Met/Not Met</w:t>
            </w:r>
          </w:p>
        </w:tc>
        <w:tc>
          <w:tcPr>
            <w:tcW w:w="768" w:type="pct"/>
            <w:tcBorders>
              <w:top w:val="single" w:sz="4" w:space="0" w:color="auto"/>
            </w:tcBorders>
          </w:tcPr>
          <w:p w14:paraId="38A0358E" w14:textId="77777777" w:rsidR="00E71249" w:rsidRPr="00087716" w:rsidRDefault="00E71249" w:rsidP="00496219">
            <w:pPr>
              <w:spacing w:before="120" w:after="60" w:line="252" w:lineRule="auto"/>
              <w:rPr>
                <w:rFonts w:asciiTheme="minorHAnsi" w:hAnsiTheme="minorHAnsi" w:cstheme="minorHAnsi"/>
                <w:szCs w:val="22"/>
              </w:rPr>
            </w:pPr>
            <w:r w:rsidRPr="00087716">
              <w:rPr>
                <w:rFonts w:asciiTheme="minorHAnsi" w:hAnsiTheme="minorHAnsi" w:cstheme="minorHAnsi"/>
                <w:spacing w:val="4"/>
                <w:szCs w:val="22"/>
                <w:lang w:eastAsia="en-AU"/>
              </w:rPr>
              <w:t>Met/Not Met</w:t>
            </w:r>
          </w:p>
        </w:tc>
      </w:tr>
    </w:tbl>
    <w:p w14:paraId="50DAAFAE" w14:textId="77777777" w:rsidR="00E71249" w:rsidRPr="00087716" w:rsidRDefault="00E71249" w:rsidP="00FD4C88">
      <w:pPr>
        <w:pStyle w:val="CPCustom3"/>
        <w:rPr>
          <w:lang w:eastAsia="en-AU"/>
        </w:rPr>
      </w:pPr>
      <w:r w:rsidRPr="00087716">
        <w:rPr>
          <w:lang w:eastAsia="en-AU"/>
        </w:rPr>
        <w:t>Rationale</w:t>
      </w:r>
    </w:p>
    <w:p w14:paraId="70928EBC" w14:textId="34B1743C" w:rsidR="00E71249" w:rsidRPr="00087716" w:rsidRDefault="00E71249" w:rsidP="00CD5645">
      <w:pPr>
        <w:suppressAutoHyphens/>
        <w:spacing w:before="120" w:after="160"/>
        <w:rPr>
          <w:rFonts w:eastAsia="Times New Roman" w:cstheme="minorHAnsi"/>
          <w:szCs w:val="22"/>
          <w:lang w:eastAsia="en-AU"/>
        </w:rPr>
      </w:pPr>
      <w:r w:rsidRPr="00087716">
        <w:rPr>
          <w:rFonts w:eastAsia="Times New Roman" w:cstheme="minorHAnsi"/>
          <w:szCs w:val="22"/>
          <w:lang w:eastAsia="en-AU"/>
        </w:rPr>
        <w:t>Comparing the extent to which Disability Support Pension recipients participate in the workforce when they first enter the payment (up to the first 2 years on payment) against longer term recipients (more than 2 years on payment) demonstrates that the payment supports recipients who are less likely to be able to fully support themselves when they seek social security support and supports recipients to increase workforce participation, where they can, to improve self-reliance over time.</w:t>
      </w:r>
    </w:p>
    <w:p w14:paraId="417AAB0C" w14:textId="77777777" w:rsidR="00E71249" w:rsidRPr="00087716" w:rsidRDefault="00E71249" w:rsidP="00CD5645">
      <w:pPr>
        <w:suppressAutoHyphens/>
        <w:spacing w:before="120" w:after="160"/>
        <w:rPr>
          <w:rFonts w:eastAsia="Times New Roman" w:cstheme="minorHAnsi"/>
          <w:szCs w:val="22"/>
          <w:lang w:eastAsia="en-AU"/>
        </w:rPr>
      </w:pPr>
      <w:r w:rsidRPr="00087716">
        <w:rPr>
          <w:rFonts w:eastAsia="Times New Roman" w:cstheme="minorHAnsi"/>
          <w:szCs w:val="22"/>
          <w:lang w:eastAsia="en-AU"/>
        </w:rPr>
        <w:t xml:space="preserve">Arrangements currently built into the Disability Support Pension eligibility criteria seek to encourage and support people to re-enter or increase participation in the workforce, where they can. The </w:t>
      </w:r>
      <w:r w:rsidRPr="00087716">
        <w:rPr>
          <w:rFonts w:eastAsia="Times New Roman" w:cstheme="minorHAnsi"/>
          <w:szCs w:val="22"/>
          <w:lang w:eastAsia="en-AU"/>
        </w:rPr>
        <w:lastRenderedPageBreak/>
        <w:t>measure demonstrates the effectiveness of those policies in supporting people to take up additional work while in receipt of payment, subject to income testing.</w:t>
      </w:r>
    </w:p>
    <w:p w14:paraId="1A00C2CE" w14:textId="77777777" w:rsidR="00E71249" w:rsidRPr="00087716" w:rsidRDefault="00E71249" w:rsidP="00CD5645">
      <w:pPr>
        <w:suppressAutoHyphens/>
        <w:spacing w:before="120" w:after="160"/>
        <w:rPr>
          <w:rFonts w:eastAsia="Times New Roman" w:cstheme="minorHAnsi"/>
          <w:szCs w:val="22"/>
          <w:lang w:eastAsia="en-AU"/>
        </w:rPr>
      </w:pPr>
      <w:r w:rsidRPr="00087716">
        <w:rPr>
          <w:rFonts w:eastAsia="Times New Roman" w:cstheme="minorHAnsi"/>
          <w:szCs w:val="22"/>
          <w:lang w:eastAsia="en-AU"/>
        </w:rPr>
        <w:t xml:space="preserve">The measure compares the proportion of working age Disability Support Pension recipients (those aged 16 to age pension age) participating in paid work, by their duration on Disability Support Pension. Specifically, Disability Support Pension recipients that have been in receipt of payment for more than two years are compared to recipients that have been on payment for up to two years. Recipients </w:t>
      </w:r>
      <w:proofErr w:type="gramStart"/>
      <w:r w:rsidRPr="00087716">
        <w:rPr>
          <w:rFonts w:eastAsia="Times New Roman" w:cstheme="minorHAnsi"/>
          <w:szCs w:val="22"/>
          <w:lang w:eastAsia="en-AU"/>
        </w:rPr>
        <w:t>are considered to be</w:t>
      </w:r>
      <w:proofErr w:type="gramEnd"/>
      <w:r w:rsidRPr="00087716">
        <w:rPr>
          <w:rFonts w:eastAsia="Times New Roman" w:cstheme="minorHAnsi"/>
          <w:szCs w:val="22"/>
          <w:lang w:eastAsia="en-AU"/>
        </w:rPr>
        <w:t xml:space="preserve"> in paid work where they report hours worked.</w:t>
      </w:r>
    </w:p>
    <w:p w14:paraId="2A3E0B57" w14:textId="77777777" w:rsidR="00E71249" w:rsidRPr="00087716" w:rsidRDefault="00E71249" w:rsidP="00FD4C88">
      <w:pPr>
        <w:pStyle w:val="CPCustom3"/>
        <w:rPr>
          <w:lang w:eastAsia="en-AU"/>
        </w:rPr>
      </w:pPr>
      <w:r w:rsidRPr="00087716">
        <w:rPr>
          <w:lang w:eastAsia="en-AU"/>
        </w:rPr>
        <w:t>Methodology</w:t>
      </w:r>
    </w:p>
    <w:p w14:paraId="2945CC6B" w14:textId="19A3BFAE" w:rsidR="00E71249" w:rsidRPr="00087716" w:rsidRDefault="00E71249" w:rsidP="00CD5645">
      <w:pPr>
        <w:suppressAutoHyphens/>
        <w:spacing w:before="120" w:after="160"/>
        <w:rPr>
          <w:rFonts w:eastAsia="Times New Roman" w:cstheme="minorHAnsi"/>
          <w:color w:val="000000" w:themeColor="text1"/>
          <w:szCs w:val="22"/>
          <w:lang w:eastAsia="en-AU"/>
        </w:rPr>
      </w:pPr>
      <w:r w:rsidRPr="00087716">
        <w:rPr>
          <w:rFonts w:eastAsia="Times New Roman" w:cstheme="minorHAnsi"/>
          <w:szCs w:val="22"/>
          <w:lang w:eastAsia="en-AU"/>
        </w:rPr>
        <w:t xml:space="preserve">Disability Support Pension recipients below </w:t>
      </w:r>
      <w:r w:rsidR="00CC4BFB">
        <w:rPr>
          <w:rFonts w:eastAsia="Times New Roman" w:cstheme="minorHAnsi"/>
          <w:szCs w:val="22"/>
          <w:lang w:eastAsia="en-AU"/>
        </w:rPr>
        <w:t>A</w:t>
      </w:r>
      <w:r w:rsidRPr="00087716">
        <w:rPr>
          <w:rFonts w:eastAsia="Times New Roman" w:cstheme="minorHAnsi"/>
          <w:szCs w:val="22"/>
          <w:lang w:eastAsia="en-AU"/>
        </w:rPr>
        <w:t xml:space="preserve">ge </w:t>
      </w:r>
      <w:r w:rsidR="00CC4BFB">
        <w:rPr>
          <w:rFonts w:eastAsia="Times New Roman" w:cstheme="minorHAnsi"/>
          <w:szCs w:val="22"/>
          <w:lang w:eastAsia="en-AU"/>
        </w:rPr>
        <w:t>P</w:t>
      </w:r>
      <w:r w:rsidRPr="00087716">
        <w:rPr>
          <w:rFonts w:eastAsia="Times New Roman" w:cstheme="minorHAnsi"/>
          <w:szCs w:val="22"/>
          <w:lang w:eastAsia="en-AU"/>
        </w:rPr>
        <w:t>ension are grouped into two categories</w:t>
      </w:r>
      <w:r w:rsidRPr="00087716">
        <w:rPr>
          <w:rFonts w:eastAsia="Times New Roman" w:cstheme="minorHAnsi"/>
          <w:color w:val="000000" w:themeColor="text1"/>
          <w:szCs w:val="22"/>
          <w:lang w:eastAsia="en-AU"/>
        </w:rPr>
        <w:t>:</w:t>
      </w:r>
    </w:p>
    <w:p w14:paraId="75BFE71B" w14:textId="77777777" w:rsidR="00E71249" w:rsidRPr="00087716" w:rsidRDefault="00E71249" w:rsidP="00CD5645">
      <w:pPr>
        <w:pStyle w:val="ListParagraph"/>
        <w:spacing w:before="120" w:after="160"/>
        <w:ind w:left="714" w:hanging="357"/>
      </w:pPr>
      <w:r w:rsidRPr="00087716">
        <w:t>those that became entitled for payment more than two years prior to the reported date; and</w:t>
      </w:r>
    </w:p>
    <w:p w14:paraId="5E11E686" w14:textId="77777777" w:rsidR="00E71249" w:rsidRPr="00087716" w:rsidRDefault="00E71249" w:rsidP="00CD5645">
      <w:pPr>
        <w:pStyle w:val="ListParagraph"/>
        <w:spacing w:before="120" w:after="160"/>
        <w:ind w:left="714" w:hanging="357"/>
      </w:pPr>
      <w:r w:rsidRPr="00087716">
        <w:t>those that became entitled for payment two years prior to the reported date or more recently.</w:t>
      </w:r>
    </w:p>
    <w:p w14:paraId="6FC59C49" w14:textId="39FD36F3" w:rsidR="00E71249" w:rsidRPr="00087716" w:rsidRDefault="00E71249" w:rsidP="00CD5645">
      <w:pPr>
        <w:suppressAutoHyphens/>
        <w:spacing w:before="120" w:after="160"/>
        <w:rPr>
          <w:rFonts w:eastAsia="Times New Roman" w:cstheme="minorHAnsi"/>
          <w:color w:val="000000" w:themeColor="text1"/>
          <w:szCs w:val="22"/>
          <w:lang w:eastAsia="en-AU"/>
        </w:rPr>
      </w:pPr>
      <w:r w:rsidRPr="00087716">
        <w:rPr>
          <w:rFonts w:eastAsia="Times New Roman" w:cstheme="minorHAnsi"/>
          <w:color w:val="000000" w:themeColor="text1"/>
          <w:szCs w:val="22"/>
          <w:lang w:eastAsia="en-AU"/>
        </w:rPr>
        <w:t xml:space="preserve">These </w:t>
      </w:r>
      <w:r w:rsidR="00CC4BFB">
        <w:rPr>
          <w:rFonts w:eastAsia="Times New Roman" w:cstheme="minorHAnsi"/>
          <w:color w:val="000000" w:themeColor="text1"/>
          <w:szCs w:val="22"/>
          <w:lang w:eastAsia="en-AU"/>
        </w:rPr>
        <w:t>two</w:t>
      </w:r>
      <w:r w:rsidRPr="00087716">
        <w:rPr>
          <w:rFonts w:eastAsia="Times New Roman" w:cstheme="minorHAnsi"/>
          <w:color w:val="000000" w:themeColor="text1"/>
          <w:szCs w:val="22"/>
          <w:lang w:eastAsia="en-AU"/>
        </w:rPr>
        <w:t xml:space="preserve"> groups are separated into those reporting hours worked and those not reporting any hours worked.</w:t>
      </w:r>
    </w:p>
    <w:p w14:paraId="0B099528" w14:textId="77777777" w:rsidR="00E71249" w:rsidRPr="00087716" w:rsidRDefault="00E71249" w:rsidP="00CD5645">
      <w:pPr>
        <w:suppressAutoHyphens/>
        <w:spacing w:before="120" w:after="160"/>
        <w:rPr>
          <w:rFonts w:eastAsia="Times New Roman" w:cstheme="minorHAnsi"/>
          <w:color w:val="000000" w:themeColor="text1"/>
          <w:szCs w:val="22"/>
          <w:lang w:eastAsia="en-AU"/>
        </w:rPr>
      </w:pPr>
      <w:r w:rsidRPr="00087716">
        <w:rPr>
          <w:rFonts w:eastAsia="Times New Roman" w:cstheme="minorHAnsi"/>
          <w:color w:val="000000" w:themeColor="text1"/>
          <w:szCs w:val="22"/>
          <w:lang w:eastAsia="en-AU"/>
        </w:rPr>
        <w:t>The proportion of each group reporting hours worked are then compared.</w:t>
      </w:r>
    </w:p>
    <w:p w14:paraId="09ABE418" w14:textId="77777777" w:rsidR="00E71249" w:rsidRPr="00087716" w:rsidRDefault="00E71249" w:rsidP="00FD4C88">
      <w:pPr>
        <w:pStyle w:val="CPCustom3"/>
        <w:rPr>
          <w:lang w:eastAsia="en-AU"/>
        </w:rPr>
      </w:pPr>
      <w:r w:rsidRPr="00087716">
        <w:rPr>
          <w:lang w:eastAsia="en-AU"/>
        </w:rPr>
        <w:t>Data Categorisation</w:t>
      </w:r>
    </w:p>
    <w:tbl>
      <w:tblPr>
        <w:tblStyle w:val="TableGrid7"/>
        <w:tblpPr w:leftFromText="180" w:rightFromText="180" w:vertAnchor="text" w:horzAnchor="margin" w:tblpXSpec="center" w:tblpY="11"/>
        <w:tblW w:w="10207" w:type="dxa"/>
        <w:tblLook w:val="04A0" w:firstRow="1" w:lastRow="0" w:firstColumn="1" w:lastColumn="0" w:noHBand="0" w:noVBand="1"/>
        <w:tblCaption w:val="Table 14 - Categorisation of data source"/>
        <w:tblDescription w:val="Categorisation of data source"/>
      </w:tblPr>
      <w:tblGrid>
        <w:gridCol w:w="4962"/>
        <w:gridCol w:w="5245"/>
      </w:tblGrid>
      <w:tr w:rsidR="00E71249" w:rsidRPr="00087716" w14:paraId="35FF58DF" w14:textId="77777777" w:rsidTr="00496219">
        <w:trPr>
          <w:trHeight w:val="700"/>
          <w:tblHeader/>
        </w:trPr>
        <w:tc>
          <w:tcPr>
            <w:tcW w:w="4962" w:type="dxa"/>
            <w:shd w:val="clear" w:color="auto" w:fill="215868"/>
            <w:vAlign w:val="center"/>
          </w:tcPr>
          <w:p w14:paraId="225A27EA" w14:textId="77777777" w:rsidR="00E71249" w:rsidRPr="00087716" w:rsidRDefault="00E71249" w:rsidP="00496219">
            <w:pPr>
              <w:suppressAutoHyphens/>
              <w:spacing w:before="120" w:after="120"/>
              <w:rPr>
                <w:rFonts w:cstheme="minorHAnsi"/>
                <w:b/>
                <w:bCs/>
                <w:color w:val="FFFFFF" w:themeColor="background1"/>
                <w:szCs w:val="22"/>
              </w:rPr>
            </w:pPr>
            <w:r w:rsidRPr="00087716">
              <w:rPr>
                <w:rFonts w:cstheme="minorHAnsi"/>
                <w:b/>
                <w:szCs w:val="22"/>
                <w:lang w:eastAsia="en-AU"/>
              </w:rPr>
              <w:t xml:space="preserve"> </w:t>
            </w:r>
            <w:r w:rsidRPr="00087716">
              <w:rPr>
                <w:rFonts w:cstheme="minorHAnsi"/>
                <w:b/>
                <w:bCs/>
                <w:color w:val="FFFFFF" w:themeColor="background1"/>
                <w:szCs w:val="22"/>
              </w:rPr>
              <w:t xml:space="preserve">Categorisation of data source </w:t>
            </w:r>
          </w:p>
        </w:tc>
        <w:tc>
          <w:tcPr>
            <w:tcW w:w="5245" w:type="dxa"/>
            <w:shd w:val="clear" w:color="auto" w:fill="215868"/>
            <w:vAlign w:val="center"/>
          </w:tcPr>
          <w:p w14:paraId="77BA0283" w14:textId="77777777" w:rsidR="00E71249" w:rsidRPr="00087716" w:rsidRDefault="00E71249" w:rsidP="00496219">
            <w:pPr>
              <w:suppressAutoHyphens/>
              <w:spacing w:before="120" w:after="120"/>
              <w:rPr>
                <w:rFonts w:cstheme="minorHAnsi"/>
                <w:b/>
                <w:bCs/>
                <w:color w:val="FFFFFF" w:themeColor="background1"/>
                <w:szCs w:val="22"/>
              </w:rPr>
            </w:pPr>
            <w:r w:rsidRPr="00087716">
              <w:rPr>
                <w:rFonts w:cstheme="minorHAnsi"/>
                <w:b/>
                <w:bCs/>
                <w:color w:val="FFFFFF" w:themeColor="background1"/>
                <w:szCs w:val="22"/>
              </w:rPr>
              <w:t>Data source</w:t>
            </w:r>
          </w:p>
        </w:tc>
      </w:tr>
      <w:tr w:rsidR="00E71249" w:rsidRPr="00087716" w14:paraId="0F9166A9" w14:textId="77777777" w:rsidTr="00496219">
        <w:trPr>
          <w:trHeight w:val="700"/>
        </w:trPr>
        <w:tc>
          <w:tcPr>
            <w:tcW w:w="4962" w:type="dxa"/>
            <w:vAlign w:val="center"/>
          </w:tcPr>
          <w:p w14:paraId="20013177" w14:textId="77777777" w:rsidR="00E71249" w:rsidRPr="00087716" w:rsidRDefault="00E71249" w:rsidP="00496219">
            <w:pPr>
              <w:suppressAutoHyphens/>
              <w:spacing w:before="120" w:after="120"/>
              <w:rPr>
                <w:rFonts w:cstheme="minorHAnsi"/>
                <w:color w:val="000000" w:themeColor="text1"/>
                <w:szCs w:val="22"/>
              </w:rPr>
            </w:pPr>
            <w:r w:rsidRPr="00087716">
              <w:rPr>
                <w:rFonts w:cstheme="minorHAnsi"/>
                <w:noProof/>
                <w:szCs w:val="22"/>
              </w:rPr>
              <w:drawing>
                <wp:inline distT="0" distB="0" distL="0" distR="0" wp14:anchorId="084F769B" wp14:editId="6B85D9DE">
                  <wp:extent cx="1205357" cy="351909"/>
                  <wp:effectExtent l="0" t="0" r="0" b="0"/>
                  <wp:docPr id="940792951" name="picture" descr="Second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764941" name="picture" descr="Secondary Sour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5357" cy="351909"/>
                          </a:xfrm>
                          <a:prstGeom prst="rect">
                            <a:avLst/>
                          </a:prstGeom>
                        </pic:spPr>
                      </pic:pic>
                    </a:graphicData>
                  </a:graphic>
                </wp:inline>
              </w:drawing>
            </w:r>
            <w:r w:rsidRPr="00087716">
              <w:rPr>
                <w:rFonts w:cstheme="minorHAnsi"/>
                <w:noProof/>
                <w:szCs w:val="22"/>
              </w:rPr>
              <w:drawing>
                <wp:inline distT="0" distB="0" distL="0" distR="0" wp14:anchorId="09041762" wp14:editId="7D01B648">
                  <wp:extent cx="886700" cy="346367"/>
                  <wp:effectExtent l="0" t="0" r="8890" b="0"/>
                  <wp:docPr id="415887985" name="picture" descr="Tier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856704" name="picture" descr="Tier 1&#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6700" cy="346367"/>
                          </a:xfrm>
                          <a:prstGeom prst="rect">
                            <a:avLst/>
                          </a:prstGeom>
                        </pic:spPr>
                      </pic:pic>
                    </a:graphicData>
                  </a:graphic>
                </wp:inline>
              </w:drawing>
            </w:r>
          </w:p>
        </w:tc>
        <w:tc>
          <w:tcPr>
            <w:tcW w:w="5245" w:type="dxa"/>
            <w:vAlign w:val="center"/>
          </w:tcPr>
          <w:p w14:paraId="68D35C86" w14:textId="77777777" w:rsidR="00E71249" w:rsidRPr="00087716" w:rsidRDefault="00E71249" w:rsidP="00496219">
            <w:pPr>
              <w:suppressAutoHyphens/>
              <w:spacing w:before="120" w:after="120"/>
              <w:rPr>
                <w:rFonts w:cstheme="minorHAnsi"/>
                <w:color w:val="000000" w:themeColor="text1"/>
                <w:szCs w:val="22"/>
              </w:rPr>
            </w:pPr>
            <w:r w:rsidRPr="00087716">
              <w:rPr>
                <w:rFonts w:cstheme="minorHAnsi"/>
                <w:color w:val="000000" w:themeColor="text1"/>
                <w:szCs w:val="22"/>
              </w:rPr>
              <w:t>Services Australia administrative data</w:t>
            </w:r>
          </w:p>
        </w:tc>
      </w:tr>
    </w:tbl>
    <w:p w14:paraId="581C1D09" w14:textId="77777777" w:rsidR="00E71249" w:rsidRPr="00087716" w:rsidRDefault="00E71249" w:rsidP="00FD4C88">
      <w:pPr>
        <w:pStyle w:val="CPCustom3"/>
        <w:rPr>
          <w:lang w:eastAsia="en-AU"/>
        </w:rPr>
      </w:pPr>
      <w:r w:rsidRPr="00087716">
        <w:rPr>
          <w:lang w:eastAsia="en-AU"/>
        </w:rPr>
        <w:t xml:space="preserve">Supporting Information </w:t>
      </w:r>
    </w:p>
    <w:p w14:paraId="4992D296" w14:textId="77777777" w:rsidR="00E71249" w:rsidRPr="00087716" w:rsidRDefault="00E71249" w:rsidP="00577C1E">
      <w:pPr>
        <w:pStyle w:val="ListParagraph"/>
        <w:spacing w:before="120" w:after="160"/>
        <w:ind w:left="714" w:hanging="357"/>
        <w:rPr>
          <w:lang w:eastAsia="en-AU"/>
        </w:rPr>
      </w:pPr>
      <w:r w:rsidRPr="00087716">
        <w:rPr>
          <w:lang w:eastAsia="en-AU"/>
        </w:rPr>
        <w:t>Administered outlays</w:t>
      </w:r>
    </w:p>
    <w:p w14:paraId="20A5A90C" w14:textId="77777777" w:rsidR="00E71249" w:rsidRPr="00087716" w:rsidRDefault="00E71249" w:rsidP="00577C1E">
      <w:pPr>
        <w:pStyle w:val="ListParagraph"/>
        <w:spacing w:before="120" w:after="160"/>
        <w:ind w:left="714" w:hanging="357"/>
        <w:rPr>
          <w:lang w:eastAsia="en-AU"/>
        </w:rPr>
      </w:pPr>
      <w:r w:rsidRPr="00087716">
        <w:rPr>
          <w:lang w:eastAsia="en-AU"/>
        </w:rPr>
        <w:t>Payment accuracy</w:t>
      </w:r>
    </w:p>
    <w:p w14:paraId="0E53020F" w14:textId="77777777" w:rsidR="00E71249" w:rsidRPr="00087716" w:rsidRDefault="00E71249" w:rsidP="00577C1E">
      <w:pPr>
        <w:pStyle w:val="ListParagraph"/>
        <w:spacing w:before="120" w:after="160"/>
        <w:ind w:left="714" w:hanging="357"/>
        <w:rPr>
          <w:lang w:eastAsia="en-AU"/>
        </w:rPr>
      </w:pPr>
      <w:r w:rsidRPr="00087716">
        <w:rPr>
          <w:lang w:eastAsia="en-AU"/>
        </w:rPr>
        <w:t>Payment recipients</w:t>
      </w:r>
    </w:p>
    <w:p w14:paraId="2182C4FB" w14:textId="77777777" w:rsidR="00E71249" w:rsidRPr="00087716" w:rsidRDefault="00E71249" w:rsidP="00E71249">
      <w:pPr>
        <w:spacing w:before="120"/>
        <w:rPr>
          <w:rFonts w:cstheme="minorHAnsi"/>
          <w:szCs w:val="22"/>
        </w:rPr>
      </w:pPr>
      <w:r w:rsidRPr="00087716">
        <w:rPr>
          <w:rFonts w:cstheme="minorHAnsi"/>
          <w:szCs w:val="22"/>
        </w:rPr>
        <w:br w:type="page"/>
      </w:r>
    </w:p>
    <w:p w14:paraId="30CB8842" w14:textId="67C8BD5C" w:rsidR="00E71249" w:rsidRPr="00DD6FA0" w:rsidRDefault="00E71249" w:rsidP="00DD6FA0">
      <w:pPr>
        <w:pStyle w:val="Heading3"/>
        <w:shd w:val="clear" w:color="auto" w:fill="005A70" w:themeFill="accent1"/>
        <w:rPr>
          <w:rFonts w:asciiTheme="minorHAnsi" w:hAnsiTheme="minorHAnsi" w:cstheme="minorHAnsi"/>
          <w:b/>
          <w:bCs w:val="0"/>
          <w:color w:val="FFFFFF" w:themeColor="background1"/>
          <w:sz w:val="22"/>
          <w:szCs w:val="22"/>
          <w:lang w:eastAsia="en-AU"/>
        </w:rPr>
      </w:pPr>
      <w:bookmarkStart w:id="91" w:name="_Toc238653294"/>
      <w:r w:rsidRPr="00DD6FA0">
        <w:rPr>
          <w:rFonts w:asciiTheme="minorHAnsi" w:hAnsiTheme="minorHAnsi" w:cstheme="minorHAnsi"/>
          <w:b/>
          <w:bCs w:val="0"/>
          <w:color w:val="FFFFFF" w:themeColor="background1"/>
          <w:sz w:val="22"/>
          <w:szCs w:val="22"/>
          <w:lang w:eastAsia="en-AU"/>
        </w:rPr>
        <w:lastRenderedPageBreak/>
        <w:t>P</w:t>
      </w:r>
      <w:r w:rsidR="00FD4C88" w:rsidRPr="00DD6FA0">
        <w:rPr>
          <w:rFonts w:asciiTheme="minorHAnsi" w:hAnsiTheme="minorHAnsi" w:cstheme="minorHAnsi"/>
          <w:b/>
          <w:bCs w:val="0"/>
          <w:color w:val="FFFFFF" w:themeColor="background1"/>
          <w:sz w:val="22"/>
          <w:szCs w:val="22"/>
          <w:lang w:eastAsia="en-AU"/>
        </w:rPr>
        <w:t>rogram</w:t>
      </w:r>
      <w:r w:rsidRPr="00DD6FA0">
        <w:rPr>
          <w:rFonts w:asciiTheme="minorHAnsi" w:hAnsiTheme="minorHAnsi" w:cstheme="minorHAnsi"/>
          <w:b/>
          <w:bCs w:val="0"/>
          <w:color w:val="FFFFFF" w:themeColor="background1"/>
          <w:sz w:val="22"/>
          <w:szCs w:val="22"/>
          <w:lang w:eastAsia="en-AU"/>
        </w:rPr>
        <w:t xml:space="preserve"> 1.5 F</w:t>
      </w:r>
      <w:r w:rsidR="00FD4C88" w:rsidRPr="00DD6FA0">
        <w:rPr>
          <w:rFonts w:asciiTheme="minorHAnsi" w:hAnsiTheme="minorHAnsi" w:cstheme="minorHAnsi"/>
          <w:b/>
          <w:bCs w:val="0"/>
          <w:color w:val="FFFFFF" w:themeColor="background1"/>
          <w:sz w:val="22"/>
          <w:szCs w:val="22"/>
          <w:lang w:eastAsia="en-AU"/>
        </w:rPr>
        <w:t>inancial Support for Carers</w:t>
      </w:r>
      <w:bookmarkEnd w:id="91"/>
    </w:p>
    <w:p w14:paraId="0B3712DD" w14:textId="77777777" w:rsidR="00E71249" w:rsidRPr="00087716" w:rsidRDefault="00E71249" w:rsidP="00E71249">
      <w:pPr>
        <w:shd w:val="clear" w:color="auto" w:fill="005A70"/>
        <w:spacing w:before="120" w:line="259" w:lineRule="auto"/>
        <w:rPr>
          <w:rFonts w:eastAsiaTheme="minorEastAsia" w:cstheme="minorHAnsi"/>
          <w:color w:val="FFFFFF" w:themeColor="background1"/>
          <w:szCs w:val="22"/>
          <w:lang w:eastAsia="en-AU"/>
        </w:rPr>
      </w:pPr>
      <w:r w:rsidRPr="00087716">
        <w:rPr>
          <w:rFonts w:eastAsiaTheme="minorEastAsia" w:cstheme="minorHAnsi"/>
          <w:color w:val="FFFFFF" w:themeColor="background1"/>
          <w:szCs w:val="22"/>
          <w:lang w:eastAsia="en-AU"/>
        </w:rPr>
        <w:t>To financially assist eligible carers of people with disability or a severe medical condition.</w:t>
      </w:r>
    </w:p>
    <w:p w14:paraId="5ADB5551" w14:textId="77777777" w:rsidR="00E71249" w:rsidRPr="002A5B00" w:rsidRDefault="00E71249" w:rsidP="002A5B00">
      <w:pPr>
        <w:pStyle w:val="Heading4"/>
        <w:shd w:val="clear" w:color="auto" w:fill="B1E4E3" w:themeFill="accent3"/>
        <w:spacing w:before="60" w:after="60"/>
        <w:rPr>
          <w:color w:val="auto"/>
          <w:sz w:val="22"/>
          <w:szCs w:val="22"/>
        </w:rPr>
      </w:pPr>
      <w:r w:rsidRPr="002A5B00">
        <w:rPr>
          <w:color w:val="auto"/>
          <w:sz w:val="22"/>
          <w:szCs w:val="22"/>
        </w:rPr>
        <w:t>Key Activity — 1.5.1 Carer Payment and Carer Allowance</w:t>
      </w:r>
    </w:p>
    <w:p w14:paraId="2B64E4A3" w14:textId="77777777" w:rsidR="00E71249" w:rsidRPr="00087716" w:rsidRDefault="00E71249" w:rsidP="00577C1E">
      <w:pPr>
        <w:suppressAutoHyphens/>
        <w:spacing w:before="120" w:after="160" w:line="257" w:lineRule="auto"/>
        <w:rPr>
          <w:rFonts w:eastAsia="Tahoma" w:cstheme="minorHAnsi"/>
          <w:szCs w:val="22"/>
          <w:lang w:eastAsia="en-AU"/>
        </w:rPr>
      </w:pPr>
      <w:r w:rsidRPr="00087716">
        <w:rPr>
          <w:rFonts w:eastAsia="Tahoma" w:cstheme="minorHAnsi"/>
          <w:szCs w:val="22"/>
          <w:lang w:eastAsia="en-AU"/>
        </w:rPr>
        <w:t>The Carer Payment and Carer Allowance are key activities of the Financial Support for Carers Program and provide financial assistance to eligible carers of people with disability or a severe medical condition.</w:t>
      </w:r>
    </w:p>
    <w:p w14:paraId="58A3FD62" w14:textId="77777777" w:rsidR="00E71249" w:rsidRPr="00087716" w:rsidRDefault="00E71249" w:rsidP="00577C1E">
      <w:pPr>
        <w:suppressAutoHyphens/>
        <w:spacing w:before="120" w:after="160" w:line="257" w:lineRule="auto"/>
        <w:rPr>
          <w:rFonts w:eastAsia="Tahoma" w:cstheme="minorHAnsi"/>
          <w:szCs w:val="22"/>
          <w:lang w:eastAsia="en-AU"/>
        </w:rPr>
      </w:pPr>
      <w:r w:rsidRPr="00087716">
        <w:rPr>
          <w:rFonts w:eastAsia="Tahoma" w:cstheme="minorHAnsi"/>
          <w:b/>
          <w:color w:val="000000"/>
          <w:szCs w:val="22"/>
          <w:lang w:eastAsia="en-AU"/>
        </w:rPr>
        <w:t>Carer Payment</w:t>
      </w:r>
      <w:r w:rsidRPr="00087716">
        <w:rPr>
          <w:rFonts w:eastAsia="Tahoma" w:cstheme="minorHAnsi"/>
          <w:color w:val="000000"/>
          <w:szCs w:val="22"/>
          <w:lang w:eastAsia="en-AU"/>
        </w:rPr>
        <w:t xml:space="preserve"> </w:t>
      </w:r>
      <w:r w:rsidRPr="00087716">
        <w:rPr>
          <w:rFonts w:eastAsia="Tahoma" w:cstheme="minorHAnsi"/>
          <w:szCs w:val="22"/>
          <w:lang w:eastAsia="en-AU"/>
        </w:rPr>
        <w:t>is for eligible carers of people with disability or a severe medical condition. Carer Payment may be paid where the constant care a carer provides to a child (under 16 years) and/or adult (16 years and over) with disability or medical condition prevents the carer from supporting themselves through paid employment. Carer Payment is income and assets tested and paid at the same rate as other social security pensions. Most Carer Payment recipients also qualify for Carer Allowance.</w:t>
      </w:r>
    </w:p>
    <w:p w14:paraId="263C6CF9" w14:textId="77777777" w:rsidR="00E71249" w:rsidRPr="00087716" w:rsidRDefault="00E71249" w:rsidP="00577C1E">
      <w:pPr>
        <w:suppressAutoHyphens/>
        <w:spacing w:before="120" w:after="160" w:line="257" w:lineRule="auto"/>
        <w:rPr>
          <w:rFonts w:eastAsia="Tahoma" w:cstheme="minorHAnsi"/>
          <w:szCs w:val="22"/>
          <w:lang w:eastAsia="en-AU"/>
        </w:rPr>
      </w:pPr>
      <w:r w:rsidRPr="00087716">
        <w:rPr>
          <w:rFonts w:eastAsia="Tahoma" w:cstheme="minorHAnsi"/>
          <w:b/>
          <w:color w:val="000000"/>
          <w:szCs w:val="22"/>
          <w:lang w:eastAsia="en-AU"/>
        </w:rPr>
        <w:t>Carer Allowance</w:t>
      </w:r>
      <w:r w:rsidRPr="00087716">
        <w:rPr>
          <w:rFonts w:eastAsia="Tahoma" w:cstheme="minorHAnsi"/>
          <w:color w:val="000000"/>
          <w:szCs w:val="22"/>
          <w:lang w:eastAsia="en-AU"/>
        </w:rPr>
        <w:t xml:space="preserve"> </w:t>
      </w:r>
      <w:r w:rsidRPr="00087716">
        <w:rPr>
          <w:rFonts w:eastAsia="Tahoma" w:cstheme="minorHAnsi"/>
          <w:spacing w:val="4"/>
          <w:szCs w:val="22"/>
          <w:lang w:eastAsia="en-AU"/>
        </w:rPr>
        <w:t xml:space="preserve">is an income supplement to people who provide daily care and </w:t>
      </w:r>
      <w:r w:rsidRPr="00087716">
        <w:rPr>
          <w:rFonts w:eastAsia="Tahoma" w:cstheme="minorHAnsi"/>
          <w:szCs w:val="22"/>
          <w:lang w:eastAsia="en-AU"/>
        </w:rPr>
        <w:t>attention in a private home to a person with disability or a severe medical condition. Carer Allowance is a fortnightly payment for carers who provide daily care and attention to a child (under 16 years) or an adult (over 16 years).</w:t>
      </w:r>
    </w:p>
    <w:p w14:paraId="772D5429" w14:textId="4231DFB8" w:rsidR="00E71249" w:rsidRPr="00087716" w:rsidRDefault="00E71249" w:rsidP="00577C1E">
      <w:pPr>
        <w:suppressAutoHyphens/>
        <w:spacing w:before="120" w:after="160" w:line="257" w:lineRule="auto"/>
        <w:rPr>
          <w:rFonts w:eastAsia="Tahoma" w:cstheme="minorHAnsi"/>
          <w:color w:val="000000"/>
          <w:szCs w:val="22"/>
          <w:lang w:eastAsia="en-AU"/>
        </w:rPr>
      </w:pPr>
      <w:r w:rsidRPr="00087716">
        <w:rPr>
          <w:rFonts w:eastAsia="Tahoma" w:cstheme="minorHAnsi"/>
          <w:b/>
          <w:spacing w:val="4"/>
          <w:szCs w:val="22"/>
          <w:lang w:eastAsia="en-AU"/>
        </w:rPr>
        <w:t xml:space="preserve">The </w:t>
      </w:r>
      <w:r w:rsidR="0054557F">
        <w:rPr>
          <w:rFonts w:eastAsia="Tahoma" w:cstheme="minorHAnsi"/>
          <w:b/>
          <w:spacing w:val="4"/>
          <w:szCs w:val="22"/>
          <w:lang w:eastAsia="en-AU"/>
        </w:rPr>
        <w:t>d</w:t>
      </w:r>
      <w:r w:rsidRPr="00087716">
        <w:rPr>
          <w:rFonts w:eastAsia="Tahoma" w:cstheme="minorHAnsi"/>
          <w:b/>
          <w:spacing w:val="4"/>
          <w:szCs w:val="22"/>
          <w:lang w:eastAsia="en-AU"/>
        </w:rPr>
        <w:t>epartment</w:t>
      </w:r>
      <w:r w:rsidRPr="00087716">
        <w:rPr>
          <w:rFonts w:eastAsia="Tahoma" w:cstheme="minorHAnsi"/>
          <w:spacing w:val="4"/>
          <w:szCs w:val="22"/>
          <w:lang w:eastAsia="en-AU"/>
        </w:rPr>
        <w:t xml:space="preserve"> is responsible for designing and implementing the key activity. This includes providing advice to government on policy and legislation, program implementation and management, program performance, monitoring and meeting all relevant deliverables, setting guidelines and providing guidance and advice to Services Australia on the administration of the program.</w:t>
      </w:r>
    </w:p>
    <w:p w14:paraId="2102A295" w14:textId="0E606EB6" w:rsidR="00E71249" w:rsidRPr="00087716" w:rsidRDefault="00E71249" w:rsidP="00577C1E">
      <w:pPr>
        <w:suppressAutoHyphens/>
        <w:spacing w:before="120" w:after="160" w:line="257" w:lineRule="auto"/>
        <w:rPr>
          <w:rFonts w:eastAsia="Tahoma" w:cstheme="minorHAnsi"/>
          <w:color w:val="000000"/>
          <w:szCs w:val="22"/>
          <w:lang w:eastAsia="en-AU"/>
        </w:rPr>
      </w:pPr>
      <w:r w:rsidRPr="00087716">
        <w:rPr>
          <w:rFonts w:eastAsia="Tahoma" w:cstheme="minorHAnsi"/>
          <w:b/>
          <w:color w:val="000000"/>
          <w:szCs w:val="22"/>
          <w:lang w:eastAsia="en-AU"/>
        </w:rPr>
        <w:t>Services Australia</w:t>
      </w:r>
      <w:r w:rsidRPr="00087716">
        <w:rPr>
          <w:rFonts w:eastAsia="Tahoma" w:cstheme="minorHAnsi"/>
          <w:color w:val="000000"/>
          <w:szCs w:val="22"/>
          <w:lang w:eastAsia="en-AU"/>
        </w:rPr>
        <w:t xml:space="preserve"> is responsible for administering the Carer Payment and Carer Allowance on the </w:t>
      </w:r>
      <w:r w:rsidR="0054557F">
        <w:rPr>
          <w:rFonts w:eastAsia="Tahoma" w:cstheme="minorHAnsi"/>
          <w:color w:val="000000"/>
          <w:szCs w:val="22"/>
          <w:lang w:eastAsia="en-AU"/>
        </w:rPr>
        <w:t>d</w:t>
      </w:r>
      <w:r w:rsidRPr="00087716">
        <w:rPr>
          <w:rFonts w:eastAsia="Tahoma" w:cstheme="minorHAnsi"/>
          <w:color w:val="000000"/>
          <w:szCs w:val="22"/>
          <w:lang w:eastAsia="en-AU"/>
        </w:rPr>
        <w:t>epartment’s behalf including managing applications and making payments.</w:t>
      </w:r>
    </w:p>
    <w:p w14:paraId="7D23E100" w14:textId="57B80FAD" w:rsidR="00E71249" w:rsidRPr="00FD4C88" w:rsidRDefault="00E71249" w:rsidP="00FD4C88">
      <w:pPr>
        <w:pStyle w:val="Heading4"/>
        <w:rPr>
          <w:sz w:val="22"/>
          <w:szCs w:val="22"/>
        </w:rPr>
      </w:pPr>
      <w:bookmarkStart w:id="92" w:name="_Toc221195123"/>
      <w:r w:rsidRPr="00FD4C88">
        <w:rPr>
          <w:sz w:val="22"/>
          <w:szCs w:val="22"/>
        </w:rPr>
        <w:t>Performance Measure</w:t>
      </w:r>
      <w:bookmarkEnd w:id="92"/>
    </w:p>
    <w:p w14:paraId="647BCA03" w14:textId="77777777" w:rsidR="00E71249" w:rsidRPr="00087716" w:rsidRDefault="00E71249" w:rsidP="00577C1E">
      <w:pPr>
        <w:suppressAutoHyphens/>
        <w:spacing w:before="120" w:after="160" w:line="257" w:lineRule="auto"/>
        <w:rPr>
          <w:rFonts w:eastAsia="Tahoma" w:cstheme="minorHAnsi"/>
          <w:color w:val="000000"/>
          <w:szCs w:val="22"/>
          <w:lang w:eastAsia="en-AU"/>
        </w:rPr>
      </w:pPr>
      <w:r w:rsidRPr="00087716">
        <w:rPr>
          <w:rFonts w:eastAsia="Tahoma" w:cstheme="minorHAnsi"/>
          <w:color w:val="000000"/>
          <w:szCs w:val="22"/>
          <w:lang w:eastAsia="en-AU"/>
        </w:rPr>
        <w:t>1.5.1-1 Extent to which payments are made to, or with respect to, carers unable to financially support themselves, and trends align with broader population trends.</w:t>
      </w:r>
    </w:p>
    <w:tbl>
      <w:tblPr>
        <w:tblStyle w:val="TableGrid391"/>
        <w:tblW w:w="4976" w:type="pct"/>
        <w:jc w:val="center"/>
        <w:tblLook w:val="04A0" w:firstRow="1" w:lastRow="0" w:firstColumn="1" w:lastColumn="0" w:noHBand="0" w:noVBand="1"/>
        <w:tblCaption w:val="Table 15 - Extent to which payments are made to, or with respect to, carers unable to financially support themselves, and trends align with broader population trends."/>
        <w:tblDescription w:val="Target for the extent to which payments are made to, or with respect to, carers unable to financially support themselves, and trends align with broader population trends."/>
      </w:tblPr>
      <w:tblGrid>
        <w:gridCol w:w="3901"/>
        <w:gridCol w:w="1563"/>
        <w:gridCol w:w="1563"/>
        <w:gridCol w:w="1562"/>
        <w:gridCol w:w="1556"/>
      </w:tblGrid>
      <w:tr w:rsidR="00E71249" w:rsidRPr="00087716" w14:paraId="7E318CB6" w14:textId="77777777" w:rsidTr="00496219">
        <w:trPr>
          <w:cantSplit/>
          <w:trHeight w:val="356"/>
          <w:tblHeader/>
          <w:jc w:val="center"/>
        </w:trPr>
        <w:tc>
          <w:tcPr>
            <w:tcW w:w="1922" w:type="pct"/>
            <w:tcBorders>
              <w:top w:val="single" w:sz="4" w:space="0" w:color="auto"/>
              <w:left w:val="single" w:sz="4" w:space="0" w:color="auto"/>
              <w:bottom w:val="single" w:sz="4" w:space="0" w:color="auto"/>
              <w:right w:val="single" w:sz="6" w:space="0" w:color="auto"/>
            </w:tcBorders>
            <w:shd w:val="clear" w:color="auto" w:fill="D9D9D6"/>
            <w:hideMark/>
          </w:tcPr>
          <w:p w14:paraId="7C01CF98" w14:textId="77777777" w:rsidR="00E71249" w:rsidRPr="00087716" w:rsidRDefault="00E71249" w:rsidP="00496219">
            <w:pPr>
              <w:spacing w:before="120" w:after="60" w:line="252" w:lineRule="auto"/>
              <w:rPr>
                <w:rFonts w:asciiTheme="minorHAnsi" w:eastAsia="Tahoma" w:hAnsiTheme="minorHAnsi" w:cstheme="minorHAnsi"/>
                <w:szCs w:val="22"/>
              </w:rPr>
            </w:pPr>
            <w:r w:rsidRPr="00087716">
              <w:rPr>
                <w:rFonts w:asciiTheme="minorHAnsi" w:eastAsia="Tahoma" w:hAnsiTheme="minorHAnsi" w:cstheme="minorHAnsi"/>
                <w:b/>
                <w:szCs w:val="22"/>
              </w:rPr>
              <w:t>Target</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hideMark/>
          </w:tcPr>
          <w:p w14:paraId="6C85F9BF" w14:textId="77777777" w:rsidR="00E71249" w:rsidRPr="00087716" w:rsidRDefault="00E71249" w:rsidP="00496219">
            <w:pPr>
              <w:spacing w:before="120" w:after="60" w:line="252" w:lineRule="auto"/>
              <w:rPr>
                <w:rFonts w:asciiTheme="minorHAnsi" w:eastAsia="Tahoma" w:hAnsiTheme="minorHAnsi" w:cstheme="minorHAnsi"/>
                <w:szCs w:val="22"/>
              </w:rPr>
            </w:pPr>
            <w:r w:rsidRPr="00087716">
              <w:rPr>
                <w:rFonts w:asciiTheme="minorHAnsi" w:hAnsiTheme="minorHAnsi" w:cstheme="minorHAnsi"/>
                <w:b/>
                <w:szCs w:val="22"/>
              </w:rPr>
              <w:t>2026–27</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hideMark/>
          </w:tcPr>
          <w:p w14:paraId="6ACAF438" w14:textId="77777777" w:rsidR="00E71249" w:rsidRPr="00087716" w:rsidRDefault="00E71249" w:rsidP="00496219">
            <w:pPr>
              <w:spacing w:before="120" w:after="60" w:line="252" w:lineRule="auto"/>
              <w:rPr>
                <w:rFonts w:asciiTheme="minorHAnsi" w:eastAsia="Tahoma" w:hAnsiTheme="minorHAnsi" w:cstheme="minorHAnsi"/>
                <w:b/>
                <w:szCs w:val="22"/>
              </w:rPr>
            </w:pPr>
            <w:r w:rsidRPr="00087716">
              <w:rPr>
                <w:rFonts w:asciiTheme="minorHAnsi" w:hAnsiTheme="minorHAnsi" w:cstheme="minorHAnsi"/>
                <w:b/>
                <w:szCs w:val="22"/>
              </w:rPr>
              <w:t>2027–28</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hideMark/>
          </w:tcPr>
          <w:p w14:paraId="0707EE7A" w14:textId="77777777" w:rsidR="00E71249" w:rsidRPr="00087716" w:rsidRDefault="00E71249" w:rsidP="00496219">
            <w:pPr>
              <w:spacing w:before="120" w:after="60" w:line="252" w:lineRule="auto"/>
              <w:rPr>
                <w:rFonts w:asciiTheme="minorHAnsi" w:eastAsia="Tahoma" w:hAnsiTheme="minorHAnsi" w:cstheme="minorHAnsi"/>
                <w:b/>
                <w:szCs w:val="22"/>
              </w:rPr>
            </w:pPr>
            <w:r w:rsidRPr="00087716">
              <w:rPr>
                <w:rFonts w:asciiTheme="minorHAnsi" w:hAnsiTheme="minorHAnsi" w:cstheme="minorHAnsi"/>
                <w:b/>
                <w:szCs w:val="22"/>
              </w:rPr>
              <w:t>2028–29</w:t>
            </w:r>
          </w:p>
        </w:tc>
        <w:tc>
          <w:tcPr>
            <w:tcW w:w="767" w:type="pct"/>
            <w:tcBorders>
              <w:top w:val="single" w:sz="4" w:space="0" w:color="auto"/>
              <w:left w:val="single" w:sz="6" w:space="0" w:color="auto"/>
              <w:bottom w:val="single" w:sz="4" w:space="0" w:color="auto"/>
              <w:right w:val="single" w:sz="4" w:space="0" w:color="auto"/>
            </w:tcBorders>
            <w:shd w:val="clear" w:color="auto" w:fill="D9D9D6"/>
            <w:vAlign w:val="center"/>
            <w:hideMark/>
          </w:tcPr>
          <w:p w14:paraId="5654619C" w14:textId="77777777" w:rsidR="00E71249" w:rsidRPr="00087716" w:rsidRDefault="00E71249" w:rsidP="00496219">
            <w:pPr>
              <w:spacing w:before="120" w:after="60" w:line="252" w:lineRule="auto"/>
              <w:rPr>
                <w:rFonts w:asciiTheme="minorHAnsi" w:eastAsia="Tahoma" w:hAnsiTheme="minorHAnsi" w:cstheme="minorHAnsi"/>
                <w:b/>
                <w:szCs w:val="22"/>
              </w:rPr>
            </w:pPr>
            <w:r w:rsidRPr="00087716">
              <w:rPr>
                <w:rFonts w:asciiTheme="minorHAnsi" w:hAnsiTheme="minorHAnsi" w:cstheme="minorHAnsi"/>
                <w:b/>
                <w:szCs w:val="22"/>
              </w:rPr>
              <w:t>2029–30</w:t>
            </w:r>
          </w:p>
        </w:tc>
      </w:tr>
      <w:tr w:rsidR="00E71249" w:rsidRPr="00087716" w14:paraId="4162671E" w14:textId="77777777" w:rsidTr="00496219">
        <w:trPr>
          <w:cantSplit/>
          <w:trHeight w:val="356"/>
          <w:jc w:val="center"/>
        </w:trPr>
        <w:tc>
          <w:tcPr>
            <w:tcW w:w="1922" w:type="pct"/>
            <w:tcBorders>
              <w:top w:val="single" w:sz="4" w:space="0" w:color="auto"/>
              <w:left w:val="single" w:sz="4" w:space="0" w:color="auto"/>
              <w:bottom w:val="single" w:sz="4" w:space="0" w:color="auto"/>
              <w:right w:val="single" w:sz="4" w:space="0" w:color="auto"/>
            </w:tcBorders>
            <w:hideMark/>
          </w:tcPr>
          <w:p w14:paraId="4DF029A9" w14:textId="10359611" w:rsidR="00E71249" w:rsidRPr="00087716" w:rsidRDefault="0061319D" w:rsidP="00496219">
            <w:pPr>
              <w:spacing w:before="120" w:after="60" w:line="252" w:lineRule="auto"/>
              <w:rPr>
                <w:rFonts w:asciiTheme="minorHAnsi" w:eastAsia="Tahoma" w:hAnsiTheme="minorHAnsi" w:cstheme="minorHAnsi"/>
                <w:szCs w:val="22"/>
              </w:rPr>
            </w:pPr>
            <w:r>
              <w:rPr>
                <w:rFonts w:eastAsia="Tahoma" w:cstheme="minorHAnsi"/>
                <w:noProof/>
                <w:szCs w:val="22"/>
              </w:rPr>
              <mc:AlternateContent>
                <mc:Choice Requires="wps">
                  <w:drawing>
                    <wp:anchor distT="0" distB="0" distL="114300" distR="114300" simplePos="0" relativeHeight="251663368" behindDoc="0" locked="0" layoutInCell="1" allowOverlap="1" wp14:anchorId="57FE11AF" wp14:editId="182B90ED">
                      <wp:simplePos x="0" y="0"/>
                      <wp:positionH relativeFrom="column">
                        <wp:posOffset>417</wp:posOffset>
                      </wp:positionH>
                      <wp:positionV relativeFrom="paragraph">
                        <wp:posOffset>120062</wp:posOffset>
                      </wp:positionV>
                      <wp:extent cx="45719" cy="95535"/>
                      <wp:effectExtent l="0" t="0" r="12065" b="19050"/>
                      <wp:wrapNone/>
                      <wp:docPr id="1375577509" name="Diamond 6" descr="The diamond symbol represents Performance measures that may be impacted by external factors."/>
                      <wp:cNvGraphicFramePr/>
                      <a:graphic xmlns:a="http://schemas.openxmlformats.org/drawingml/2006/main">
                        <a:graphicData uri="http://schemas.microsoft.com/office/word/2010/wordprocessingShape">
                          <wps:wsp>
                            <wps:cNvSpPr/>
                            <wps:spPr>
                              <a:xfrm>
                                <a:off x="0" y="0"/>
                                <a:ext cx="45719" cy="95535"/>
                              </a:xfrm>
                              <a:prstGeom prst="diamond">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AFF683" id="Diamond 6" o:spid="_x0000_s1026" type="#_x0000_t4" alt="The diamond symbol represents Performance measures that may be impacted by external factors." style="position:absolute;margin-left:.05pt;margin-top:9.45pt;width:3.6pt;height:7.5pt;z-index:251663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" fillcolor="black [3213]" strokecolor="#000d10 [484]" strokeweight=".73403mm"/>
                  </w:pict>
                </mc:Fallback>
              </mc:AlternateContent>
            </w:r>
            <w:r w:rsidR="00E71249" w:rsidRPr="00087716">
              <w:rPr>
                <w:rFonts w:asciiTheme="minorHAnsi" w:eastAsia="Tahoma" w:hAnsiTheme="minorHAnsi" w:cstheme="minorHAnsi"/>
                <w:szCs w:val="22"/>
              </w:rPr>
              <w:t xml:space="preserve"> </w:t>
            </w:r>
            <w:r w:rsidR="005A2AFD">
              <w:rPr>
                <w:rFonts w:asciiTheme="minorHAnsi" w:eastAsia="Tahoma" w:hAnsiTheme="minorHAnsi" w:cstheme="minorHAnsi"/>
                <w:szCs w:val="22"/>
              </w:rPr>
              <w:t xml:space="preserve"> </w:t>
            </w:r>
            <w:r w:rsidR="00E71249" w:rsidRPr="00087716">
              <w:rPr>
                <w:rFonts w:asciiTheme="minorHAnsi" w:eastAsia="Tahoma" w:hAnsiTheme="minorHAnsi" w:cstheme="minorHAnsi"/>
                <w:szCs w:val="22"/>
              </w:rPr>
              <w:t>1.5.1-1A</w:t>
            </w:r>
            <w:r w:rsidR="00E71249" w:rsidRPr="00087716">
              <w:rPr>
                <w:rFonts w:asciiTheme="minorHAnsi" w:hAnsiTheme="minorHAnsi" w:cstheme="minorHAnsi"/>
                <w:szCs w:val="22"/>
              </w:rPr>
              <w:t xml:space="preserve"> – </w:t>
            </w:r>
            <w:r w:rsidR="00E71249" w:rsidRPr="00087716">
              <w:rPr>
                <w:rFonts w:asciiTheme="minorHAnsi" w:eastAsia="Tahoma" w:hAnsiTheme="minorHAnsi" w:cstheme="minorHAnsi"/>
                <w:szCs w:val="22"/>
                <w:lang w:eastAsia="en-AU"/>
              </w:rPr>
              <w:t>The proportion of the Australian population who are Carer Payment and/or Carer Allowance recipients remains within 3 percentage points of the proportion of people who identify as primary carers.</w:t>
            </w:r>
          </w:p>
        </w:tc>
        <w:tc>
          <w:tcPr>
            <w:tcW w:w="770" w:type="pct"/>
            <w:tcBorders>
              <w:top w:val="single" w:sz="4" w:space="0" w:color="auto"/>
              <w:left w:val="single" w:sz="4" w:space="0" w:color="auto"/>
              <w:bottom w:val="single" w:sz="4" w:space="0" w:color="auto"/>
              <w:right w:val="single" w:sz="4" w:space="0" w:color="auto"/>
            </w:tcBorders>
            <w:hideMark/>
          </w:tcPr>
          <w:p w14:paraId="117B28DD" w14:textId="77777777" w:rsidR="00E71249" w:rsidRPr="00087716" w:rsidRDefault="00E71249" w:rsidP="00496219">
            <w:pPr>
              <w:spacing w:before="120" w:after="60" w:line="252" w:lineRule="auto"/>
              <w:rPr>
                <w:rFonts w:asciiTheme="minorHAnsi" w:eastAsia="Tahoma" w:hAnsiTheme="minorHAnsi" w:cstheme="minorHAnsi"/>
                <w:szCs w:val="22"/>
                <w:lang w:eastAsia="en-AU"/>
              </w:rPr>
            </w:pPr>
            <w:r w:rsidRPr="00087716">
              <w:rPr>
                <w:rFonts w:asciiTheme="minorHAnsi" w:eastAsia="Tahoma" w:hAnsiTheme="minorHAnsi" w:cstheme="minorHAnsi"/>
                <w:szCs w:val="22"/>
                <w:lang w:eastAsia="en-AU"/>
              </w:rPr>
              <w:t>≤ 3p.p.</w:t>
            </w:r>
          </w:p>
        </w:tc>
        <w:tc>
          <w:tcPr>
            <w:tcW w:w="770" w:type="pct"/>
            <w:tcBorders>
              <w:top w:val="single" w:sz="4" w:space="0" w:color="auto"/>
              <w:left w:val="single" w:sz="4" w:space="0" w:color="auto"/>
              <w:bottom w:val="single" w:sz="4" w:space="0" w:color="auto"/>
              <w:right w:val="single" w:sz="4" w:space="0" w:color="auto"/>
            </w:tcBorders>
            <w:hideMark/>
          </w:tcPr>
          <w:p w14:paraId="3CDB726A" w14:textId="77777777" w:rsidR="00E71249" w:rsidRPr="00087716" w:rsidRDefault="00E71249" w:rsidP="00496219">
            <w:pPr>
              <w:spacing w:before="120" w:after="60" w:line="252" w:lineRule="auto"/>
              <w:rPr>
                <w:rFonts w:asciiTheme="minorHAnsi" w:eastAsia="Tahoma" w:hAnsiTheme="minorHAnsi" w:cstheme="minorHAnsi"/>
                <w:szCs w:val="22"/>
                <w:lang w:eastAsia="en-AU"/>
              </w:rPr>
            </w:pPr>
            <w:r w:rsidRPr="00087716">
              <w:rPr>
                <w:rFonts w:asciiTheme="minorHAnsi" w:eastAsia="Tahoma" w:hAnsiTheme="minorHAnsi" w:cstheme="minorHAnsi"/>
                <w:szCs w:val="22"/>
                <w:lang w:eastAsia="en-AU"/>
              </w:rPr>
              <w:t>≤ 3p.p.</w:t>
            </w:r>
          </w:p>
        </w:tc>
        <w:tc>
          <w:tcPr>
            <w:tcW w:w="770" w:type="pct"/>
            <w:tcBorders>
              <w:top w:val="single" w:sz="4" w:space="0" w:color="auto"/>
              <w:left w:val="single" w:sz="4" w:space="0" w:color="auto"/>
              <w:bottom w:val="single" w:sz="4" w:space="0" w:color="auto"/>
              <w:right w:val="single" w:sz="4" w:space="0" w:color="auto"/>
            </w:tcBorders>
            <w:hideMark/>
          </w:tcPr>
          <w:p w14:paraId="49C114F7" w14:textId="77777777" w:rsidR="00E71249" w:rsidRPr="00087716" w:rsidRDefault="00E71249" w:rsidP="00496219">
            <w:pPr>
              <w:spacing w:before="120" w:after="60" w:line="252" w:lineRule="auto"/>
              <w:rPr>
                <w:rFonts w:asciiTheme="minorHAnsi" w:eastAsia="Tahoma" w:hAnsiTheme="minorHAnsi" w:cstheme="minorHAnsi"/>
                <w:szCs w:val="22"/>
                <w:lang w:eastAsia="en-AU"/>
              </w:rPr>
            </w:pPr>
            <w:r w:rsidRPr="00087716">
              <w:rPr>
                <w:rFonts w:asciiTheme="minorHAnsi" w:eastAsia="Tahoma" w:hAnsiTheme="minorHAnsi" w:cstheme="minorHAnsi"/>
                <w:szCs w:val="22"/>
                <w:lang w:eastAsia="en-AU"/>
              </w:rPr>
              <w:t>≤ 3p.p.</w:t>
            </w:r>
          </w:p>
        </w:tc>
        <w:tc>
          <w:tcPr>
            <w:tcW w:w="767" w:type="pct"/>
            <w:tcBorders>
              <w:top w:val="single" w:sz="4" w:space="0" w:color="auto"/>
              <w:left w:val="single" w:sz="4" w:space="0" w:color="auto"/>
              <w:bottom w:val="single" w:sz="4" w:space="0" w:color="auto"/>
              <w:right w:val="single" w:sz="4" w:space="0" w:color="auto"/>
            </w:tcBorders>
            <w:hideMark/>
          </w:tcPr>
          <w:p w14:paraId="0F4E1403" w14:textId="77777777" w:rsidR="00E71249" w:rsidRPr="00087716" w:rsidRDefault="00E71249" w:rsidP="00496219">
            <w:pPr>
              <w:spacing w:before="120" w:after="60" w:line="252" w:lineRule="auto"/>
              <w:rPr>
                <w:rFonts w:asciiTheme="minorHAnsi" w:eastAsia="Tahoma" w:hAnsiTheme="minorHAnsi" w:cstheme="minorHAnsi"/>
                <w:szCs w:val="22"/>
                <w:lang w:eastAsia="en-AU"/>
              </w:rPr>
            </w:pPr>
            <w:r w:rsidRPr="00087716">
              <w:rPr>
                <w:rFonts w:asciiTheme="minorHAnsi" w:eastAsia="Tahoma" w:hAnsiTheme="minorHAnsi" w:cstheme="minorHAnsi"/>
                <w:szCs w:val="22"/>
                <w:lang w:eastAsia="en-AU"/>
              </w:rPr>
              <w:t>≤ 3p.p.</w:t>
            </w:r>
          </w:p>
        </w:tc>
      </w:tr>
    </w:tbl>
    <w:p w14:paraId="771AD44B" w14:textId="77777777" w:rsidR="00E71249" w:rsidRPr="00FD4C88" w:rsidRDefault="00E71249" w:rsidP="00FD4C88">
      <w:pPr>
        <w:pStyle w:val="CPCustom3"/>
      </w:pPr>
      <w:r w:rsidRPr="00FD4C88">
        <w:t>Rationale</w:t>
      </w:r>
    </w:p>
    <w:p w14:paraId="5B4F3EC0" w14:textId="77777777" w:rsidR="00E71249" w:rsidRPr="00087716" w:rsidRDefault="00E71249" w:rsidP="00577C1E">
      <w:pPr>
        <w:spacing w:before="120" w:after="160" w:line="257" w:lineRule="auto"/>
        <w:rPr>
          <w:rFonts w:eastAsia="Tahoma" w:cstheme="minorHAnsi"/>
          <w:szCs w:val="22"/>
          <w:lang w:eastAsia="en-AU"/>
        </w:rPr>
      </w:pPr>
      <w:r w:rsidRPr="00087716">
        <w:rPr>
          <w:rFonts w:eastAsia="Tahoma" w:cstheme="minorHAnsi"/>
          <w:color w:val="000000"/>
          <w:szCs w:val="22"/>
          <w:lang w:eastAsia="en-AU"/>
        </w:rPr>
        <w:t>The measure seeks to ensure the payments are reaching intended recipient cohorts by comparing trends in the number of primary carers with those who receive Carer Payment and/or Carer Allowance as a proportion of the overall Australian community.</w:t>
      </w:r>
    </w:p>
    <w:p w14:paraId="0A272F2F" w14:textId="77777777" w:rsidR="00E71249" w:rsidRPr="00087716" w:rsidRDefault="00E71249" w:rsidP="00577C1E">
      <w:pPr>
        <w:suppressAutoHyphens/>
        <w:spacing w:before="120" w:after="160" w:line="257" w:lineRule="auto"/>
        <w:rPr>
          <w:rFonts w:eastAsia="Tahoma" w:cstheme="minorHAnsi"/>
          <w:color w:val="000000"/>
          <w:szCs w:val="22"/>
          <w:lang w:eastAsia="en-AU"/>
        </w:rPr>
      </w:pPr>
      <w:r w:rsidRPr="00087716">
        <w:rPr>
          <w:rFonts w:eastAsia="Tahoma" w:cstheme="minorHAnsi"/>
          <w:color w:val="000000"/>
          <w:szCs w:val="22"/>
          <w:lang w:eastAsia="en-AU"/>
        </w:rPr>
        <w:t xml:space="preserve">In turn, this measure demonstrates the </w:t>
      </w:r>
      <w:r w:rsidRPr="00087716">
        <w:rPr>
          <w:rFonts w:eastAsia="Tahoma" w:cstheme="minorHAnsi"/>
          <w:b/>
          <w:bCs/>
          <w:color w:val="000000"/>
          <w:szCs w:val="22"/>
          <w:lang w:eastAsia="en-AU"/>
        </w:rPr>
        <w:t>effectiveness</w:t>
      </w:r>
      <w:r w:rsidRPr="00087716">
        <w:rPr>
          <w:rFonts w:eastAsia="Tahoma" w:cstheme="minorHAnsi"/>
          <w:color w:val="000000"/>
          <w:szCs w:val="22"/>
          <w:lang w:eastAsia="en-AU"/>
        </w:rPr>
        <w:t xml:space="preserve"> of the Carer Payment and/or Carer Allowance in achieving the objective of the key activity: to make payments and allowances to financially assist eligible carers of people with disability or a severe medical condition.</w:t>
      </w:r>
    </w:p>
    <w:p w14:paraId="1C49D2FA" w14:textId="77777777" w:rsidR="00E71249" w:rsidRPr="00087716" w:rsidRDefault="00E71249" w:rsidP="00577C1E">
      <w:pPr>
        <w:suppressAutoHyphens/>
        <w:spacing w:before="120" w:after="160" w:line="257" w:lineRule="auto"/>
        <w:rPr>
          <w:rFonts w:eastAsia="Tahoma" w:cstheme="minorHAnsi"/>
          <w:szCs w:val="22"/>
          <w:lang w:eastAsia="en-AU"/>
        </w:rPr>
      </w:pPr>
      <w:r w:rsidRPr="00087716">
        <w:rPr>
          <w:rFonts w:eastAsia="Tahoma" w:cstheme="minorHAnsi"/>
          <w:szCs w:val="22"/>
          <w:lang w:eastAsia="en-AU"/>
        </w:rPr>
        <w:t xml:space="preserve">The target of the proportion of the Australian population who are Carer Payment and/or Carer Allowance recipients remaining within 3 percentage points of the proportion of Australian population </w:t>
      </w:r>
      <w:r w:rsidRPr="00087716">
        <w:rPr>
          <w:rFonts w:eastAsia="Tahoma" w:cstheme="minorHAnsi"/>
          <w:szCs w:val="22"/>
          <w:lang w:eastAsia="en-AU"/>
        </w:rPr>
        <w:lastRenderedPageBreak/>
        <w:t>who are primary carers demonstrates the effectiveness of the key activity by matching trends of the broader Australian community.</w:t>
      </w:r>
    </w:p>
    <w:p w14:paraId="572F7D70" w14:textId="77777777" w:rsidR="00E71249" w:rsidRPr="00FD4C88" w:rsidRDefault="00E71249" w:rsidP="00FD4C88">
      <w:pPr>
        <w:pStyle w:val="CPCustom3"/>
      </w:pPr>
      <w:r w:rsidRPr="00FD4C88">
        <w:t>Methodology</w:t>
      </w:r>
    </w:p>
    <w:p w14:paraId="53EC0981" w14:textId="77777777" w:rsidR="00E71249" w:rsidRPr="00087716" w:rsidRDefault="00E71249" w:rsidP="00577C1E">
      <w:pPr>
        <w:suppressAutoHyphens/>
        <w:spacing w:before="120" w:after="160" w:line="257" w:lineRule="auto"/>
        <w:rPr>
          <w:rFonts w:eastAsia="Tahoma" w:cstheme="minorHAnsi"/>
          <w:szCs w:val="22"/>
          <w:lang w:eastAsia="en-AU"/>
        </w:rPr>
      </w:pPr>
      <w:r w:rsidRPr="00087716">
        <w:rPr>
          <w:rFonts w:eastAsia="Tahoma" w:cstheme="minorHAnsi"/>
          <w:szCs w:val="22"/>
          <w:lang w:eastAsia="en-AU"/>
        </w:rPr>
        <w:t>The number of primary carers that are supported is calculated using the number of payment recipients of Carer Payment, Carer Allowance (Adult) and Carer Allowance (Child).</w:t>
      </w:r>
    </w:p>
    <w:p w14:paraId="21356F35" w14:textId="77777777" w:rsidR="00E71249" w:rsidRPr="00087716" w:rsidRDefault="00E71249" w:rsidP="00577C1E">
      <w:pPr>
        <w:suppressAutoHyphens/>
        <w:spacing w:before="120" w:after="160" w:line="257" w:lineRule="auto"/>
        <w:rPr>
          <w:rFonts w:eastAsia="Tahoma" w:cstheme="minorHAnsi"/>
          <w:szCs w:val="22"/>
          <w:lang w:eastAsia="en-AU"/>
        </w:rPr>
      </w:pPr>
      <w:r w:rsidRPr="00087716">
        <w:rPr>
          <w:rFonts w:eastAsia="Tahoma" w:cstheme="minorHAnsi"/>
          <w:szCs w:val="22"/>
          <w:lang w:eastAsia="en-AU"/>
        </w:rPr>
        <w:t>The number of primary carers in Australia is based on the ABS – Survey of Disability, Ageing and Carers.</w:t>
      </w:r>
    </w:p>
    <w:p w14:paraId="19F819D3" w14:textId="77777777" w:rsidR="00E71249" w:rsidRPr="00087716" w:rsidRDefault="00E71249" w:rsidP="00577C1E">
      <w:pPr>
        <w:suppressAutoHyphens/>
        <w:spacing w:before="120" w:after="160" w:line="257" w:lineRule="auto"/>
        <w:rPr>
          <w:rFonts w:eastAsia="Tahoma" w:cstheme="minorHAnsi"/>
          <w:szCs w:val="22"/>
          <w:lang w:eastAsia="en-AU"/>
        </w:rPr>
      </w:pPr>
      <w:r w:rsidRPr="00087716">
        <w:rPr>
          <w:rFonts w:eastAsia="Tahoma" w:cstheme="minorHAnsi"/>
          <w:szCs w:val="22"/>
          <w:lang w:eastAsia="en-AU"/>
        </w:rPr>
        <w:t>The Australian population is based on the ABS – National state and territories population tables.</w:t>
      </w:r>
    </w:p>
    <w:p w14:paraId="5E0377C3" w14:textId="77777777" w:rsidR="00E71249" w:rsidRPr="00FD4C88" w:rsidRDefault="00E71249" w:rsidP="00FD4C88">
      <w:pPr>
        <w:pStyle w:val="CPCustom3"/>
      </w:pPr>
      <w:r w:rsidRPr="00FD4C88">
        <w:t>Data Categorisation</w:t>
      </w:r>
    </w:p>
    <w:tbl>
      <w:tblPr>
        <w:tblStyle w:val="Numericaltable13"/>
        <w:tblpPr w:leftFromText="180" w:rightFromText="180" w:vertAnchor="text" w:horzAnchor="margin" w:tblpY="11"/>
        <w:tblW w:w="10201" w:type="dxa"/>
        <w:tblLook w:val="04A0" w:firstRow="1" w:lastRow="0" w:firstColumn="1" w:lastColumn="0" w:noHBand="0" w:noVBand="1"/>
        <w:tblCaption w:val="Table 16 - Categorisation of data source"/>
        <w:tblDescription w:val="Categorisation of data source"/>
      </w:tblPr>
      <w:tblGrid>
        <w:gridCol w:w="3823"/>
        <w:gridCol w:w="6378"/>
      </w:tblGrid>
      <w:tr w:rsidR="00E71249" w:rsidRPr="00087716" w14:paraId="3D309442" w14:textId="77777777" w:rsidTr="00496219">
        <w:trPr>
          <w:trHeight w:val="558"/>
          <w:tblHeader/>
        </w:trPr>
        <w:tc>
          <w:tcPr>
            <w:tcW w:w="3823" w:type="dxa"/>
            <w:tcBorders>
              <w:top w:val="single" w:sz="4" w:space="0" w:color="auto"/>
              <w:left w:val="single" w:sz="4" w:space="0" w:color="auto"/>
              <w:bottom w:val="single" w:sz="4" w:space="0" w:color="auto"/>
              <w:right w:val="single" w:sz="4" w:space="0" w:color="auto"/>
            </w:tcBorders>
            <w:shd w:val="clear" w:color="auto" w:fill="215868"/>
            <w:hideMark/>
          </w:tcPr>
          <w:p w14:paraId="461651F3" w14:textId="77777777" w:rsidR="00E71249" w:rsidRPr="00087716" w:rsidRDefault="00E71249" w:rsidP="00496219">
            <w:pPr>
              <w:suppressAutoHyphens/>
              <w:spacing w:before="120" w:after="120"/>
              <w:rPr>
                <w:rFonts w:asciiTheme="minorHAnsi" w:hAnsiTheme="minorHAnsi" w:cstheme="minorHAnsi"/>
                <w:b/>
                <w:bCs/>
                <w:color w:val="FFFFFF"/>
                <w:szCs w:val="22"/>
              </w:rPr>
            </w:pPr>
            <w:r w:rsidRPr="00087716">
              <w:rPr>
                <w:rFonts w:asciiTheme="minorHAnsi" w:eastAsia="Tahoma" w:hAnsiTheme="minorHAnsi" w:cstheme="minorHAnsi"/>
                <w:b/>
                <w:bCs/>
                <w:color w:val="FFFFFF"/>
                <w:szCs w:val="22"/>
              </w:rPr>
              <w:t xml:space="preserve">Categorisation of data source </w:t>
            </w:r>
          </w:p>
        </w:tc>
        <w:tc>
          <w:tcPr>
            <w:tcW w:w="6378" w:type="dxa"/>
            <w:tcBorders>
              <w:top w:val="single" w:sz="4" w:space="0" w:color="auto"/>
              <w:left w:val="single" w:sz="4" w:space="0" w:color="auto"/>
              <w:bottom w:val="single" w:sz="4" w:space="0" w:color="auto"/>
              <w:right w:val="single" w:sz="4" w:space="0" w:color="auto"/>
            </w:tcBorders>
            <w:shd w:val="clear" w:color="auto" w:fill="215868"/>
            <w:hideMark/>
          </w:tcPr>
          <w:p w14:paraId="6152B682" w14:textId="77777777" w:rsidR="00E71249" w:rsidRPr="00087716" w:rsidRDefault="00E71249" w:rsidP="00496219">
            <w:pPr>
              <w:suppressAutoHyphens/>
              <w:spacing w:before="120" w:after="120"/>
              <w:rPr>
                <w:rFonts w:asciiTheme="minorHAnsi" w:eastAsia="Tahoma" w:hAnsiTheme="minorHAnsi" w:cstheme="minorHAnsi"/>
                <w:b/>
                <w:bCs/>
                <w:color w:val="FFFFFF"/>
                <w:szCs w:val="22"/>
              </w:rPr>
            </w:pPr>
            <w:r w:rsidRPr="00087716">
              <w:rPr>
                <w:rFonts w:asciiTheme="minorHAnsi" w:eastAsia="Tahoma" w:hAnsiTheme="minorHAnsi" w:cstheme="minorHAnsi"/>
                <w:b/>
                <w:bCs/>
                <w:color w:val="FFFFFF"/>
                <w:szCs w:val="22"/>
              </w:rPr>
              <w:t xml:space="preserve">Data source </w:t>
            </w:r>
          </w:p>
        </w:tc>
      </w:tr>
      <w:tr w:rsidR="00E71249" w:rsidRPr="00087716" w14:paraId="3A168CC2" w14:textId="77777777" w:rsidTr="00496219">
        <w:trPr>
          <w:trHeight w:val="558"/>
        </w:trPr>
        <w:tc>
          <w:tcPr>
            <w:tcW w:w="3823" w:type="dxa"/>
            <w:tcBorders>
              <w:top w:val="single" w:sz="4" w:space="0" w:color="auto"/>
              <w:left w:val="single" w:sz="4" w:space="0" w:color="auto"/>
              <w:bottom w:val="single" w:sz="4" w:space="0" w:color="auto"/>
              <w:right w:val="single" w:sz="4" w:space="0" w:color="auto"/>
            </w:tcBorders>
            <w:hideMark/>
          </w:tcPr>
          <w:p w14:paraId="0BB48B8F" w14:textId="77777777" w:rsidR="00E71249" w:rsidRPr="00087716" w:rsidRDefault="00E71249" w:rsidP="00496219">
            <w:pPr>
              <w:suppressAutoHyphens/>
              <w:spacing w:before="120" w:after="120"/>
              <w:rPr>
                <w:rFonts w:asciiTheme="minorHAnsi" w:eastAsia="Tahoma" w:hAnsiTheme="minorHAnsi" w:cstheme="minorHAnsi"/>
                <w:color w:val="000000"/>
                <w:szCs w:val="22"/>
              </w:rPr>
            </w:pPr>
            <w:r w:rsidRPr="00087716">
              <w:rPr>
                <w:rFonts w:eastAsia="Tahoma" w:cstheme="minorHAnsi"/>
                <w:noProof/>
                <w:szCs w:val="22"/>
              </w:rPr>
              <w:drawing>
                <wp:inline distT="0" distB="0" distL="0" distR="0" wp14:anchorId="45BAE463" wp14:editId="2DD88A19">
                  <wp:extent cx="1209675" cy="352425"/>
                  <wp:effectExtent l="0" t="0" r="9525" b="9525"/>
                  <wp:docPr id="44" name="Picture 17" descr="second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econdary sour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09675" cy="352425"/>
                          </a:xfrm>
                          <a:prstGeom prst="rect">
                            <a:avLst/>
                          </a:prstGeom>
                          <a:noFill/>
                          <a:ln>
                            <a:noFill/>
                          </a:ln>
                        </pic:spPr>
                      </pic:pic>
                    </a:graphicData>
                  </a:graphic>
                </wp:inline>
              </w:drawing>
            </w:r>
            <w:r w:rsidRPr="00087716">
              <w:rPr>
                <w:rFonts w:eastAsia="Tahoma" w:cstheme="minorHAnsi"/>
                <w:noProof/>
                <w:szCs w:val="22"/>
              </w:rPr>
              <w:drawing>
                <wp:inline distT="0" distB="0" distL="0" distR="0" wp14:anchorId="6736BCA4" wp14:editId="39EFDE6F">
                  <wp:extent cx="885825" cy="342900"/>
                  <wp:effectExtent l="0" t="0" r="9525" b="0"/>
                  <wp:docPr id="45" name="Picture 16" descr="tier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ier 1&#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85825" cy="342900"/>
                          </a:xfrm>
                          <a:prstGeom prst="rect">
                            <a:avLst/>
                          </a:prstGeom>
                          <a:noFill/>
                          <a:ln>
                            <a:noFill/>
                          </a:ln>
                        </pic:spPr>
                      </pic:pic>
                    </a:graphicData>
                  </a:graphic>
                </wp:inline>
              </w:drawing>
            </w:r>
          </w:p>
        </w:tc>
        <w:tc>
          <w:tcPr>
            <w:tcW w:w="6378" w:type="dxa"/>
            <w:tcBorders>
              <w:top w:val="single" w:sz="4" w:space="0" w:color="auto"/>
              <w:left w:val="single" w:sz="4" w:space="0" w:color="auto"/>
              <w:bottom w:val="single" w:sz="4" w:space="0" w:color="auto"/>
              <w:right w:val="single" w:sz="4" w:space="0" w:color="auto"/>
            </w:tcBorders>
            <w:hideMark/>
          </w:tcPr>
          <w:p w14:paraId="285AAFC9" w14:textId="77777777" w:rsidR="00E71249" w:rsidRPr="00087716" w:rsidRDefault="00E71249" w:rsidP="00496219">
            <w:pPr>
              <w:suppressAutoHyphens/>
              <w:spacing w:before="120" w:after="120"/>
              <w:rPr>
                <w:rFonts w:asciiTheme="minorHAnsi" w:eastAsia="Tahoma" w:hAnsiTheme="minorHAnsi" w:cstheme="minorHAnsi"/>
                <w:color w:val="000000"/>
                <w:szCs w:val="22"/>
              </w:rPr>
            </w:pPr>
            <w:r w:rsidRPr="00087716">
              <w:rPr>
                <w:rFonts w:asciiTheme="minorHAnsi" w:eastAsia="Tahoma" w:hAnsiTheme="minorHAnsi" w:cstheme="minorHAnsi"/>
                <w:color w:val="000000"/>
                <w:szCs w:val="22"/>
              </w:rPr>
              <w:t>Services Australia administrative data</w:t>
            </w:r>
          </w:p>
        </w:tc>
      </w:tr>
      <w:tr w:rsidR="00E71249" w:rsidRPr="00087716" w14:paraId="53C99954" w14:textId="77777777" w:rsidTr="00496219">
        <w:trPr>
          <w:trHeight w:val="699"/>
        </w:trPr>
        <w:tc>
          <w:tcPr>
            <w:tcW w:w="3823" w:type="dxa"/>
            <w:tcBorders>
              <w:top w:val="single" w:sz="4" w:space="0" w:color="auto"/>
              <w:left w:val="single" w:sz="4" w:space="0" w:color="auto"/>
              <w:bottom w:val="single" w:sz="4" w:space="0" w:color="auto"/>
              <w:right w:val="single" w:sz="4" w:space="0" w:color="auto"/>
            </w:tcBorders>
            <w:hideMark/>
          </w:tcPr>
          <w:p w14:paraId="0E22C70C" w14:textId="77777777" w:rsidR="00E71249" w:rsidRPr="00087716" w:rsidRDefault="00E71249" w:rsidP="00496219">
            <w:pPr>
              <w:suppressAutoHyphens/>
              <w:spacing w:before="120" w:after="120"/>
              <w:rPr>
                <w:rFonts w:asciiTheme="minorHAnsi" w:eastAsia="Tahoma" w:hAnsiTheme="minorHAnsi" w:cstheme="minorHAnsi"/>
                <w:color w:val="000000"/>
                <w:szCs w:val="22"/>
              </w:rPr>
            </w:pPr>
            <w:r w:rsidRPr="00087716">
              <w:rPr>
                <w:rFonts w:eastAsia="Tahoma" w:cstheme="minorHAnsi"/>
                <w:noProof/>
                <w:szCs w:val="22"/>
              </w:rPr>
              <w:drawing>
                <wp:inline distT="0" distB="0" distL="0" distR="0" wp14:anchorId="42350FA8" wp14:editId="08A676E0">
                  <wp:extent cx="1209675" cy="352425"/>
                  <wp:effectExtent l="0" t="0" r="9525" b="9525"/>
                  <wp:docPr id="46" name="Picture 15" descr="second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econdary sour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09675" cy="352425"/>
                          </a:xfrm>
                          <a:prstGeom prst="rect">
                            <a:avLst/>
                          </a:prstGeom>
                          <a:noFill/>
                          <a:ln>
                            <a:noFill/>
                          </a:ln>
                        </pic:spPr>
                      </pic:pic>
                    </a:graphicData>
                  </a:graphic>
                </wp:inline>
              </w:drawing>
            </w:r>
            <w:r w:rsidRPr="00087716">
              <w:rPr>
                <w:rFonts w:eastAsia="Tahoma" w:cstheme="minorHAnsi"/>
                <w:noProof/>
                <w:szCs w:val="22"/>
              </w:rPr>
              <w:drawing>
                <wp:inline distT="0" distB="0" distL="0" distR="0" wp14:anchorId="752B36DB" wp14:editId="15E45457">
                  <wp:extent cx="885825" cy="342900"/>
                  <wp:effectExtent l="0" t="0" r="9525" b="0"/>
                  <wp:docPr id="47" name="Picture 14" descr="tier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ier 1&#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85825" cy="342900"/>
                          </a:xfrm>
                          <a:prstGeom prst="rect">
                            <a:avLst/>
                          </a:prstGeom>
                          <a:noFill/>
                          <a:ln>
                            <a:noFill/>
                          </a:ln>
                        </pic:spPr>
                      </pic:pic>
                    </a:graphicData>
                  </a:graphic>
                </wp:inline>
              </w:drawing>
            </w:r>
          </w:p>
        </w:tc>
        <w:tc>
          <w:tcPr>
            <w:tcW w:w="6378" w:type="dxa"/>
            <w:tcBorders>
              <w:top w:val="single" w:sz="4" w:space="0" w:color="auto"/>
              <w:left w:val="single" w:sz="4" w:space="0" w:color="auto"/>
              <w:bottom w:val="single" w:sz="4" w:space="0" w:color="auto"/>
              <w:right w:val="single" w:sz="4" w:space="0" w:color="auto"/>
            </w:tcBorders>
            <w:hideMark/>
          </w:tcPr>
          <w:p w14:paraId="673ABF4B" w14:textId="77777777" w:rsidR="00E71249" w:rsidRPr="00087716" w:rsidRDefault="00E71249" w:rsidP="00496219">
            <w:pPr>
              <w:suppressAutoHyphens/>
              <w:spacing w:before="120" w:after="120"/>
              <w:rPr>
                <w:rFonts w:asciiTheme="minorHAnsi" w:eastAsia="Tahoma" w:hAnsiTheme="minorHAnsi" w:cstheme="minorHAnsi"/>
                <w:color w:val="000000"/>
                <w:szCs w:val="22"/>
              </w:rPr>
            </w:pPr>
            <w:r w:rsidRPr="00087716">
              <w:rPr>
                <w:rFonts w:asciiTheme="minorHAnsi" w:eastAsia="Tahoma" w:hAnsiTheme="minorHAnsi" w:cstheme="minorHAnsi"/>
                <w:color w:val="000000"/>
                <w:szCs w:val="22"/>
              </w:rPr>
              <w:t>ABS - Survey of Disability, Ageing and Carers</w:t>
            </w:r>
          </w:p>
        </w:tc>
      </w:tr>
      <w:tr w:rsidR="00E71249" w:rsidRPr="00087716" w14:paraId="67EE72BB" w14:textId="77777777" w:rsidTr="00496219">
        <w:trPr>
          <w:trHeight w:val="699"/>
        </w:trPr>
        <w:tc>
          <w:tcPr>
            <w:tcW w:w="3823" w:type="dxa"/>
            <w:tcBorders>
              <w:top w:val="single" w:sz="4" w:space="0" w:color="auto"/>
              <w:left w:val="single" w:sz="4" w:space="0" w:color="auto"/>
              <w:bottom w:val="single" w:sz="4" w:space="0" w:color="auto"/>
              <w:right w:val="single" w:sz="4" w:space="0" w:color="auto"/>
            </w:tcBorders>
            <w:hideMark/>
          </w:tcPr>
          <w:p w14:paraId="780C19BB" w14:textId="77777777" w:rsidR="00E71249" w:rsidRPr="00087716" w:rsidRDefault="00E71249" w:rsidP="00496219">
            <w:pPr>
              <w:suppressAutoHyphens/>
              <w:spacing w:before="120" w:after="120"/>
              <w:rPr>
                <w:rFonts w:asciiTheme="minorHAnsi" w:eastAsia="Tahoma" w:hAnsiTheme="minorHAnsi" w:cstheme="minorHAnsi"/>
                <w:noProof/>
                <w:color w:val="000000"/>
                <w:szCs w:val="22"/>
              </w:rPr>
            </w:pPr>
            <w:r w:rsidRPr="00087716">
              <w:rPr>
                <w:rFonts w:eastAsia="Tahoma" w:cstheme="minorHAnsi"/>
                <w:noProof/>
                <w:szCs w:val="22"/>
              </w:rPr>
              <w:drawing>
                <wp:inline distT="0" distB="0" distL="0" distR="0" wp14:anchorId="73844CEB" wp14:editId="3587BFDE">
                  <wp:extent cx="1209675" cy="352425"/>
                  <wp:effectExtent l="0" t="0" r="9525" b="9525"/>
                  <wp:docPr id="48" name="Picture 13" descr="second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econdary sour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09675" cy="352425"/>
                          </a:xfrm>
                          <a:prstGeom prst="rect">
                            <a:avLst/>
                          </a:prstGeom>
                          <a:noFill/>
                          <a:ln>
                            <a:noFill/>
                          </a:ln>
                        </pic:spPr>
                      </pic:pic>
                    </a:graphicData>
                  </a:graphic>
                </wp:inline>
              </w:drawing>
            </w:r>
            <w:r w:rsidRPr="00087716">
              <w:rPr>
                <w:rFonts w:eastAsia="Tahoma" w:cstheme="minorHAnsi"/>
                <w:noProof/>
                <w:szCs w:val="22"/>
              </w:rPr>
              <w:drawing>
                <wp:inline distT="0" distB="0" distL="0" distR="0" wp14:anchorId="33D88217" wp14:editId="1403690D">
                  <wp:extent cx="885825" cy="342900"/>
                  <wp:effectExtent l="0" t="0" r="9525" b="0"/>
                  <wp:docPr id="49" name="picture" descr="tier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tier 1&#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85825" cy="342900"/>
                          </a:xfrm>
                          <a:prstGeom prst="rect">
                            <a:avLst/>
                          </a:prstGeom>
                          <a:noFill/>
                          <a:ln>
                            <a:noFill/>
                          </a:ln>
                        </pic:spPr>
                      </pic:pic>
                    </a:graphicData>
                  </a:graphic>
                </wp:inline>
              </w:drawing>
            </w:r>
          </w:p>
        </w:tc>
        <w:tc>
          <w:tcPr>
            <w:tcW w:w="6378" w:type="dxa"/>
            <w:tcBorders>
              <w:top w:val="single" w:sz="4" w:space="0" w:color="auto"/>
              <w:left w:val="single" w:sz="4" w:space="0" w:color="auto"/>
              <w:bottom w:val="single" w:sz="4" w:space="0" w:color="auto"/>
              <w:right w:val="single" w:sz="4" w:space="0" w:color="auto"/>
            </w:tcBorders>
            <w:hideMark/>
          </w:tcPr>
          <w:p w14:paraId="0344228F" w14:textId="77777777" w:rsidR="00E71249" w:rsidRPr="00087716" w:rsidRDefault="00E71249" w:rsidP="00496219">
            <w:pPr>
              <w:suppressAutoHyphens/>
              <w:spacing w:before="120" w:after="120"/>
              <w:rPr>
                <w:rFonts w:asciiTheme="minorHAnsi" w:eastAsia="Tahoma" w:hAnsiTheme="minorHAnsi" w:cstheme="minorHAnsi"/>
                <w:color w:val="000000"/>
                <w:szCs w:val="22"/>
              </w:rPr>
            </w:pPr>
            <w:r w:rsidRPr="00087716">
              <w:rPr>
                <w:rFonts w:asciiTheme="minorHAnsi" w:eastAsia="Tahoma" w:hAnsiTheme="minorHAnsi" w:cstheme="minorHAnsi"/>
                <w:color w:val="000000"/>
                <w:szCs w:val="22"/>
              </w:rPr>
              <w:t xml:space="preserve">ABS - National state and territories population tables </w:t>
            </w:r>
          </w:p>
        </w:tc>
      </w:tr>
    </w:tbl>
    <w:p w14:paraId="41B46546" w14:textId="77777777" w:rsidR="00E71249" w:rsidRPr="00FD4C88" w:rsidRDefault="00E71249" w:rsidP="00FD4C88">
      <w:pPr>
        <w:pStyle w:val="CPCustom3"/>
      </w:pPr>
      <w:r w:rsidRPr="00FD4C88">
        <w:t xml:space="preserve">Supporting Information </w:t>
      </w:r>
    </w:p>
    <w:p w14:paraId="409E0A24" w14:textId="77777777" w:rsidR="00E71249" w:rsidRPr="00087716" w:rsidRDefault="00E71249" w:rsidP="00577C1E">
      <w:pPr>
        <w:pStyle w:val="ListParagraph"/>
        <w:spacing w:before="120" w:after="160"/>
        <w:ind w:left="714" w:hanging="357"/>
        <w:rPr>
          <w:lang w:eastAsia="en-AU"/>
        </w:rPr>
      </w:pPr>
      <w:r w:rsidRPr="00087716">
        <w:rPr>
          <w:lang w:eastAsia="en-AU"/>
        </w:rPr>
        <w:t xml:space="preserve">Administered outlays </w:t>
      </w:r>
    </w:p>
    <w:p w14:paraId="09F7ED82" w14:textId="77777777" w:rsidR="00E71249" w:rsidRPr="00087716" w:rsidRDefault="00E71249" w:rsidP="00577C1E">
      <w:pPr>
        <w:pStyle w:val="ListParagraph"/>
        <w:spacing w:before="120" w:after="160"/>
        <w:ind w:left="714" w:hanging="357"/>
        <w:rPr>
          <w:lang w:eastAsia="en-AU"/>
        </w:rPr>
      </w:pPr>
      <w:r w:rsidRPr="00087716">
        <w:rPr>
          <w:lang w:eastAsia="en-AU"/>
        </w:rPr>
        <w:t>Payment accuracy</w:t>
      </w:r>
    </w:p>
    <w:p w14:paraId="075F5352" w14:textId="77777777" w:rsidR="00E71249" w:rsidRPr="00087716" w:rsidRDefault="00E71249" w:rsidP="00577C1E">
      <w:pPr>
        <w:pStyle w:val="ListParagraph"/>
        <w:spacing w:before="120" w:after="160"/>
        <w:ind w:left="714" w:hanging="357"/>
        <w:rPr>
          <w:lang w:eastAsia="en-AU"/>
        </w:rPr>
      </w:pPr>
      <w:r w:rsidRPr="00087716">
        <w:rPr>
          <w:lang w:eastAsia="en-AU"/>
        </w:rPr>
        <w:t>Number of payment recipients</w:t>
      </w:r>
    </w:p>
    <w:p w14:paraId="6F0C2204" w14:textId="77777777" w:rsidR="00E71249" w:rsidRPr="00087716" w:rsidRDefault="00E71249" w:rsidP="00E71249">
      <w:pPr>
        <w:spacing w:after="240"/>
        <w:rPr>
          <w:szCs w:val="22"/>
        </w:rPr>
      </w:pPr>
      <w:r w:rsidRPr="00087716">
        <w:rPr>
          <w:szCs w:val="22"/>
        </w:rPr>
        <w:br w:type="page"/>
      </w:r>
    </w:p>
    <w:p w14:paraId="3F81DA41" w14:textId="7944A47E" w:rsidR="00E71249" w:rsidRPr="00DD6FA0" w:rsidRDefault="00E71249" w:rsidP="00DD6FA0">
      <w:pPr>
        <w:pStyle w:val="Heading3"/>
        <w:shd w:val="clear" w:color="auto" w:fill="005A70" w:themeFill="accent1"/>
        <w:rPr>
          <w:rFonts w:asciiTheme="minorHAnsi" w:hAnsiTheme="minorHAnsi" w:cstheme="minorHAnsi"/>
          <w:b/>
          <w:bCs w:val="0"/>
          <w:color w:val="FFFFFF" w:themeColor="background1"/>
          <w:sz w:val="22"/>
          <w:szCs w:val="22"/>
          <w:lang w:eastAsia="en-AU"/>
        </w:rPr>
      </w:pPr>
      <w:bookmarkStart w:id="93" w:name="_Toc198551929"/>
      <w:bookmarkStart w:id="94" w:name="_Toc238653295"/>
      <w:r w:rsidRPr="00DD6FA0">
        <w:rPr>
          <w:rFonts w:asciiTheme="minorHAnsi" w:hAnsiTheme="minorHAnsi" w:cstheme="minorHAnsi"/>
          <w:b/>
          <w:bCs w:val="0"/>
          <w:color w:val="FFFFFF" w:themeColor="background1"/>
          <w:sz w:val="22"/>
          <w:szCs w:val="22"/>
          <w:lang w:eastAsia="en-AU"/>
        </w:rPr>
        <w:lastRenderedPageBreak/>
        <w:t xml:space="preserve">Program 1.6 </w:t>
      </w:r>
      <w:bookmarkEnd w:id="93"/>
      <w:r w:rsidR="00FD4C88" w:rsidRPr="00DD6FA0">
        <w:rPr>
          <w:rFonts w:asciiTheme="minorHAnsi" w:hAnsiTheme="minorHAnsi" w:cstheme="minorHAnsi"/>
          <w:b/>
          <w:bCs w:val="0"/>
          <w:color w:val="FFFFFF" w:themeColor="background1"/>
          <w:sz w:val="22"/>
          <w:szCs w:val="22"/>
          <w:lang w:eastAsia="en-AU"/>
        </w:rPr>
        <w:t>Working Age Payments</w:t>
      </w:r>
      <w:bookmarkEnd w:id="94"/>
    </w:p>
    <w:p w14:paraId="739ED18B" w14:textId="77777777" w:rsidR="00E71249" w:rsidRPr="00087716" w:rsidRDefault="00E71249" w:rsidP="00577C1E">
      <w:pPr>
        <w:shd w:val="clear" w:color="auto" w:fill="005A70"/>
        <w:spacing w:before="120" w:after="160" w:line="240" w:lineRule="auto"/>
        <w:rPr>
          <w:rFonts w:eastAsiaTheme="minorEastAsia" w:cstheme="minorHAnsi"/>
          <w:color w:val="FFFFFF" w:themeColor="background1"/>
          <w:szCs w:val="22"/>
          <w:lang w:eastAsia="en-AU"/>
        </w:rPr>
      </w:pPr>
      <w:r w:rsidRPr="00087716">
        <w:rPr>
          <w:rFonts w:eastAsiaTheme="minorEastAsia" w:cstheme="minorHAnsi"/>
          <w:color w:val="FFFFFF" w:themeColor="background1"/>
          <w:szCs w:val="22"/>
          <w:lang w:eastAsia="en-AU"/>
        </w:rPr>
        <w:t>To provide financial assistance to people while they are unable to fully support themselves through work.</w:t>
      </w:r>
    </w:p>
    <w:p w14:paraId="2ED9AAD9" w14:textId="77777777" w:rsidR="00E71249" w:rsidRPr="002A5B00" w:rsidRDefault="00E71249" w:rsidP="002A5B00">
      <w:pPr>
        <w:pStyle w:val="Heading4"/>
        <w:shd w:val="clear" w:color="auto" w:fill="B1E4E3" w:themeFill="accent3"/>
        <w:spacing w:before="60" w:after="60"/>
        <w:rPr>
          <w:color w:val="auto"/>
          <w:sz w:val="22"/>
          <w:szCs w:val="22"/>
        </w:rPr>
      </w:pPr>
      <w:r w:rsidRPr="002A5B00">
        <w:rPr>
          <w:color w:val="auto"/>
          <w:sz w:val="22"/>
          <w:szCs w:val="22"/>
        </w:rPr>
        <w:t xml:space="preserve">Key Activity — 1.6.1 </w:t>
      </w:r>
      <w:proofErr w:type="spellStart"/>
      <w:r w:rsidRPr="002A5B00">
        <w:rPr>
          <w:color w:val="auto"/>
          <w:sz w:val="22"/>
          <w:szCs w:val="22"/>
        </w:rPr>
        <w:t>JobSeeker</w:t>
      </w:r>
      <w:proofErr w:type="spellEnd"/>
      <w:r w:rsidRPr="002A5B00">
        <w:rPr>
          <w:color w:val="auto"/>
          <w:sz w:val="22"/>
          <w:szCs w:val="22"/>
        </w:rPr>
        <w:t xml:space="preserve"> Payment, Youth Allowance (other) and Parenting Payment</w:t>
      </w:r>
    </w:p>
    <w:p w14:paraId="6F7C094A" w14:textId="77777777" w:rsidR="00E71249" w:rsidRPr="00087716" w:rsidRDefault="00E71249" w:rsidP="00577C1E">
      <w:pPr>
        <w:suppressAutoHyphens/>
        <w:spacing w:before="120" w:after="160"/>
        <w:rPr>
          <w:rFonts w:eastAsia="Times New Roman" w:cstheme="minorHAnsi"/>
          <w:szCs w:val="22"/>
          <w:lang w:eastAsia="en-AU"/>
        </w:rPr>
      </w:pPr>
      <w:proofErr w:type="spellStart"/>
      <w:r w:rsidRPr="00087716">
        <w:rPr>
          <w:rFonts w:eastAsia="Times New Roman" w:cstheme="minorHAnsi"/>
          <w:szCs w:val="22"/>
          <w:lang w:eastAsia="en-AU"/>
        </w:rPr>
        <w:t>JobSeeker</w:t>
      </w:r>
      <w:proofErr w:type="spellEnd"/>
      <w:r w:rsidRPr="00087716">
        <w:rPr>
          <w:rFonts w:eastAsia="Times New Roman" w:cstheme="minorHAnsi"/>
          <w:szCs w:val="22"/>
          <w:lang w:eastAsia="en-AU"/>
        </w:rPr>
        <w:t xml:space="preserve"> Payment, Youth Allowance (other) and Parenting Payment are key activities of the Working Age Payments program.</w:t>
      </w:r>
    </w:p>
    <w:p w14:paraId="047D6083" w14:textId="77777777" w:rsidR="00E71249" w:rsidRPr="00087716" w:rsidRDefault="00E71249" w:rsidP="00577C1E">
      <w:pPr>
        <w:suppressAutoHyphens/>
        <w:spacing w:before="120" w:after="160"/>
        <w:rPr>
          <w:rFonts w:eastAsia="Times New Roman" w:cstheme="minorHAnsi"/>
          <w:szCs w:val="22"/>
          <w:lang w:eastAsia="en-AU"/>
        </w:rPr>
      </w:pPr>
      <w:r w:rsidRPr="00087716">
        <w:rPr>
          <w:rFonts w:eastAsia="Times New Roman" w:cstheme="minorHAnsi"/>
          <w:szCs w:val="22"/>
          <w:lang w:eastAsia="en-AU"/>
        </w:rPr>
        <w:t>Working Age Payments assist people who are temporarily unable to support themselves through work or who have a limited capacity to work due to injury or illness or parenting responsibilities. Eligibility for payments is targeted with means testing and supplementary payments are available where people have additional costs, ensuring that assistance is directed to those with the greatest need.</w:t>
      </w:r>
    </w:p>
    <w:p w14:paraId="58EC222F" w14:textId="77777777" w:rsidR="00E71249" w:rsidRPr="00087716" w:rsidRDefault="00E71249" w:rsidP="00577C1E">
      <w:pPr>
        <w:suppressAutoHyphens/>
        <w:spacing w:before="120" w:after="160"/>
        <w:rPr>
          <w:rFonts w:eastAsia="Times New Roman" w:cstheme="minorHAnsi"/>
          <w:szCs w:val="22"/>
          <w:lang w:eastAsia="en-AU"/>
        </w:rPr>
      </w:pPr>
      <w:proofErr w:type="spellStart"/>
      <w:r w:rsidRPr="00087716">
        <w:rPr>
          <w:rFonts w:eastAsia="Times New Roman" w:cstheme="minorHAnsi"/>
          <w:b/>
          <w:bCs/>
          <w:szCs w:val="22"/>
          <w:lang w:eastAsia="en-AU"/>
        </w:rPr>
        <w:t>JobSeeker</w:t>
      </w:r>
      <w:proofErr w:type="spellEnd"/>
      <w:r w:rsidRPr="00087716">
        <w:rPr>
          <w:rFonts w:eastAsia="Times New Roman" w:cstheme="minorHAnsi"/>
          <w:b/>
          <w:bCs/>
          <w:szCs w:val="22"/>
          <w:lang w:eastAsia="en-AU"/>
        </w:rPr>
        <w:t xml:space="preserve"> Payment</w:t>
      </w:r>
      <w:r w:rsidRPr="00087716">
        <w:rPr>
          <w:rFonts w:eastAsia="Times New Roman" w:cstheme="minorHAnsi"/>
          <w:szCs w:val="22"/>
          <w:lang w:eastAsia="en-AU"/>
        </w:rPr>
        <w:t xml:space="preserve"> is the main income support payment for eligible people aged between 22 years to Age Pension qualification age who are looking for work, who temporarily cannot work or study because of an injury or illness, or bereaved partners in the period immediately following the death of their partners. </w:t>
      </w:r>
    </w:p>
    <w:p w14:paraId="75E83F6F" w14:textId="77777777" w:rsidR="00E71249" w:rsidRPr="00087716" w:rsidRDefault="00E71249" w:rsidP="00577C1E">
      <w:pPr>
        <w:suppressAutoHyphens/>
        <w:spacing w:before="120" w:after="160"/>
        <w:rPr>
          <w:rFonts w:eastAsia="Times New Roman" w:cstheme="minorHAnsi"/>
          <w:szCs w:val="22"/>
          <w:lang w:eastAsia="en-AU"/>
        </w:rPr>
      </w:pPr>
      <w:r w:rsidRPr="00087716">
        <w:rPr>
          <w:rFonts w:eastAsia="Times New Roman" w:cstheme="minorHAnsi"/>
          <w:b/>
          <w:bCs/>
          <w:szCs w:val="22"/>
          <w:lang w:eastAsia="en-AU"/>
        </w:rPr>
        <w:t>Youth Allowance (other)</w:t>
      </w:r>
      <w:r w:rsidRPr="00087716">
        <w:rPr>
          <w:rFonts w:eastAsia="Times New Roman" w:cstheme="minorHAnsi"/>
          <w:szCs w:val="22"/>
          <w:lang w:eastAsia="en-AU"/>
        </w:rPr>
        <w:t xml:space="preserve"> is the main income support payment for eligible young people aged 16–21 years who are looking for </w:t>
      </w:r>
      <w:proofErr w:type="gramStart"/>
      <w:r w:rsidRPr="00087716">
        <w:rPr>
          <w:rFonts w:eastAsia="Times New Roman" w:cstheme="minorHAnsi"/>
          <w:szCs w:val="22"/>
          <w:lang w:eastAsia="en-AU"/>
        </w:rPr>
        <w:t>full time</w:t>
      </w:r>
      <w:proofErr w:type="gramEnd"/>
      <w:r w:rsidRPr="00087716">
        <w:rPr>
          <w:rFonts w:eastAsia="Times New Roman" w:cstheme="minorHAnsi"/>
          <w:szCs w:val="22"/>
          <w:lang w:eastAsia="en-AU"/>
        </w:rPr>
        <w:t xml:space="preserve"> work or undertaking approved activities to improve their job prospects.</w:t>
      </w:r>
    </w:p>
    <w:p w14:paraId="69D687C6" w14:textId="77777777" w:rsidR="00E71249" w:rsidRPr="00087716" w:rsidRDefault="00E71249" w:rsidP="00577C1E">
      <w:pPr>
        <w:spacing w:before="120" w:after="160"/>
        <w:rPr>
          <w:rFonts w:cstheme="minorHAnsi"/>
          <w:spacing w:val="4"/>
          <w:szCs w:val="22"/>
          <w:lang w:eastAsia="en-AU"/>
        </w:rPr>
      </w:pPr>
      <w:r w:rsidRPr="00087716">
        <w:rPr>
          <w:rFonts w:cstheme="minorHAnsi"/>
          <w:b/>
          <w:spacing w:val="4"/>
          <w:szCs w:val="22"/>
          <w:lang w:eastAsia="en-AU"/>
        </w:rPr>
        <w:t>Parenting Payment</w:t>
      </w:r>
      <w:r w:rsidRPr="00087716">
        <w:rPr>
          <w:rFonts w:cstheme="minorHAnsi"/>
          <w:spacing w:val="4"/>
          <w:szCs w:val="22"/>
          <w:lang w:eastAsia="en-AU"/>
        </w:rPr>
        <w:t xml:space="preserve"> is the main income support payment for single parents, partnered parents, or guardians who have principal care for a young child; it provides them with incentives to increase workforce participation.</w:t>
      </w:r>
    </w:p>
    <w:p w14:paraId="662399E8" w14:textId="2483FFEE" w:rsidR="00E71249" w:rsidRPr="00087716" w:rsidRDefault="00E71249" w:rsidP="00577C1E">
      <w:pPr>
        <w:suppressAutoHyphens/>
        <w:spacing w:before="120" w:after="160"/>
        <w:rPr>
          <w:rFonts w:eastAsia="Times New Roman" w:cstheme="minorHAnsi"/>
          <w:color w:val="000000" w:themeColor="text1"/>
          <w:spacing w:val="4"/>
          <w:szCs w:val="22"/>
          <w:lang w:eastAsia="en-AU"/>
        </w:rPr>
      </w:pPr>
      <w:r w:rsidRPr="00087716">
        <w:rPr>
          <w:rFonts w:eastAsia="Times New Roman" w:cstheme="minorHAnsi"/>
          <w:b/>
          <w:bCs/>
          <w:color w:val="000000" w:themeColor="text1"/>
          <w:spacing w:val="4"/>
          <w:szCs w:val="22"/>
          <w:lang w:eastAsia="en-AU"/>
        </w:rPr>
        <w:t xml:space="preserve">The </w:t>
      </w:r>
      <w:r w:rsidR="0054557F">
        <w:rPr>
          <w:rFonts w:eastAsia="Times New Roman" w:cstheme="minorHAnsi"/>
          <w:b/>
          <w:bCs/>
          <w:color w:val="000000" w:themeColor="text1"/>
          <w:spacing w:val="4"/>
          <w:szCs w:val="22"/>
          <w:lang w:eastAsia="en-AU"/>
        </w:rPr>
        <w:t>d</w:t>
      </w:r>
      <w:r w:rsidRPr="00087716">
        <w:rPr>
          <w:rFonts w:eastAsia="Times New Roman" w:cstheme="minorHAnsi"/>
          <w:b/>
          <w:bCs/>
          <w:color w:val="000000" w:themeColor="text1"/>
          <w:spacing w:val="4"/>
          <w:szCs w:val="22"/>
          <w:lang w:eastAsia="en-AU"/>
        </w:rPr>
        <w:t>epartment</w:t>
      </w:r>
      <w:r w:rsidRPr="00087716">
        <w:rPr>
          <w:rFonts w:eastAsia="Times New Roman" w:cstheme="minorHAnsi"/>
          <w:color w:val="000000" w:themeColor="text1"/>
          <w:spacing w:val="4"/>
          <w:szCs w:val="22"/>
          <w:lang w:eastAsia="en-AU"/>
        </w:rPr>
        <w:t xml:space="preserve"> is responsible for designing and implementing these payments, including providing advice to government on policy and legislation, program management, program performance, monitoring and meeting all relevant deliverables, setting guidelines and providing guidance and advice to Services Australia on the administration of the program.</w:t>
      </w:r>
    </w:p>
    <w:p w14:paraId="7ED45775" w14:textId="76FE0FB2" w:rsidR="00E71249" w:rsidRPr="00087716" w:rsidRDefault="00E71249" w:rsidP="00577C1E">
      <w:pPr>
        <w:suppressAutoHyphens/>
        <w:spacing w:before="120" w:after="160"/>
        <w:rPr>
          <w:rFonts w:eastAsia="Times New Roman" w:cstheme="minorHAnsi"/>
          <w:spacing w:val="4"/>
          <w:szCs w:val="22"/>
          <w:lang w:eastAsia="en-AU"/>
        </w:rPr>
      </w:pPr>
      <w:r w:rsidRPr="00087716">
        <w:rPr>
          <w:rFonts w:eastAsia="Times New Roman" w:cstheme="minorHAnsi"/>
          <w:b/>
          <w:bCs/>
          <w:color w:val="000000" w:themeColor="text1"/>
          <w:spacing w:val="4"/>
          <w:szCs w:val="22"/>
          <w:lang w:eastAsia="en-AU"/>
        </w:rPr>
        <w:t>Services Australia</w:t>
      </w:r>
      <w:r w:rsidRPr="00087716">
        <w:rPr>
          <w:rFonts w:eastAsia="Times New Roman" w:cstheme="minorHAnsi"/>
          <w:color w:val="000000" w:themeColor="text1"/>
          <w:spacing w:val="4"/>
          <w:szCs w:val="22"/>
          <w:lang w:eastAsia="en-AU"/>
        </w:rPr>
        <w:t xml:space="preserve"> is </w:t>
      </w:r>
      <w:r w:rsidRPr="00087716">
        <w:rPr>
          <w:rFonts w:eastAsia="Times New Roman" w:cstheme="minorHAnsi"/>
          <w:spacing w:val="4"/>
          <w:szCs w:val="22"/>
          <w:lang w:eastAsia="en-AU"/>
        </w:rPr>
        <w:t xml:space="preserve">the agency responsible for administering the key activities on the </w:t>
      </w:r>
      <w:r w:rsidR="0054557F">
        <w:rPr>
          <w:rFonts w:eastAsia="Times New Roman" w:cstheme="minorHAnsi"/>
          <w:spacing w:val="4"/>
          <w:szCs w:val="22"/>
          <w:lang w:eastAsia="en-AU"/>
        </w:rPr>
        <w:t>d</w:t>
      </w:r>
      <w:r w:rsidRPr="00087716">
        <w:rPr>
          <w:rFonts w:eastAsia="Times New Roman" w:cstheme="minorHAnsi"/>
          <w:spacing w:val="4"/>
          <w:szCs w:val="22"/>
          <w:lang w:eastAsia="en-AU"/>
        </w:rPr>
        <w:t xml:space="preserve">epartment’s behalf including receiving, processing and managing claims for payment, ensuring recipients’ continued eligibility for payment and delivering the </w:t>
      </w:r>
      <w:proofErr w:type="spellStart"/>
      <w:r w:rsidRPr="00087716">
        <w:rPr>
          <w:rFonts w:eastAsia="Times New Roman" w:cstheme="minorHAnsi"/>
          <w:spacing w:val="4"/>
          <w:szCs w:val="22"/>
          <w:lang w:eastAsia="en-AU"/>
        </w:rPr>
        <w:t>JobSeeker</w:t>
      </w:r>
      <w:proofErr w:type="spellEnd"/>
      <w:r w:rsidRPr="00087716">
        <w:rPr>
          <w:rFonts w:eastAsia="Times New Roman" w:cstheme="minorHAnsi"/>
          <w:spacing w:val="4"/>
          <w:szCs w:val="22"/>
          <w:lang w:eastAsia="en-AU"/>
        </w:rPr>
        <w:t xml:space="preserve"> Payment, Youth Allowance (other) and Parenting Payment.</w:t>
      </w:r>
    </w:p>
    <w:p w14:paraId="332C1F36" w14:textId="5DB22686" w:rsidR="00E71249" w:rsidRPr="00FD4C88" w:rsidRDefault="00E71249" w:rsidP="00FD4C88">
      <w:pPr>
        <w:pStyle w:val="Heading4"/>
        <w:rPr>
          <w:sz w:val="22"/>
          <w:szCs w:val="22"/>
          <w:lang w:eastAsia="en-AU"/>
        </w:rPr>
      </w:pPr>
      <w:bookmarkStart w:id="95" w:name="_Toc207287359"/>
      <w:r w:rsidRPr="00FD4C88">
        <w:rPr>
          <w:sz w:val="22"/>
          <w:szCs w:val="22"/>
          <w:lang w:eastAsia="en-AU"/>
        </w:rPr>
        <w:t>Performance Measure</w:t>
      </w:r>
      <w:bookmarkEnd w:id="95"/>
    </w:p>
    <w:p w14:paraId="3EB63043" w14:textId="77777777" w:rsidR="00E71249" w:rsidRPr="00087716" w:rsidRDefault="00E71249" w:rsidP="00E71249">
      <w:pPr>
        <w:suppressAutoHyphens/>
        <w:spacing w:before="120" w:after="120"/>
        <w:rPr>
          <w:rFonts w:eastAsia="Times New Roman" w:cstheme="minorHAnsi"/>
          <w:color w:val="000000" w:themeColor="text1"/>
          <w:spacing w:val="4"/>
          <w:szCs w:val="22"/>
          <w:lang w:eastAsia="en-AU"/>
        </w:rPr>
      </w:pPr>
      <w:r w:rsidRPr="00087716">
        <w:rPr>
          <w:rFonts w:eastAsia="Times New Roman" w:cstheme="minorHAnsi"/>
          <w:color w:val="000000" w:themeColor="text1"/>
          <w:spacing w:val="4"/>
          <w:szCs w:val="22"/>
          <w:lang w:eastAsia="en-AU"/>
        </w:rPr>
        <w:t>1.6.1-1 Extent to which payments are made to, or with respect to, people unable to fully support themselves.</w:t>
      </w:r>
    </w:p>
    <w:tbl>
      <w:tblPr>
        <w:tblStyle w:val="TableGrid39"/>
        <w:tblW w:w="4976" w:type="pct"/>
        <w:jc w:val="center"/>
        <w:tblLayout w:type="fixed"/>
        <w:tblLook w:val="04A0" w:firstRow="1" w:lastRow="0" w:firstColumn="1" w:lastColumn="0" w:noHBand="0" w:noVBand="1"/>
        <w:tblCaption w:val="Table 17 - Extent to which payments are made to, or with respect to, people unable to fully support themselves."/>
        <w:tblDescription w:val="Target for the extent to which payments are made to, or with respect to, people unable to fully support themselves."/>
      </w:tblPr>
      <w:tblGrid>
        <w:gridCol w:w="2029"/>
        <w:gridCol w:w="2029"/>
        <w:gridCol w:w="2029"/>
        <w:gridCol w:w="2029"/>
        <w:gridCol w:w="2029"/>
      </w:tblGrid>
      <w:tr w:rsidR="00E71249" w:rsidRPr="00087716" w14:paraId="69C87F4C" w14:textId="77777777" w:rsidTr="00496219">
        <w:trPr>
          <w:cantSplit/>
          <w:trHeight w:val="356"/>
          <w:tblHeader/>
          <w:jc w:val="center"/>
        </w:trPr>
        <w:tc>
          <w:tcPr>
            <w:tcW w:w="1000" w:type="pct"/>
            <w:tcBorders>
              <w:top w:val="single" w:sz="4" w:space="0" w:color="auto"/>
              <w:bottom w:val="single" w:sz="4" w:space="0" w:color="auto"/>
              <w:right w:val="single" w:sz="6" w:space="0" w:color="auto"/>
            </w:tcBorders>
            <w:shd w:val="clear" w:color="auto" w:fill="D9D9D6"/>
          </w:tcPr>
          <w:p w14:paraId="6E66456A" w14:textId="77777777" w:rsidR="00E71249" w:rsidRPr="00087716" w:rsidRDefault="00E71249" w:rsidP="00496219">
            <w:pPr>
              <w:spacing w:before="120" w:after="60" w:line="252" w:lineRule="auto"/>
              <w:rPr>
                <w:rFonts w:asciiTheme="minorHAnsi" w:hAnsiTheme="minorHAnsi" w:cstheme="minorHAnsi"/>
                <w:spacing w:val="4"/>
                <w:szCs w:val="22"/>
              </w:rPr>
            </w:pPr>
            <w:r w:rsidRPr="00087716">
              <w:rPr>
                <w:rFonts w:asciiTheme="minorHAnsi" w:hAnsiTheme="minorHAnsi" w:cstheme="minorHAnsi"/>
                <w:b/>
                <w:spacing w:val="4"/>
                <w:szCs w:val="22"/>
              </w:rPr>
              <w:lastRenderedPageBreak/>
              <w:t>Target</w:t>
            </w:r>
          </w:p>
        </w:tc>
        <w:tc>
          <w:tcPr>
            <w:tcW w:w="1000" w:type="pct"/>
            <w:tcBorders>
              <w:top w:val="single" w:sz="4" w:space="0" w:color="auto"/>
              <w:left w:val="single" w:sz="6" w:space="0" w:color="auto"/>
              <w:bottom w:val="single" w:sz="4" w:space="0" w:color="auto"/>
              <w:right w:val="single" w:sz="6" w:space="0" w:color="auto"/>
            </w:tcBorders>
            <w:shd w:val="clear" w:color="auto" w:fill="D9D9D6"/>
            <w:vAlign w:val="center"/>
          </w:tcPr>
          <w:p w14:paraId="6481F3DC" w14:textId="77777777" w:rsidR="00E71249" w:rsidRPr="00087716" w:rsidRDefault="00E71249" w:rsidP="00496219">
            <w:pPr>
              <w:spacing w:before="120" w:after="60" w:line="252" w:lineRule="auto"/>
              <w:rPr>
                <w:rFonts w:asciiTheme="minorHAnsi" w:hAnsiTheme="minorHAnsi" w:cstheme="minorHAnsi"/>
                <w:spacing w:val="4"/>
                <w:szCs w:val="22"/>
              </w:rPr>
            </w:pPr>
            <w:r w:rsidRPr="00087716">
              <w:rPr>
                <w:rFonts w:asciiTheme="minorHAnsi" w:hAnsiTheme="minorHAnsi" w:cstheme="minorHAnsi"/>
                <w:b/>
                <w:spacing w:val="4"/>
                <w:szCs w:val="22"/>
              </w:rPr>
              <w:t>2026–27</w:t>
            </w:r>
          </w:p>
        </w:tc>
        <w:tc>
          <w:tcPr>
            <w:tcW w:w="1000" w:type="pct"/>
            <w:tcBorders>
              <w:top w:val="single" w:sz="4" w:space="0" w:color="auto"/>
              <w:left w:val="single" w:sz="6" w:space="0" w:color="auto"/>
              <w:bottom w:val="single" w:sz="4" w:space="0" w:color="auto"/>
              <w:right w:val="single" w:sz="6" w:space="0" w:color="auto"/>
            </w:tcBorders>
            <w:shd w:val="clear" w:color="auto" w:fill="D9D9D6"/>
            <w:vAlign w:val="center"/>
          </w:tcPr>
          <w:p w14:paraId="68751E9A" w14:textId="77777777" w:rsidR="00E71249" w:rsidRPr="00087716" w:rsidRDefault="00E71249" w:rsidP="00496219">
            <w:pPr>
              <w:spacing w:before="120" w:after="60" w:line="252" w:lineRule="auto"/>
              <w:rPr>
                <w:rFonts w:asciiTheme="minorHAnsi" w:hAnsiTheme="minorHAnsi" w:cstheme="minorHAnsi"/>
                <w:b/>
                <w:spacing w:val="4"/>
                <w:szCs w:val="22"/>
              </w:rPr>
            </w:pPr>
            <w:r w:rsidRPr="00087716">
              <w:rPr>
                <w:rFonts w:asciiTheme="minorHAnsi" w:hAnsiTheme="minorHAnsi" w:cstheme="minorHAnsi"/>
                <w:b/>
                <w:spacing w:val="4"/>
                <w:szCs w:val="22"/>
              </w:rPr>
              <w:t>2027–28</w:t>
            </w:r>
          </w:p>
        </w:tc>
        <w:tc>
          <w:tcPr>
            <w:tcW w:w="1000" w:type="pct"/>
            <w:tcBorders>
              <w:top w:val="single" w:sz="4" w:space="0" w:color="auto"/>
              <w:left w:val="single" w:sz="6" w:space="0" w:color="auto"/>
              <w:bottom w:val="single" w:sz="4" w:space="0" w:color="auto"/>
              <w:right w:val="single" w:sz="6" w:space="0" w:color="auto"/>
            </w:tcBorders>
            <w:shd w:val="clear" w:color="auto" w:fill="D9D9D6"/>
            <w:vAlign w:val="center"/>
          </w:tcPr>
          <w:p w14:paraId="7023F86C" w14:textId="77777777" w:rsidR="00E71249" w:rsidRPr="00087716" w:rsidRDefault="00E71249" w:rsidP="00496219">
            <w:pPr>
              <w:spacing w:before="120" w:after="60" w:line="252" w:lineRule="auto"/>
              <w:rPr>
                <w:rFonts w:asciiTheme="minorHAnsi" w:hAnsiTheme="minorHAnsi" w:cstheme="minorHAnsi"/>
                <w:b/>
                <w:spacing w:val="4"/>
                <w:szCs w:val="22"/>
              </w:rPr>
            </w:pPr>
            <w:r w:rsidRPr="00087716">
              <w:rPr>
                <w:rFonts w:asciiTheme="minorHAnsi" w:hAnsiTheme="minorHAnsi" w:cstheme="minorHAnsi"/>
                <w:b/>
                <w:spacing w:val="4"/>
                <w:szCs w:val="22"/>
              </w:rPr>
              <w:t>2028–29</w:t>
            </w:r>
          </w:p>
        </w:tc>
        <w:tc>
          <w:tcPr>
            <w:tcW w:w="1000" w:type="pct"/>
            <w:tcBorders>
              <w:top w:val="single" w:sz="4" w:space="0" w:color="auto"/>
              <w:left w:val="single" w:sz="6" w:space="0" w:color="auto"/>
              <w:bottom w:val="single" w:sz="4" w:space="0" w:color="auto"/>
              <w:right w:val="single" w:sz="4" w:space="0" w:color="auto"/>
            </w:tcBorders>
            <w:shd w:val="clear" w:color="auto" w:fill="D9D9D6"/>
            <w:vAlign w:val="center"/>
          </w:tcPr>
          <w:p w14:paraId="2EFE3874" w14:textId="77777777" w:rsidR="00E71249" w:rsidRPr="00087716" w:rsidRDefault="00E71249" w:rsidP="00496219">
            <w:pPr>
              <w:spacing w:before="120" w:after="60" w:line="252" w:lineRule="auto"/>
              <w:rPr>
                <w:rFonts w:asciiTheme="minorHAnsi" w:hAnsiTheme="minorHAnsi" w:cstheme="minorHAnsi"/>
                <w:b/>
                <w:spacing w:val="4"/>
                <w:szCs w:val="22"/>
              </w:rPr>
            </w:pPr>
            <w:r w:rsidRPr="00087716">
              <w:rPr>
                <w:rFonts w:asciiTheme="minorHAnsi" w:hAnsiTheme="minorHAnsi" w:cstheme="minorHAnsi"/>
                <w:b/>
                <w:spacing w:val="4"/>
                <w:szCs w:val="22"/>
              </w:rPr>
              <w:t>2029–30</w:t>
            </w:r>
          </w:p>
        </w:tc>
      </w:tr>
      <w:tr w:rsidR="00E71249" w:rsidRPr="00087716" w14:paraId="2BAD4121" w14:textId="77777777" w:rsidTr="00496219">
        <w:trPr>
          <w:cantSplit/>
          <w:trHeight w:val="356"/>
          <w:jc w:val="center"/>
        </w:trPr>
        <w:tc>
          <w:tcPr>
            <w:tcW w:w="1000" w:type="pct"/>
            <w:tcBorders>
              <w:top w:val="single" w:sz="4" w:space="0" w:color="auto"/>
              <w:bottom w:val="single" w:sz="4" w:space="0" w:color="auto"/>
            </w:tcBorders>
          </w:tcPr>
          <w:p w14:paraId="4BC8798D" w14:textId="72CACB5C" w:rsidR="00E71249" w:rsidRPr="00087716" w:rsidRDefault="0061319D" w:rsidP="00496219">
            <w:pPr>
              <w:spacing w:before="120" w:after="60" w:line="252" w:lineRule="auto"/>
              <w:rPr>
                <w:rFonts w:asciiTheme="minorHAnsi" w:hAnsiTheme="minorHAnsi" w:cstheme="minorHAnsi"/>
                <w:spacing w:val="4"/>
                <w:szCs w:val="22"/>
              </w:rPr>
            </w:pPr>
            <w:r>
              <w:rPr>
                <w:rFonts w:eastAsiaTheme="minorEastAsia" w:cstheme="minorHAnsi"/>
                <w:noProof/>
                <w:szCs w:val="22"/>
                <w:lang w:eastAsia="en-AU"/>
              </w:rPr>
              <mc:AlternateContent>
                <mc:Choice Requires="wps">
                  <w:drawing>
                    <wp:anchor distT="0" distB="0" distL="114300" distR="114300" simplePos="0" relativeHeight="251664392" behindDoc="0" locked="0" layoutInCell="1" allowOverlap="1" wp14:anchorId="66C616B9" wp14:editId="47ED0F07">
                      <wp:simplePos x="0" y="0"/>
                      <wp:positionH relativeFrom="column">
                        <wp:posOffset>-20055</wp:posOffset>
                      </wp:positionH>
                      <wp:positionV relativeFrom="paragraph">
                        <wp:posOffset>117617</wp:posOffset>
                      </wp:positionV>
                      <wp:extent cx="45719" cy="95534"/>
                      <wp:effectExtent l="0" t="0" r="12065" b="19050"/>
                      <wp:wrapNone/>
                      <wp:docPr id="229928066" name="Diamond 7" descr="The diamond symbol represents Performance measures that may be impacted by external factors."/>
                      <wp:cNvGraphicFramePr/>
                      <a:graphic xmlns:a="http://schemas.openxmlformats.org/drawingml/2006/main">
                        <a:graphicData uri="http://schemas.microsoft.com/office/word/2010/wordprocessingShape">
                          <wps:wsp>
                            <wps:cNvSpPr/>
                            <wps:spPr>
                              <a:xfrm>
                                <a:off x="0" y="0"/>
                                <a:ext cx="45719" cy="95534"/>
                              </a:xfrm>
                              <a:prstGeom prst="diamond">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E52CF3" id="Diamond 7" o:spid="_x0000_s1026" type="#_x0000_t4" alt="The diamond symbol represents Performance measures that may be impacted by external factors." style="position:absolute;margin-left:-1.6pt;margin-top:9.25pt;width:3.6pt;height:7.5pt;z-index:251664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" fillcolor="black [3213]" strokecolor="#000d10 [484]" strokeweight=".73403mm"/>
                  </w:pict>
                </mc:Fallback>
              </mc:AlternateContent>
            </w:r>
            <w:r w:rsidR="00E71249">
              <w:rPr>
                <w:rFonts w:eastAsiaTheme="minorEastAsia" w:cstheme="minorHAnsi"/>
                <w:szCs w:val="22"/>
                <w:lang w:eastAsia="en-AU"/>
              </w:rPr>
              <w:t xml:space="preserve"> </w:t>
            </w:r>
            <w:r w:rsidR="005A2AFD">
              <w:rPr>
                <w:rFonts w:eastAsiaTheme="minorEastAsia" w:cstheme="minorHAnsi"/>
                <w:szCs w:val="22"/>
                <w:lang w:eastAsia="en-AU"/>
              </w:rPr>
              <w:t xml:space="preserve"> </w:t>
            </w:r>
            <w:r w:rsidR="00E71249" w:rsidRPr="00087716">
              <w:rPr>
                <w:rFonts w:asciiTheme="minorHAnsi" w:hAnsiTheme="minorHAnsi" w:cstheme="minorHAnsi"/>
                <w:spacing w:val="4"/>
                <w:szCs w:val="22"/>
              </w:rPr>
              <w:t>1.6.1-1A</w:t>
            </w:r>
            <w:r w:rsidR="00E71249" w:rsidRPr="00087716">
              <w:rPr>
                <w:rFonts w:asciiTheme="minorHAnsi" w:hAnsiTheme="minorHAnsi" w:cstheme="minorHAnsi"/>
                <w:szCs w:val="22"/>
              </w:rPr>
              <w:t xml:space="preserve"> – </w:t>
            </w:r>
            <w:r w:rsidR="00E71249" w:rsidRPr="00087716">
              <w:rPr>
                <w:rFonts w:asciiTheme="minorHAnsi" w:hAnsiTheme="minorHAnsi" w:cstheme="minorHAnsi"/>
                <w:spacing w:val="4"/>
                <w:szCs w:val="22"/>
              </w:rPr>
              <w:t>Recipient numbers reflect the number of people who are unable to fully support themselves through work.</w:t>
            </w:r>
          </w:p>
        </w:tc>
        <w:tc>
          <w:tcPr>
            <w:tcW w:w="1000" w:type="pct"/>
            <w:tcBorders>
              <w:top w:val="single" w:sz="4" w:space="0" w:color="auto"/>
              <w:bottom w:val="single" w:sz="4" w:space="0" w:color="auto"/>
            </w:tcBorders>
            <w:vAlign w:val="center"/>
          </w:tcPr>
          <w:p w14:paraId="64EBE220" w14:textId="77777777" w:rsidR="00E71249" w:rsidRPr="00087716" w:rsidRDefault="00E71249" w:rsidP="00496219">
            <w:pPr>
              <w:spacing w:before="120" w:after="60" w:line="252" w:lineRule="auto"/>
              <w:rPr>
                <w:rFonts w:asciiTheme="minorHAnsi" w:hAnsiTheme="minorHAnsi" w:cstheme="minorHAnsi"/>
                <w:spacing w:val="4"/>
                <w:szCs w:val="22"/>
              </w:rPr>
            </w:pPr>
            <w:r w:rsidRPr="00087716">
              <w:rPr>
                <w:rFonts w:asciiTheme="minorHAnsi" w:hAnsiTheme="minorHAnsi" w:cstheme="minorHAnsi"/>
                <w:spacing w:val="4"/>
                <w:szCs w:val="22"/>
              </w:rPr>
              <w:t>Recipient numbers align with changes in the number of unemployed total persons</w:t>
            </w:r>
          </w:p>
        </w:tc>
        <w:tc>
          <w:tcPr>
            <w:tcW w:w="1000" w:type="pct"/>
            <w:tcBorders>
              <w:top w:val="single" w:sz="4" w:space="0" w:color="auto"/>
              <w:bottom w:val="single" w:sz="4" w:space="0" w:color="auto"/>
            </w:tcBorders>
            <w:vAlign w:val="center"/>
          </w:tcPr>
          <w:p w14:paraId="484EBF8A" w14:textId="77777777" w:rsidR="00E71249" w:rsidRPr="00087716" w:rsidRDefault="00E71249" w:rsidP="00496219">
            <w:pPr>
              <w:spacing w:before="120" w:after="60" w:line="252" w:lineRule="auto"/>
              <w:rPr>
                <w:rFonts w:asciiTheme="minorHAnsi" w:hAnsiTheme="minorHAnsi" w:cstheme="minorHAnsi"/>
                <w:spacing w:val="4"/>
                <w:szCs w:val="22"/>
              </w:rPr>
            </w:pPr>
            <w:r w:rsidRPr="00087716">
              <w:rPr>
                <w:rFonts w:asciiTheme="minorHAnsi" w:hAnsiTheme="minorHAnsi" w:cstheme="minorHAnsi"/>
                <w:spacing w:val="4"/>
                <w:szCs w:val="22"/>
              </w:rPr>
              <w:t>Recipient numbers align with changes in the number of unemployed total persons</w:t>
            </w:r>
          </w:p>
        </w:tc>
        <w:tc>
          <w:tcPr>
            <w:tcW w:w="1000" w:type="pct"/>
            <w:tcBorders>
              <w:top w:val="single" w:sz="4" w:space="0" w:color="auto"/>
              <w:bottom w:val="single" w:sz="4" w:space="0" w:color="auto"/>
            </w:tcBorders>
            <w:vAlign w:val="center"/>
          </w:tcPr>
          <w:p w14:paraId="1016E9C7" w14:textId="77777777" w:rsidR="00E71249" w:rsidRPr="00087716" w:rsidRDefault="00E71249" w:rsidP="00496219">
            <w:pPr>
              <w:spacing w:before="120" w:after="60" w:line="252" w:lineRule="auto"/>
              <w:rPr>
                <w:rFonts w:asciiTheme="minorHAnsi" w:hAnsiTheme="minorHAnsi" w:cstheme="minorHAnsi"/>
                <w:spacing w:val="4"/>
                <w:szCs w:val="22"/>
              </w:rPr>
            </w:pPr>
            <w:r w:rsidRPr="00087716">
              <w:rPr>
                <w:rFonts w:asciiTheme="minorHAnsi" w:hAnsiTheme="minorHAnsi" w:cstheme="minorHAnsi"/>
                <w:spacing w:val="4"/>
                <w:szCs w:val="22"/>
              </w:rPr>
              <w:t>Recipient numbers align with changes in the number of unemployed total persons</w:t>
            </w:r>
          </w:p>
        </w:tc>
        <w:tc>
          <w:tcPr>
            <w:tcW w:w="1000" w:type="pct"/>
            <w:tcBorders>
              <w:top w:val="single" w:sz="4" w:space="0" w:color="auto"/>
              <w:bottom w:val="single" w:sz="4" w:space="0" w:color="auto"/>
            </w:tcBorders>
            <w:vAlign w:val="center"/>
          </w:tcPr>
          <w:p w14:paraId="5A132632" w14:textId="77777777" w:rsidR="00E71249" w:rsidRPr="00087716" w:rsidRDefault="00E71249" w:rsidP="00496219">
            <w:pPr>
              <w:spacing w:before="120" w:after="60" w:line="252" w:lineRule="auto"/>
              <w:rPr>
                <w:rFonts w:asciiTheme="minorHAnsi" w:hAnsiTheme="minorHAnsi" w:cstheme="minorHAnsi"/>
                <w:spacing w:val="4"/>
                <w:szCs w:val="22"/>
              </w:rPr>
            </w:pPr>
            <w:r w:rsidRPr="00087716">
              <w:rPr>
                <w:rFonts w:asciiTheme="minorHAnsi" w:hAnsiTheme="minorHAnsi" w:cstheme="minorHAnsi"/>
                <w:spacing w:val="4"/>
                <w:szCs w:val="22"/>
              </w:rPr>
              <w:t>Recipient numbers align with changes in the number of unemployed total persons</w:t>
            </w:r>
          </w:p>
        </w:tc>
      </w:tr>
    </w:tbl>
    <w:p w14:paraId="30A85738" w14:textId="77777777" w:rsidR="00E71249" w:rsidRPr="00087716" w:rsidRDefault="00E71249" w:rsidP="00E71249">
      <w:pPr>
        <w:spacing w:before="120" w:after="60" w:line="256" w:lineRule="auto"/>
        <w:ind w:left="720"/>
        <w:contextualSpacing/>
        <w:rPr>
          <w:rFonts w:eastAsia="Times New Roman" w:cstheme="minorHAnsi"/>
          <w:b/>
          <w:spacing w:val="4"/>
          <w:szCs w:val="22"/>
          <w:highlight w:val="yellow"/>
          <w:lang w:eastAsia="en-AU"/>
        </w:rPr>
      </w:pPr>
    </w:p>
    <w:p w14:paraId="4526DD14" w14:textId="77777777" w:rsidR="00E71249" w:rsidRPr="00087716" w:rsidRDefault="00E71249" w:rsidP="00E71249">
      <w:pPr>
        <w:spacing w:before="120" w:after="60" w:line="256" w:lineRule="auto"/>
        <w:rPr>
          <w:rFonts w:eastAsia="Times New Roman" w:cstheme="minorHAnsi"/>
          <w:b/>
          <w:spacing w:val="4"/>
          <w:szCs w:val="22"/>
          <w:lang w:eastAsia="en-AU"/>
        </w:rPr>
      </w:pPr>
      <w:r w:rsidRPr="00087716">
        <w:rPr>
          <w:rFonts w:eastAsia="Times New Roman" w:cstheme="minorHAnsi"/>
          <w:b/>
          <w:spacing w:val="4"/>
          <w:szCs w:val="22"/>
          <w:lang w:eastAsia="en-AU"/>
        </w:rPr>
        <w:t>Criteria for the 2026–27 performance target is:</w:t>
      </w:r>
    </w:p>
    <w:p w14:paraId="7EFC2B05" w14:textId="77777777" w:rsidR="00E71249" w:rsidRPr="00087716" w:rsidRDefault="00E71249" w:rsidP="00577C1E">
      <w:pPr>
        <w:pStyle w:val="ListParagraph"/>
        <w:spacing w:before="120" w:after="160"/>
        <w:ind w:left="714" w:hanging="357"/>
        <w:rPr>
          <w:b/>
          <w:lang w:eastAsia="en-AU"/>
        </w:rPr>
      </w:pPr>
      <w:r w:rsidRPr="00087716">
        <w:rPr>
          <w:b/>
          <w:lang w:eastAsia="en-AU"/>
        </w:rPr>
        <w:t xml:space="preserve">Met: </w:t>
      </w:r>
      <w:r w:rsidRPr="00087716">
        <w:rPr>
          <w:lang w:eastAsia="en-GB"/>
        </w:rPr>
        <w:t>both data sets trend in the same direction for 6 or more months of the financial year (can be continuous or non-continuous).</w:t>
      </w:r>
    </w:p>
    <w:p w14:paraId="2B0B4818" w14:textId="77777777" w:rsidR="00E71249" w:rsidRPr="00087716" w:rsidRDefault="00E71249" w:rsidP="00577C1E">
      <w:pPr>
        <w:pStyle w:val="ListParagraph"/>
        <w:spacing w:before="120" w:after="160"/>
        <w:ind w:left="714" w:hanging="357"/>
        <w:rPr>
          <w:b/>
          <w:lang w:eastAsia="en-AU"/>
        </w:rPr>
      </w:pPr>
      <w:r w:rsidRPr="00087716">
        <w:rPr>
          <w:b/>
          <w:lang w:eastAsia="en-AU"/>
        </w:rPr>
        <w:t xml:space="preserve">Partially Met: </w:t>
      </w:r>
      <w:r w:rsidRPr="00087716">
        <w:rPr>
          <w:bCs/>
          <w:lang w:eastAsia="en-AU"/>
        </w:rPr>
        <w:t>data sets trend in the same direction for less than 6 months in the financial year, but the trend on an annual basis (increase, decrease or no change over the financial year) is in the same direction for both data sets.</w:t>
      </w:r>
    </w:p>
    <w:p w14:paraId="6AD97C22" w14:textId="77777777" w:rsidR="00E71249" w:rsidRPr="00087716" w:rsidRDefault="00E71249" w:rsidP="00577C1E">
      <w:pPr>
        <w:pStyle w:val="ListParagraph"/>
        <w:spacing w:before="120" w:after="160"/>
        <w:ind w:left="714" w:hanging="357"/>
        <w:rPr>
          <w:b/>
          <w:lang w:eastAsia="en-AU"/>
        </w:rPr>
      </w:pPr>
      <w:r w:rsidRPr="00087716">
        <w:rPr>
          <w:b/>
          <w:lang w:eastAsia="en-AU"/>
        </w:rPr>
        <w:t xml:space="preserve">Not Met: </w:t>
      </w:r>
      <w:r w:rsidRPr="00087716">
        <w:rPr>
          <w:bCs/>
          <w:lang w:eastAsia="en-AU"/>
        </w:rPr>
        <w:t>there is alignment in less than 6 months per year and the trend on an annual basis is not in the same direction.</w:t>
      </w:r>
    </w:p>
    <w:p w14:paraId="347C2621" w14:textId="77777777" w:rsidR="00E71249" w:rsidRPr="00087716" w:rsidRDefault="00E71249" w:rsidP="00FD4C88">
      <w:pPr>
        <w:pStyle w:val="CPCustom3"/>
        <w:rPr>
          <w:lang w:eastAsia="en-AU"/>
        </w:rPr>
      </w:pPr>
      <w:r w:rsidRPr="00087716">
        <w:rPr>
          <w:lang w:eastAsia="en-AU"/>
        </w:rPr>
        <w:t>Rationale</w:t>
      </w:r>
    </w:p>
    <w:p w14:paraId="19CF8A8B" w14:textId="77777777" w:rsidR="00E71249" w:rsidRPr="00087716" w:rsidRDefault="00E71249" w:rsidP="00577C1E">
      <w:pPr>
        <w:suppressAutoHyphens/>
        <w:spacing w:before="120" w:after="160"/>
        <w:rPr>
          <w:rFonts w:eastAsia="Times New Roman" w:cstheme="minorHAnsi"/>
          <w:spacing w:val="4"/>
          <w:szCs w:val="22"/>
          <w:lang w:eastAsia="en-AU"/>
        </w:rPr>
      </w:pPr>
      <w:r w:rsidRPr="00087716">
        <w:rPr>
          <w:rFonts w:eastAsia="Times New Roman" w:cstheme="minorHAnsi"/>
          <w:spacing w:val="4"/>
          <w:szCs w:val="22"/>
          <w:lang w:eastAsia="en-AU"/>
        </w:rPr>
        <w:t>Measuring the extent to which payments are made to people unable to fully support themselves demonstrates that people are assisted financially when they are temporarily unable to support themselves through work or who have a limited capacity and availability to work. This includes due to injury or illness or parenting responsibilities.</w:t>
      </w:r>
    </w:p>
    <w:p w14:paraId="4A02C612" w14:textId="77777777" w:rsidR="00E71249" w:rsidRPr="00087716" w:rsidRDefault="00E71249" w:rsidP="00577C1E">
      <w:pPr>
        <w:suppressAutoHyphens/>
        <w:spacing w:before="120" w:after="160"/>
        <w:rPr>
          <w:rFonts w:eastAsia="Times New Roman" w:cstheme="minorHAnsi"/>
          <w:iCs/>
          <w:color w:val="000000" w:themeColor="text1"/>
          <w:spacing w:val="4"/>
          <w:szCs w:val="22"/>
          <w:lang w:eastAsia="en-AU"/>
        </w:rPr>
      </w:pPr>
      <w:r w:rsidRPr="00087716">
        <w:rPr>
          <w:rFonts w:eastAsia="Times New Roman" w:cstheme="minorHAnsi"/>
          <w:color w:val="000000" w:themeColor="text1"/>
          <w:spacing w:val="4"/>
          <w:szCs w:val="22"/>
          <w:lang w:eastAsia="en-AU"/>
        </w:rPr>
        <w:t xml:space="preserve">This measure demonstrates the </w:t>
      </w:r>
      <w:r w:rsidRPr="00087716">
        <w:rPr>
          <w:rFonts w:eastAsia="Times New Roman" w:cstheme="minorHAnsi"/>
          <w:b/>
          <w:color w:val="000000" w:themeColor="text1"/>
          <w:spacing w:val="4"/>
          <w:szCs w:val="22"/>
          <w:lang w:eastAsia="en-AU"/>
        </w:rPr>
        <w:t>effectiveness</w:t>
      </w:r>
      <w:r w:rsidRPr="00087716">
        <w:rPr>
          <w:rFonts w:eastAsia="Times New Roman" w:cstheme="minorHAnsi"/>
          <w:color w:val="000000" w:themeColor="text1"/>
          <w:spacing w:val="4"/>
          <w:szCs w:val="22"/>
          <w:lang w:eastAsia="en-AU"/>
        </w:rPr>
        <w:t xml:space="preserve"> of </w:t>
      </w:r>
      <w:proofErr w:type="spellStart"/>
      <w:r w:rsidRPr="00087716">
        <w:rPr>
          <w:rFonts w:eastAsia="Times New Roman" w:cstheme="minorHAnsi"/>
          <w:color w:val="000000" w:themeColor="text1"/>
          <w:spacing w:val="4"/>
          <w:szCs w:val="22"/>
          <w:lang w:eastAsia="en-AU"/>
        </w:rPr>
        <w:t>JobSeeker</w:t>
      </w:r>
      <w:proofErr w:type="spellEnd"/>
      <w:r w:rsidRPr="00087716">
        <w:rPr>
          <w:rFonts w:eastAsia="Times New Roman" w:cstheme="minorHAnsi"/>
          <w:color w:val="000000" w:themeColor="text1"/>
          <w:spacing w:val="4"/>
          <w:szCs w:val="22"/>
          <w:lang w:eastAsia="en-AU"/>
        </w:rPr>
        <w:t xml:space="preserve"> Payment, Parenting Payment </w:t>
      </w:r>
      <w:r>
        <w:rPr>
          <w:rFonts w:eastAsia="Times New Roman" w:cstheme="minorHAnsi"/>
          <w:color w:val="000000" w:themeColor="text1"/>
          <w:spacing w:val="4"/>
          <w:szCs w:val="22"/>
          <w:lang w:eastAsia="en-AU"/>
        </w:rPr>
        <w:t>and</w:t>
      </w:r>
      <w:r w:rsidRPr="00087716">
        <w:rPr>
          <w:rFonts w:eastAsia="Times New Roman" w:cstheme="minorHAnsi"/>
          <w:color w:val="000000" w:themeColor="text1"/>
          <w:spacing w:val="4"/>
          <w:szCs w:val="22"/>
          <w:lang w:eastAsia="en-AU"/>
        </w:rPr>
        <w:t xml:space="preserve"> Youth Allowance (other) in achieving the objectives of the key activities: </w:t>
      </w:r>
      <w:r w:rsidRPr="00087716">
        <w:rPr>
          <w:rFonts w:eastAsia="Times New Roman" w:cstheme="minorHAnsi"/>
          <w:iCs/>
          <w:color w:val="000000" w:themeColor="text1"/>
          <w:spacing w:val="4"/>
          <w:szCs w:val="22"/>
          <w:lang w:eastAsia="en-AU"/>
        </w:rPr>
        <w:t>to financially assist people who are temporarily unable to support themselves through work or have a limited capacity to work.</w:t>
      </w:r>
    </w:p>
    <w:p w14:paraId="677576A1" w14:textId="77777777" w:rsidR="00E71249" w:rsidRPr="00087716" w:rsidRDefault="00E71249" w:rsidP="00577C1E">
      <w:pPr>
        <w:suppressAutoHyphens/>
        <w:spacing w:before="120" w:after="160"/>
        <w:rPr>
          <w:rFonts w:eastAsia="Times New Roman" w:cstheme="minorHAnsi"/>
          <w:color w:val="000000" w:themeColor="text1"/>
          <w:spacing w:val="4"/>
          <w:szCs w:val="22"/>
          <w:lang w:eastAsia="en-AU"/>
        </w:rPr>
      </w:pPr>
      <w:r w:rsidRPr="00087716">
        <w:rPr>
          <w:rFonts w:eastAsia="Times New Roman" w:cstheme="minorHAnsi"/>
          <w:color w:val="000000" w:themeColor="text1"/>
          <w:spacing w:val="4"/>
          <w:szCs w:val="22"/>
          <w:lang w:eastAsia="en-AU"/>
        </w:rPr>
        <w:t xml:space="preserve">The extent to which </w:t>
      </w:r>
      <w:r w:rsidRPr="00087716">
        <w:rPr>
          <w:rFonts w:eastAsia="Times New Roman" w:cstheme="minorHAnsi"/>
          <w:iCs/>
          <w:color w:val="000000" w:themeColor="text1"/>
          <w:spacing w:val="4"/>
          <w:szCs w:val="22"/>
          <w:lang w:eastAsia="en-AU"/>
        </w:rPr>
        <w:t>changes in recipient numbers align with the number of unemployed total persons</w:t>
      </w:r>
      <w:r w:rsidRPr="00087716">
        <w:rPr>
          <w:rFonts w:eastAsia="Times New Roman" w:cstheme="minorHAnsi"/>
          <w:color w:val="000000" w:themeColor="text1"/>
          <w:spacing w:val="4"/>
          <w:szCs w:val="22"/>
          <w:lang w:eastAsia="en-AU"/>
        </w:rPr>
        <w:t xml:space="preserve"> demonstrates the </w:t>
      </w:r>
      <w:r w:rsidRPr="00087716">
        <w:rPr>
          <w:rFonts w:eastAsia="Times New Roman" w:cstheme="minorHAnsi"/>
          <w:b/>
          <w:color w:val="000000" w:themeColor="text1"/>
          <w:spacing w:val="4"/>
          <w:szCs w:val="22"/>
          <w:lang w:eastAsia="en-AU"/>
        </w:rPr>
        <w:t xml:space="preserve">effectiveness </w:t>
      </w:r>
      <w:r w:rsidRPr="00087716">
        <w:rPr>
          <w:rFonts w:eastAsia="Times New Roman" w:cstheme="minorHAnsi"/>
          <w:color w:val="000000" w:themeColor="text1"/>
          <w:spacing w:val="4"/>
          <w:szCs w:val="22"/>
          <w:lang w:eastAsia="en-AU"/>
        </w:rPr>
        <w:t xml:space="preserve">of the key activities, by showing how closely the system responds to need in the community as they change (measured in terms of movement in the number of unemployed total persons). It also demonstrates the </w:t>
      </w:r>
      <w:r w:rsidRPr="00087716">
        <w:rPr>
          <w:rFonts w:eastAsia="Times New Roman" w:cstheme="minorHAnsi"/>
          <w:b/>
          <w:color w:val="000000" w:themeColor="text1"/>
          <w:spacing w:val="4"/>
          <w:szCs w:val="22"/>
          <w:lang w:eastAsia="en-AU"/>
        </w:rPr>
        <w:t>effectiveness</w:t>
      </w:r>
      <w:r w:rsidRPr="00087716">
        <w:rPr>
          <w:rFonts w:eastAsia="Times New Roman" w:cstheme="minorHAnsi"/>
          <w:color w:val="000000" w:themeColor="text1"/>
          <w:spacing w:val="4"/>
          <w:szCs w:val="22"/>
          <w:lang w:eastAsia="en-AU"/>
        </w:rPr>
        <w:t xml:space="preserve"> of payment policy in providing the right incentives for income support recipients to take up available and suitable work to fully support themselves.</w:t>
      </w:r>
    </w:p>
    <w:p w14:paraId="7609917F" w14:textId="77777777" w:rsidR="00E71249" w:rsidRPr="00087716" w:rsidRDefault="00E71249" w:rsidP="00FD4C88">
      <w:pPr>
        <w:pStyle w:val="CPCustom3"/>
        <w:rPr>
          <w:lang w:eastAsia="en-AU"/>
        </w:rPr>
      </w:pPr>
      <w:r w:rsidRPr="00087716">
        <w:rPr>
          <w:lang w:eastAsia="en-AU"/>
        </w:rPr>
        <w:t>Methodology</w:t>
      </w:r>
    </w:p>
    <w:p w14:paraId="681FBD5B" w14:textId="77777777" w:rsidR="00E71249" w:rsidRPr="00087716" w:rsidRDefault="00E71249" w:rsidP="00577C1E">
      <w:pPr>
        <w:suppressAutoHyphens/>
        <w:spacing w:before="120" w:after="160"/>
        <w:rPr>
          <w:rFonts w:eastAsia="Times New Roman" w:cstheme="minorHAnsi"/>
          <w:color w:val="000000" w:themeColor="text1"/>
          <w:spacing w:val="4"/>
          <w:szCs w:val="22"/>
          <w:lang w:eastAsia="en-AU"/>
        </w:rPr>
      </w:pPr>
      <w:r w:rsidRPr="00087716">
        <w:rPr>
          <w:rFonts w:eastAsia="Times New Roman" w:cstheme="minorHAnsi"/>
          <w:color w:val="000000" w:themeColor="text1"/>
          <w:spacing w:val="4"/>
          <w:szCs w:val="22"/>
          <w:lang w:eastAsia="en-AU"/>
        </w:rPr>
        <w:t xml:space="preserve">The </w:t>
      </w:r>
      <w:r w:rsidRPr="00087716">
        <w:rPr>
          <w:rFonts w:eastAsia="Times New Roman" w:cstheme="minorHAnsi"/>
          <w:iCs/>
          <w:color w:val="000000" w:themeColor="text1"/>
          <w:spacing w:val="4"/>
          <w:szCs w:val="22"/>
          <w:lang w:eastAsia="en-AU"/>
        </w:rPr>
        <w:t>number of people supported by Working Age Payments</w:t>
      </w:r>
      <w:r w:rsidRPr="00087716">
        <w:rPr>
          <w:rFonts w:eastAsia="Times New Roman" w:cstheme="minorHAnsi"/>
          <w:color w:val="000000" w:themeColor="text1"/>
          <w:spacing w:val="4"/>
          <w:szCs w:val="22"/>
          <w:lang w:eastAsia="en-AU"/>
        </w:rPr>
        <w:t xml:space="preserve"> is calculated using the number of recipients of:</w:t>
      </w:r>
    </w:p>
    <w:p w14:paraId="24B02E97" w14:textId="77777777" w:rsidR="00E71249" w:rsidRPr="00087716" w:rsidRDefault="00E71249" w:rsidP="00577C1E">
      <w:pPr>
        <w:pStyle w:val="ListParagraph"/>
        <w:spacing w:before="120" w:after="160"/>
        <w:ind w:left="714" w:hanging="357"/>
        <w:rPr>
          <w:lang w:eastAsia="en-AU"/>
        </w:rPr>
      </w:pPr>
      <w:proofErr w:type="spellStart"/>
      <w:r w:rsidRPr="00087716">
        <w:rPr>
          <w:lang w:eastAsia="en-AU"/>
        </w:rPr>
        <w:t>JobSeeker</w:t>
      </w:r>
      <w:proofErr w:type="spellEnd"/>
      <w:r w:rsidRPr="00087716">
        <w:rPr>
          <w:lang w:eastAsia="en-AU"/>
        </w:rPr>
        <w:t xml:space="preserve"> Payment</w:t>
      </w:r>
    </w:p>
    <w:p w14:paraId="15F82B3A" w14:textId="77777777" w:rsidR="00E71249" w:rsidRPr="00087716" w:rsidRDefault="00E71249" w:rsidP="00577C1E">
      <w:pPr>
        <w:pStyle w:val="ListParagraph"/>
        <w:spacing w:before="120" w:after="160"/>
        <w:ind w:left="714" w:hanging="357"/>
        <w:rPr>
          <w:lang w:eastAsia="en-AU"/>
        </w:rPr>
      </w:pPr>
      <w:r w:rsidRPr="00087716">
        <w:rPr>
          <w:lang w:eastAsia="en-AU"/>
        </w:rPr>
        <w:t>Parenting Payment (Partnered + Single)</w:t>
      </w:r>
    </w:p>
    <w:p w14:paraId="6C9F17C6" w14:textId="77777777" w:rsidR="00E71249" w:rsidRPr="00087716" w:rsidRDefault="00E71249" w:rsidP="00577C1E">
      <w:pPr>
        <w:pStyle w:val="ListParagraph"/>
        <w:spacing w:before="120" w:after="160"/>
        <w:ind w:left="714" w:hanging="357"/>
        <w:rPr>
          <w:lang w:eastAsia="en-AU"/>
        </w:rPr>
      </w:pPr>
      <w:r w:rsidRPr="00087716">
        <w:rPr>
          <w:lang w:eastAsia="en-AU"/>
        </w:rPr>
        <w:t>Youth Allowance (other).</w:t>
      </w:r>
    </w:p>
    <w:p w14:paraId="2E60009D" w14:textId="77777777" w:rsidR="00E71249" w:rsidRPr="00087716" w:rsidRDefault="00E71249" w:rsidP="00577C1E">
      <w:pPr>
        <w:suppressAutoHyphens/>
        <w:spacing w:before="120" w:after="1720"/>
        <w:rPr>
          <w:rFonts w:eastAsia="Times New Roman" w:cstheme="minorHAnsi"/>
          <w:color w:val="000000" w:themeColor="text1"/>
          <w:spacing w:val="4"/>
          <w:szCs w:val="22"/>
          <w:lang w:eastAsia="en-AU"/>
        </w:rPr>
      </w:pPr>
      <w:r w:rsidRPr="00087716">
        <w:rPr>
          <w:rFonts w:eastAsia="Times New Roman" w:cstheme="minorHAnsi"/>
          <w:color w:val="000000" w:themeColor="text1"/>
          <w:spacing w:val="4"/>
          <w:szCs w:val="22"/>
          <w:lang w:eastAsia="en-AU"/>
        </w:rPr>
        <w:t xml:space="preserve">The </w:t>
      </w:r>
      <w:r w:rsidRPr="00087716">
        <w:rPr>
          <w:rFonts w:eastAsia="Times New Roman" w:cstheme="minorHAnsi"/>
          <w:iCs/>
          <w:color w:val="000000" w:themeColor="text1"/>
          <w:spacing w:val="4"/>
          <w:szCs w:val="22"/>
          <w:lang w:eastAsia="en-AU"/>
        </w:rPr>
        <w:t>number of unemployed total persons</w:t>
      </w:r>
      <w:r w:rsidRPr="00087716">
        <w:rPr>
          <w:rFonts w:eastAsia="Times New Roman" w:cstheme="minorHAnsi"/>
          <w:color w:val="000000" w:themeColor="text1"/>
          <w:spacing w:val="4"/>
          <w:szCs w:val="22"/>
          <w:lang w:eastAsia="en-AU"/>
        </w:rPr>
        <w:t xml:space="preserve"> uses the ABS, Labour Force Survey – Number of unemployed total persons (original series).</w:t>
      </w:r>
    </w:p>
    <w:p w14:paraId="34046047" w14:textId="77777777" w:rsidR="00E71249" w:rsidRPr="00087716" w:rsidRDefault="00E71249" w:rsidP="00FD4C88">
      <w:pPr>
        <w:pStyle w:val="CPCustom3"/>
        <w:rPr>
          <w:lang w:eastAsia="en-AU"/>
        </w:rPr>
      </w:pPr>
      <w:r w:rsidRPr="00087716">
        <w:rPr>
          <w:lang w:eastAsia="en-AU"/>
        </w:rPr>
        <w:lastRenderedPageBreak/>
        <w:t>Data Categorisation</w:t>
      </w:r>
    </w:p>
    <w:tbl>
      <w:tblPr>
        <w:tblStyle w:val="Numericaltable11"/>
        <w:tblpPr w:leftFromText="180" w:rightFromText="180" w:vertAnchor="text" w:horzAnchor="margin" w:tblpY="11"/>
        <w:tblW w:w="10201" w:type="dxa"/>
        <w:tblInd w:w="0" w:type="dxa"/>
        <w:tblLook w:val="04A0" w:firstRow="1" w:lastRow="0" w:firstColumn="1" w:lastColumn="0" w:noHBand="0" w:noVBand="1"/>
        <w:tblCaption w:val="Table 18 - Categorisation of data source"/>
        <w:tblDescription w:val="Categorisation of data source"/>
      </w:tblPr>
      <w:tblGrid>
        <w:gridCol w:w="3823"/>
        <w:gridCol w:w="6378"/>
      </w:tblGrid>
      <w:tr w:rsidR="00E71249" w:rsidRPr="00087716" w14:paraId="042F9E5B" w14:textId="77777777" w:rsidTr="00496219">
        <w:trPr>
          <w:trHeight w:val="558"/>
          <w:tblHeader/>
        </w:trPr>
        <w:tc>
          <w:tcPr>
            <w:tcW w:w="3823" w:type="dxa"/>
            <w:shd w:val="clear" w:color="auto" w:fill="215868"/>
          </w:tcPr>
          <w:p w14:paraId="26EE4415" w14:textId="77777777" w:rsidR="00E71249" w:rsidRPr="00087716" w:rsidRDefault="00E71249" w:rsidP="00496219">
            <w:pPr>
              <w:suppressAutoHyphens/>
              <w:spacing w:before="120" w:after="120" w:line="280" w:lineRule="atLeast"/>
              <w:rPr>
                <w:rFonts w:cstheme="minorHAnsi"/>
                <w:b/>
                <w:bCs/>
                <w:color w:val="FFFFFF" w:themeColor="background1"/>
                <w:spacing w:val="4"/>
              </w:rPr>
            </w:pPr>
            <w:r w:rsidRPr="00087716">
              <w:rPr>
                <w:rFonts w:cstheme="minorHAnsi"/>
                <w:b/>
                <w:bCs/>
                <w:color w:val="FFFFFF" w:themeColor="background1"/>
                <w:spacing w:val="4"/>
              </w:rPr>
              <w:t xml:space="preserve">Categorisation of data source </w:t>
            </w:r>
          </w:p>
        </w:tc>
        <w:tc>
          <w:tcPr>
            <w:tcW w:w="6378" w:type="dxa"/>
            <w:shd w:val="clear" w:color="auto" w:fill="215868"/>
          </w:tcPr>
          <w:p w14:paraId="1DB6ADA0" w14:textId="77777777" w:rsidR="00E71249" w:rsidRPr="00087716" w:rsidRDefault="00E71249" w:rsidP="00496219">
            <w:pPr>
              <w:suppressAutoHyphens/>
              <w:spacing w:before="120" w:after="120" w:line="280" w:lineRule="atLeast"/>
              <w:rPr>
                <w:rFonts w:cstheme="minorHAnsi"/>
                <w:b/>
                <w:bCs/>
                <w:color w:val="FFFFFF" w:themeColor="background1"/>
                <w:spacing w:val="4"/>
              </w:rPr>
            </w:pPr>
            <w:r w:rsidRPr="00087716">
              <w:rPr>
                <w:rFonts w:cstheme="minorHAnsi"/>
                <w:b/>
                <w:bCs/>
                <w:color w:val="FFFFFF" w:themeColor="background1"/>
                <w:spacing w:val="4"/>
              </w:rPr>
              <w:t xml:space="preserve">Data source </w:t>
            </w:r>
          </w:p>
        </w:tc>
      </w:tr>
      <w:tr w:rsidR="00E71249" w:rsidRPr="00087716" w14:paraId="4AB07CE2" w14:textId="77777777" w:rsidTr="00496219">
        <w:trPr>
          <w:trHeight w:val="558"/>
        </w:trPr>
        <w:tc>
          <w:tcPr>
            <w:tcW w:w="3823" w:type="dxa"/>
          </w:tcPr>
          <w:p w14:paraId="31DACA9F" w14:textId="77777777" w:rsidR="00E71249" w:rsidRPr="00087716" w:rsidRDefault="00E71249" w:rsidP="00496219">
            <w:pPr>
              <w:suppressAutoHyphens/>
              <w:spacing w:before="120" w:after="120" w:line="280" w:lineRule="atLeast"/>
              <w:rPr>
                <w:rFonts w:cstheme="minorHAnsi"/>
                <w:color w:val="000000" w:themeColor="text1"/>
                <w:spacing w:val="4"/>
              </w:rPr>
            </w:pPr>
            <w:r w:rsidRPr="00087716">
              <w:rPr>
                <w:rFonts w:cstheme="minorHAnsi"/>
                <w:noProof/>
                <w:spacing w:val="4"/>
              </w:rPr>
              <w:drawing>
                <wp:inline distT="0" distB="0" distL="0" distR="0" wp14:anchorId="61E1D024" wp14:editId="2EFAECAA">
                  <wp:extent cx="1205357" cy="351909"/>
                  <wp:effectExtent l="0" t="0" r="0" b="0"/>
                  <wp:docPr id="768503981" name="picture" descr="Second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03981" name="picture" descr="Secondary sour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5357" cy="351909"/>
                          </a:xfrm>
                          <a:prstGeom prst="rect">
                            <a:avLst/>
                          </a:prstGeom>
                        </pic:spPr>
                      </pic:pic>
                    </a:graphicData>
                  </a:graphic>
                </wp:inline>
              </w:drawing>
            </w:r>
            <w:r w:rsidRPr="00087716">
              <w:rPr>
                <w:rFonts w:cstheme="minorHAnsi"/>
                <w:noProof/>
                <w:spacing w:val="4"/>
              </w:rPr>
              <w:drawing>
                <wp:inline distT="0" distB="0" distL="0" distR="0" wp14:anchorId="6B560BB3" wp14:editId="5F0BB8FA">
                  <wp:extent cx="886700" cy="346367"/>
                  <wp:effectExtent l="0" t="0" r="8890" b="0"/>
                  <wp:docPr id="1219245319" name="picture" descr="tier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245319" name="picture" descr="tier 1&#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6700" cy="346367"/>
                          </a:xfrm>
                          <a:prstGeom prst="rect">
                            <a:avLst/>
                          </a:prstGeom>
                        </pic:spPr>
                      </pic:pic>
                    </a:graphicData>
                  </a:graphic>
                </wp:inline>
              </w:drawing>
            </w:r>
          </w:p>
        </w:tc>
        <w:tc>
          <w:tcPr>
            <w:tcW w:w="6378" w:type="dxa"/>
          </w:tcPr>
          <w:p w14:paraId="319C0D21" w14:textId="77777777" w:rsidR="00E71249" w:rsidRPr="00087716" w:rsidRDefault="00E71249" w:rsidP="00496219">
            <w:pPr>
              <w:suppressAutoHyphens/>
              <w:spacing w:before="120" w:after="120" w:line="280" w:lineRule="atLeast"/>
              <w:rPr>
                <w:rFonts w:cstheme="minorHAnsi"/>
                <w:color w:val="000000" w:themeColor="text1"/>
                <w:spacing w:val="4"/>
              </w:rPr>
            </w:pPr>
            <w:r w:rsidRPr="00087716">
              <w:rPr>
                <w:rFonts w:cstheme="minorHAnsi"/>
                <w:color w:val="000000" w:themeColor="text1"/>
                <w:spacing w:val="4"/>
              </w:rPr>
              <w:t>Services Australia administrative data</w:t>
            </w:r>
          </w:p>
        </w:tc>
      </w:tr>
      <w:tr w:rsidR="00E71249" w:rsidRPr="00087716" w14:paraId="40883E53" w14:textId="77777777" w:rsidTr="00496219">
        <w:trPr>
          <w:trHeight w:val="699"/>
        </w:trPr>
        <w:tc>
          <w:tcPr>
            <w:tcW w:w="3823" w:type="dxa"/>
          </w:tcPr>
          <w:p w14:paraId="6FB3D865" w14:textId="77777777" w:rsidR="00E71249" w:rsidRPr="00087716" w:rsidRDefault="00E71249" w:rsidP="00496219">
            <w:pPr>
              <w:suppressAutoHyphens/>
              <w:spacing w:before="120" w:after="120" w:line="280" w:lineRule="atLeast"/>
              <w:rPr>
                <w:rFonts w:cstheme="minorHAnsi"/>
                <w:color w:val="000000" w:themeColor="text1"/>
                <w:spacing w:val="4"/>
              </w:rPr>
            </w:pPr>
            <w:r w:rsidRPr="00087716">
              <w:rPr>
                <w:rFonts w:cstheme="minorHAnsi"/>
                <w:noProof/>
                <w:spacing w:val="4"/>
              </w:rPr>
              <w:drawing>
                <wp:inline distT="0" distB="0" distL="0" distR="0" wp14:anchorId="5FC43ED6" wp14:editId="06AB86CA">
                  <wp:extent cx="1205357" cy="351909"/>
                  <wp:effectExtent l="0" t="0" r="0" b="0"/>
                  <wp:docPr id="1230776723" name="picture" descr="Second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776723" name="picture" descr="Secondary sour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5357" cy="351909"/>
                          </a:xfrm>
                          <a:prstGeom prst="rect">
                            <a:avLst/>
                          </a:prstGeom>
                        </pic:spPr>
                      </pic:pic>
                    </a:graphicData>
                  </a:graphic>
                </wp:inline>
              </w:drawing>
            </w:r>
            <w:r w:rsidRPr="00087716">
              <w:rPr>
                <w:rFonts w:cstheme="minorHAnsi"/>
                <w:noProof/>
                <w:spacing w:val="4"/>
              </w:rPr>
              <w:drawing>
                <wp:inline distT="0" distB="0" distL="0" distR="0" wp14:anchorId="7D5EAE33" wp14:editId="344DCAEC">
                  <wp:extent cx="886700" cy="346367"/>
                  <wp:effectExtent l="0" t="0" r="8890" b="0"/>
                  <wp:docPr id="2077088003" name="picture" descr="tier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088003" name="picture" descr="tier 1&#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6700" cy="346367"/>
                          </a:xfrm>
                          <a:prstGeom prst="rect">
                            <a:avLst/>
                          </a:prstGeom>
                        </pic:spPr>
                      </pic:pic>
                    </a:graphicData>
                  </a:graphic>
                </wp:inline>
              </w:drawing>
            </w:r>
          </w:p>
        </w:tc>
        <w:tc>
          <w:tcPr>
            <w:tcW w:w="6378" w:type="dxa"/>
          </w:tcPr>
          <w:p w14:paraId="618182EA" w14:textId="77777777" w:rsidR="00E71249" w:rsidRPr="00087716" w:rsidRDefault="00E71249" w:rsidP="00496219">
            <w:pPr>
              <w:suppressAutoHyphens/>
              <w:spacing w:before="120" w:after="120" w:line="280" w:lineRule="atLeast"/>
              <w:rPr>
                <w:rFonts w:cstheme="minorHAnsi"/>
                <w:color w:val="000000" w:themeColor="text1"/>
                <w:spacing w:val="4"/>
              </w:rPr>
            </w:pPr>
            <w:r w:rsidRPr="00087716">
              <w:rPr>
                <w:rFonts w:cstheme="minorHAnsi"/>
                <w:color w:val="000000" w:themeColor="text1"/>
                <w:spacing w:val="4"/>
              </w:rPr>
              <w:t xml:space="preserve">ABS - </w:t>
            </w:r>
            <w:r w:rsidRPr="00087716">
              <w:rPr>
                <w:rFonts w:cstheme="minorHAnsi"/>
                <w:spacing w:val="4"/>
              </w:rPr>
              <w:t>Labour Force Survey – Number of unemployed total persons (original series)</w:t>
            </w:r>
          </w:p>
        </w:tc>
      </w:tr>
    </w:tbl>
    <w:p w14:paraId="45CBBE88" w14:textId="77777777" w:rsidR="00E71249" w:rsidRPr="00087716" w:rsidRDefault="00E71249" w:rsidP="00577C1E">
      <w:pPr>
        <w:suppressAutoHyphens/>
        <w:spacing w:before="120" w:after="160"/>
        <w:rPr>
          <w:rFonts w:cstheme="minorHAnsi"/>
          <w:szCs w:val="22"/>
          <w:lang w:eastAsia="en-AU"/>
        </w:rPr>
      </w:pPr>
      <w:r w:rsidRPr="00087716">
        <w:rPr>
          <w:rFonts w:cstheme="minorHAnsi"/>
          <w:szCs w:val="22"/>
          <w:lang w:eastAsia="en-AU"/>
        </w:rPr>
        <w:t>It is important to note there are significant differences between the population measured by the ABS to calculate the number of unemployed total persons and Working Age Payment population recipients. There is also a lag between changes in labour market conditions (as reflected in the change in the number of unemployed persons) and people moving on to or off income support payments.</w:t>
      </w:r>
    </w:p>
    <w:p w14:paraId="34595314" w14:textId="77777777" w:rsidR="00E71249" w:rsidRPr="00087716" w:rsidRDefault="00E71249" w:rsidP="00FD4C88">
      <w:pPr>
        <w:pStyle w:val="CPCustom3"/>
        <w:rPr>
          <w:lang w:eastAsia="en-AU"/>
        </w:rPr>
      </w:pPr>
      <w:r w:rsidRPr="00087716">
        <w:rPr>
          <w:lang w:eastAsia="en-AU"/>
        </w:rPr>
        <w:t>Supporting Information</w:t>
      </w:r>
    </w:p>
    <w:p w14:paraId="61D500C7" w14:textId="77777777" w:rsidR="00E71249" w:rsidRPr="00087716" w:rsidRDefault="00E71249" w:rsidP="00577C1E">
      <w:pPr>
        <w:pStyle w:val="ListParagraph"/>
        <w:spacing w:before="120" w:after="160"/>
        <w:ind w:left="714" w:hanging="357"/>
        <w:rPr>
          <w:lang w:eastAsia="en-AU"/>
        </w:rPr>
      </w:pPr>
      <w:r w:rsidRPr="00087716">
        <w:rPr>
          <w:lang w:eastAsia="en-AU"/>
        </w:rPr>
        <w:t xml:space="preserve">Administered outlays </w:t>
      </w:r>
    </w:p>
    <w:p w14:paraId="438BBC51" w14:textId="4E0CDF18" w:rsidR="00E71249" w:rsidRDefault="00E71249" w:rsidP="00577C1E">
      <w:pPr>
        <w:pStyle w:val="ListParagraph"/>
        <w:spacing w:before="120" w:after="160"/>
        <w:ind w:left="714" w:hanging="357"/>
        <w:rPr>
          <w:lang w:eastAsia="en-AU"/>
        </w:rPr>
      </w:pPr>
      <w:r w:rsidRPr="00087716">
        <w:rPr>
          <w:lang w:eastAsia="en-AU"/>
        </w:rPr>
        <w:t>Payment accuracy</w:t>
      </w:r>
    </w:p>
    <w:p w14:paraId="62C44A16" w14:textId="77777777" w:rsidR="00E71249" w:rsidRDefault="00E71249" w:rsidP="00E71249">
      <w:pPr>
        <w:spacing w:after="240"/>
        <w:rPr>
          <w:rFonts w:cstheme="minorHAnsi"/>
          <w:szCs w:val="22"/>
          <w:lang w:eastAsia="en-AU"/>
        </w:rPr>
      </w:pPr>
      <w:r>
        <w:rPr>
          <w:rFonts w:cstheme="minorHAnsi"/>
          <w:szCs w:val="22"/>
          <w:lang w:eastAsia="en-AU"/>
        </w:rPr>
        <w:br w:type="page"/>
      </w:r>
    </w:p>
    <w:p w14:paraId="1F5B25F4" w14:textId="0F8B1015" w:rsidR="00E71249" w:rsidRPr="00DD6FA0" w:rsidRDefault="00E71249" w:rsidP="00DD6FA0">
      <w:pPr>
        <w:pStyle w:val="Heading3"/>
        <w:shd w:val="clear" w:color="auto" w:fill="005A70" w:themeFill="accent1"/>
        <w:rPr>
          <w:rFonts w:asciiTheme="minorHAnsi" w:hAnsiTheme="minorHAnsi" w:cstheme="minorHAnsi"/>
          <w:b/>
          <w:bCs w:val="0"/>
          <w:color w:val="FFFFFF" w:themeColor="background1"/>
          <w:sz w:val="22"/>
          <w:szCs w:val="22"/>
          <w:lang w:eastAsia="en-AU"/>
        </w:rPr>
      </w:pPr>
      <w:bookmarkStart w:id="96" w:name="_Toc238653296"/>
      <w:r w:rsidRPr="00DD6FA0">
        <w:rPr>
          <w:rFonts w:asciiTheme="minorHAnsi" w:hAnsiTheme="minorHAnsi" w:cstheme="minorHAnsi"/>
          <w:b/>
          <w:bCs w:val="0"/>
          <w:color w:val="FFFFFF" w:themeColor="background1"/>
          <w:sz w:val="22"/>
          <w:szCs w:val="22"/>
          <w:lang w:eastAsia="en-AU"/>
        </w:rPr>
        <w:lastRenderedPageBreak/>
        <w:t>P</w:t>
      </w:r>
      <w:r w:rsidR="009A0C00" w:rsidRPr="00DD6FA0">
        <w:rPr>
          <w:rFonts w:asciiTheme="minorHAnsi" w:hAnsiTheme="minorHAnsi" w:cstheme="minorHAnsi"/>
          <w:b/>
          <w:bCs w:val="0"/>
          <w:color w:val="FFFFFF" w:themeColor="background1"/>
          <w:sz w:val="22"/>
          <w:szCs w:val="22"/>
          <w:lang w:eastAsia="en-AU"/>
        </w:rPr>
        <w:t>rogram</w:t>
      </w:r>
      <w:r w:rsidRPr="00DD6FA0">
        <w:rPr>
          <w:rFonts w:asciiTheme="minorHAnsi" w:hAnsiTheme="minorHAnsi" w:cstheme="minorHAnsi"/>
          <w:b/>
          <w:bCs w:val="0"/>
          <w:color w:val="FFFFFF" w:themeColor="background1"/>
          <w:sz w:val="22"/>
          <w:szCs w:val="22"/>
          <w:lang w:eastAsia="en-AU"/>
        </w:rPr>
        <w:t xml:space="preserve"> 1.7 </w:t>
      </w:r>
      <w:r w:rsidR="009A0C00" w:rsidRPr="00DD6FA0">
        <w:rPr>
          <w:rFonts w:asciiTheme="minorHAnsi" w:hAnsiTheme="minorHAnsi" w:cstheme="minorHAnsi"/>
          <w:b/>
          <w:bCs w:val="0"/>
          <w:color w:val="FFFFFF" w:themeColor="background1"/>
          <w:sz w:val="22"/>
          <w:szCs w:val="22"/>
          <w:lang w:eastAsia="en-AU"/>
        </w:rPr>
        <w:t>Student Payments</w:t>
      </w:r>
      <w:bookmarkEnd w:id="96"/>
    </w:p>
    <w:p w14:paraId="06CBD411" w14:textId="77777777" w:rsidR="00E71249" w:rsidRPr="004C1AC5" w:rsidRDefault="00E71249" w:rsidP="00577C1E">
      <w:pPr>
        <w:shd w:val="clear" w:color="auto" w:fill="005A70"/>
        <w:spacing w:before="120" w:after="160"/>
        <w:rPr>
          <w:rFonts w:cstheme="minorHAnsi"/>
          <w:color w:val="FFFFFF" w:themeColor="background1"/>
          <w:szCs w:val="22"/>
          <w:lang w:eastAsia="en-AU"/>
        </w:rPr>
      </w:pPr>
      <w:r w:rsidRPr="004C1AC5">
        <w:rPr>
          <w:rFonts w:cstheme="minorHAnsi"/>
          <w:color w:val="FFFFFF" w:themeColor="background1"/>
          <w:szCs w:val="22"/>
          <w:lang w:eastAsia="en-AU"/>
        </w:rPr>
        <w:t>To support eligible students whilst they undertake education and training, so that they can gain employment. To increase access and participation by Indigenous students in secondary and tertiary education and accelerate their educational outcomes.</w:t>
      </w:r>
    </w:p>
    <w:p w14:paraId="54933C28" w14:textId="77777777" w:rsidR="00E71249" w:rsidRPr="002A5B00" w:rsidRDefault="00E71249" w:rsidP="002A5B00">
      <w:pPr>
        <w:pStyle w:val="Heading4"/>
        <w:shd w:val="clear" w:color="auto" w:fill="B1E4E3" w:themeFill="accent3"/>
        <w:spacing w:before="60" w:after="60"/>
        <w:rPr>
          <w:color w:val="auto"/>
          <w:sz w:val="22"/>
          <w:szCs w:val="22"/>
        </w:rPr>
      </w:pPr>
      <w:r w:rsidRPr="002A5B00">
        <w:rPr>
          <w:color w:val="auto"/>
          <w:sz w:val="22"/>
          <w:szCs w:val="22"/>
        </w:rPr>
        <w:t xml:space="preserve">Key Activity — 1.7.1 Youth Allowance (Student), </w:t>
      </w:r>
      <w:proofErr w:type="spellStart"/>
      <w:r w:rsidRPr="002A5B00">
        <w:rPr>
          <w:color w:val="auto"/>
          <w:sz w:val="22"/>
          <w:szCs w:val="22"/>
        </w:rPr>
        <w:t>Austudy</w:t>
      </w:r>
      <w:proofErr w:type="spellEnd"/>
      <w:r w:rsidRPr="002A5B00">
        <w:rPr>
          <w:color w:val="auto"/>
          <w:sz w:val="22"/>
          <w:szCs w:val="22"/>
        </w:rPr>
        <w:t>, ABSTUDY</w:t>
      </w:r>
    </w:p>
    <w:p w14:paraId="2F77BC46" w14:textId="77777777" w:rsidR="00E71249" w:rsidRPr="004C1AC5" w:rsidRDefault="00E71249" w:rsidP="00577C1E">
      <w:pPr>
        <w:suppressAutoHyphens/>
        <w:spacing w:before="120" w:after="160"/>
        <w:rPr>
          <w:rFonts w:eastAsia="Times New Roman" w:cstheme="minorHAnsi"/>
          <w:szCs w:val="22"/>
          <w:lang w:eastAsia="en-AU"/>
        </w:rPr>
      </w:pPr>
      <w:r w:rsidRPr="004C1AC5">
        <w:rPr>
          <w:rFonts w:eastAsia="Times New Roman" w:cstheme="minorHAnsi"/>
          <w:szCs w:val="22"/>
          <w:lang w:eastAsia="en-AU"/>
        </w:rPr>
        <w:t xml:space="preserve">Youth Allowance (Student), </w:t>
      </w:r>
      <w:proofErr w:type="spellStart"/>
      <w:r w:rsidRPr="004C1AC5">
        <w:rPr>
          <w:rFonts w:eastAsia="Times New Roman" w:cstheme="minorHAnsi"/>
          <w:szCs w:val="22"/>
          <w:lang w:eastAsia="en-AU"/>
        </w:rPr>
        <w:t>Austudy</w:t>
      </w:r>
      <w:proofErr w:type="spellEnd"/>
      <w:r w:rsidRPr="004C1AC5">
        <w:rPr>
          <w:rFonts w:eastAsia="Times New Roman" w:cstheme="minorHAnsi"/>
          <w:szCs w:val="22"/>
          <w:lang w:eastAsia="en-AU"/>
        </w:rPr>
        <w:t xml:space="preserve"> and ABSTUDY are key activities of the Student Payments program.</w:t>
      </w:r>
    </w:p>
    <w:p w14:paraId="1F7E98EE" w14:textId="77777777" w:rsidR="00E71249" w:rsidRPr="004C1AC5" w:rsidRDefault="00E71249" w:rsidP="006778D7">
      <w:pPr>
        <w:numPr>
          <w:ilvl w:val="0"/>
          <w:numId w:val="13"/>
        </w:numPr>
        <w:spacing w:before="120" w:after="160" w:line="240" w:lineRule="auto"/>
        <w:rPr>
          <w:rFonts w:cstheme="minorHAnsi"/>
          <w:szCs w:val="22"/>
          <w:lang w:eastAsia="en-AU"/>
        </w:rPr>
      </w:pPr>
      <w:r w:rsidRPr="004C1AC5">
        <w:rPr>
          <w:rFonts w:cstheme="minorHAnsi"/>
          <w:b/>
          <w:szCs w:val="22"/>
          <w:lang w:eastAsia="en-AU"/>
        </w:rPr>
        <w:t xml:space="preserve">Youth Allowance (Student) </w:t>
      </w:r>
      <w:r w:rsidRPr="004C1AC5">
        <w:rPr>
          <w:rFonts w:cstheme="minorHAnsi"/>
          <w:szCs w:val="22"/>
          <w:lang w:eastAsia="en-AU"/>
        </w:rPr>
        <w:t xml:space="preserve">is a payment to eligible </w:t>
      </w:r>
      <w:r w:rsidRPr="004C1AC5">
        <w:rPr>
          <w:rFonts w:cstheme="minorHAnsi"/>
          <w:bCs/>
          <w:szCs w:val="22"/>
          <w:lang w:eastAsia="en-AU"/>
        </w:rPr>
        <w:t>students or apprentices aged 16-24 years</w:t>
      </w:r>
      <w:r w:rsidRPr="004C1AC5">
        <w:rPr>
          <w:rFonts w:cstheme="minorHAnsi"/>
          <w:szCs w:val="22"/>
          <w:lang w:eastAsia="en-AU"/>
        </w:rPr>
        <w:t xml:space="preserve"> who </w:t>
      </w:r>
      <w:proofErr w:type="gramStart"/>
      <w:r w:rsidRPr="004C1AC5">
        <w:rPr>
          <w:rFonts w:cstheme="minorHAnsi"/>
          <w:szCs w:val="22"/>
          <w:lang w:eastAsia="en-AU"/>
        </w:rPr>
        <w:t>are in need of</w:t>
      </w:r>
      <w:proofErr w:type="gramEnd"/>
      <w:r w:rsidRPr="004C1AC5">
        <w:rPr>
          <w:rFonts w:cstheme="minorHAnsi"/>
          <w:szCs w:val="22"/>
          <w:lang w:eastAsia="en-AU"/>
        </w:rPr>
        <w:t xml:space="preserve"> financial assistance to undertake education or training.</w:t>
      </w:r>
    </w:p>
    <w:p w14:paraId="56BDB196" w14:textId="77777777" w:rsidR="00E71249" w:rsidRPr="004C1AC5" w:rsidRDefault="00E71249" w:rsidP="006778D7">
      <w:pPr>
        <w:numPr>
          <w:ilvl w:val="0"/>
          <w:numId w:val="13"/>
        </w:numPr>
        <w:spacing w:before="120" w:after="160" w:line="240" w:lineRule="auto"/>
        <w:rPr>
          <w:rFonts w:cstheme="minorHAnsi"/>
          <w:szCs w:val="22"/>
          <w:lang w:eastAsia="en-AU"/>
        </w:rPr>
      </w:pPr>
      <w:proofErr w:type="spellStart"/>
      <w:r w:rsidRPr="004C1AC5">
        <w:rPr>
          <w:rFonts w:cstheme="minorHAnsi"/>
          <w:b/>
          <w:szCs w:val="22"/>
          <w:lang w:eastAsia="en-AU"/>
        </w:rPr>
        <w:t>Austudy</w:t>
      </w:r>
      <w:proofErr w:type="spellEnd"/>
      <w:r w:rsidRPr="004C1AC5">
        <w:rPr>
          <w:rFonts w:cstheme="minorHAnsi"/>
          <w:szCs w:val="22"/>
          <w:lang w:eastAsia="en-AU"/>
        </w:rPr>
        <w:t xml:space="preserve"> is a payment to eligible </w:t>
      </w:r>
      <w:r w:rsidRPr="004C1AC5">
        <w:rPr>
          <w:rFonts w:cstheme="minorHAnsi"/>
          <w:bCs/>
          <w:szCs w:val="22"/>
          <w:lang w:eastAsia="en-AU"/>
        </w:rPr>
        <w:t>students or apprentices aged 25 years and over</w:t>
      </w:r>
      <w:r w:rsidRPr="004C1AC5">
        <w:rPr>
          <w:rFonts w:cstheme="minorHAnsi"/>
          <w:szCs w:val="22"/>
          <w:lang w:eastAsia="en-AU"/>
        </w:rPr>
        <w:t xml:space="preserve"> who </w:t>
      </w:r>
      <w:proofErr w:type="gramStart"/>
      <w:r w:rsidRPr="004C1AC5">
        <w:rPr>
          <w:rFonts w:cstheme="minorHAnsi"/>
          <w:szCs w:val="22"/>
          <w:lang w:eastAsia="en-AU"/>
        </w:rPr>
        <w:t>are in need of</w:t>
      </w:r>
      <w:proofErr w:type="gramEnd"/>
      <w:r w:rsidRPr="004C1AC5">
        <w:rPr>
          <w:rFonts w:cstheme="minorHAnsi"/>
          <w:szCs w:val="22"/>
          <w:lang w:eastAsia="en-AU"/>
        </w:rPr>
        <w:t xml:space="preserve"> financial assistance to undertake education or training.</w:t>
      </w:r>
    </w:p>
    <w:p w14:paraId="46529A23" w14:textId="77777777" w:rsidR="00E71249" w:rsidRPr="004C1AC5" w:rsidRDefault="00E71249" w:rsidP="006778D7">
      <w:pPr>
        <w:numPr>
          <w:ilvl w:val="0"/>
          <w:numId w:val="13"/>
        </w:numPr>
        <w:spacing w:before="120" w:after="160" w:line="240" w:lineRule="auto"/>
        <w:rPr>
          <w:rFonts w:cstheme="minorHAnsi"/>
          <w:szCs w:val="22"/>
          <w:lang w:eastAsia="en-AU"/>
        </w:rPr>
      </w:pPr>
      <w:r w:rsidRPr="004C1AC5">
        <w:rPr>
          <w:rFonts w:cstheme="minorHAnsi"/>
          <w:b/>
          <w:szCs w:val="22"/>
          <w:lang w:eastAsia="en-AU"/>
        </w:rPr>
        <w:t>ABSTUDY</w:t>
      </w:r>
      <w:r w:rsidRPr="004C1AC5">
        <w:rPr>
          <w:rFonts w:cstheme="minorHAnsi"/>
          <w:szCs w:val="22"/>
          <w:lang w:eastAsia="en-AU"/>
        </w:rPr>
        <w:t xml:space="preserve"> includes </w:t>
      </w:r>
      <w:proofErr w:type="gramStart"/>
      <w:r w:rsidRPr="004C1AC5">
        <w:rPr>
          <w:rFonts w:cstheme="minorHAnsi"/>
          <w:szCs w:val="22"/>
          <w:lang w:eastAsia="en-AU"/>
        </w:rPr>
        <w:t>a number of</w:t>
      </w:r>
      <w:proofErr w:type="gramEnd"/>
      <w:r w:rsidRPr="004C1AC5">
        <w:rPr>
          <w:rFonts w:cstheme="minorHAnsi"/>
          <w:szCs w:val="22"/>
          <w:lang w:eastAsia="en-AU"/>
        </w:rPr>
        <w:t xml:space="preserve"> payments to eligible </w:t>
      </w:r>
      <w:r w:rsidRPr="004C1AC5">
        <w:rPr>
          <w:rFonts w:cstheme="minorHAnsi"/>
          <w:bCs/>
          <w:szCs w:val="22"/>
          <w:lang w:eastAsia="en-AU"/>
        </w:rPr>
        <w:t>Aboriginal and Torres Strait Islander students or apprentices</w:t>
      </w:r>
      <w:r w:rsidRPr="004C1AC5">
        <w:rPr>
          <w:rFonts w:cstheme="minorHAnsi"/>
          <w:szCs w:val="22"/>
          <w:lang w:eastAsia="en-AU"/>
        </w:rPr>
        <w:t xml:space="preserve"> to address the </w:t>
      </w:r>
      <w:proofErr w:type="gramStart"/>
      <w:r w:rsidRPr="004C1AC5">
        <w:rPr>
          <w:rFonts w:cstheme="minorHAnsi"/>
          <w:szCs w:val="22"/>
          <w:lang w:eastAsia="en-AU"/>
        </w:rPr>
        <w:t>particular educational</w:t>
      </w:r>
      <w:proofErr w:type="gramEnd"/>
      <w:r w:rsidRPr="004C1AC5">
        <w:rPr>
          <w:rFonts w:cstheme="minorHAnsi"/>
          <w:szCs w:val="22"/>
          <w:lang w:eastAsia="en-AU"/>
        </w:rPr>
        <w:t xml:space="preserve"> disadvantages faced by Aboriginal and Torres Strait Islander people.</w:t>
      </w:r>
    </w:p>
    <w:p w14:paraId="69F017F7" w14:textId="0933F5DA" w:rsidR="00E71249" w:rsidRPr="004C1AC5" w:rsidRDefault="00E71249" w:rsidP="00577C1E">
      <w:pPr>
        <w:suppressAutoHyphens/>
        <w:spacing w:before="120" w:after="160"/>
        <w:rPr>
          <w:rFonts w:eastAsia="Times New Roman" w:cstheme="minorHAnsi"/>
          <w:szCs w:val="22"/>
          <w:lang w:eastAsia="en-AU"/>
        </w:rPr>
      </w:pPr>
      <w:r w:rsidRPr="004C1AC5">
        <w:rPr>
          <w:rFonts w:eastAsia="Times New Roman" w:cstheme="minorHAnsi"/>
          <w:b/>
          <w:color w:val="000000" w:themeColor="text1"/>
          <w:szCs w:val="22"/>
          <w:lang w:eastAsia="en-AU"/>
        </w:rPr>
        <w:t xml:space="preserve">The </w:t>
      </w:r>
      <w:r w:rsidR="0054557F">
        <w:rPr>
          <w:rFonts w:eastAsia="Times New Roman" w:cstheme="minorHAnsi"/>
          <w:b/>
          <w:color w:val="000000" w:themeColor="text1"/>
          <w:szCs w:val="22"/>
          <w:lang w:eastAsia="en-AU"/>
        </w:rPr>
        <w:t>d</w:t>
      </w:r>
      <w:r w:rsidRPr="004C1AC5">
        <w:rPr>
          <w:rFonts w:eastAsia="Times New Roman" w:cstheme="minorHAnsi"/>
          <w:b/>
          <w:color w:val="000000" w:themeColor="text1"/>
          <w:szCs w:val="22"/>
          <w:lang w:eastAsia="en-AU"/>
        </w:rPr>
        <w:t>epartment</w:t>
      </w:r>
      <w:r w:rsidRPr="004C1AC5">
        <w:rPr>
          <w:rFonts w:eastAsia="Times New Roman" w:cstheme="minorHAnsi"/>
          <w:color w:val="000000" w:themeColor="text1"/>
          <w:szCs w:val="22"/>
          <w:lang w:eastAsia="en-AU"/>
        </w:rPr>
        <w:t xml:space="preserve"> is </w:t>
      </w:r>
      <w:r w:rsidRPr="004C1AC5">
        <w:rPr>
          <w:rFonts w:eastAsia="Times New Roman" w:cstheme="minorHAnsi"/>
          <w:szCs w:val="22"/>
          <w:lang w:eastAsia="en-AU"/>
        </w:rPr>
        <w:t>responsible for designing and implementing the key activity, including providing advice to government on policy and legislation, program implementation and management, program performance, monitoring and meeting all relevant deliverables, setting guidelines and providing guidance and advice to Services Australia on the administration of the program.</w:t>
      </w:r>
    </w:p>
    <w:p w14:paraId="3AD4441C" w14:textId="296B581B" w:rsidR="00E71249" w:rsidRPr="004C1AC5" w:rsidRDefault="00E71249" w:rsidP="00577C1E">
      <w:pPr>
        <w:spacing w:before="120" w:after="160"/>
        <w:rPr>
          <w:rFonts w:cstheme="minorHAnsi"/>
          <w:szCs w:val="22"/>
          <w:lang w:eastAsia="en-AU"/>
        </w:rPr>
      </w:pPr>
      <w:r w:rsidRPr="004C1AC5">
        <w:rPr>
          <w:rFonts w:cstheme="minorHAnsi"/>
          <w:b/>
          <w:szCs w:val="22"/>
          <w:lang w:eastAsia="en-AU"/>
        </w:rPr>
        <w:t>Services Australia</w:t>
      </w:r>
      <w:r w:rsidRPr="004C1AC5">
        <w:rPr>
          <w:rFonts w:cstheme="minorHAnsi"/>
          <w:szCs w:val="22"/>
          <w:lang w:eastAsia="en-AU"/>
        </w:rPr>
        <w:t xml:space="preserve"> is responsible for administering the key activities on the </w:t>
      </w:r>
      <w:r w:rsidR="0054557F">
        <w:rPr>
          <w:rFonts w:cstheme="minorHAnsi"/>
          <w:szCs w:val="22"/>
          <w:lang w:eastAsia="en-AU"/>
        </w:rPr>
        <w:t>d</w:t>
      </w:r>
      <w:r w:rsidRPr="004C1AC5">
        <w:rPr>
          <w:rFonts w:cstheme="minorHAnsi"/>
          <w:szCs w:val="22"/>
          <w:lang w:eastAsia="en-AU"/>
        </w:rPr>
        <w:t>epartment’s behalf including receiving, processing and managing payment applications and delivering student payments.</w:t>
      </w:r>
    </w:p>
    <w:p w14:paraId="7C45B6CB" w14:textId="7021C448" w:rsidR="00E71249" w:rsidRPr="00FD4C88" w:rsidRDefault="00E71249" w:rsidP="00FD4C88">
      <w:pPr>
        <w:pStyle w:val="Heading4"/>
        <w:rPr>
          <w:sz w:val="22"/>
          <w:szCs w:val="22"/>
          <w:lang w:eastAsia="en-AU"/>
        </w:rPr>
      </w:pPr>
      <w:r w:rsidRPr="00FD4C88">
        <w:rPr>
          <w:sz w:val="22"/>
          <w:szCs w:val="22"/>
          <w:lang w:eastAsia="en-AU"/>
        </w:rPr>
        <w:t>Performance Measure</w:t>
      </w:r>
    </w:p>
    <w:p w14:paraId="198274AC" w14:textId="77777777" w:rsidR="00E71249" w:rsidRPr="004C1AC5" w:rsidRDefault="00E71249" w:rsidP="00E71249">
      <w:pPr>
        <w:spacing w:before="120" w:after="120"/>
        <w:outlineLvl w:val="4"/>
        <w:rPr>
          <w:rFonts w:cstheme="minorHAnsi"/>
          <w:iCs/>
          <w:szCs w:val="22"/>
          <w:lang w:eastAsia="en-AU"/>
        </w:rPr>
      </w:pPr>
      <w:r w:rsidRPr="004C1AC5">
        <w:rPr>
          <w:rFonts w:eastAsia="Times New Roman" w:cstheme="minorHAnsi"/>
          <w:color w:val="000000" w:themeColor="text1"/>
          <w:szCs w:val="22"/>
          <w:lang w:eastAsia="en-AU"/>
        </w:rPr>
        <w:t>1.7.1-1 Extent to which payment recipients have improved financial self-reliance.</w:t>
      </w:r>
    </w:p>
    <w:tbl>
      <w:tblPr>
        <w:tblStyle w:val="TableGrid39"/>
        <w:tblW w:w="4976" w:type="pct"/>
        <w:jc w:val="center"/>
        <w:tblLook w:val="04A0" w:firstRow="1" w:lastRow="0" w:firstColumn="1" w:lastColumn="0" w:noHBand="0" w:noVBand="1"/>
        <w:tblCaption w:val="Table 19 - Extent to which payment recipients have improved financial self-reliance"/>
        <w:tblDescription w:val="Target for the extent to which payment recipients have improved financial self-reliance"/>
      </w:tblPr>
      <w:tblGrid>
        <w:gridCol w:w="2957"/>
        <w:gridCol w:w="1796"/>
        <w:gridCol w:w="1796"/>
        <w:gridCol w:w="1796"/>
        <w:gridCol w:w="1800"/>
      </w:tblGrid>
      <w:tr w:rsidR="00E71249" w:rsidRPr="004C1AC5" w14:paraId="46480804" w14:textId="77777777" w:rsidTr="00496219">
        <w:trPr>
          <w:cantSplit/>
          <w:trHeight w:val="327"/>
          <w:tblHeader/>
          <w:jc w:val="center"/>
        </w:trPr>
        <w:tc>
          <w:tcPr>
            <w:tcW w:w="1458" w:type="pct"/>
            <w:tcBorders>
              <w:top w:val="single" w:sz="4" w:space="0" w:color="auto"/>
              <w:bottom w:val="single" w:sz="4" w:space="0" w:color="auto"/>
              <w:right w:val="single" w:sz="6" w:space="0" w:color="auto"/>
            </w:tcBorders>
            <w:shd w:val="clear" w:color="auto" w:fill="D9D9D6"/>
          </w:tcPr>
          <w:p w14:paraId="3CC2A5C1" w14:textId="77777777" w:rsidR="00E71249" w:rsidRPr="004C1AC5" w:rsidRDefault="00E71249" w:rsidP="00496219">
            <w:pPr>
              <w:spacing w:before="120" w:line="252" w:lineRule="auto"/>
              <w:rPr>
                <w:rFonts w:asciiTheme="minorHAnsi" w:hAnsiTheme="minorHAnsi" w:cstheme="minorHAnsi"/>
                <w:szCs w:val="22"/>
              </w:rPr>
            </w:pPr>
            <w:r w:rsidRPr="004C1AC5">
              <w:rPr>
                <w:rFonts w:asciiTheme="minorHAnsi" w:hAnsiTheme="minorHAnsi" w:cstheme="minorHAnsi"/>
                <w:b/>
                <w:szCs w:val="22"/>
              </w:rPr>
              <w:t>Target</w:t>
            </w:r>
          </w:p>
        </w:tc>
        <w:tc>
          <w:tcPr>
            <w:tcW w:w="885" w:type="pct"/>
            <w:tcBorders>
              <w:top w:val="single" w:sz="4" w:space="0" w:color="auto"/>
              <w:left w:val="single" w:sz="6" w:space="0" w:color="auto"/>
              <w:bottom w:val="single" w:sz="4" w:space="0" w:color="auto"/>
              <w:right w:val="single" w:sz="6" w:space="0" w:color="auto"/>
            </w:tcBorders>
            <w:shd w:val="clear" w:color="auto" w:fill="D9D9D6"/>
            <w:vAlign w:val="center"/>
          </w:tcPr>
          <w:p w14:paraId="125DAA98" w14:textId="77777777" w:rsidR="00E71249" w:rsidRPr="004C1AC5" w:rsidRDefault="00E71249" w:rsidP="00496219">
            <w:pPr>
              <w:spacing w:before="120" w:line="252" w:lineRule="auto"/>
              <w:rPr>
                <w:rFonts w:asciiTheme="minorHAnsi" w:hAnsiTheme="minorHAnsi" w:cstheme="minorHAnsi"/>
                <w:szCs w:val="22"/>
              </w:rPr>
            </w:pPr>
            <w:r w:rsidRPr="004C1AC5">
              <w:rPr>
                <w:rFonts w:asciiTheme="minorHAnsi" w:hAnsiTheme="minorHAnsi" w:cstheme="minorHAnsi"/>
                <w:b/>
                <w:szCs w:val="22"/>
              </w:rPr>
              <w:t>2026–27</w:t>
            </w:r>
          </w:p>
        </w:tc>
        <w:tc>
          <w:tcPr>
            <w:tcW w:w="885" w:type="pct"/>
            <w:tcBorders>
              <w:top w:val="single" w:sz="4" w:space="0" w:color="auto"/>
              <w:left w:val="single" w:sz="6" w:space="0" w:color="auto"/>
              <w:bottom w:val="single" w:sz="4" w:space="0" w:color="auto"/>
              <w:right w:val="single" w:sz="6" w:space="0" w:color="auto"/>
            </w:tcBorders>
            <w:shd w:val="clear" w:color="auto" w:fill="D9D9D6"/>
            <w:vAlign w:val="center"/>
          </w:tcPr>
          <w:p w14:paraId="2E6635A7" w14:textId="77777777" w:rsidR="00E71249" w:rsidRPr="004C1AC5" w:rsidRDefault="00E71249" w:rsidP="00496219">
            <w:pPr>
              <w:spacing w:before="120" w:line="252" w:lineRule="auto"/>
              <w:rPr>
                <w:rFonts w:asciiTheme="minorHAnsi" w:hAnsiTheme="minorHAnsi" w:cstheme="minorHAnsi"/>
                <w:b/>
                <w:szCs w:val="22"/>
              </w:rPr>
            </w:pPr>
            <w:r w:rsidRPr="004C1AC5">
              <w:rPr>
                <w:rFonts w:asciiTheme="minorHAnsi" w:hAnsiTheme="minorHAnsi" w:cstheme="minorHAnsi"/>
                <w:b/>
                <w:szCs w:val="22"/>
              </w:rPr>
              <w:t>2027–28</w:t>
            </w:r>
          </w:p>
        </w:tc>
        <w:tc>
          <w:tcPr>
            <w:tcW w:w="885" w:type="pct"/>
            <w:tcBorders>
              <w:top w:val="single" w:sz="4" w:space="0" w:color="auto"/>
              <w:left w:val="single" w:sz="6" w:space="0" w:color="auto"/>
              <w:bottom w:val="single" w:sz="4" w:space="0" w:color="auto"/>
              <w:right w:val="single" w:sz="6" w:space="0" w:color="auto"/>
            </w:tcBorders>
            <w:shd w:val="clear" w:color="auto" w:fill="D9D9D6"/>
            <w:vAlign w:val="center"/>
          </w:tcPr>
          <w:p w14:paraId="2225167F" w14:textId="77777777" w:rsidR="00E71249" w:rsidRPr="004C1AC5" w:rsidRDefault="00E71249" w:rsidP="00496219">
            <w:pPr>
              <w:spacing w:before="120" w:line="252" w:lineRule="auto"/>
              <w:rPr>
                <w:rFonts w:asciiTheme="minorHAnsi" w:hAnsiTheme="minorHAnsi" w:cstheme="minorHAnsi"/>
                <w:b/>
                <w:szCs w:val="22"/>
              </w:rPr>
            </w:pPr>
            <w:r w:rsidRPr="004C1AC5">
              <w:rPr>
                <w:rFonts w:asciiTheme="minorHAnsi" w:hAnsiTheme="minorHAnsi" w:cstheme="minorHAnsi"/>
                <w:b/>
                <w:szCs w:val="22"/>
              </w:rPr>
              <w:t>2028–29</w:t>
            </w:r>
          </w:p>
        </w:tc>
        <w:tc>
          <w:tcPr>
            <w:tcW w:w="887" w:type="pct"/>
            <w:tcBorders>
              <w:top w:val="single" w:sz="4" w:space="0" w:color="auto"/>
              <w:left w:val="single" w:sz="6" w:space="0" w:color="auto"/>
              <w:bottom w:val="single" w:sz="4" w:space="0" w:color="auto"/>
              <w:right w:val="single" w:sz="4" w:space="0" w:color="auto"/>
            </w:tcBorders>
            <w:shd w:val="clear" w:color="auto" w:fill="D9D9D6"/>
            <w:vAlign w:val="center"/>
          </w:tcPr>
          <w:p w14:paraId="03DCBCEA" w14:textId="77777777" w:rsidR="00E71249" w:rsidRPr="004C1AC5" w:rsidRDefault="00E71249" w:rsidP="00496219">
            <w:pPr>
              <w:spacing w:before="120" w:line="252" w:lineRule="auto"/>
              <w:rPr>
                <w:rFonts w:asciiTheme="minorHAnsi" w:hAnsiTheme="minorHAnsi" w:cstheme="minorHAnsi"/>
                <w:b/>
                <w:szCs w:val="22"/>
              </w:rPr>
            </w:pPr>
            <w:r w:rsidRPr="004C1AC5">
              <w:rPr>
                <w:rFonts w:asciiTheme="minorHAnsi" w:hAnsiTheme="minorHAnsi" w:cstheme="minorHAnsi"/>
                <w:b/>
                <w:szCs w:val="22"/>
              </w:rPr>
              <w:t>2029–30</w:t>
            </w:r>
          </w:p>
        </w:tc>
      </w:tr>
      <w:tr w:rsidR="00E71249" w:rsidRPr="004C1AC5" w14:paraId="228A52A5" w14:textId="77777777" w:rsidTr="00496219">
        <w:trPr>
          <w:cantSplit/>
          <w:trHeight w:val="356"/>
          <w:jc w:val="center"/>
        </w:trPr>
        <w:tc>
          <w:tcPr>
            <w:tcW w:w="1458" w:type="pct"/>
            <w:tcBorders>
              <w:top w:val="single" w:sz="4" w:space="0" w:color="auto"/>
            </w:tcBorders>
          </w:tcPr>
          <w:p w14:paraId="54686555" w14:textId="68E889AC" w:rsidR="00E71249" w:rsidRPr="004C1AC5" w:rsidRDefault="0061319D" w:rsidP="00496219">
            <w:pPr>
              <w:spacing w:before="120" w:line="252" w:lineRule="auto"/>
              <w:rPr>
                <w:rFonts w:asciiTheme="minorHAnsi" w:hAnsiTheme="minorHAnsi" w:cstheme="minorHAnsi"/>
                <w:szCs w:val="22"/>
              </w:rPr>
            </w:pPr>
            <w:r>
              <w:rPr>
                <w:rFonts w:cstheme="minorHAnsi"/>
                <w:noProof/>
                <w:szCs w:val="22"/>
              </w:rPr>
              <mc:AlternateContent>
                <mc:Choice Requires="wps">
                  <w:drawing>
                    <wp:anchor distT="0" distB="0" distL="114300" distR="114300" simplePos="0" relativeHeight="251665416" behindDoc="0" locked="0" layoutInCell="1" allowOverlap="1" wp14:anchorId="17265858" wp14:editId="467F19F0">
                      <wp:simplePos x="0" y="0"/>
                      <wp:positionH relativeFrom="column">
                        <wp:posOffset>-6407</wp:posOffset>
                      </wp:positionH>
                      <wp:positionV relativeFrom="paragraph">
                        <wp:posOffset>109059</wp:posOffset>
                      </wp:positionV>
                      <wp:extent cx="45719" cy="109182"/>
                      <wp:effectExtent l="0" t="0" r="12065" b="24765"/>
                      <wp:wrapNone/>
                      <wp:docPr id="1147072743" name="Diamond 8" descr="The diamond symbol represents Performance measures that may be impacted by external factors."/>
                      <wp:cNvGraphicFramePr/>
                      <a:graphic xmlns:a="http://schemas.openxmlformats.org/drawingml/2006/main">
                        <a:graphicData uri="http://schemas.microsoft.com/office/word/2010/wordprocessingShape">
                          <wps:wsp>
                            <wps:cNvSpPr/>
                            <wps:spPr>
                              <a:xfrm>
                                <a:off x="0" y="0"/>
                                <a:ext cx="45719" cy="109182"/>
                              </a:xfrm>
                              <a:prstGeom prst="diamond">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B2D115" id="Diamond 8" o:spid="_x0000_s1026" type="#_x0000_t4" alt="The diamond symbol represents Performance measures that may be impacted by external factors." style="position:absolute;margin-left:-.5pt;margin-top:8.6pt;width:3.6pt;height:8.6pt;z-index:251665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" fillcolor="black [3213]" strokecolor="#000d10 [484]" strokeweight=".73403mm"/>
                  </w:pict>
                </mc:Fallback>
              </mc:AlternateContent>
            </w:r>
            <w:r w:rsidR="00E71249" w:rsidRPr="004C1AC5">
              <w:rPr>
                <w:rFonts w:asciiTheme="minorHAnsi" w:hAnsiTheme="minorHAnsi" w:cstheme="minorHAnsi"/>
                <w:szCs w:val="22"/>
              </w:rPr>
              <w:t xml:space="preserve"> </w:t>
            </w:r>
            <w:r w:rsidR="005A2AFD">
              <w:rPr>
                <w:rFonts w:asciiTheme="minorHAnsi" w:hAnsiTheme="minorHAnsi" w:cstheme="minorHAnsi"/>
                <w:szCs w:val="22"/>
              </w:rPr>
              <w:t xml:space="preserve"> </w:t>
            </w:r>
            <w:r w:rsidR="00E71249" w:rsidRPr="004C1AC5">
              <w:rPr>
                <w:rFonts w:asciiTheme="minorHAnsi" w:hAnsiTheme="minorHAnsi" w:cstheme="minorHAnsi"/>
                <w:szCs w:val="22"/>
              </w:rPr>
              <w:t>1.7.1-1A</w:t>
            </w:r>
            <w:r w:rsidR="00E71249" w:rsidRPr="00087716">
              <w:rPr>
                <w:rFonts w:asciiTheme="minorHAnsi" w:hAnsiTheme="minorHAnsi" w:cstheme="minorHAnsi"/>
                <w:szCs w:val="22"/>
              </w:rPr>
              <w:t xml:space="preserve"> – </w:t>
            </w:r>
            <w:r w:rsidR="00E71249" w:rsidRPr="004C1AC5">
              <w:rPr>
                <w:rFonts w:asciiTheme="minorHAnsi" w:hAnsiTheme="minorHAnsi" w:cstheme="minorHAnsi"/>
                <w:szCs w:val="22"/>
              </w:rPr>
              <w:t xml:space="preserve">The proportion of </w:t>
            </w:r>
            <w:proofErr w:type="spellStart"/>
            <w:r w:rsidR="00E71249" w:rsidRPr="004C1AC5">
              <w:rPr>
                <w:rFonts w:asciiTheme="minorHAnsi" w:hAnsiTheme="minorHAnsi" w:cstheme="minorHAnsi"/>
                <w:szCs w:val="22"/>
              </w:rPr>
              <w:t>Austudy</w:t>
            </w:r>
            <w:proofErr w:type="spellEnd"/>
            <w:r w:rsidR="00E71249" w:rsidRPr="004C1AC5">
              <w:rPr>
                <w:rFonts w:asciiTheme="minorHAnsi" w:hAnsiTheme="minorHAnsi" w:cstheme="minorHAnsi"/>
                <w:szCs w:val="22"/>
              </w:rPr>
              <w:t>, Youth Allowance and ABSTUDY recipients who are not receiving income support 12 months after exiting student payments reflect the number of people who are able to fully support themselves through work. Movements in exit rates correlate with an opposite movement in the unemployment rate.</w:t>
            </w:r>
          </w:p>
        </w:tc>
        <w:tc>
          <w:tcPr>
            <w:tcW w:w="885" w:type="pct"/>
            <w:tcBorders>
              <w:top w:val="single" w:sz="4" w:space="0" w:color="auto"/>
            </w:tcBorders>
          </w:tcPr>
          <w:p w14:paraId="44044C97" w14:textId="77777777" w:rsidR="00E71249" w:rsidRPr="004C1AC5" w:rsidRDefault="00E71249" w:rsidP="00496219">
            <w:pPr>
              <w:spacing w:before="120" w:line="252" w:lineRule="auto"/>
              <w:rPr>
                <w:rFonts w:asciiTheme="minorHAnsi" w:hAnsiTheme="minorHAnsi" w:cstheme="minorHAnsi"/>
                <w:szCs w:val="22"/>
              </w:rPr>
            </w:pPr>
            <w:r w:rsidRPr="004C1AC5">
              <w:rPr>
                <w:rFonts w:asciiTheme="minorHAnsi" w:hAnsiTheme="minorHAnsi" w:cstheme="minorHAnsi"/>
                <w:szCs w:val="22"/>
              </w:rPr>
              <w:t>Increases in exit rates align with decreases in the unemployment rate.</w:t>
            </w:r>
          </w:p>
        </w:tc>
        <w:tc>
          <w:tcPr>
            <w:tcW w:w="885" w:type="pct"/>
            <w:tcBorders>
              <w:top w:val="single" w:sz="4" w:space="0" w:color="auto"/>
            </w:tcBorders>
          </w:tcPr>
          <w:p w14:paraId="73FB071B" w14:textId="77777777" w:rsidR="00E71249" w:rsidRPr="004C1AC5" w:rsidRDefault="00E71249" w:rsidP="00496219">
            <w:pPr>
              <w:spacing w:before="120" w:line="252" w:lineRule="auto"/>
              <w:rPr>
                <w:rFonts w:asciiTheme="minorHAnsi" w:hAnsiTheme="minorHAnsi" w:cstheme="minorHAnsi"/>
                <w:szCs w:val="22"/>
              </w:rPr>
            </w:pPr>
            <w:r w:rsidRPr="004C1AC5">
              <w:rPr>
                <w:rFonts w:asciiTheme="minorHAnsi" w:hAnsiTheme="minorHAnsi" w:cstheme="minorHAnsi"/>
                <w:szCs w:val="22"/>
              </w:rPr>
              <w:t>Increases in exit rates align with decreases in the unemployment rate.</w:t>
            </w:r>
          </w:p>
        </w:tc>
        <w:tc>
          <w:tcPr>
            <w:tcW w:w="885" w:type="pct"/>
            <w:tcBorders>
              <w:top w:val="single" w:sz="4" w:space="0" w:color="auto"/>
            </w:tcBorders>
          </w:tcPr>
          <w:p w14:paraId="004C973D" w14:textId="77777777" w:rsidR="00E71249" w:rsidRPr="004C1AC5" w:rsidRDefault="00E71249" w:rsidP="00496219">
            <w:pPr>
              <w:spacing w:before="120" w:line="252" w:lineRule="auto"/>
              <w:rPr>
                <w:rFonts w:asciiTheme="minorHAnsi" w:hAnsiTheme="minorHAnsi" w:cstheme="minorHAnsi"/>
                <w:szCs w:val="22"/>
              </w:rPr>
            </w:pPr>
            <w:r w:rsidRPr="004C1AC5">
              <w:rPr>
                <w:rFonts w:asciiTheme="minorHAnsi" w:hAnsiTheme="minorHAnsi" w:cstheme="minorHAnsi"/>
                <w:szCs w:val="22"/>
              </w:rPr>
              <w:t>Increases in exit rates align with decreases in the unemployment rate.</w:t>
            </w:r>
          </w:p>
        </w:tc>
        <w:tc>
          <w:tcPr>
            <w:tcW w:w="887" w:type="pct"/>
            <w:tcBorders>
              <w:top w:val="single" w:sz="4" w:space="0" w:color="auto"/>
            </w:tcBorders>
          </w:tcPr>
          <w:p w14:paraId="1552BF87" w14:textId="77777777" w:rsidR="00E71249" w:rsidRPr="004C1AC5" w:rsidRDefault="00E71249" w:rsidP="00496219">
            <w:pPr>
              <w:spacing w:before="120" w:line="252" w:lineRule="auto"/>
              <w:rPr>
                <w:rFonts w:asciiTheme="minorHAnsi" w:hAnsiTheme="minorHAnsi" w:cstheme="minorHAnsi"/>
                <w:szCs w:val="22"/>
              </w:rPr>
            </w:pPr>
            <w:r w:rsidRPr="004C1AC5">
              <w:rPr>
                <w:rFonts w:asciiTheme="minorHAnsi" w:hAnsiTheme="minorHAnsi" w:cstheme="minorHAnsi"/>
                <w:szCs w:val="22"/>
              </w:rPr>
              <w:t>Increases in exit rates align with decreases in the unemployment rate.</w:t>
            </w:r>
          </w:p>
        </w:tc>
      </w:tr>
    </w:tbl>
    <w:p w14:paraId="2F91596B" w14:textId="77777777" w:rsidR="00E71249" w:rsidRPr="004C1AC5" w:rsidRDefault="00E71249" w:rsidP="00FD4C88">
      <w:pPr>
        <w:pStyle w:val="CPCustom3"/>
        <w:rPr>
          <w:lang w:eastAsia="en-AU"/>
        </w:rPr>
      </w:pPr>
      <w:r w:rsidRPr="004C1AC5">
        <w:rPr>
          <w:lang w:eastAsia="en-AU"/>
        </w:rPr>
        <w:t>Rationale</w:t>
      </w:r>
    </w:p>
    <w:p w14:paraId="762022E1" w14:textId="77777777" w:rsidR="00E71249" w:rsidRPr="004C1AC5" w:rsidRDefault="00E71249" w:rsidP="00577C1E">
      <w:pPr>
        <w:suppressAutoHyphens/>
        <w:spacing w:before="120" w:after="160"/>
        <w:rPr>
          <w:rFonts w:eastAsia="Times New Roman" w:cstheme="minorHAnsi"/>
          <w:color w:val="000000" w:themeColor="text1"/>
          <w:szCs w:val="22"/>
          <w:lang w:eastAsia="en-AU"/>
        </w:rPr>
      </w:pPr>
      <w:r w:rsidRPr="004C1AC5">
        <w:rPr>
          <w:rFonts w:eastAsia="Times New Roman" w:cstheme="minorHAnsi"/>
          <w:szCs w:val="22"/>
          <w:lang w:eastAsia="en-AU"/>
        </w:rPr>
        <w:t>Measuring the extent to which payment recipients have improved financial self-reliance demonstrates that students receiving income support and other financial assistance achieve growth in skills and qualifications, to support their participation in the workforce. This</w:t>
      </w:r>
      <w:r w:rsidRPr="004C1AC5">
        <w:rPr>
          <w:rFonts w:eastAsia="Times New Roman" w:cstheme="minorHAnsi"/>
          <w:color w:val="000000" w:themeColor="text1"/>
          <w:szCs w:val="22"/>
          <w:lang w:eastAsia="en-AU"/>
        </w:rPr>
        <w:t xml:space="preserve"> measure demonstrates the </w:t>
      </w:r>
      <w:r w:rsidRPr="004C1AC5">
        <w:rPr>
          <w:rFonts w:eastAsia="Times New Roman" w:cstheme="minorHAnsi"/>
          <w:b/>
          <w:color w:val="000000" w:themeColor="text1"/>
          <w:szCs w:val="22"/>
          <w:lang w:eastAsia="en-AU"/>
        </w:rPr>
        <w:lastRenderedPageBreak/>
        <w:t>effectiveness</w:t>
      </w:r>
      <w:r w:rsidRPr="004C1AC5">
        <w:rPr>
          <w:rFonts w:eastAsia="Times New Roman" w:cstheme="minorHAnsi"/>
          <w:color w:val="000000" w:themeColor="text1"/>
          <w:szCs w:val="22"/>
          <w:lang w:eastAsia="en-AU"/>
        </w:rPr>
        <w:t xml:space="preserve"> of ABSTUDY, </w:t>
      </w:r>
      <w:proofErr w:type="spellStart"/>
      <w:r w:rsidRPr="004C1AC5">
        <w:rPr>
          <w:rFonts w:eastAsia="Times New Roman" w:cstheme="minorHAnsi"/>
          <w:color w:val="000000" w:themeColor="text1"/>
          <w:szCs w:val="22"/>
          <w:lang w:eastAsia="en-AU"/>
        </w:rPr>
        <w:t>Austudy</w:t>
      </w:r>
      <w:proofErr w:type="spellEnd"/>
      <w:r w:rsidRPr="004C1AC5">
        <w:rPr>
          <w:rFonts w:eastAsia="Times New Roman" w:cstheme="minorHAnsi"/>
          <w:color w:val="000000" w:themeColor="text1"/>
          <w:szCs w:val="22"/>
          <w:lang w:eastAsia="en-AU"/>
        </w:rPr>
        <w:t xml:space="preserve"> and Youth Allowance (Student) in achieving the objectives of the key activity: </w:t>
      </w:r>
      <w:r w:rsidRPr="004C1AC5">
        <w:rPr>
          <w:rFonts w:eastAsia="Times New Roman" w:cstheme="minorHAnsi"/>
          <w:iCs/>
          <w:color w:val="000000" w:themeColor="text1"/>
          <w:szCs w:val="22"/>
          <w:lang w:eastAsia="en-AU"/>
        </w:rPr>
        <w:t>recipients have improved financial self-reliance</w:t>
      </w:r>
      <w:r w:rsidRPr="004C1AC5">
        <w:rPr>
          <w:rFonts w:eastAsia="Times New Roman" w:cstheme="minorHAnsi"/>
          <w:color w:val="000000" w:themeColor="text1"/>
          <w:szCs w:val="22"/>
          <w:lang w:eastAsia="en-AU"/>
        </w:rPr>
        <w:t>.</w:t>
      </w:r>
    </w:p>
    <w:p w14:paraId="49E6F6BE" w14:textId="77777777" w:rsidR="00E71249" w:rsidRPr="004C1AC5" w:rsidRDefault="00E71249" w:rsidP="00577C1E">
      <w:pPr>
        <w:suppressAutoHyphens/>
        <w:spacing w:before="120" w:after="160"/>
        <w:rPr>
          <w:rFonts w:eastAsia="Times New Roman" w:cstheme="minorHAnsi"/>
          <w:color w:val="000000" w:themeColor="text1"/>
          <w:szCs w:val="22"/>
          <w:lang w:eastAsia="en-AU"/>
        </w:rPr>
      </w:pPr>
      <w:r w:rsidRPr="004C1AC5">
        <w:rPr>
          <w:rFonts w:eastAsia="Times New Roman" w:cstheme="minorHAnsi"/>
          <w:color w:val="000000" w:themeColor="text1"/>
          <w:szCs w:val="22"/>
          <w:lang w:eastAsia="en-AU"/>
        </w:rPr>
        <w:t xml:space="preserve">Targeting the proportion of recipients who are not receiving income support 12 months after exiting student payments aligns with movements in the unemployment rate and demonstrates the </w:t>
      </w:r>
      <w:r w:rsidRPr="004C1AC5">
        <w:rPr>
          <w:rFonts w:eastAsia="Times New Roman" w:cstheme="minorHAnsi"/>
          <w:b/>
          <w:color w:val="000000" w:themeColor="text1"/>
          <w:szCs w:val="22"/>
          <w:lang w:eastAsia="en-AU"/>
        </w:rPr>
        <w:t>effectiveness</w:t>
      </w:r>
      <w:r w:rsidRPr="004C1AC5">
        <w:rPr>
          <w:rFonts w:eastAsia="Times New Roman" w:cstheme="minorHAnsi"/>
          <w:color w:val="000000" w:themeColor="text1"/>
          <w:szCs w:val="22"/>
          <w:lang w:eastAsia="en-AU"/>
        </w:rPr>
        <w:t xml:space="preserve"> of the key activity by showing that those leaving the temporary payments are able to support themselves through employment.</w:t>
      </w:r>
    </w:p>
    <w:p w14:paraId="3C94AB2B" w14:textId="77777777" w:rsidR="00E71249" w:rsidRPr="004C1AC5" w:rsidRDefault="00E71249" w:rsidP="00FD4C88">
      <w:pPr>
        <w:pStyle w:val="CPCustom3"/>
        <w:rPr>
          <w:lang w:eastAsia="en-AU"/>
        </w:rPr>
      </w:pPr>
      <w:r w:rsidRPr="004C1AC5">
        <w:rPr>
          <w:lang w:eastAsia="en-AU"/>
        </w:rPr>
        <w:t>Methodology</w:t>
      </w:r>
    </w:p>
    <w:p w14:paraId="2E7769CA" w14:textId="77777777" w:rsidR="00E71249" w:rsidRPr="004C1AC5" w:rsidRDefault="00E71249" w:rsidP="00577C1E">
      <w:pPr>
        <w:spacing w:before="120" w:after="160" w:line="22" w:lineRule="atLeast"/>
        <w:rPr>
          <w:rFonts w:eastAsia="Times New Roman" w:cstheme="minorHAnsi"/>
          <w:szCs w:val="22"/>
          <w:lang w:eastAsia="en-AU"/>
        </w:rPr>
      </w:pPr>
      <w:r w:rsidRPr="004C1AC5">
        <w:rPr>
          <w:rFonts w:eastAsia="Times New Roman" w:cstheme="minorHAnsi"/>
          <w:szCs w:val="22"/>
          <w:lang w:eastAsia="en-AU"/>
        </w:rPr>
        <w:t>The number of recipients who exit student payments and have improved financial self-reliance (for example, by remaining in employment) is calculated by comparing the:</w:t>
      </w:r>
    </w:p>
    <w:p w14:paraId="362223B4" w14:textId="77777777" w:rsidR="00E71249" w:rsidRPr="004C1AC5" w:rsidRDefault="00E71249" w:rsidP="00577C1E">
      <w:pPr>
        <w:pStyle w:val="ListParagraph"/>
        <w:spacing w:before="120" w:after="160"/>
        <w:rPr>
          <w:lang w:eastAsia="en-AU"/>
        </w:rPr>
      </w:pPr>
      <w:r w:rsidRPr="004C1AC5">
        <w:rPr>
          <w:lang w:eastAsia="en-AU"/>
        </w:rPr>
        <w:t>percentage of people who are not receiving income support 12 months after exiting student payments</w:t>
      </w:r>
    </w:p>
    <w:p w14:paraId="56C08881" w14:textId="77777777" w:rsidR="00E71249" w:rsidRPr="004C1AC5" w:rsidRDefault="00E71249" w:rsidP="00577C1E">
      <w:pPr>
        <w:pStyle w:val="ListParagraph"/>
        <w:spacing w:before="120" w:after="160"/>
        <w:rPr>
          <w:lang w:eastAsia="en-AU"/>
        </w:rPr>
      </w:pPr>
      <w:r w:rsidRPr="004C1AC5">
        <w:rPr>
          <w:lang w:eastAsia="en-AU"/>
        </w:rPr>
        <w:t>the unemployment rate as measured by the ABS.</w:t>
      </w:r>
    </w:p>
    <w:p w14:paraId="3341AE15" w14:textId="77777777" w:rsidR="00E71249" w:rsidRPr="004C1AC5" w:rsidRDefault="00E71249" w:rsidP="00577C1E">
      <w:pPr>
        <w:spacing w:before="120" w:after="160" w:line="22" w:lineRule="atLeast"/>
        <w:rPr>
          <w:rFonts w:eastAsia="Times New Roman" w:cstheme="minorHAnsi"/>
          <w:szCs w:val="22"/>
          <w:lang w:eastAsia="en-AU"/>
        </w:rPr>
      </w:pPr>
      <w:r w:rsidRPr="004C1AC5">
        <w:rPr>
          <w:rFonts w:eastAsia="Times New Roman" w:cstheme="minorHAnsi"/>
          <w:szCs w:val="22"/>
          <w:lang w:eastAsia="en-AU"/>
        </w:rPr>
        <w:t xml:space="preserve">Student payment recipients include recipients of </w:t>
      </w:r>
      <w:proofErr w:type="spellStart"/>
      <w:r w:rsidRPr="004C1AC5">
        <w:rPr>
          <w:rFonts w:eastAsia="Times New Roman" w:cstheme="minorHAnsi"/>
          <w:szCs w:val="22"/>
          <w:lang w:eastAsia="en-AU"/>
        </w:rPr>
        <w:t>Austudy</w:t>
      </w:r>
      <w:proofErr w:type="spellEnd"/>
      <w:r w:rsidRPr="004C1AC5">
        <w:rPr>
          <w:rFonts w:eastAsia="Times New Roman" w:cstheme="minorHAnsi"/>
          <w:szCs w:val="22"/>
          <w:lang w:eastAsia="en-AU"/>
        </w:rPr>
        <w:t>, Youth Allowance (Student) and ABSTUDY over a 12-month calendar year, where the recipient has been on a student payment for more than 3 months.</w:t>
      </w:r>
    </w:p>
    <w:p w14:paraId="79C020B6" w14:textId="77777777" w:rsidR="00E71249" w:rsidRPr="004C1AC5" w:rsidRDefault="00E71249" w:rsidP="00FD4C88">
      <w:pPr>
        <w:pStyle w:val="CPCustom3"/>
        <w:rPr>
          <w:lang w:eastAsia="en-AU"/>
        </w:rPr>
      </w:pPr>
      <w:r w:rsidRPr="004C1AC5">
        <w:rPr>
          <w:lang w:eastAsia="en-AU"/>
        </w:rPr>
        <w:t>Data Categorisation</w:t>
      </w:r>
    </w:p>
    <w:tbl>
      <w:tblPr>
        <w:tblStyle w:val="Numericaltable11"/>
        <w:tblpPr w:leftFromText="180" w:rightFromText="180" w:vertAnchor="text" w:horzAnchor="margin" w:tblpY="11"/>
        <w:tblW w:w="10201" w:type="dxa"/>
        <w:tblInd w:w="0" w:type="dxa"/>
        <w:tblLook w:val="04A0" w:firstRow="1" w:lastRow="0" w:firstColumn="1" w:lastColumn="0" w:noHBand="0" w:noVBand="1"/>
        <w:tblCaption w:val="Table 20 - Categorisation of data source"/>
        <w:tblDescription w:val="Categorisation of data source"/>
      </w:tblPr>
      <w:tblGrid>
        <w:gridCol w:w="3823"/>
        <w:gridCol w:w="6378"/>
      </w:tblGrid>
      <w:tr w:rsidR="00E71249" w:rsidRPr="004C1AC5" w14:paraId="010C1EA7" w14:textId="77777777" w:rsidTr="0082537E">
        <w:trPr>
          <w:trHeight w:val="563"/>
          <w:tblHeader/>
        </w:trPr>
        <w:tc>
          <w:tcPr>
            <w:tcW w:w="3823" w:type="dxa"/>
            <w:shd w:val="clear" w:color="auto" w:fill="215868"/>
          </w:tcPr>
          <w:p w14:paraId="5AB3D216" w14:textId="77777777" w:rsidR="00E71249" w:rsidRPr="004C1AC5" w:rsidRDefault="00E71249" w:rsidP="00496219">
            <w:pPr>
              <w:suppressAutoHyphens/>
              <w:spacing w:before="120" w:after="120"/>
              <w:rPr>
                <w:rFonts w:cstheme="minorHAnsi"/>
                <w:b/>
                <w:bCs/>
                <w:color w:val="FFFFFF" w:themeColor="background1"/>
              </w:rPr>
            </w:pPr>
            <w:r w:rsidRPr="004C1AC5">
              <w:rPr>
                <w:rFonts w:cstheme="minorHAnsi"/>
                <w:b/>
                <w:bCs/>
                <w:color w:val="FFFFFF" w:themeColor="background1"/>
              </w:rPr>
              <w:t>Categorisation of data source</w:t>
            </w:r>
          </w:p>
        </w:tc>
        <w:tc>
          <w:tcPr>
            <w:tcW w:w="6378" w:type="dxa"/>
            <w:shd w:val="clear" w:color="auto" w:fill="215868"/>
          </w:tcPr>
          <w:p w14:paraId="3F8F8C74" w14:textId="77777777" w:rsidR="00E71249" w:rsidRPr="004C1AC5" w:rsidRDefault="00E71249" w:rsidP="00496219">
            <w:pPr>
              <w:suppressAutoHyphens/>
              <w:spacing w:before="120" w:after="120"/>
              <w:rPr>
                <w:rFonts w:cstheme="minorHAnsi"/>
                <w:b/>
                <w:bCs/>
                <w:color w:val="FFFFFF" w:themeColor="background1"/>
              </w:rPr>
            </w:pPr>
            <w:r w:rsidRPr="004C1AC5">
              <w:rPr>
                <w:rFonts w:cstheme="minorHAnsi"/>
                <w:b/>
                <w:bCs/>
                <w:color w:val="FFFFFF" w:themeColor="background1"/>
              </w:rPr>
              <w:t xml:space="preserve">Data source </w:t>
            </w:r>
          </w:p>
        </w:tc>
      </w:tr>
      <w:tr w:rsidR="00E71249" w:rsidRPr="004C1AC5" w14:paraId="7B8EB902" w14:textId="77777777" w:rsidTr="0082537E">
        <w:trPr>
          <w:trHeight w:val="563"/>
        </w:trPr>
        <w:tc>
          <w:tcPr>
            <w:tcW w:w="3823" w:type="dxa"/>
          </w:tcPr>
          <w:p w14:paraId="49009E58" w14:textId="3ACD3FEA" w:rsidR="00E71249" w:rsidRPr="004C1AC5" w:rsidRDefault="00E71249" w:rsidP="00496219">
            <w:pPr>
              <w:suppressAutoHyphens/>
              <w:spacing w:before="120" w:after="120"/>
              <w:rPr>
                <w:rFonts w:cstheme="minorHAnsi"/>
                <w:color w:val="000000" w:themeColor="text1"/>
              </w:rPr>
            </w:pPr>
            <w:r w:rsidRPr="004C1AC5">
              <w:rPr>
                <w:rFonts w:cstheme="minorHAnsi"/>
                <w:noProof/>
              </w:rPr>
              <w:drawing>
                <wp:inline distT="0" distB="0" distL="0" distR="0" wp14:anchorId="276E84E5" wp14:editId="55ED11C4">
                  <wp:extent cx="1205357" cy="351909"/>
                  <wp:effectExtent l="0" t="0" r="0" b="0"/>
                  <wp:docPr id="125769746" name="picture" descr="Second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975911" name="picture" descr="Secondary sour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5357" cy="351909"/>
                          </a:xfrm>
                          <a:prstGeom prst="rect">
                            <a:avLst/>
                          </a:prstGeom>
                        </pic:spPr>
                      </pic:pic>
                    </a:graphicData>
                  </a:graphic>
                </wp:inline>
              </w:drawing>
            </w:r>
            <w:r w:rsidR="007E4EC0">
              <w:rPr>
                <w:rFonts w:cstheme="minorHAnsi"/>
                <w:color w:val="000000" w:themeColor="text1"/>
              </w:rPr>
              <w:t xml:space="preserve"> </w:t>
            </w:r>
            <w:r w:rsidRPr="004C1AC5">
              <w:rPr>
                <w:rFonts w:cstheme="minorHAnsi"/>
                <w:noProof/>
              </w:rPr>
              <w:drawing>
                <wp:inline distT="0" distB="0" distL="0" distR="0" wp14:anchorId="02CF7E79" wp14:editId="6D339B81">
                  <wp:extent cx="886700" cy="346367"/>
                  <wp:effectExtent l="0" t="0" r="8890" b="0"/>
                  <wp:docPr id="543785850" name="picture" descr=" tier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75376" name="picture" descr=" tier 1&#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6700" cy="346367"/>
                          </a:xfrm>
                          <a:prstGeom prst="rect">
                            <a:avLst/>
                          </a:prstGeom>
                        </pic:spPr>
                      </pic:pic>
                    </a:graphicData>
                  </a:graphic>
                </wp:inline>
              </w:drawing>
            </w:r>
          </w:p>
        </w:tc>
        <w:tc>
          <w:tcPr>
            <w:tcW w:w="6378" w:type="dxa"/>
          </w:tcPr>
          <w:p w14:paraId="37C78038" w14:textId="77777777" w:rsidR="00E71249" w:rsidRPr="004C1AC5" w:rsidRDefault="00E71249" w:rsidP="00496219">
            <w:pPr>
              <w:suppressAutoHyphens/>
              <w:spacing w:before="120" w:after="120"/>
              <w:rPr>
                <w:rFonts w:cstheme="minorHAnsi"/>
                <w:color w:val="000000" w:themeColor="text1"/>
              </w:rPr>
            </w:pPr>
            <w:r w:rsidRPr="004C1AC5">
              <w:rPr>
                <w:rFonts w:cstheme="minorHAnsi"/>
                <w:color w:val="000000" w:themeColor="text1"/>
              </w:rPr>
              <w:t>Services Australia administrative data</w:t>
            </w:r>
          </w:p>
        </w:tc>
      </w:tr>
      <w:tr w:rsidR="00E71249" w:rsidRPr="004C1AC5" w14:paraId="55B9EC66" w14:textId="77777777" w:rsidTr="0082537E">
        <w:trPr>
          <w:trHeight w:val="557"/>
        </w:trPr>
        <w:tc>
          <w:tcPr>
            <w:tcW w:w="3823" w:type="dxa"/>
          </w:tcPr>
          <w:p w14:paraId="2D5C8BAC" w14:textId="7711121B" w:rsidR="00E71249" w:rsidRPr="004C1AC5" w:rsidRDefault="00E71249" w:rsidP="00496219">
            <w:pPr>
              <w:suppressAutoHyphens/>
              <w:spacing w:before="120" w:after="120"/>
              <w:rPr>
                <w:rFonts w:cstheme="minorHAnsi"/>
                <w:color w:val="000000" w:themeColor="text1"/>
              </w:rPr>
            </w:pPr>
            <w:r w:rsidRPr="004C1AC5">
              <w:rPr>
                <w:rFonts w:cstheme="minorHAnsi"/>
                <w:noProof/>
              </w:rPr>
              <w:drawing>
                <wp:inline distT="0" distB="0" distL="0" distR="0" wp14:anchorId="6FE1A2DE" wp14:editId="3E320AEC">
                  <wp:extent cx="1205357" cy="351909"/>
                  <wp:effectExtent l="0" t="0" r="0" b="0"/>
                  <wp:docPr id="857807021" name="picture" descr="second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525733" name="picture" descr="secondary sour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5357" cy="351909"/>
                          </a:xfrm>
                          <a:prstGeom prst="rect">
                            <a:avLst/>
                          </a:prstGeom>
                        </pic:spPr>
                      </pic:pic>
                    </a:graphicData>
                  </a:graphic>
                </wp:inline>
              </w:drawing>
            </w:r>
            <w:r w:rsidR="007E4EC0">
              <w:rPr>
                <w:rFonts w:cstheme="minorHAnsi"/>
                <w:color w:val="000000" w:themeColor="text1"/>
              </w:rPr>
              <w:t xml:space="preserve"> </w:t>
            </w:r>
            <w:r w:rsidRPr="004C1AC5">
              <w:rPr>
                <w:rFonts w:cstheme="minorHAnsi"/>
                <w:noProof/>
              </w:rPr>
              <w:drawing>
                <wp:inline distT="0" distB="0" distL="0" distR="0" wp14:anchorId="20D9C558" wp14:editId="5D7490FE">
                  <wp:extent cx="886700" cy="346367"/>
                  <wp:effectExtent l="0" t="0" r="8890" b="0"/>
                  <wp:docPr id="1109620153" name="picture" descr="tier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973652" name="picture" descr="tier 1&#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6700" cy="346367"/>
                          </a:xfrm>
                          <a:prstGeom prst="rect">
                            <a:avLst/>
                          </a:prstGeom>
                        </pic:spPr>
                      </pic:pic>
                    </a:graphicData>
                  </a:graphic>
                </wp:inline>
              </w:drawing>
            </w:r>
          </w:p>
        </w:tc>
        <w:tc>
          <w:tcPr>
            <w:tcW w:w="6378" w:type="dxa"/>
          </w:tcPr>
          <w:p w14:paraId="52670865" w14:textId="77777777" w:rsidR="00E71249" w:rsidRPr="004C1AC5" w:rsidRDefault="00E71249" w:rsidP="00496219">
            <w:pPr>
              <w:suppressAutoHyphens/>
              <w:spacing w:before="120" w:after="120"/>
              <w:rPr>
                <w:rFonts w:cstheme="minorHAnsi"/>
                <w:color w:val="000000" w:themeColor="text1"/>
              </w:rPr>
            </w:pPr>
            <w:r w:rsidRPr="004C1AC5">
              <w:rPr>
                <w:rFonts w:cstheme="minorHAnsi"/>
                <w:color w:val="000000" w:themeColor="text1"/>
              </w:rPr>
              <w:t xml:space="preserve">ABS, National Accounts – Labour Force Australia </w:t>
            </w:r>
          </w:p>
        </w:tc>
      </w:tr>
    </w:tbl>
    <w:p w14:paraId="58AED97F" w14:textId="77777777" w:rsidR="00E71249" w:rsidRPr="004C1AC5" w:rsidRDefault="00E71249" w:rsidP="00FD4C88">
      <w:pPr>
        <w:pStyle w:val="CPCustom3"/>
        <w:rPr>
          <w:lang w:eastAsia="en-AU"/>
        </w:rPr>
      </w:pPr>
      <w:r w:rsidRPr="004C1AC5">
        <w:rPr>
          <w:lang w:eastAsia="en-AU"/>
        </w:rPr>
        <w:t>Supporting Information</w:t>
      </w:r>
    </w:p>
    <w:p w14:paraId="46DAD22D" w14:textId="77777777" w:rsidR="00E71249" w:rsidRPr="004C1AC5" w:rsidRDefault="00E71249" w:rsidP="00577C1E">
      <w:pPr>
        <w:pStyle w:val="ListParagraph"/>
        <w:spacing w:before="120" w:after="160"/>
        <w:ind w:left="714" w:hanging="357"/>
        <w:rPr>
          <w:lang w:eastAsia="en-AU"/>
        </w:rPr>
      </w:pPr>
      <w:r w:rsidRPr="004C1AC5">
        <w:rPr>
          <w:lang w:eastAsia="en-AU"/>
        </w:rPr>
        <w:t>Administered outlays</w:t>
      </w:r>
    </w:p>
    <w:p w14:paraId="53BDD78C" w14:textId="77777777" w:rsidR="00E71249" w:rsidRPr="004C1AC5" w:rsidRDefault="00E71249" w:rsidP="00577C1E">
      <w:pPr>
        <w:pStyle w:val="ListParagraph"/>
        <w:spacing w:before="120" w:after="160"/>
        <w:ind w:left="714" w:hanging="357"/>
        <w:rPr>
          <w:lang w:eastAsia="en-AU"/>
        </w:rPr>
      </w:pPr>
      <w:r w:rsidRPr="004C1AC5">
        <w:rPr>
          <w:lang w:eastAsia="en-AU"/>
        </w:rPr>
        <w:t xml:space="preserve">Payment accuracy </w:t>
      </w:r>
    </w:p>
    <w:p w14:paraId="3502EF79" w14:textId="77777777" w:rsidR="00E71249" w:rsidRPr="004C1AC5" w:rsidRDefault="00E71249" w:rsidP="00577C1E">
      <w:pPr>
        <w:pStyle w:val="ListParagraph"/>
        <w:spacing w:before="120" w:after="160"/>
        <w:ind w:left="714" w:hanging="357"/>
        <w:rPr>
          <w:lang w:eastAsia="en-AU"/>
        </w:rPr>
      </w:pPr>
      <w:r w:rsidRPr="004C1AC5">
        <w:rPr>
          <w:lang w:eastAsia="en-AU"/>
        </w:rPr>
        <w:t>Payment recipients</w:t>
      </w:r>
    </w:p>
    <w:p w14:paraId="4CA9D816" w14:textId="77777777" w:rsidR="00E71249" w:rsidRDefault="00E71249" w:rsidP="00E71249">
      <w:pPr>
        <w:spacing w:after="240"/>
      </w:pPr>
      <w:r>
        <w:br w:type="page"/>
      </w:r>
    </w:p>
    <w:p w14:paraId="2AD3A9BF" w14:textId="36B91B26" w:rsidR="00E71249" w:rsidRPr="00DD6FA0" w:rsidRDefault="00E71249" w:rsidP="00DD6FA0">
      <w:pPr>
        <w:pStyle w:val="Heading3"/>
        <w:shd w:val="clear" w:color="auto" w:fill="005A70" w:themeFill="accent1"/>
        <w:rPr>
          <w:rFonts w:asciiTheme="minorHAnsi" w:hAnsiTheme="minorHAnsi" w:cstheme="minorHAnsi"/>
          <w:b/>
          <w:bCs w:val="0"/>
          <w:color w:val="FFFFFF" w:themeColor="background1"/>
          <w:sz w:val="22"/>
          <w:szCs w:val="22"/>
          <w:lang w:eastAsia="en-AU"/>
        </w:rPr>
      </w:pPr>
      <w:bookmarkStart w:id="97" w:name="_Toc201309101"/>
      <w:bookmarkStart w:id="98" w:name="_Toc201310797"/>
      <w:bookmarkStart w:id="99" w:name="_Toc238653297"/>
      <w:r w:rsidRPr="00DD6FA0">
        <w:rPr>
          <w:rFonts w:asciiTheme="minorHAnsi" w:hAnsiTheme="minorHAnsi" w:cstheme="minorHAnsi"/>
          <w:b/>
          <w:bCs w:val="0"/>
          <w:color w:val="FFFFFF" w:themeColor="background1"/>
          <w:sz w:val="22"/>
          <w:szCs w:val="22"/>
          <w:lang w:eastAsia="en-AU"/>
        </w:rPr>
        <w:lastRenderedPageBreak/>
        <w:t>P</w:t>
      </w:r>
      <w:r w:rsidR="009A0C00" w:rsidRPr="00DD6FA0">
        <w:rPr>
          <w:rFonts w:asciiTheme="minorHAnsi" w:hAnsiTheme="minorHAnsi" w:cstheme="minorHAnsi"/>
          <w:b/>
          <w:bCs w:val="0"/>
          <w:color w:val="FFFFFF" w:themeColor="background1"/>
          <w:sz w:val="22"/>
          <w:szCs w:val="22"/>
          <w:lang w:eastAsia="en-AU"/>
        </w:rPr>
        <w:t>rogram</w:t>
      </w:r>
      <w:r w:rsidRPr="00DD6FA0">
        <w:rPr>
          <w:rFonts w:asciiTheme="minorHAnsi" w:hAnsiTheme="minorHAnsi" w:cstheme="minorHAnsi"/>
          <w:b/>
          <w:bCs w:val="0"/>
          <w:color w:val="FFFFFF" w:themeColor="background1"/>
          <w:sz w:val="22"/>
          <w:szCs w:val="22"/>
          <w:lang w:eastAsia="en-AU"/>
        </w:rPr>
        <w:t xml:space="preserve"> 1.8: </w:t>
      </w:r>
      <w:bookmarkEnd w:id="97"/>
      <w:bookmarkEnd w:id="98"/>
      <w:r w:rsidR="00FD4C88" w:rsidRPr="00DD6FA0">
        <w:rPr>
          <w:rFonts w:asciiTheme="minorHAnsi" w:hAnsiTheme="minorHAnsi" w:cstheme="minorHAnsi"/>
          <w:b/>
          <w:bCs w:val="0"/>
          <w:color w:val="FFFFFF" w:themeColor="background1"/>
          <w:sz w:val="22"/>
          <w:szCs w:val="22"/>
          <w:lang w:eastAsia="en-AU"/>
        </w:rPr>
        <w:t>Disability Employment Services</w:t>
      </w:r>
      <w:bookmarkEnd w:id="99"/>
    </w:p>
    <w:p w14:paraId="0D516E97" w14:textId="77777777" w:rsidR="00D57887" w:rsidRDefault="00D57887" w:rsidP="00577C1E">
      <w:pPr>
        <w:shd w:val="clear" w:color="auto" w:fill="005A70"/>
        <w:spacing w:before="120" w:after="160" w:line="256" w:lineRule="auto"/>
        <w:rPr>
          <w:rFonts w:cstheme="minorHAnsi"/>
          <w:color w:val="FFFFFF"/>
          <w:kern w:val="2"/>
          <w:szCs w:val="22"/>
          <w:lang w:eastAsia="en-AU"/>
          <w14:ligatures w14:val="standardContextual"/>
        </w:rPr>
      </w:pPr>
      <w:r w:rsidRPr="00D57887">
        <w:rPr>
          <w:rFonts w:cstheme="minorHAnsi"/>
          <w:color w:val="FFFFFF"/>
          <w:kern w:val="2"/>
          <w:szCs w:val="22"/>
          <w:lang w:eastAsia="en-AU"/>
          <w14:ligatures w14:val="standardContextual"/>
        </w:rPr>
        <w:t>To support people with disabilities, injury or health conditions to prepare for, find and maintain work.</w:t>
      </w:r>
    </w:p>
    <w:p w14:paraId="1A287EBB" w14:textId="29E8CCE3" w:rsidR="00E71249" w:rsidRPr="002A5B00" w:rsidRDefault="00E71249" w:rsidP="002A5B00">
      <w:pPr>
        <w:pStyle w:val="Heading4"/>
        <w:shd w:val="clear" w:color="auto" w:fill="B1E4E3" w:themeFill="accent3"/>
        <w:spacing w:before="60" w:after="60"/>
        <w:rPr>
          <w:color w:val="auto"/>
          <w:sz w:val="22"/>
          <w:szCs w:val="22"/>
        </w:rPr>
      </w:pPr>
      <w:r w:rsidRPr="002A5B00">
        <w:rPr>
          <w:color w:val="auto"/>
          <w:sz w:val="22"/>
          <w:szCs w:val="22"/>
        </w:rPr>
        <w:t>Key Activity 1.8.1 — Inclusive Employment Australia</w:t>
      </w:r>
    </w:p>
    <w:p w14:paraId="1E928901" w14:textId="77777777" w:rsidR="00E71249" w:rsidRPr="0050645D" w:rsidRDefault="00E71249" w:rsidP="00577C1E">
      <w:pPr>
        <w:spacing w:before="120" w:after="160" w:line="240" w:lineRule="auto"/>
        <w:rPr>
          <w:rFonts w:cstheme="minorHAnsi"/>
          <w:szCs w:val="22"/>
          <w:lang w:eastAsia="en-GB"/>
        </w:rPr>
      </w:pPr>
      <w:r w:rsidRPr="0050645D">
        <w:rPr>
          <w:rFonts w:cstheme="minorHAnsi"/>
          <w:szCs w:val="22"/>
          <w:lang w:eastAsia="en-GB"/>
        </w:rPr>
        <w:t>Inclusive Employment Australia is a key activity that supports individuals with disability, injury or health conditions to prepare for, find and maintain work and grow their career. It replaced the Disability Employment Services Program on 1 November 2025.</w:t>
      </w:r>
    </w:p>
    <w:p w14:paraId="769EA042" w14:textId="77777777" w:rsidR="00E71249" w:rsidRPr="0050645D" w:rsidRDefault="00E71249" w:rsidP="00577C1E">
      <w:pPr>
        <w:spacing w:before="120" w:after="160" w:line="240" w:lineRule="auto"/>
        <w:rPr>
          <w:rFonts w:cstheme="minorHAnsi"/>
          <w:szCs w:val="22"/>
          <w:lang w:eastAsia="en-GB"/>
        </w:rPr>
      </w:pPr>
      <w:r w:rsidRPr="0050645D">
        <w:rPr>
          <w:rFonts w:cstheme="minorHAnsi"/>
          <w:szCs w:val="22"/>
          <w:lang w:eastAsia="en-GB"/>
        </w:rPr>
        <w:t>Inclusive Employment Australia is delivered through a network of contracted providers, including a mix of large, medium, and small for-profit and not-for-profit organisations. These providers have experience in supporting people with disability and deliver tailored assistance to address both vocational and non-vocational barriers to employment. They help participants build skills, prepare for work and secure suitable job opportunities.</w:t>
      </w:r>
    </w:p>
    <w:p w14:paraId="3E770D52" w14:textId="77777777" w:rsidR="00E71249" w:rsidRPr="0050645D" w:rsidRDefault="00E71249" w:rsidP="00577C1E">
      <w:pPr>
        <w:spacing w:before="120" w:after="160" w:line="240" w:lineRule="auto"/>
        <w:rPr>
          <w:rFonts w:cstheme="minorHAnsi"/>
          <w:szCs w:val="22"/>
          <w:lang w:eastAsia="en-GB"/>
        </w:rPr>
      </w:pPr>
      <w:r w:rsidRPr="0050645D">
        <w:rPr>
          <w:rFonts w:cstheme="minorHAnsi"/>
          <w:szCs w:val="22"/>
          <w:lang w:eastAsia="en-GB"/>
        </w:rPr>
        <w:t>Once a participant gains employment, their Inclusive Employment Australia provider continues to support both the individual and their employer to ensure the placement is successful and sustainable. This support and available for as long as it is needed.</w:t>
      </w:r>
    </w:p>
    <w:p w14:paraId="7846DAAD" w14:textId="77777777" w:rsidR="00E71249" w:rsidRPr="0050645D" w:rsidRDefault="00E71249" w:rsidP="00577C1E">
      <w:pPr>
        <w:spacing w:before="120" w:after="160" w:line="240" w:lineRule="auto"/>
        <w:rPr>
          <w:rFonts w:cstheme="minorHAnsi"/>
          <w:szCs w:val="22"/>
          <w:lang w:eastAsia="en-GB"/>
        </w:rPr>
      </w:pPr>
      <w:r w:rsidRPr="0050645D">
        <w:rPr>
          <w:rFonts w:cstheme="minorHAnsi"/>
          <w:szCs w:val="22"/>
          <w:lang w:eastAsia="en-GB"/>
        </w:rPr>
        <w:t xml:space="preserve">Inclusive Employment Australia providers also play an important role in supporting employers. They offer advice on inclusive workplace practices, assist with recruitment, and help employers build supportive environments for employees with disability. In some cases, providers can offer a wage subsidy to help employers assess a participant’s suitability for a role. They can also assist employers to access funding for workplace adjustments and connect them with </w:t>
      </w:r>
      <w:proofErr w:type="spellStart"/>
      <w:r w:rsidRPr="0050645D">
        <w:rPr>
          <w:rFonts w:cstheme="minorHAnsi"/>
          <w:szCs w:val="22"/>
          <w:lang w:eastAsia="en-GB"/>
        </w:rPr>
        <w:t>JobAccess</w:t>
      </w:r>
      <w:proofErr w:type="spellEnd"/>
      <w:r w:rsidRPr="0050645D">
        <w:rPr>
          <w:rFonts w:cstheme="minorHAnsi"/>
          <w:szCs w:val="22"/>
          <w:lang w:eastAsia="en-GB"/>
        </w:rPr>
        <w:t xml:space="preserve">. </w:t>
      </w:r>
      <w:proofErr w:type="spellStart"/>
      <w:r w:rsidRPr="0050645D">
        <w:rPr>
          <w:rFonts w:cstheme="minorHAnsi"/>
          <w:szCs w:val="22"/>
          <w:lang w:eastAsia="en-GB"/>
        </w:rPr>
        <w:t>JobAccess</w:t>
      </w:r>
      <w:proofErr w:type="spellEnd"/>
      <w:r w:rsidRPr="0050645D">
        <w:rPr>
          <w:rFonts w:cstheme="minorHAnsi"/>
          <w:szCs w:val="22"/>
          <w:lang w:eastAsia="en-GB"/>
        </w:rPr>
        <w:t xml:space="preserve"> is an Australian Government funded program delivered by industry professionals, providing free, expert advice and support to help remove barriers to employing people with disability.</w:t>
      </w:r>
    </w:p>
    <w:p w14:paraId="51402186" w14:textId="77777777" w:rsidR="00E71249" w:rsidRPr="0050645D" w:rsidRDefault="00E71249" w:rsidP="00577C1E">
      <w:pPr>
        <w:spacing w:before="120" w:after="160" w:line="240" w:lineRule="auto"/>
        <w:rPr>
          <w:rFonts w:cstheme="minorHAnsi"/>
          <w:szCs w:val="22"/>
          <w:lang w:eastAsia="en-GB"/>
        </w:rPr>
      </w:pPr>
      <w:r w:rsidRPr="0050645D">
        <w:rPr>
          <w:rFonts w:cstheme="minorHAnsi"/>
          <w:szCs w:val="22"/>
          <w:lang w:eastAsia="en-GB"/>
        </w:rPr>
        <w:t>To support the introduction of Inclusive Employment Australia, a new provider performance framework has been developed. The new framework places a strong emphasis on early intervention, collaboration and accountability, with a clear focus on participant experience and achieving sustainable employment outcomes.</w:t>
      </w:r>
    </w:p>
    <w:p w14:paraId="2452E321" w14:textId="77777777" w:rsidR="00E71249" w:rsidRDefault="00E71249" w:rsidP="00577C1E">
      <w:pPr>
        <w:suppressAutoHyphens/>
        <w:spacing w:before="120" w:after="160" w:line="240" w:lineRule="auto"/>
        <w:contextualSpacing/>
        <w:rPr>
          <w:rFonts w:eastAsia="Times New Roman" w:cstheme="minorHAnsi"/>
          <w:color w:val="000000"/>
          <w:kern w:val="2"/>
          <w:szCs w:val="22"/>
          <w:lang w:eastAsia="en-AU"/>
          <w14:ligatures w14:val="standardContextual"/>
        </w:rPr>
      </w:pPr>
      <w:r w:rsidRPr="0050645D">
        <w:rPr>
          <w:rFonts w:cstheme="minorHAnsi"/>
          <w:szCs w:val="22"/>
          <w:lang w:eastAsia="en-GB"/>
        </w:rPr>
        <w:t>The Centre for Inclusive Employment (the Centre), formerly known as the Disability Employment Centre of Excellence, further supports the program by providing best-practice, evidence-based information to employment service providers. The Centre commenced on 7 March 2025, with its first suite of resources and online hub launched in November 2025.</w:t>
      </w:r>
      <w:bookmarkStart w:id="100" w:name="_Toc207287361"/>
      <w:bookmarkStart w:id="101" w:name="_Toc229562953"/>
    </w:p>
    <w:p w14:paraId="1AE02D7A" w14:textId="77777777" w:rsidR="00E71249" w:rsidRDefault="00E71249" w:rsidP="00E71249">
      <w:pPr>
        <w:suppressAutoHyphens/>
        <w:spacing w:before="120" w:after="120" w:line="240" w:lineRule="auto"/>
        <w:contextualSpacing/>
        <w:rPr>
          <w:rFonts w:eastAsia="Times New Roman" w:cstheme="minorHAnsi"/>
          <w:color w:val="000000"/>
          <w:kern w:val="2"/>
          <w:szCs w:val="22"/>
          <w:lang w:eastAsia="en-AU"/>
          <w14:ligatures w14:val="standardContextual"/>
        </w:rPr>
      </w:pPr>
    </w:p>
    <w:p w14:paraId="253D558C" w14:textId="573CA80F" w:rsidR="00E71249" w:rsidRPr="00FD4C88" w:rsidRDefault="00E71249" w:rsidP="00FD4C88">
      <w:pPr>
        <w:pStyle w:val="Heading4"/>
        <w:rPr>
          <w:sz w:val="22"/>
          <w:szCs w:val="22"/>
          <w:lang w:eastAsia="en-AU"/>
        </w:rPr>
      </w:pPr>
      <w:r w:rsidRPr="00FD4C88">
        <w:rPr>
          <w:sz w:val="22"/>
          <w:szCs w:val="22"/>
          <w:lang w:eastAsia="en-AU"/>
        </w:rPr>
        <w:t>Performance Measure</w:t>
      </w:r>
      <w:bookmarkEnd w:id="100"/>
      <w:bookmarkEnd w:id="101"/>
    </w:p>
    <w:p w14:paraId="3D07A67D" w14:textId="77777777" w:rsidR="00E71249" w:rsidRPr="0050645D" w:rsidRDefault="00E71249" w:rsidP="00E71249">
      <w:pPr>
        <w:suppressAutoHyphens/>
        <w:spacing w:before="120" w:after="120"/>
        <w:rPr>
          <w:rFonts w:eastAsia="Times New Roman" w:cstheme="minorHAnsi"/>
          <w:kern w:val="2"/>
          <w:szCs w:val="22"/>
          <w:lang w:eastAsia="en-AU"/>
          <w14:ligatures w14:val="standardContextual"/>
        </w:rPr>
      </w:pPr>
      <w:r w:rsidRPr="0050645D">
        <w:rPr>
          <w:rFonts w:eastAsia="Times New Roman" w:cstheme="minorHAnsi"/>
          <w:kern w:val="2"/>
          <w:szCs w:val="22"/>
          <w:lang w:eastAsia="en-AU"/>
          <w14:ligatures w14:val="standardContextual"/>
        </w:rPr>
        <w:t xml:space="preserve">1.8.1-1 - </w:t>
      </w:r>
      <w:r w:rsidRPr="0050645D">
        <w:rPr>
          <w:rFonts w:cstheme="minorHAnsi"/>
          <w:szCs w:val="22"/>
          <w:lang w:eastAsia="en-AU"/>
        </w:rPr>
        <w:t>Extent to which people with disability are supported to find and maintain employment through Inclusive Employment Australia</w:t>
      </w:r>
      <w:r>
        <w:rPr>
          <w:rFonts w:cstheme="minorHAnsi"/>
          <w:szCs w:val="22"/>
          <w:lang w:eastAsia="en-AU"/>
        </w:rPr>
        <w:t>.</w:t>
      </w:r>
    </w:p>
    <w:tbl>
      <w:tblPr>
        <w:tblStyle w:val="TableGrid392"/>
        <w:tblW w:w="4976" w:type="pct"/>
        <w:jc w:val="center"/>
        <w:tblLook w:val="04A0" w:firstRow="1" w:lastRow="0" w:firstColumn="1" w:lastColumn="0" w:noHBand="0" w:noVBand="1"/>
        <w:tblCaption w:val="Table 21 - Extent to which people with disability are supported to find and maintain employment through Disability Employment Services*. "/>
        <w:tblDescription w:val="Target for the extent to which people with disability are supported to find and maintain employment through Disability Employment Services*. "/>
      </w:tblPr>
      <w:tblGrid>
        <w:gridCol w:w="3901"/>
        <w:gridCol w:w="1562"/>
        <w:gridCol w:w="1562"/>
        <w:gridCol w:w="1562"/>
        <w:gridCol w:w="1558"/>
      </w:tblGrid>
      <w:tr w:rsidR="00E71249" w:rsidRPr="0050645D" w14:paraId="55BFD75F" w14:textId="77777777" w:rsidTr="00496219">
        <w:trPr>
          <w:cantSplit/>
          <w:trHeight w:val="356"/>
          <w:tblHeader/>
          <w:jc w:val="center"/>
        </w:trPr>
        <w:tc>
          <w:tcPr>
            <w:tcW w:w="1922" w:type="pct"/>
            <w:tcBorders>
              <w:top w:val="single" w:sz="4" w:space="0" w:color="auto"/>
              <w:bottom w:val="single" w:sz="4" w:space="0" w:color="auto"/>
              <w:right w:val="single" w:sz="6" w:space="0" w:color="auto"/>
            </w:tcBorders>
            <w:shd w:val="clear" w:color="auto" w:fill="D9D9D6"/>
            <w:vAlign w:val="center"/>
          </w:tcPr>
          <w:p w14:paraId="698ADFF3" w14:textId="77777777" w:rsidR="00E71249" w:rsidRPr="0050645D" w:rsidRDefault="00E71249" w:rsidP="00496219">
            <w:pPr>
              <w:spacing w:before="120" w:after="60" w:line="252" w:lineRule="auto"/>
              <w:rPr>
                <w:rFonts w:asciiTheme="minorHAnsi" w:hAnsiTheme="minorHAnsi" w:cstheme="minorHAnsi"/>
                <w:szCs w:val="22"/>
              </w:rPr>
            </w:pPr>
            <w:r w:rsidRPr="0050645D">
              <w:rPr>
                <w:rFonts w:asciiTheme="minorHAnsi" w:hAnsiTheme="minorHAnsi" w:cstheme="minorHAnsi"/>
                <w:b/>
                <w:bCs/>
                <w:szCs w:val="22"/>
              </w:rPr>
              <w:t>Target</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tcPr>
          <w:p w14:paraId="0FBE659E" w14:textId="77777777" w:rsidR="00E71249" w:rsidRPr="0050645D" w:rsidRDefault="00E71249" w:rsidP="00496219">
            <w:pPr>
              <w:spacing w:before="120" w:after="60" w:line="252" w:lineRule="auto"/>
              <w:rPr>
                <w:rFonts w:asciiTheme="minorHAnsi" w:hAnsiTheme="minorHAnsi" w:cstheme="minorHAnsi"/>
                <w:szCs w:val="22"/>
              </w:rPr>
            </w:pPr>
            <w:r w:rsidRPr="0050645D">
              <w:rPr>
                <w:rFonts w:asciiTheme="minorHAnsi" w:hAnsiTheme="minorHAnsi" w:cstheme="minorHAnsi"/>
                <w:b/>
                <w:szCs w:val="22"/>
              </w:rPr>
              <w:t>2026–27</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tcPr>
          <w:p w14:paraId="164D06F0" w14:textId="77777777" w:rsidR="00E71249" w:rsidRPr="0050645D" w:rsidRDefault="00E71249" w:rsidP="00496219">
            <w:pPr>
              <w:spacing w:before="120" w:after="60" w:line="252" w:lineRule="auto"/>
              <w:rPr>
                <w:rFonts w:asciiTheme="minorHAnsi" w:hAnsiTheme="minorHAnsi" w:cstheme="minorHAnsi"/>
                <w:b/>
                <w:szCs w:val="22"/>
              </w:rPr>
            </w:pPr>
            <w:r w:rsidRPr="0050645D">
              <w:rPr>
                <w:rFonts w:asciiTheme="minorHAnsi" w:hAnsiTheme="minorHAnsi" w:cstheme="minorHAnsi"/>
                <w:b/>
                <w:szCs w:val="22"/>
              </w:rPr>
              <w:t>2027–28</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tcPr>
          <w:p w14:paraId="240FE2EE" w14:textId="77777777" w:rsidR="00E71249" w:rsidRPr="0050645D" w:rsidRDefault="00E71249" w:rsidP="00496219">
            <w:pPr>
              <w:spacing w:before="120" w:after="60" w:line="252" w:lineRule="auto"/>
              <w:rPr>
                <w:rFonts w:asciiTheme="minorHAnsi" w:hAnsiTheme="minorHAnsi" w:cstheme="minorHAnsi"/>
                <w:b/>
                <w:szCs w:val="22"/>
              </w:rPr>
            </w:pPr>
            <w:r w:rsidRPr="0050645D">
              <w:rPr>
                <w:rFonts w:asciiTheme="minorHAnsi" w:hAnsiTheme="minorHAnsi" w:cstheme="minorHAnsi"/>
                <w:b/>
                <w:szCs w:val="22"/>
              </w:rPr>
              <w:t>2028–29</w:t>
            </w:r>
          </w:p>
        </w:tc>
        <w:tc>
          <w:tcPr>
            <w:tcW w:w="769" w:type="pct"/>
            <w:tcBorders>
              <w:top w:val="single" w:sz="4" w:space="0" w:color="auto"/>
              <w:left w:val="single" w:sz="6" w:space="0" w:color="auto"/>
              <w:bottom w:val="single" w:sz="4" w:space="0" w:color="auto"/>
              <w:right w:val="single" w:sz="4" w:space="0" w:color="auto"/>
            </w:tcBorders>
            <w:shd w:val="clear" w:color="auto" w:fill="D9D9D6"/>
            <w:vAlign w:val="center"/>
          </w:tcPr>
          <w:p w14:paraId="108191B7" w14:textId="77777777" w:rsidR="00E71249" w:rsidRPr="0050645D" w:rsidRDefault="00E71249" w:rsidP="00496219">
            <w:pPr>
              <w:spacing w:before="120" w:after="60" w:line="252" w:lineRule="auto"/>
              <w:rPr>
                <w:rFonts w:asciiTheme="minorHAnsi" w:hAnsiTheme="minorHAnsi" w:cstheme="minorHAnsi"/>
                <w:b/>
                <w:szCs w:val="22"/>
              </w:rPr>
            </w:pPr>
            <w:r w:rsidRPr="0050645D">
              <w:rPr>
                <w:rFonts w:asciiTheme="minorHAnsi" w:hAnsiTheme="minorHAnsi" w:cstheme="minorHAnsi"/>
                <w:b/>
                <w:szCs w:val="22"/>
              </w:rPr>
              <w:t>2029–30</w:t>
            </w:r>
          </w:p>
        </w:tc>
      </w:tr>
      <w:tr w:rsidR="00E71249" w:rsidRPr="0050645D" w14:paraId="6DA271B7" w14:textId="77777777" w:rsidTr="00496219">
        <w:trPr>
          <w:cantSplit/>
          <w:trHeight w:val="356"/>
          <w:jc w:val="center"/>
        </w:trPr>
        <w:tc>
          <w:tcPr>
            <w:tcW w:w="1922" w:type="pct"/>
            <w:tcBorders>
              <w:top w:val="single" w:sz="4" w:space="0" w:color="auto"/>
              <w:bottom w:val="single" w:sz="4" w:space="0" w:color="auto"/>
            </w:tcBorders>
            <w:vAlign w:val="center"/>
          </w:tcPr>
          <w:p w14:paraId="3BB632B3" w14:textId="3E06A91B" w:rsidR="00E71249" w:rsidRPr="0050645D" w:rsidRDefault="0061319D" w:rsidP="00496219">
            <w:pPr>
              <w:spacing w:before="120" w:after="60" w:line="252" w:lineRule="auto"/>
              <w:rPr>
                <w:rFonts w:asciiTheme="minorHAnsi" w:hAnsiTheme="minorHAnsi" w:cstheme="minorHAnsi"/>
                <w:szCs w:val="22"/>
              </w:rPr>
            </w:pPr>
            <w:r>
              <w:rPr>
                <w:rFonts w:cstheme="minorHAnsi"/>
                <w:b/>
                <w:bCs/>
                <w:noProof/>
                <w:kern w:val="2"/>
                <w:szCs w:val="22"/>
              </w:rPr>
              <mc:AlternateContent>
                <mc:Choice Requires="wps">
                  <w:drawing>
                    <wp:anchor distT="0" distB="0" distL="114300" distR="114300" simplePos="0" relativeHeight="251666440" behindDoc="0" locked="0" layoutInCell="1" allowOverlap="1" wp14:anchorId="46D23765" wp14:editId="35C768A7">
                      <wp:simplePos x="0" y="0"/>
                      <wp:positionH relativeFrom="column">
                        <wp:posOffset>-38478</wp:posOffset>
                      </wp:positionH>
                      <wp:positionV relativeFrom="paragraph">
                        <wp:posOffset>127474</wp:posOffset>
                      </wp:positionV>
                      <wp:extent cx="45719" cy="116006"/>
                      <wp:effectExtent l="0" t="0" r="12065" b="17780"/>
                      <wp:wrapNone/>
                      <wp:docPr id="1957074384" name="Diamond 9" descr="The diamond symbol represents Performance measures that may be impacted by external factors."/>
                      <wp:cNvGraphicFramePr/>
                      <a:graphic xmlns:a="http://schemas.openxmlformats.org/drawingml/2006/main">
                        <a:graphicData uri="http://schemas.microsoft.com/office/word/2010/wordprocessingShape">
                          <wps:wsp>
                            <wps:cNvSpPr/>
                            <wps:spPr>
                              <a:xfrm>
                                <a:off x="0" y="0"/>
                                <a:ext cx="45719" cy="116006"/>
                              </a:xfrm>
                              <a:prstGeom prst="diamond">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B463E" id="Diamond 9" o:spid="_x0000_s1026" type="#_x0000_t4" alt="The diamond symbol represents Performance measures that may be impacted by external factors." style="position:absolute;margin-left:-3.05pt;margin-top:10.05pt;width:3.6pt;height:9.15pt;z-index:251666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" fillcolor="black [3213]" strokecolor="#000d10 [484]" strokeweight=".73403mm"/>
                  </w:pict>
                </mc:Fallback>
              </mc:AlternateContent>
            </w:r>
            <w:r>
              <w:rPr>
                <w:rFonts w:asciiTheme="minorHAnsi" w:hAnsiTheme="minorHAnsi" w:cstheme="minorHAnsi"/>
                <w:b/>
                <w:bCs/>
                <w:kern w:val="2"/>
                <w:szCs w:val="22"/>
                <w14:ligatures w14:val="standardContextual"/>
              </w:rPr>
              <w:t xml:space="preserve"> </w:t>
            </w:r>
            <w:r w:rsidR="00E71249" w:rsidRPr="0050645D">
              <w:rPr>
                <w:rFonts w:asciiTheme="minorHAnsi" w:hAnsiTheme="minorHAnsi" w:cstheme="minorHAnsi"/>
                <w:b/>
                <w:bCs/>
                <w:kern w:val="2"/>
                <w:szCs w:val="22"/>
                <w14:ligatures w14:val="standardContextual"/>
              </w:rPr>
              <w:t>1.8.1 -1A Employment Placements</w:t>
            </w:r>
            <w:r w:rsidR="00E71249" w:rsidRPr="0050645D">
              <w:rPr>
                <w:rFonts w:asciiTheme="minorHAnsi" w:hAnsiTheme="minorHAnsi" w:cstheme="minorHAnsi"/>
                <w:kern w:val="2"/>
                <w:szCs w:val="22"/>
                <w14:ligatures w14:val="standardContextual"/>
              </w:rPr>
              <w:t>:</w:t>
            </w:r>
            <w:r w:rsidR="00E71249" w:rsidRPr="0050645D">
              <w:rPr>
                <w:rFonts w:asciiTheme="minorHAnsi" w:hAnsiTheme="minorHAnsi" w:cstheme="minorHAnsi"/>
                <w:szCs w:val="22"/>
              </w:rPr>
              <w:t xml:space="preserve"> </w:t>
            </w:r>
            <w:r w:rsidR="00E71249" w:rsidRPr="0050645D">
              <w:rPr>
                <w:rFonts w:asciiTheme="minorHAnsi" w:hAnsiTheme="minorHAnsi" w:cstheme="minorHAnsi"/>
                <w:kern w:val="2"/>
                <w:szCs w:val="22"/>
                <w14:ligatures w14:val="standardContextual"/>
              </w:rPr>
              <w:t>The percentage of participants placed in a job for at least 28 days.</w:t>
            </w:r>
          </w:p>
        </w:tc>
        <w:tc>
          <w:tcPr>
            <w:tcW w:w="770" w:type="pct"/>
            <w:tcBorders>
              <w:top w:val="single" w:sz="4" w:space="0" w:color="auto"/>
              <w:bottom w:val="single" w:sz="4" w:space="0" w:color="auto"/>
            </w:tcBorders>
          </w:tcPr>
          <w:p w14:paraId="57C3D90A" w14:textId="77777777" w:rsidR="00E71249" w:rsidRPr="0050645D" w:rsidRDefault="00E71249" w:rsidP="00496219">
            <w:pPr>
              <w:spacing w:before="120" w:after="60" w:line="252" w:lineRule="auto"/>
              <w:rPr>
                <w:rFonts w:asciiTheme="minorHAnsi" w:hAnsiTheme="minorHAnsi" w:cstheme="minorHAnsi"/>
                <w:szCs w:val="22"/>
              </w:rPr>
            </w:pPr>
            <w:r w:rsidRPr="0050645D">
              <w:rPr>
                <w:rFonts w:asciiTheme="minorHAnsi" w:hAnsiTheme="minorHAnsi" w:cstheme="minorHAnsi"/>
                <w:kern w:val="2"/>
                <w:szCs w:val="22"/>
                <w14:ligatures w14:val="standardContextual"/>
              </w:rPr>
              <w:t>20%</w:t>
            </w:r>
          </w:p>
        </w:tc>
        <w:tc>
          <w:tcPr>
            <w:tcW w:w="770" w:type="pct"/>
            <w:tcBorders>
              <w:top w:val="single" w:sz="4" w:space="0" w:color="auto"/>
              <w:bottom w:val="single" w:sz="4" w:space="0" w:color="auto"/>
            </w:tcBorders>
          </w:tcPr>
          <w:p w14:paraId="0F6A3093" w14:textId="77777777" w:rsidR="00E71249" w:rsidRPr="0050645D" w:rsidRDefault="00E71249" w:rsidP="00496219">
            <w:pPr>
              <w:spacing w:before="120" w:after="60" w:line="252" w:lineRule="auto"/>
              <w:rPr>
                <w:rFonts w:asciiTheme="minorHAnsi" w:hAnsiTheme="minorHAnsi" w:cstheme="minorHAnsi"/>
                <w:szCs w:val="22"/>
              </w:rPr>
            </w:pPr>
            <w:r w:rsidRPr="0050645D">
              <w:rPr>
                <w:rFonts w:asciiTheme="minorHAnsi" w:hAnsiTheme="minorHAnsi" w:cstheme="minorHAnsi"/>
                <w:kern w:val="2"/>
                <w:szCs w:val="22"/>
                <w14:ligatures w14:val="standardContextual"/>
              </w:rPr>
              <w:t>20%</w:t>
            </w:r>
          </w:p>
        </w:tc>
        <w:tc>
          <w:tcPr>
            <w:tcW w:w="770" w:type="pct"/>
            <w:tcBorders>
              <w:top w:val="single" w:sz="4" w:space="0" w:color="auto"/>
              <w:bottom w:val="single" w:sz="4" w:space="0" w:color="auto"/>
            </w:tcBorders>
          </w:tcPr>
          <w:p w14:paraId="77D62601" w14:textId="77777777" w:rsidR="00E71249" w:rsidRPr="0050645D" w:rsidRDefault="00E71249" w:rsidP="00496219">
            <w:pPr>
              <w:spacing w:before="120" w:after="60" w:line="252" w:lineRule="auto"/>
              <w:rPr>
                <w:rFonts w:asciiTheme="minorHAnsi" w:hAnsiTheme="minorHAnsi" w:cstheme="minorHAnsi"/>
                <w:szCs w:val="22"/>
              </w:rPr>
            </w:pPr>
            <w:r w:rsidRPr="0050645D">
              <w:rPr>
                <w:rFonts w:asciiTheme="minorHAnsi" w:hAnsiTheme="minorHAnsi" w:cstheme="minorHAnsi"/>
                <w:kern w:val="2"/>
                <w:szCs w:val="22"/>
                <w14:ligatures w14:val="standardContextual"/>
              </w:rPr>
              <w:t>20%</w:t>
            </w:r>
          </w:p>
        </w:tc>
        <w:tc>
          <w:tcPr>
            <w:tcW w:w="769" w:type="pct"/>
            <w:tcBorders>
              <w:top w:val="single" w:sz="4" w:space="0" w:color="auto"/>
              <w:bottom w:val="single" w:sz="4" w:space="0" w:color="auto"/>
            </w:tcBorders>
          </w:tcPr>
          <w:p w14:paraId="6D7CF3D0" w14:textId="77777777" w:rsidR="00E71249" w:rsidRPr="0050645D" w:rsidRDefault="00E71249" w:rsidP="00496219">
            <w:pPr>
              <w:spacing w:before="120" w:after="60" w:line="252" w:lineRule="auto"/>
              <w:rPr>
                <w:rFonts w:asciiTheme="minorHAnsi" w:hAnsiTheme="minorHAnsi" w:cstheme="minorHAnsi"/>
                <w:szCs w:val="22"/>
              </w:rPr>
            </w:pPr>
            <w:r w:rsidRPr="0050645D">
              <w:rPr>
                <w:rFonts w:asciiTheme="minorHAnsi" w:hAnsiTheme="minorHAnsi" w:cstheme="minorHAnsi"/>
                <w:kern w:val="2"/>
                <w:szCs w:val="22"/>
                <w14:ligatures w14:val="standardContextual"/>
              </w:rPr>
              <w:t>20%</w:t>
            </w:r>
          </w:p>
        </w:tc>
      </w:tr>
      <w:tr w:rsidR="00E71249" w:rsidRPr="0050645D" w14:paraId="41AAF55F" w14:textId="77777777" w:rsidTr="00496219">
        <w:trPr>
          <w:cantSplit/>
          <w:trHeight w:val="356"/>
          <w:jc w:val="center"/>
        </w:trPr>
        <w:tc>
          <w:tcPr>
            <w:tcW w:w="1922" w:type="pct"/>
            <w:tcBorders>
              <w:top w:val="single" w:sz="4" w:space="0" w:color="auto"/>
              <w:bottom w:val="single" w:sz="4" w:space="0" w:color="auto"/>
            </w:tcBorders>
          </w:tcPr>
          <w:p w14:paraId="0BF15CC4" w14:textId="78829CD6" w:rsidR="00E71249" w:rsidRPr="0050645D" w:rsidRDefault="0061319D" w:rsidP="00496219">
            <w:pPr>
              <w:spacing w:before="120" w:after="60" w:line="252" w:lineRule="auto"/>
              <w:rPr>
                <w:rFonts w:asciiTheme="minorHAnsi" w:hAnsiTheme="minorHAnsi" w:cstheme="minorHAnsi"/>
                <w:noProof/>
                <w:szCs w:val="22"/>
              </w:rPr>
            </w:pPr>
            <w:r>
              <w:rPr>
                <w:rFonts w:cstheme="minorHAnsi"/>
                <w:b/>
                <w:bCs/>
                <w:noProof/>
                <w:kern w:val="2"/>
                <w:szCs w:val="22"/>
              </w:rPr>
              <mc:AlternateContent>
                <mc:Choice Requires="wps">
                  <w:drawing>
                    <wp:anchor distT="0" distB="0" distL="114300" distR="114300" simplePos="0" relativeHeight="251667464" behindDoc="0" locked="0" layoutInCell="1" allowOverlap="1" wp14:anchorId="608E946B" wp14:editId="44A64807">
                      <wp:simplePos x="0" y="0"/>
                      <wp:positionH relativeFrom="column">
                        <wp:posOffset>-26879</wp:posOffset>
                      </wp:positionH>
                      <wp:positionV relativeFrom="paragraph">
                        <wp:posOffset>117030</wp:posOffset>
                      </wp:positionV>
                      <wp:extent cx="45719" cy="102358"/>
                      <wp:effectExtent l="0" t="0" r="12065" b="12065"/>
                      <wp:wrapNone/>
                      <wp:docPr id="890950620" name="Diamond 10" descr="The diamond symbol represents Performance measures that may be impacted by external factors."/>
                      <wp:cNvGraphicFramePr/>
                      <a:graphic xmlns:a="http://schemas.openxmlformats.org/drawingml/2006/main">
                        <a:graphicData uri="http://schemas.microsoft.com/office/word/2010/wordprocessingShape">
                          <wps:wsp>
                            <wps:cNvSpPr/>
                            <wps:spPr>
                              <a:xfrm>
                                <a:off x="0" y="0"/>
                                <a:ext cx="45719" cy="102358"/>
                              </a:xfrm>
                              <a:prstGeom prst="diamond">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3B8700" id="Diamond 10" o:spid="_x0000_s1026" type="#_x0000_t4" alt="The diamond symbol represents Performance measures that may be impacted by external factors." style="position:absolute;margin-left:-2.1pt;margin-top:9.2pt;width:3.6pt;height:8.05pt;z-index:251667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" fillcolor="#005a70 [3204]" strokecolor="#000d10 [484]" strokeweight=".73403mm"/>
                  </w:pict>
                </mc:Fallback>
              </mc:AlternateContent>
            </w:r>
            <w:r>
              <w:rPr>
                <w:rFonts w:asciiTheme="minorHAnsi" w:hAnsiTheme="minorHAnsi" w:cstheme="minorHAnsi"/>
                <w:b/>
                <w:bCs/>
                <w:kern w:val="2"/>
                <w:szCs w:val="22"/>
                <w14:ligatures w14:val="standardContextual"/>
              </w:rPr>
              <w:t xml:space="preserve"> </w:t>
            </w:r>
            <w:r w:rsidR="005A2AFD">
              <w:rPr>
                <w:rFonts w:asciiTheme="minorHAnsi" w:hAnsiTheme="minorHAnsi" w:cstheme="minorHAnsi"/>
                <w:b/>
                <w:bCs/>
                <w:kern w:val="2"/>
                <w:szCs w:val="22"/>
                <w14:ligatures w14:val="standardContextual"/>
              </w:rPr>
              <w:t xml:space="preserve"> </w:t>
            </w:r>
            <w:r w:rsidR="00E71249" w:rsidRPr="0050645D">
              <w:rPr>
                <w:rFonts w:asciiTheme="minorHAnsi" w:hAnsiTheme="minorHAnsi" w:cstheme="minorHAnsi"/>
                <w:b/>
                <w:bCs/>
                <w:kern w:val="2"/>
                <w:szCs w:val="22"/>
                <w14:ligatures w14:val="standardContextual"/>
              </w:rPr>
              <w:t>1.8.1 -1B Employment Sustainability</w:t>
            </w:r>
            <w:r w:rsidR="00E71249" w:rsidRPr="0050645D">
              <w:rPr>
                <w:rFonts w:asciiTheme="minorHAnsi" w:hAnsiTheme="minorHAnsi" w:cstheme="minorHAnsi"/>
                <w:kern w:val="2"/>
                <w:szCs w:val="22"/>
                <w14:ligatures w14:val="standardContextual"/>
              </w:rPr>
              <w:t>:</w:t>
            </w:r>
            <w:r w:rsidR="00E71249" w:rsidRPr="0050645D">
              <w:rPr>
                <w:rFonts w:asciiTheme="minorHAnsi" w:hAnsiTheme="minorHAnsi" w:cstheme="minorHAnsi"/>
                <w:szCs w:val="22"/>
                <w:lang w:eastAsia="en-AU"/>
              </w:rPr>
              <w:t xml:space="preserve"> </w:t>
            </w:r>
            <w:r w:rsidR="00E71249" w:rsidRPr="0050645D">
              <w:rPr>
                <w:rFonts w:asciiTheme="minorHAnsi" w:hAnsiTheme="minorHAnsi" w:cstheme="minorHAnsi"/>
                <w:kern w:val="2"/>
                <w:szCs w:val="22"/>
                <w14:ligatures w14:val="standardContextual"/>
              </w:rPr>
              <w:t>The percentage of participants who stayed employed for 12 weeks after being placed in a job.</w:t>
            </w:r>
          </w:p>
        </w:tc>
        <w:tc>
          <w:tcPr>
            <w:tcW w:w="770" w:type="pct"/>
            <w:tcBorders>
              <w:top w:val="single" w:sz="4" w:space="0" w:color="auto"/>
              <w:bottom w:val="single" w:sz="4" w:space="0" w:color="auto"/>
            </w:tcBorders>
          </w:tcPr>
          <w:p w14:paraId="4580723E" w14:textId="77777777" w:rsidR="00E71249" w:rsidRPr="0050645D" w:rsidRDefault="00E71249" w:rsidP="00496219">
            <w:pPr>
              <w:spacing w:before="120" w:after="60" w:line="252" w:lineRule="auto"/>
              <w:rPr>
                <w:rFonts w:asciiTheme="minorHAnsi" w:hAnsiTheme="minorHAnsi" w:cstheme="minorHAnsi"/>
                <w:szCs w:val="22"/>
              </w:rPr>
            </w:pPr>
            <w:r w:rsidRPr="0050645D">
              <w:rPr>
                <w:rFonts w:asciiTheme="minorHAnsi" w:hAnsiTheme="minorHAnsi" w:cstheme="minorHAnsi"/>
                <w:kern w:val="2"/>
                <w:szCs w:val="22"/>
                <w14:ligatures w14:val="standardContextual"/>
              </w:rPr>
              <w:t>65%</w:t>
            </w:r>
          </w:p>
        </w:tc>
        <w:tc>
          <w:tcPr>
            <w:tcW w:w="770" w:type="pct"/>
            <w:tcBorders>
              <w:top w:val="single" w:sz="4" w:space="0" w:color="auto"/>
              <w:bottom w:val="single" w:sz="4" w:space="0" w:color="auto"/>
            </w:tcBorders>
          </w:tcPr>
          <w:p w14:paraId="6BAB8059" w14:textId="77777777" w:rsidR="00E71249" w:rsidRPr="0050645D" w:rsidRDefault="00E71249" w:rsidP="00496219">
            <w:pPr>
              <w:spacing w:before="120" w:after="60" w:line="252" w:lineRule="auto"/>
              <w:rPr>
                <w:rFonts w:asciiTheme="minorHAnsi" w:hAnsiTheme="minorHAnsi" w:cstheme="minorHAnsi"/>
                <w:szCs w:val="22"/>
              </w:rPr>
            </w:pPr>
            <w:r w:rsidRPr="0050645D">
              <w:rPr>
                <w:rFonts w:asciiTheme="minorHAnsi" w:hAnsiTheme="minorHAnsi" w:cstheme="minorHAnsi"/>
                <w:kern w:val="2"/>
                <w:szCs w:val="22"/>
                <w14:ligatures w14:val="standardContextual"/>
              </w:rPr>
              <w:t>65%</w:t>
            </w:r>
          </w:p>
        </w:tc>
        <w:tc>
          <w:tcPr>
            <w:tcW w:w="770" w:type="pct"/>
            <w:tcBorders>
              <w:top w:val="single" w:sz="4" w:space="0" w:color="auto"/>
              <w:bottom w:val="single" w:sz="4" w:space="0" w:color="auto"/>
            </w:tcBorders>
          </w:tcPr>
          <w:p w14:paraId="2D67CFA4" w14:textId="77777777" w:rsidR="00E71249" w:rsidRPr="0050645D" w:rsidRDefault="00E71249" w:rsidP="00496219">
            <w:pPr>
              <w:spacing w:before="120" w:after="60" w:line="252" w:lineRule="auto"/>
              <w:rPr>
                <w:rFonts w:asciiTheme="minorHAnsi" w:hAnsiTheme="minorHAnsi" w:cstheme="minorHAnsi"/>
                <w:szCs w:val="22"/>
              </w:rPr>
            </w:pPr>
            <w:r w:rsidRPr="0050645D">
              <w:rPr>
                <w:rFonts w:asciiTheme="minorHAnsi" w:hAnsiTheme="minorHAnsi" w:cstheme="minorHAnsi"/>
                <w:kern w:val="2"/>
                <w:szCs w:val="22"/>
                <w14:ligatures w14:val="standardContextual"/>
              </w:rPr>
              <w:t>65%</w:t>
            </w:r>
          </w:p>
        </w:tc>
        <w:tc>
          <w:tcPr>
            <w:tcW w:w="769" w:type="pct"/>
            <w:tcBorders>
              <w:top w:val="single" w:sz="4" w:space="0" w:color="auto"/>
              <w:bottom w:val="single" w:sz="4" w:space="0" w:color="auto"/>
            </w:tcBorders>
          </w:tcPr>
          <w:p w14:paraId="0295A36B" w14:textId="77777777" w:rsidR="00E71249" w:rsidRPr="0050645D" w:rsidRDefault="00E71249" w:rsidP="00496219">
            <w:pPr>
              <w:spacing w:before="120" w:after="60" w:line="252" w:lineRule="auto"/>
              <w:rPr>
                <w:rFonts w:asciiTheme="minorHAnsi" w:hAnsiTheme="minorHAnsi" w:cstheme="minorHAnsi"/>
                <w:szCs w:val="22"/>
              </w:rPr>
            </w:pPr>
            <w:r w:rsidRPr="0050645D">
              <w:rPr>
                <w:rFonts w:asciiTheme="minorHAnsi" w:hAnsiTheme="minorHAnsi" w:cstheme="minorHAnsi"/>
                <w:kern w:val="2"/>
                <w:szCs w:val="22"/>
                <w14:ligatures w14:val="standardContextual"/>
              </w:rPr>
              <w:t>65%</w:t>
            </w:r>
          </w:p>
        </w:tc>
      </w:tr>
      <w:tr w:rsidR="00E71249" w:rsidRPr="0050645D" w14:paraId="428CA664" w14:textId="77777777" w:rsidTr="00496219">
        <w:trPr>
          <w:cantSplit/>
          <w:trHeight w:val="356"/>
          <w:jc w:val="center"/>
        </w:trPr>
        <w:tc>
          <w:tcPr>
            <w:tcW w:w="1922" w:type="pct"/>
            <w:tcBorders>
              <w:top w:val="single" w:sz="4" w:space="0" w:color="auto"/>
              <w:bottom w:val="single" w:sz="4" w:space="0" w:color="auto"/>
            </w:tcBorders>
          </w:tcPr>
          <w:p w14:paraId="56940B83" w14:textId="209253DE" w:rsidR="00E71249" w:rsidRPr="0050645D" w:rsidRDefault="0061319D" w:rsidP="00496219">
            <w:pPr>
              <w:spacing w:before="120" w:after="60" w:line="252" w:lineRule="auto"/>
              <w:rPr>
                <w:rFonts w:asciiTheme="minorHAnsi" w:hAnsiTheme="minorHAnsi" w:cstheme="minorHAnsi"/>
                <w:noProof/>
                <w:szCs w:val="22"/>
              </w:rPr>
            </w:pPr>
            <w:r>
              <w:rPr>
                <w:rFonts w:cstheme="minorHAnsi"/>
                <w:b/>
                <w:bCs/>
                <w:noProof/>
                <w:kern w:val="2"/>
                <w:szCs w:val="22"/>
              </w:rPr>
              <w:lastRenderedPageBreak/>
              <mc:AlternateContent>
                <mc:Choice Requires="wps">
                  <w:drawing>
                    <wp:anchor distT="0" distB="0" distL="114300" distR="114300" simplePos="0" relativeHeight="251668488" behindDoc="0" locked="0" layoutInCell="1" allowOverlap="1" wp14:anchorId="5102B594" wp14:editId="5AEEFCEB">
                      <wp:simplePos x="0" y="0"/>
                      <wp:positionH relativeFrom="column">
                        <wp:posOffset>-20055</wp:posOffset>
                      </wp:positionH>
                      <wp:positionV relativeFrom="paragraph">
                        <wp:posOffset>110793</wp:posOffset>
                      </wp:positionV>
                      <wp:extent cx="45719" cy="102358"/>
                      <wp:effectExtent l="0" t="0" r="12065" b="12065"/>
                      <wp:wrapNone/>
                      <wp:docPr id="744873158" name="Diamond 11" descr="The diamond symbol represents Performance measures that may be impacted by external factors."/>
                      <wp:cNvGraphicFramePr/>
                      <a:graphic xmlns:a="http://schemas.openxmlformats.org/drawingml/2006/main">
                        <a:graphicData uri="http://schemas.microsoft.com/office/word/2010/wordprocessingShape">
                          <wps:wsp>
                            <wps:cNvSpPr/>
                            <wps:spPr>
                              <a:xfrm>
                                <a:off x="0" y="0"/>
                                <a:ext cx="45719" cy="102358"/>
                              </a:xfrm>
                              <a:prstGeom prst="diamond">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51A155" id="Diamond 11" o:spid="_x0000_s1026" type="#_x0000_t4" alt="The diamond symbol represents Performance measures that may be impacted by external factors." style="position:absolute;margin-left:-1.6pt;margin-top:8.7pt;width:3.6pt;height:8.05pt;z-index:251668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" fillcolor="black [3213]" strokecolor="#000d10 [484]" strokeweight=".73403mm"/>
                  </w:pict>
                </mc:Fallback>
              </mc:AlternateContent>
            </w:r>
            <w:r>
              <w:rPr>
                <w:rFonts w:asciiTheme="minorHAnsi" w:hAnsiTheme="minorHAnsi" w:cstheme="minorHAnsi"/>
                <w:b/>
                <w:bCs/>
                <w:kern w:val="2"/>
                <w:szCs w:val="22"/>
                <w14:ligatures w14:val="standardContextual"/>
              </w:rPr>
              <w:t xml:space="preserve"> </w:t>
            </w:r>
            <w:r w:rsidR="005A2AFD">
              <w:rPr>
                <w:rFonts w:asciiTheme="minorHAnsi" w:hAnsiTheme="minorHAnsi" w:cstheme="minorHAnsi"/>
                <w:b/>
                <w:bCs/>
                <w:kern w:val="2"/>
                <w:szCs w:val="22"/>
                <w14:ligatures w14:val="standardContextual"/>
              </w:rPr>
              <w:t xml:space="preserve"> </w:t>
            </w:r>
            <w:r w:rsidR="00E71249" w:rsidRPr="0050645D">
              <w:rPr>
                <w:rFonts w:asciiTheme="minorHAnsi" w:hAnsiTheme="minorHAnsi" w:cstheme="minorHAnsi"/>
                <w:b/>
                <w:bCs/>
                <w:kern w:val="2"/>
                <w:szCs w:val="22"/>
                <w14:ligatures w14:val="standardContextual"/>
              </w:rPr>
              <w:t>1.8.1 -1C Employment Sustainability</w:t>
            </w:r>
            <w:r w:rsidR="00E71249" w:rsidRPr="0050645D">
              <w:rPr>
                <w:rFonts w:asciiTheme="minorHAnsi" w:hAnsiTheme="minorHAnsi" w:cstheme="minorHAnsi"/>
                <w:kern w:val="2"/>
                <w:szCs w:val="22"/>
                <w14:ligatures w14:val="standardContextual"/>
              </w:rPr>
              <w:t>: The percentage of participants who stayed employed for 26 weeks after being placed in a job.</w:t>
            </w:r>
          </w:p>
        </w:tc>
        <w:tc>
          <w:tcPr>
            <w:tcW w:w="770" w:type="pct"/>
            <w:tcBorders>
              <w:top w:val="single" w:sz="4" w:space="0" w:color="auto"/>
              <w:bottom w:val="single" w:sz="4" w:space="0" w:color="auto"/>
            </w:tcBorders>
          </w:tcPr>
          <w:p w14:paraId="088A94CF" w14:textId="77777777" w:rsidR="00E71249" w:rsidRPr="0050645D" w:rsidRDefault="00E71249" w:rsidP="00496219">
            <w:pPr>
              <w:spacing w:before="120" w:after="60" w:line="252" w:lineRule="auto"/>
              <w:rPr>
                <w:rFonts w:asciiTheme="minorHAnsi" w:hAnsiTheme="minorHAnsi" w:cstheme="minorHAnsi"/>
                <w:szCs w:val="22"/>
              </w:rPr>
            </w:pPr>
            <w:r w:rsidRPr="0050645D">
              <w:rPr>
                <w:rFonts w:asciiTheme="minorHAnsi" w:hAnsiTheme="minorHAnsi" w:cstheme="minorHAnsi"/>
                <w:kern w:val="2"/>
                <w:szCs w:val="22"/>
                <w14:ligatures w14:val="standardContextual"/>
              </w:rPr>
              <w:t>50%</w:t>
            </w:r>
          </w:p>
        </w:tc>
        <w:tc>
          <w:tcPr>
            <w:tcW w:w="770" w:type="pct"/>
            <w:tcBorders>
              <w:top w:val="single" w:sz="4" w:space="0" w:color="auto"/>
              <w:bottom w:val="single" w:sz="4" w:space="0" w:color="auto"/>
            </w:tcBorders>
          </w:tcPr>
          <w:p w14:paraId="477B721C" w14:textId="77777777" w:rsidR="00E71249" w:rsidRPr="0050645D" w:rsidRDefault="00E71249" w:rsidP="00496219">
            <w:pPr>
              <w:spacing w:before="120" w:after="60" w:line="252" w:lineRule="auto"/>
              <w:rPr>
                <w:rFonts w:asciiTheme="minorHAnsi" w:hAnsiTheme="minorHAnsi" w:cstheme="minorHAnsi"/>
                <w:szCs w:val="22"/>
              </w:rPr>
            </w:pPr>
            <w:r w:rsidRPr="0050645D">
              <w:rPr>
                <w:rFonts w:asciiTheme="minorHAnsi" w:hAnsiTheme="minorHAnsi" w:cstheme="minorHAnsi"/>
                <w:kern w:val="2"/>
                <w:szCs w:val="22"/>
                <w14:ligatures w14:val="standardContextual"/>
              </w:rPr>
              <w:t>50%</w:t>
            </w:r>
          </w:p>
        </w:tc>
        <w:tc>
          <w:tcPr>
            <w:tcW w:w="770" w:type="pct"/>
            <w:tcBorders>
              <w:top w:val="single" w:sz="4" w:space="0" w:color="auto"/>
              <w:bottom w:val="single" w:sz="4" w:space="0" w:color="auto"/>
            </w:tcBorders>
          </w:tcPr>
          <w:p w14:paraId="65D57CC1" w14:textId="77777777" w:rsidR="00E71249" w:rsidRPr="0050645D" w:rsidRDefault="00E71249" w:rsidP="00496219">
            <w:pPr>
              <w:spacing w:before="120" w:after="60" w:line="252" w:lineRule="auto"/>
              <w:rPr>
                <w:rFonts w:asciiTheme="minorHAnsi" w:hAnsiTheme="minorHAnsi" w:cstheme="minorHAnsi"/>
                <w:szCs w:val="22"/>
              </w:rPr>
            </w:pPr>
            <w:r w:rsidRPr="0050645D">
              <w:rPr>
                <w:rFonts w:asciiTheme="minorHAnsi" w:hAnsiTheme="minorHAnsi" w:cstheme="minorHAnsi"/>
                <w:kern w:val="2"/>
                <w:szCs w:val="22"/>
                <w14:ligatures w14:val="standardContextual"/>
              </w:rPr>
              <w:t>50%</w:t>
            </w:r>
          </w:p>
        </w:tc>
        <w:tc>
          <w:tcPr>
            <w:tcW w:w="769" w:type="pct"/>
            <w:tcBorders>
              <w:top w:val="single" w:sz="4" w:space="0" w:color="auto"/>
              <w:bottom w:val="single" w:sz="4" w:space="0" w:color="auto"/>
            </w:tcBorders>
          </w:tcPr>
          <w:p w14:paraId="4A1FD71F" w14:textId="77777777" w:rsidR="00E71249" w:rsidRPr="0050645D" w:rsidRDefault="00E71249" w:rsidP="00496219">
            <w:pPr>
              <w:spacing w:before="120" w:after="60" w:line="252" w:lineRule="auto"/>
              <w:rPr>
                <w:rFonts w:asciiTheme="minorHAnsi" w:hAnsiTheme="minorHAnsi" w:cstheme="minorHAnsi"/>
                <w:szCs w:val="22"/>
              </w:rPr>
            </w:pPr>
            <w:r w:rsidRPr="0050645D">
              <w:rPr>
                <w:rFonts w:asciiTheme="minorHAnsi" w:hAnsiTheme="minorHAnsi" w:cstheme="minorHAnsi"/>
                <w:kern w:val="2"/>
                <w:szCs w:val="22"/>
                <w14:ligatures w14:val="standardContextual"/>
              </w:rPr>
              <w:t>50%</w:t>
            </w:r>
          </w:p>
        </w:tc>
      </w:tr>
      <w:tr w:rsidR="00E71249" w:rsidRPr="0050645D" w14:paraId="09904E1F" w14:textId="77777777" w:rsidTr="00496219">
        <w:trPr>
          <w:cantSplit/>
          <w:trHeight w:val="356"/>
          <w:jc w:val="center"/>
        </w:trPr>
        <w:tc>
          <w:tcPr>
            <w:tcW w:w="1922" w:type="pct"/>
            <w:tcBorders>
              <w:top w:val="single" w:sz="4" w:space="0" w:color="auto"/>
              <w:bottom w:val="single" w:sz="4" w:space="0" w:color="auto"/>
            </w:tcBorders>
          </w:tcPr>
          <w:p w14:paraId="28D813E9" w14:textId="5753FF16" w:rsidR="00E71249" w:rsidRPr="0050645D" w:rsidRDefault="009E1B06" w:rsidP="00496219">
            <w:pPr>
              <w:spacing w:before="120" w:after="60" w:line="252" w:lineRule="auto"/>
              <w:rPr>
                <w:rFonts w:asciiTheme="minorHAnsi" w:hAnsiTheme="minorHAnsi" w:cstheme="minorHAnsi"/>
                <w:noProof/>
                <w:szCs w:val="22"/>
              </w:rPr>
            </w:pPr>
            <w:r>
              <w:rPr>
                <w:rFonts w:cstheme="minorHAnsi"/>
                <w:b/>
                <w:bCs/>
                <w:noProof/>
                <w:kern w:val="2"/>
                <w:szCs w:val="22"/>
              </w:rPr>
              <mc:AlternateContent>
                <mc:Choice Requires="wps">
                  <w:drawing>
                    <wp:anchor distT="0" distB="0" distL="114300" distR="114300" simplePos="0" relativeHeight="251669512" behindDoc="0" locked="0" layoutInCell="1" allowOverlap="1" wp14:anchorId="4C6DD1E6" wp14:editId="5B18DBA0">
                      <wp:simplePos x="0" y="0"/>
                      <wp:positionH relativeFrom="column">
                        <wp:posOffset>-45302</wp:posOffset>
                      </wp:positionH>
                      <wp:positionV relativeFrom="paragraph">
                        <wp:posOffset>108064</wp:posOffset>
                      </wp:positionV>
                      <wp:extent cx="45719" cy="109182"/>
                      <wp:effectExtent l="0" t="0" r="12065" b="24765"/>
                      <wp:wrapNone/>
                      <wp:docPr id="696763856" name="Diamond 13" descr="The diamond symbol represents Performance measures that may be impacted by external factors."/>
                      <wp:cNvGraphicFramePr/>
                      <a:graphic xmlns:a="http://schemas.openxmlformats.org/drawingml/2006/main">
                        <a:graphicData uri="http://schemas.microsoft.com/office/word/2010/wordprocessingShape">
                          <wps:wsp>
                            <wps:cNvSpPr/>
                            <wps:spPr>
                              <a:xfrm>
                                <a:off x="0" y="0"/>
                                <a:ext cx="45719" cy="109182"/>
                              </a:xfrm>
                              <a:prstGeom prst="diamond">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3C4889" id="Diamond 13" o:spid="_x0000_s1026" type="#_x0000_t4" alt="The diamond symbol represents Performance measures that may be impacted by external factors." style="position:absolute;margin-left:-3.55pt;margin-top:8.5pt;width:3.6pt;height:8.6pt;z-index:251669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" fillcolor="black [3213]" strokecolor="#000d10 [484]" strokeweight=".73403mm"/>
                  </w:pict>
                </mc:Fallback>
              </mc:AlternateContent>
            </w:r>
            <w:r w:rsidR="0061319D">
              <w:rPr>
                <w:rFonts w:asciiTheme="minorHAnsi" w:hAnsiTheme="minorHAnsi" w:cstheme="minorHAnsi"/>
                <w:b/>
                <w:bCs/>
                <w:kern w:val="2"/>
                <w:szCs w:val="22"/>
                <w14:ligatures w14:val="standardContextual"/>
              </w:rPr>
              <w:t xml:space="preserve"> </w:t>
            </w:r>
            <w:r w:rsidR="00E71249" w:rsidRPr="0050645D">
              <w:rPr>
                <w:rFonts w:asciiTheme="minorHAnsi" w:hAnsiTheme="minorHAnsi" w:cstheme="minorHAnsi"/>
                <w:b/>
                <w:bCs/>
                <w:kern w:val="2"/>
                <w:szCs w:val="22"/>
                <w14:ligatures w14:val="standardContextual"/>
              </w:rPr>
              <w:t>1.8.1 -1D Employment Sustainability</w:t>
            </w:r>
            <w:r w:rsidR="00E71249" w:rsidRPr="0050645D">
              <w:rPr>
                <w:rFonts w:asciiTheme="minorHAnsi" w:hAnsiTheme="minorHAnsi" w:cstheme="minorHAnsi"/>
                <w:kern w:val="2"/>
                <w:szCs w:val="22"/>
                <w14:ligatures w14:val="standardContextual"/>
              </w:rPr>
              <w:t>: The percentage of participants who stayed employed for 52 weeks after being placed in a job.</w:t>
            </w:r>
          </w:p>
        </w:tc>
        <w:tc>
          <w:tcPr>
            <w:tcW w:w="770" w:type="pct"/>
            <w:tcBorders>
              <w:top w:val="single" w:sz="4" w:space="0" w:color="auto"/>
              <w:bottom w:val="single" w:sz="4" w:space="0" w:color="auto"/>
            </w:tcBorders>
          </w:tcPr>
          <w:p w14:paraId="0480935C" w14:textId="77777777" w:rsidR="00E71249" w:rsidRPr="0050645D" w:rsidRDefault="00E71249" w:rsidP="00496219">
            <w:pPr>
              <w:spacing w:before="120" w:after="60" w:line="252" w:lineRule="auto"/>
              <w:rPr>
                <w:rFonts w:asciiTheme="minorHAnsi" w:hAnsiTheme="minorHAnsi" w:cstheme="minorHAnsi"/>
                <w:szCs w:val="22"/>
              </w:rPr>
            </w:pPr>
            <w:r w:rsidRPr="0050645D">
              <w:rPr>
                <w:rFonts w:asciiTheme="minorHAnsi" w:hAnsiTheme="minorHAnsi" w:cstheme="minorHAnsi"/>
                <w:kern w:val="2"/>
                <w:szCs w:val="22"/>
                <w14:ligatures w14:val="standardContextual"/>
              </w:rPr>
              <w:t>35%</w:t>
            </w:r>
          </w:p>
        </w:tc>
        <w:tc>
          <w:tcPr>
            <w:tcW w:w="770" w:type="pct"/>
            <w:tcBorders>
              <w:top w:val="single" w:sz="4" w:space="0" w:color="auto"/>
              <w:bottom w:val="single" w:sz="4" w:space="0" w:color="auto"/>
            </w:tcBorders>
          </w:tcPr>
          <w:p w14:paraId="53A1EF5C" w14:textId="77777777" w:rsidR="00E71249" w:rsidRPr="0050645D" w:rsidRDefault="00E71249" w:rsidP="00496219">
            <w:pPr>
              <w:spacing w:before="120" w:after="60" w:line="252" w:lineRule="auto"/>
              <w:rPr>
                <w:rFonts w:asciiTheme="minorHAnsi" w:hAnsiTheme="minorHAnsi" w:cstheme="minorHAnsi"/>
                <w:szCs w:val="22"/>
              </w:rPr>
            </w:pPr>
            <w:r w:rsidRPr="0050645D">
              <w:rPr>
                <w:rFonts w:asciiTheme="minorHAnsi" w:hAnsiTheme="minorHAnsi" w:cstheme="minorHAnsi"/>
                <w:kern w:val="2"/>
                <w:szCs w:val="22"/>
                <w14:ligatures w14:val="standardContextual"/>
              </w:rPr>
              <w:t>35%</w:t>
            </w:r>
          </w:p>
        </w:tc>
        <w:tc>
          <w:tcPr>
            <w:tcW w:w="770" w:type="pct"/>
            <w:tcBorders>
              <w:top w:val="single" w:sz="4" w:space="0" w:color="auto"/>
              <w:bottom w:val="single" w:sz="4" w:space="0" w:color="auto"/>
            </w:tcBorders>
          </w:tcPr>
          <w:p w14:paraId="06688C72" w14:textId="77777777" w:rsidR="00E71249" w:rsidRPr="0050645D" w:rsidRDefault="00E71249" w:rsidP="00496219">
            <w:pPr>
              <w:spacing w:before="120" w:after="60" w:line="252" w:lineRule="auto"/>
              <w:rPr>
                <w:rFonts w:asciiTheme="minorHAnsi" w:hAnsiTheme="minorHAnsi" w:cstheme="minorHAnsi"/>
                <w:szCs w:val="22"/>
              </w:rPr>
            </w:pPr>
            <w:r w:rsidRPr="0050645D">
              <w:rPr>
                <w:rFonts w:asciiTheme="minorHAnsi" w:hAnsiTheme="minorHAnsi" w:cstheme="minorHAnsi"/>
                <w:kern w:val="2"/>
                <w:szCs w:val="22"/>
                <w14:ligatures w14:val="standardContextual"/>
              </w:rPr>
              <w:t>35%</w:t>
            </w:r>
          </w:p>
        </w:tc>
        <w:tc>
          <w:tcPr>
            <w:tcW w:w="769" w:type="pct"/>
            <w:tcBorders>
              <w:top w:val="single" w:sz="4" w:space="0" w:color="auto"/>
              <w:bottom w:val="single" w:sz="4" w:space="0" w:color="auto"/>
            </w:tcBorders>
          </w:tcPr>
          <w:p w14:paraId="73E093BA" w14:textId="77777777" w:rsidR="00E71249" w:rsidRPr="0050645D" w:rsidRDefault="00E71249" w:rsidP="00496219">
            <w:pPr>
              <w:spacing w:before="120" w:after="60" w:line="252" w:lineRule="auto"/>
              <w:rPr>
                <w:rFonts w:asciiTheme="minorHAnsi" w:hAnsiTheme="minorHAnsi" w:cstheme="minorHAnsi"/>
                <w:szCs w:val="22"/>
              </w:rPr>
            </w:pPr>
            <w:r w:rsidRPr="0050645D">
              <w:rPr>
                <w:rFonts w:asciiTheme="minorHAnsi" w:hAnsiTheme="minorHAnsi" w:cstheme="minorHAnsi"/>
                <w:kern w:val="2"/>
                <w:szCs w:val="22"/>
                <w14:ligatures w14:val="standardContextual"/>
              </w:rPr>
              <w:t>35%</w:t>
            </w:r>
          </w:p>
        </w:tc>
      </w:tr>
    </w:tbl>
    <w:p w14:paraId="00119F02" w14:textId="77777777" w:rsidR="00E71249" w:rsidRPr="0050645D" w:rsidRDefault="00E71249" w:rsidP="00FD4C88">
      <w:pPr>
        <w:pStyle w:val="CPCustom3"/>
        <w:rPr>
          <w:lang w:eastAsia="en-AU"/>
        </w:rPr>
      </w:pPr>
      <w:r w:rsidRPr="0050645D">
        <w:rPr>
          <w:lang w:eastAsia="en-AU"/>
        </w:rPr>
        <w:t>Rationale</w:t>
      </w:r>
    </w:p>
    <w:p w14:paraId="3F0DB57E" w14:textId="77777777" w:rsidR="00E71249" w:rsidRPr="0050645D" w:rsidRDefault="00E71249" w:rsidP="00DE365A">
      <w:pPr>
        <w:suppressAutoHyphens/>
        <w:spacing w:before="120" w:after="160" w:line="257" w:lineRule="auto"/>
        <w:rPr>
          <w:rFonts w:eastAsia="Times New Roman" w:cstheme="minorHAnsi"/>
          <w:spacing w:val="0"/>
          <w:szCs w:val="22"/>
          <w:lang w:eastAsia="en-AU"/>
        </w:rPr>
      </w:pPr>
      <w:r w:rsidRPr="0050645D">
        <w:rPr>
          <w:rFonts w:eastAsia="Times New Roman" w:cstheme="minorHAnsi"/>
          <w:spacing w:val="0"/>
          <w:szCs w:val="22"/>
          <w:lang w:eastAsia="en-AU"/>
        </w:rPr>
        <w:t>The Employment Placement and Employment Sustainability measures the extent to which people with disability are supported to find and maintain employment through I</w:t>
      </w:r>
      <w:r w:rsidRPr="0050645D">
        <w:rPr>
          <w:rFonts w:eastAsia="Times New Roman" w:cstheme="minorHAnsi"/>
          <w:szCs w:val="22"/>
          <w:lang w:eastAsia="en-AU"/>
        </w:rPr>
        <w:t xml:space="preserve">nclusive </w:t>
      </w:r>
      <w:r w:rsidRPr="0050645D">
        <w:rPr>
          <w:rFonts w:eastAsia="Times New Roman" w:cstheme="minorHAnsi"/>
          <w:spacing w:val="0"/>
          <w:szCs w:val="22"/>
          <w:lang w:eastAsia="en-AU"/>
        </w:rPr>
        <w:t>E</w:t>
      </w:r>
      <w:r w:rsidRPr="0050645D">
        <w:rPr>
          <w:rFonts w:eastAsia="Times New Roman" w:cstheme="minorHAnsi"/>
          <w:szCs w:val="22"/>
          <w:lang w:eastAsia="en-AU"/>
        </w:rPr>
        <w:t xml:space="preserve">mployment </w:t>
      </w:r>
      <w:r w:rsidRPr="0050645D">
        <w:rPr>
          <w:rFonts w:eastAsia="Times New Roman" w:cstheme="minorHAnsi"/>
          <w:spacing w:val="0"/>
          <w:szCs w:val="22"/>
          <w:lang w:eastAsia="en-AU"/>
        </w:rPr>
        <w:t>A</w:t>
      </w:r>
      <w:r w:rsidRPr="0050645D">
        <w:rPr>
          <w:rFonts w:eastAsia="Times New Roman" w:cstheme="minorHAnsi"/>
          <w:szCs w:val="22"/>
          <w:lang w:eastAsia="en-AU"/>
        </w:rPr>
        <w:t>ustralia</w:t>
      </w:r>
      <w:r w:rsidRPr="0050645D">
        <w:rPr>
          <w:rFonts w:eastAsia="Times New Roman" w:cstheme="minorHAnsi"/>
          <w:spacing w:val="0"/>
          <w:szCs w:val="22"/>
          <w:lang w:eastAsia="en-AU"/>
        </w:rPr>
        <w:t xml:space="preserve">. These align with the performance measures in the </w:t>
      </w:r>
      <w:r w:rsidRPr="0050645D">
        <w:rPr>
          <w:rFonts w:eastAsia="Times New Roman" w:cstheme="minorHAnsi"/>
          <w:szCs w:val="22"/>
          <w:lang w:eastAsia="en-AU"/>
        </w:rPr>
        <w:t>Inclusive Employment Australia</w:t>
      </w:r>
      <w:r w:rsidRPr="0050645D" w:rsidDel="00956186">
        <w:rPr>
          <w:rFonts w:eastAsia="Times New Roman" w:cstheme="minorHAnsi"/>
          <w:szCs w:val="22"/>
          <w:lang w:eastAsia="en-AU"/>
        </w:rPr>
        <w:t xml:space="preserve"> </w:t>
      </w:r>
      <w:r w:rsidRPr="0050645D">
        <w:rPr>
          <w:rFonts w:eastAsia="Times New Roman" w:cstheme="minorHAnsi"/>
          <w:spacing w:val="0"/>
          <w:szCs w:val="22"/>
          <w:lang w:eastAsia="en-AU"/>
        </w:rPr>
        <w:t xml:space="preserve">provider performance framework. The Employment Sustainability measures have stronger alignment with </w:t>
      </w:r>
      <w:r w:rsidRPr="0050645D">
        <w:rPr>
          <w:rFonts w:eastAsia="Times New Roman" w:cstheme="minorHAnsi"/>
          <w:szCs w:val="22"/>
          <w:lang w:eastAsia="en-AU"/>
        </w:rPr>
        <w:t>Inclusive Employment Australia</w:t>
      </w:r>
      <w:r w:rsidRPr="0050645D" w:rsidDel="00956186">
        <w:rPr>
          <w:rFonts w:eastAsia="Times New Roman" w:cstheme="minorHAnsi"/>
          <w:szCs w:val="22"/>
          <w:lang w:eastAsia="en-AU"/>
        </w:rPr>
        <w:t xml:space="preserve"> </w:t>
      </w:r>
      <w:r w:rsidRPr="0050645D">
        <w:rPr>
          <w:rFonts w:eastAsia="Times New Roman" w:cstheme="minorHAnsi"/>
          <w:spacing w:val="0"/>
          <w:szCs w:val="22"/>
          <w:lang w:eastAsia="en-AU"/>
        </w:rPr>
        <w:t xml:space="preserve">program objectives as supporting sustained employment, as a unique feature in the </w:t>
      </w:r>
      <w:r w:rsidRPr="0050645D">
        <w:rPr>
          <w:rFonts w:eastAsia="Times New Roman" w:cstheme="minorHAnsi"/>
          <w:szCs w:val="22"/>
          <w:lang w:eastAsia="en-AU"/>
        </w:rPr>
        <w:t>Inclusive Employment Australia</w:t>
      </w:r>
      <w:r w:rsidRPr="0050645D" w:rsidDel="00956186">
        <w:rPr>
          <w:rFonts w:eastAsia="Times New Roman" w:cstheme="minorHAnsi"/>
          <w:szCs w:val="22"/>
          <w:lang w:eastAsia="en-AU"/>
        </w:rPr>
        <w:t xml:space="preserve"> </w:t>
      </w:r>
      <w:r w:rsidRPr="0050645D">
        <w:rPr>
          <w:rFonts w:eastAsia="Times New Roman" w:cstheme="minorHAnsi"/>
          <w:spacing w:val="0"/>
          <w:szCs w:val="22"/>
          <w:lang w:eastAsia="en-AU"/>
        </w:rPr>
        <w:t>service offer (e.g. employment to 52 weeks).</w:t>
      </w:r>
    </w:p>
    <w:p w14:paraId="0BF86B3C" w14:textId="77777777" w:rsidR="00E71249" w:rsidRPr="0050645D" w:rsidRDefault="00E71249" w:rsidP="00DE365A">
      <w:pPr>
        <w:suppressAutoHyphens/>
        <w:spacing w:before="120" w:after="160" w:line="257" w:lineRule="auto"/>
        <w:rPr>
          <w:rFonts w:eastAsia="Times New Roman" w:cstheme="minorHAnsi"/>
          <w:szCs w:val="22"/>
          <w:lang w:eastAsia="en-AU"/>
        </w:rPr>
      </w:pPr>
      <w:r w:rsidRPr="0050645D">
        <w:rPr>
          <w:rFonts w:eastAsia="Times New Roman" w:cstheme="minorHAnsi"/>
          <w:spacing w:val="0"/>
          <w:szCs w:val="22"/>
          <w:lang w:eastAsia="en-AU"/>
        </w:rPr>
        <w:t xml:space="preserve">The Employment Placements and Employment Sustainability measures aim to demonstrate the extent to which the </w:t>
      </w:r>
      <w:r w:rsidRPr="0050645D">
        <w:rPr>
          <w:rFonts w:eastAsia="Times New Roman" w:cstheme="minorHAnsi"/>
          <w:szCs w:val="22"/>
          <w:lang w:eastAsia="en-AU"/>
        </w:rPr>
        <w:t>Inclusive Employment Australia</w:t>
      </w:r>
      <w:r w:rsidRPr="0050645D" w:rsidDel="00956186">
        <w:rPr>
          <w:rFonts w:eastAsia="Times New Roman" w:cstheme="minorHAnsi"/>
          <w:szCs w:val="22"/>
          <w:lang w:eastAsia="en-AU"/>
        </w:rPr>
        <w:t xml:space="preserve"> </w:t>
      </w:r>
      <w:r w:rsidRPr="0050645D">
        <w:rPr>
          <w:rFonts w:eastAsia="Times New Roman" w:cstheme="minorHAnsi"/>
          <w:spacing w:val="0"/>
          <w:szCs w:val="22"/>
          <w:lang w:eastAsia="en-AU"/>
        </w:rPr>
        <w:t>program has assisted people with disability, illness or health condition to secure and maintain sustainable open employment. This measures the effectiveness of the program in achieving the objective of the key activity and in particular measuring the effectiveness of the program in supporting sustained employment outcome</w:t>
      </w:r>
      <w:r w:rsidRPr="0050645D">
        <w:rPr>
          <w:rFonts w:eastAsia="Times New Roman" w:cstheme="minorHAnsi"/>
          <w:szCs w:val="22"/>
          <w:lang w:eastAsia="en-AU"/>
        </w:rPr>
        <w:t>.</w:t>
      </w:r>
    </w:p>
    <w:p w14:paraId="54369059" w14:textId="77777777" w:rsidR="00E71249" w:rsidRPr="0050645D" w:rsidRDefault="00E71249" w:rsidP="00FD4C88">
      <w:pPr>
        <w:pStyle w:val="CPCustom3"/>
        <w:rPr>
          <w:lang w:eastAsia="en-AU"/>
        </w:rPr>
      </w:pPr>
      <w:r w:rsidRPr="0050645D">
        <w:rPr>
          <w:lang w:eastAsia="en-AU"/>
        </w:rPr>
        <w:t>Methodology</w:t>
      </w:r>
    </w:p>
    <w:p w14:paraId="4C4C7EF9" w14:textId="77777777" w:rsidR="00E71249" w:rsidRPr="0050645D" w:rsidRDefault="00E71249" w:rsidP="00DE365A">
      <w:pPr>
        <w:tabs>
          <w:tab w:val="left" w:pos="1066"/>
        </w:tabs>
        <w:spacing w:before="120" w:after="160" w:line="256" w:lineRule="auto"/>
        <w:rPr>
          <w:rFonts w:eastAsia="Times New Roman" w:cstheme="minorHAnsi"/>
          <w:szCs w:val="22"/>
          <w:lang w:eastAsia="en-AU"/>
        </w:rPr>
      </w:pPr>
      <w:r w:rsidRPr="0050645D">
        <w:rPr>
          <w:rFonts w:eastAsia="Times New Roman" w:cstheme="minorHAnsi"/>
          <w:szCs w:val="22"/>
          <w:lang w:eastAsia="en-AU"/>
        </w:rPr>
        <w:t>The Employment Placement per cent is the proportion of commencements to employment placements/anchors.</w:t>
      </w:r>
    </w:p>
    <w:p w14:paraId="2DAFEBBA" w14:textId="77777777" w:rsidR="00E71249" w:rsidRPr="0050645D" w:rsidRDefault="00E71249" w:rsidP="00DE365A">
      <w:pPr>
        <w:tabs>
          <w:tab w:val="left" w:pos="1066"/>
        </w:tabs>
        <w:spacing w:before="120" w:after="160" w:line="256" w:lineRule="auto"/>
        <w:rPr>
          <w:rFonts w:eastAsia="Times New Roman" w:cstheme="minorHAnsi"/>
          <w:szCs w:val="22"/>
          <w:lang w:eastAsia="en-AU"/>
        </w:rPr>
      </w:pPr>
      <w:r w:rsidRPr="0050645D">
        <w:rPr>
          <w:rFonts w:eastAsia="Times New Roman" w:cstheme="minorHAnsi"/>
          <w:szCs w:val="22"/>
          <w:lang w:eastAsia="en-AU"/>
        </w:rPr>
        <w:t>The Employment Sustainability per cent is the proportion of employment placements/anchors sustained to 12, 26 and 52 weeks.</w:t>
      </w:r>
    </w:p>
    <w:p w14:paraId="50F30D2B" w14:textId="77777777" w:rsidR="00E71249" w:rsidRPr="0050645D" w:rsidRDefault="00E71249" w:rsidP="00FD4C88">
      <w:pPr>
        <w:pStyle w:val="CPCustom3"/>
        <w:rPr>
          <w:lang w:eastAsia="en-AU"/>
        </w:rPr>
      </w:pPr>
      <w:r w:rsidRPr="0050645D">
        <w:rPr>
          <w:lang w:eastAsia="en-AU"/>
        </w:rPr>
        <w:t>Data Categorisation</w:t>
      </w:r>
    </w:p>
    <w:tbl>
      <w:tblPr>
        <w:tblStyle w:val="Numericaltable14"/>
        <w:tblpPr w:leftFromText="180" w:rightFromText="180" w:vertAnchor="text" w:horzAnchor="margin" w:tblpY="11"/>
        <w:tblW w:w="10201" w:type="dxa"/>
        <w:tblLook w:val="04A0" w:firstRow="1" w:lastRow="0" w:firstColumn="1" w:lastColumn="0" w:noHBand="0" w:noVBand="1"/>
        <w:tblCaption w:val="Table 22 - Categorisation of data source"/>
        <w:tblDescription w:val="Categorisation of data source"/>
      </w:tblPr>
      <w:tblGrid>
        <w:gridCol w:w="3823"/>
        <w:gridCol w:w="6378"/>
      </w:tblGrid>
      <w:tr w:rsidR="00E71249" w:rsidRPr="0050645D" w14:paraId="71D2BF3C" w14:textId="77777777" w:rsidTr="00496219">
        <w:trPr>
          <w:trHeight w:val="558"/>
          <w:tblHeader/>
        </w:trPr>
        <w:tc>
          <w:tcPr>
            <w:tcW w:w="3823" w:type="dxa"/>
            <w:shd w:val="clear" w:color="auto" w:fill="215868"/>
          </w:tcPr>
          <w:p w14:paraId="174D1938" w14:textId="77777777" w:rsidR="00E71249" w:rsidRPr="0050645D" w:rsidRDefault="00E71249" w:rsidP="00496219">
            <w:pPr>
              <w:suppressAutoHyphens/>
              <w:spacing w:before="120" w:after="120"/>
              <w:rPr>
                <w:rFonts w:asciiTheme="minorHAnsi" w:hAnsiTheme="minorHAnsi" w:cstheme="minorHAnsi"/>
                <w:b/>
                <w:bCs/>
                <w:color w:val="FFFFFF"/>
                <w:szCs w:val="22"/>
              </w:rPr>
            </w:pPr>
            <w:r w:rsidRPr="0050645D">
              <w:rPr>
                <w:rFonts w:asciiTheme="minorHAnsi" w:hAnsiTheme="minorHAnsi" w:cstheme="minorHAnsi"/>
                <w:b/>
                <w:bCs/>
                <w:color w:val="FFFFFF"/>
                <w:szCs w:val="22"/>
              </w:rPr>
              <w:t xml:space="preserve">Categorisation of data source </w:t>
            </w:r>
          </w:p>
        </w:tc>
        <w:tc>
          <w:tcPr>
            <w:tcW w:w="6378" w:type="dxa"/>
            <w:shd w:val="clear" w:color="auto" w:fill="215868"/>
          </w:tcPr>
          <w:p w14:paraId="03CD30B8" w14:textId="77777777" w:rsidR="00E71249" w:rsidRPr="0050645D" w:rsidRDefault="00E71249" w:rsidP="00496219">
            <w:pPr>
              <w:suppressAutoHyphens/>
              <w:spacing w:before="120" w:after="120"/>
              <w:rPr>
                <w:rFonts w:asciiTheme="minorHAnsi" w:hAnsiTheme="minorHAnsi" w:cstheme="minorHAnsi"/>
                <w:b/>
                <w:bCs/>
                <w:color w:val="FFFFFF"/>
                <w:szCs w:val="22"/>
              </w:rPr>
            </w:pPr>
            <w:r w:rsidRPr="0050645D">
              <w:rPr>
                <w:rFonts w:asciiTheme="minorHAnsi" w:hAnsiTheme="minorHAnsi" w:cstheme="minorHAnsi"/>
                <w:b/>
                <w:bCs/>
                <w:color w:val="FFFFFF"/>
                <w:szCs w:val="22"/>
              </w:rPr>
              <w:t xml:space="preserve">Data source </w:t>
            </w:r>
          </w:p>
        </w:tc>
      </w:tr>
      <w:tr w:rsidR="00E71249" w:rsidRPr="0050645D" w14:paraId="53CD0333" w14:textId="77777777" w:rsidTr="00496219">
        <w:trPr>
          <w:trHeight w:val="558"/>
        </w:trPr>
        <w:tc>
          <w:tcPr>
            <w:tcW w:w="3823" w:type="dxa"/>
          </w:tcPr>
          <w:p w14:paraId="3CFF4A12" w14:textId="6258C431" w:rsidR="00E71249" w:rsidRPr="0050645D" w:rsidRDefault="00E71249" w:rsidP="00496219">
            <w:pPr>
              <w:suppressAutoHyphens/>
              <w:spacing w:before="120" w:after="120"/>
              <w:rPr>
                <w:rFonts w:asciiTheme="minorHAnsi" w:hAnsiTheme="minorHAnsi" w:cstheme="minorHAnsi"/>
                <w:color w:val="000000"/>
                <w:szCs w:val="22"/>
              </w:rPr>
            </w:pPr>
            <w:r w:rsidRPr="0050645D">
              <w:rPr>
                <w:rFonts w:cstheme="minorHAnsi"/>
                <w:noProof/>
                <w:szCs w:val="22"/>
              </w:rPr>
              <w:drawing>
                <wp:inline distT="0" distB="0" distL="0" distR="0" wp14:anchorId="5BEB39D0" wp14:editId="6A15BCB9">
                  <wp:extent cx="1205357" cy="351909"/>
                  <wp:effectExtent l="0" t="0" r="0" b="0"/>
                  <wp:docPr id="1799219042" name="picture" descr="Second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219042" name="picture" descr="Secondary Sour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5357" cy="351909"/>
                          </a:xfrm>
                          <a:prstGeom prst="rect">
                            <a:avLst/>
                          </a:prstGeom>
                        </pic:spPr>
                      </pic:pic>
                    </a:graphicData>
                  </a:graphic>
                </wp:inline>
              </w:drawing>
            </w:r>
            <w:r w:rsidR="007E4EC0">
              <w:rPr>
                <w:rFonts w:asciiTheme="minorHAnsi" w:hAnsiTheme="minorHAnsi" w:cstheme="minorHAnsi"/>
                <w:color w:val="000000"/>
                <w:szCs w:val="22"/>
              </w:rPr>
              <w:t xml:space="preserve"> </w:t>
            </w:r>
            <w:r w:rsidRPr="0050645D">
              <w:rPr>
                <w:rFonts w:cstheme="minorHAnsi"/>
                <w:noProof/>
                <w:szCs w:val="22"/>
              </w:rPr>
              <w:drawing>
                <wp:inline distT="0" distB="0" distL="0" distR="0" wp14:anchorId="5EF5EF14" wp14:editId="1BE1C55C">
                  <wp:extent cx="886700" cy="346367"/>
                  <wp:effectExtent l="0" t="0" r="8890" b="0"/>
                  <wp:docPr id="2001919331" name="picture" descr="'Ti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919331" name="picture" descr="'Tier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6700" cy="346367"/>
                          </a:xfrm>
                          <a:prstGeom prst="rect">
                            <a:avLst/>
                          </a:prstGeom>
                        </pic:spPr>
                      </pic:pic>
                    </a:graphicData>
                  </a:graphic>
                </wp:inline>
              </w:drawing>
            </w:r>
          </w:p>
        </w:tc>
        <w:tc>
          <w:tcPr>
            <w:tcW w:w="6378" w:type="dxa"/>
          </w:tcPr>
          <w:p w14:paraId="28C97652" w14:textId="77777777" w:rsidR="00E71249" w:rsidRPr="0050645D" w:rsidRDefault="00E71249" w:rsidP="00496219">
            <w:pPr>
              <w:suppressAutoHyphens/>
              <w:spacing w:before="120" w:after="120"/>
              <w:rPr>
                <w:rFonts w:asciiTheme="minorHAnsi" w:hAnsiTheme="minorHAnsi" w:cstheme="minorHAnsi"/>
                <w:color w:val="000000"/>
                <w:szCs w:val="22"/>
              </w:rPr>
            </w:pPr>
            <w:r w:rsidRPr="0050645D">
              <w:rPr>
                <w:rFonts w:asciiTheme="minorHAnsi" w:hAnsiTheme="minorHAnsi" w:cstheme="minorHAnsi"/>
                <w:color w:val="000000"/>
                <w:szCs w:val="22"/>
              </w:rPr>
              <w:t>The Department of Employment and Workplace Relations Employment Business Intelligence Warehouse.</w:t>
            </w:r>
          </w:p>
        </w:tc>
      </w:tr>
    </w:tbl>
    <w:p w14:paraId="7B00AC71" w14:textId="77777777" w:rsidR="00E71249" w:rsidRPr="0050645D" w:rsidRDefault="00E71249" w:rsidP="00FD4C88">
      <w:pPr>
        <w:pStyle w:val="CPCustom3"/>
        <w:rPr>
          <w:lang w:eastAsia="en-AU"/>
        </w:rPr>
      </w:pPr>
      <w:r w:rsidRPr="0050645D">
        <w:rPr>
          <w:lang w:eastAsia="en-AU"/>
        </w:rPr>
        <w:t xml:space="preserve">Supporting Information </w:t>
      </w:r>
    </w:p>
    <w:p w14:paraId="63E460FC" w14:textId="77777777" w:rsidR="00E71249" w:rsidRPr="0050645D" w:rsidRDefault="00E71249" w:rsidP="00DE365A">
      <w:pPr>
        <w:pStyle w:val="ListParagraph"/>
        <w:spacing w:before="120" w:after="160"/>
        <w:rPr>
          <w:lang w:eastAsia="en-AU"/>
        </w:rPr>
      </w:pPr>
      <w:r w:rsidRPr="0050645D">
        <w:rPr>
          <w:lang w:eastAsia="en-AU"/>
        </w:rPr>
        <w:t>Number of Inclusive Employment Australia participants.</w:t>
      </w:r>
    </w:p>
    <w:p w14:paraId="4B69A027" w14:textId="77777777" w:rsidR="00E71249" w:rsidRPr="0050645D" w:rsidRDefault="00E71249" w:rsidP="00DE365A">
      <w:pPr>
        <w:pStyle w:val="ListParagraph"/>
        <w:spacing w:before="120" w:after="160"/>
        <w:rPr>
          <w:lang w:eastAsia="en-AU"/>
        </w:rPr>
      </w:pPr>
      <w:r w:rsidRPr="0050645D">
        <w:rPr>
          <w:lang w:eastAsia="en-AU"/>
        </w:rPr>
        <w:t>Number of Inclusive Employment Australia providers.</w:t>
      </w:r>
    </w:p>
    <w:p w14:paraId="2E31D4A2" w14:textId="77777777" w:rsidR="00E71249" w:rsidRPr="0050645D" w:rsidRDefault="00E71249" w:rsidP="006778D7">
      <w:pPr>
        <w:numPr>
          <w:ilvl w:val="0"/>
          <w:numId w:val="14"/>
        </w:numPr>
        <w:suppressAutoHyphens/>
        <w:spacing w:before="120" w:after="120" w:line="256" w:lineRule="auto"/>
        <w:ind w:left="709"/>
        <w:rPr>
          <w:rFonts w:cstheme="minorHAnsi"/>
          <w:szCs w:val="22"/>
          <w:lang w:eastAsia="en-AU"/>
        </w:rPr>
      </w:pPr>
      <w:r w:rsidRPr="0050645D">
        <w:rPr>
          <w:rFonts w:cstheme="minorHAnsi"/>
          <w:szCs w:val="22"/>
          <w:lang w:eastAsia="en-AU"/>
        </w:rPr>
        <w:br w:type="page"/>
      </w:r>
    </w:p>
    <w:p w14:paraId="48B703DF" w14:textId="65B5A588" w:rsidR="00E71249" w:rsidRPr="00DD6FA0" w:rsidRDefault="00E71249" w:rsidP="00DD6FA0">
      <w:pPr>
        <w:pStyle w:val="Heading3"/>
        <w:shd w:val="clear" w:color="auto" w:fill="005A70" w:themeFill="accent1"/>
        <w:rPr>
          <w:rFonts w:asciiTheme="minorHAnsi" w:hAnsiTheme="minorHAnsi" w:cstheme="minorHAnsi"/>
          <w:b/>
          <w:bCs w:val="0"/>
          <w:color w:val="FFFFFF" w:themeColor="background1"/>
          <w:sz w:val="22"/>
          <w:szCs w:val="22"/>
          <w:lang w:eastAsia="en-AU"/>
        </w:rPr>
      </w:pPr>
      <w:bookmarkStart w:id="102" w:name="_Toc256000038"/>
      <w:bookmarkStart w:id="103" w:name="_Toc238653298"/>
      <w:r w:rsidRPr="00DD6FA0">
        <w:rPr>
          <w:rFonts w:asciiTheme="minorHAnsi" w:hAnsiTheme="minorHAnsi" w:cstheme="minorHAnsi"/>
          <w:b/>
          <w:bCs w:val="0"/>
          <w:color w:val="FFFFFF" w:themeColor="background1"/>
          <w:sz w:val="22"/>
          <w:szCs w:val="22"/>
          <w:lang w:eastAsia="en-AU"/>
        </w:rPr>
        <w:lastRenderedPageBreak/>
        <w:t>P</w:t>
      </w:r>
      <w:r w:rsidR="009A0C00" w:rsidRPr="00DD6FA0">
        <w:rPr>
          <w:rFonts w:asciiTheme="minorHAnsi" w:hAnsiTheme="minorHAnsi" w:cstheme="minorHAnsi"/>
          <w:b/>
          <w:bCs w:val="0"/>
          <w:color w:val="FFFFFF" w:themeColor="background1"/>
          <w:sz w:val="22"/>
          <w:szCs w:val="22"/>
          <w:lang w:eastAsia="en-AU"/>
        </w:rPr>
        <w:t xml:space="preserve">rogram </w:t>
      </w:r>
      <w:r w:rsidRPr="00DD6FA0">
        <w:rPr>
          <w:rFonts w:asciiTheme="minorHAnsi" w:hAnsiTheme="minorHAnsi" w:cstheme="minorHAnsi"/>
          <w:b/>
          <w:bCs w:val="0"/>
          <w:color w:val="FFFFFF" w:themeColor="background1"/>
          <w:sz w:val="22"/>
          <w:szCs w:val="22"/>
          <w:lang w:eastAsia="en-AU"/>
        </w:rPr>
        <w:t xml:space="preserve">1.9 </w:t>
      </w:r>
      <w:r w:rsidR="00FD4C88" w:rsidRPr="00DD6FA0">
        <w:rPr>
          <w:rFonts w:asciiTheme="minorHAnsi" w:hAnsiTheme="minorHAnsi" w:cstheme="minorHAnsi"/>
          <w:b/>
          <w:bCs w:val="0"/>
          <w:color w:val="FFFFFF" w:themeColor="background1"/>
          <w:sz w:val="22"/>
          <w:szCs w:val="22"/>
          <w:lang w:eastAsia="en-AU"/>
        </w:rPr>
        <w:t>Income Apportionment Resolution Payment</w:t>
      </w:r>
      <w:bookmarkEnd w:id="102"/>
      <w:bookmarkEnd w:id="103"/>
    </w:p>
    <w:p w14:paraId="7D46347B" w14:textId="24D18BA3" w:rsidR="00CC4BFB" w:rsidRPr="00C211A9" w:rsidRDefault="00CC4BFB" w:rsidP="00C211A9">
      <w:pPr>
        <w:shd w:val="clear" w:color="auto" w:fill="005A70"/>
        <w:spacing w:before="120" w:after="160" w:line="256" w:lineRule="auto"/>
        <w:rPr>
          <w:rFonts w:cstheme="minorHAnsi"/>
          <w:color w:val="FFFFFF"/>
          <w:kern w:val="2"/>
          <w:szCs w:val="22"/>
          <w:lang w:eastAsia="en-AU"/>
          <w14:ligatures w14:val="standardContextual"/>
        </w:rPr>
      </w:pPr>
      <w:bookmarkStart w:id="104" w:name="_Toc256000039"/>
      <w:r w:rsidRPr="00C211A9">
        <w:rPr>
          <w:rFonts w:cstheme="minorHAnsi"/>
          <w:color w:val="FFFFFF"/>
          <w:kern w:val="2"/>
          <w:szCs w:val="22"/>
          <w:lang w:eastAsia="en-AU"/>
          <w14:ligatures w14:val="standardContextual"/>
        </w:rPr>
        <w:t>A one-off payment available to applicants under the Income Apportionment Resolution Scheme for each eligible debt affected by income apportionment between 20 September 2003 and 6 December 2020.</w:t>
      </w:r>
      <w:bookmarkEnd w:id="104"/>
    </w:p>
    <w:p w14:paraId="4C4CDCBC" w14:textId="77777777" w:rsidR="00E71249" w:rsidRPr="002A5B00" w:rsidRDefault="00E71249" w:rsidP="002A5B00">
      <w:pPr>
        <w:pStyle w:val="Heading4"/>
        <w:shd w:val="clear" w:color="auto" w:fill="B1E4E3" w:themeFill="accent3"/>
        <w:spacing w:before="60" w:after="60"/>
        <w:rPr>
          <w:color w:val="auto"/>
          <w:sz w:val="22"/>
          <w:szCs w:val="22"/>
        </w:rPr>
      </w:pPr>
      <w:r w:rsidRPr="002A5B00">
        <w:rPr>
          <w:color w:val="auto"/>
          <w:sz w:val="22"/>
          <w:szCs w:val="22"/>
        </w:rPr>
        <w:t>Key Activity — 1.9.1 Income Apportionment Resolution Payment</w:t>
      </w:r>
    </w:p>
    <w:p w14:paraId="0DC9FACA" w14:textId="4B118CA5" w:rsidR="00EB767C" w:rsidRPr="00EB767C" w:rsidRDefault="00EB767C" w:rsidP="00DE365A">
      <w:pPr>
        <w:spacing w:before="120" w:after="160"/>
        <w:rPr>
          <w:rFonts w:cstheme="minorHAnsi"/>
          <w:szCs w:val="22"/>
          <w:lang w:eastAsia="en-GB"/>
        </w:rPr>
      </w:pPr>
      <w:r w:rsidRPr="00EB767C">
        <w:rPr>
          <w:rFonts w:eastAsia="Times New Roman" w:cstheme="minorHAnsi"/>
          <w:szCs w:val="22"/>
          <w:lang w:eastAsia="en-GB"/>
        </w:rPr>
        <w:t xml:space="preserve">The Income Apportionment Resolution Scheme </w:t>
      </w:r>
      <w:r w:rsidRPr="00EB767C">
        <w:rPr>
          <w:rFonts w:cstheme="minorHAnsi"/>
          <w:szCs w:val="22"/>
          <w:lang w:eastAsia="en-GB"/>
        </w:rPr>
        <w:t>provides one-off payments to applicants with historical debts affected by income apportionment, in recognition that income apportionment was not consistent with social security law at the time.</w:t>
      </w:r>
    </w:p>
    <w:p w14:paraId="18A6DF9E" w14:textId="77777777" w:rsidR="00EB767C" w:rsidRPr="00EB767C" w:rsidRDefault="00EB767C" w:rsidP="00DE365A">
      <w:pPr>
        <w:spacing w:before="120" w:after="160" w:line="240" w:lineRule="auto"/>
        <w:rPr>
          <w:rFonts w:eastAsia="Times New Roman" w:cstheme="minorHAnsi"/>
          <w:szCs w:val="22"/>
          <w:lang w:eastAsia="en-GB"/>
        </w:rPr>
      </w:pPr>
      <w:r w:rsidRPr="00EB767C">
        <w:rPr>
          <w:rFonts w:eastAsia="Times New Roman" w:cstheme="minorHAnsi"/>
          <w:szCs w:val="22"/>
          <w:lang w:eastAsia="en-GB"/>
        </w:rPr>
        <w:t xml:space="preserve">Eligible applicants may receive a payment of up to $600 for each eligible debt. The amount payable depends on the original value of the debt, assessed in accordance with the Scheme rules. </w:t>
      </w:r>
    </w:p>
    <w:p w14:paraId="54DD67C5" w14:textId="77777777" w:rsidR="00EB767C" w:rsidRPr="00EB767C" w:rsidRDefault="00EB767C" w:rsidP="00DE365A">
      <w:pPr>
        <w:spacing w:before="120" w:after="160" w:line="240" w:lineRule="auto"/>
        <w:rPr>
          <w:rFonts w:eastAsia="Times New Roman" w:cstheme="minorHAnsi"/>
          <w:szCs w:val="22"/>
          <w:lang w:eastAsia="en-GB"/>
        </w:rPr>
      </w:pPr>
      <w:r w:rsidRPr="00EB767C">
        <w:rPr>
          <w:rFonts w:eastAsia="Times New Roman" w:cstheme="minorHAnsi"/>
          <w:szCs w:val="22"/>
          <w:lang w:eastAsia="en-GB"/>
        </w:rPr>
        <w:t>The Resolution Scheme has opened for applications for 12 months from 30 January 2026, with processing of applications to commence in July 2026. Late applications will be accepted in special circumstances for an additional 12 months.</w:t>
      </w:r>
    </w:p>
    <w:p w14:paraId="4CE2D352" w14:textId="5C50DFF6" w:rsidR="00EB767C" w:rsidRPr="00EB767C" w:rsidRDefault="00EB767C" w:rsidP="00DE365A">
      <w:pPr>
        <w:spacing w:before="120" w:after="160" w:line="240" w:lineRule="auto"/>
        <w:rPr>
          <w:rFonts w:eastAsia="Times New Roman" w:cstheme="minorHAnsi"/>
          <w:szCs w:val="22"/>
          <w:lang w:eastAsia="en-GB"/>
        </w:rPr>
      </w:pPr>
      <w:r w:rsidRPr="00EB767C">
        <w:rPr>
          <w:rFonts w:eastAsia="Times New Roman" w:cstheme="minorHAnsi"/>
          <w:b/>
          <w:szCs w:val="22"/>
          <w:lang w:eastAsia="en-GB"/>
        </w:rPr>
        <w:t xml:space="preserve">The </w:t>
      </w:r>
      <w:r w:rsidR="0054557F">
        <w:rPr>
          <w:rFonts w:eastAsia="Times New Roman" w:cstheme="minorHAnsi"/>
          <w:b/>
          <w:szCs w:val="22"/>
          <w:lang w:eastAsia="en-GB"/>
        </w:rPr>
        <w:t>d</w:t>
      </w:r>
      <w:r w:rsidRPr="00EB767C">
        <w:rPr>
          <w:rFonts w:eastAsia="Times New Roman" w:cstheme="minorHAnsi"/>
          <w:b/>
          <w:szCs w:val="22"/>
          <w:lang w:eastAsia="en-GB"/>
        </w:rPr>
        <w:t>epartment</w:t>
      </w:r>
      <w:r w:rsidRPr="00EB767C">
        <w:rPr>
          <w:rFonts w:eastAsia="Times New Roman" w:cstheme="minorHAnsi"/>
          <w:szCs w:val="22"/>
          <w:lang w:eastAsia="en-GB"/>
        </w:rPr>
        <w:t xml:space="preserve"> is responsible for designing and implementing the Income Apportionment Resolution Scheme, including providing advice to government on policy and legislation, program implementation and management, program performance, monitoring and meeting all relevant deliverables, setting guidelines and providing guidance and advice to Services Australia on the administration of the program.</w:t>
      </w:r>
    </w:p>
    <w:p w14:paraId="34D1DA10" w14:textId="77777777" w:rsidR="00EB767C" w:rsidRPr="00EB767C" w:rsidRDefault="00EB767C" w:rsidP="00DE365A">
      <w:pPr>
        <w:spacing w:before="120" w:after="160" w:line="257" w:lineRule="auto"/>
        <w:rPr>
          <w:rFonts w:cstheme="minorHAnsi"/>
          <w:szCs w:val="22"/>
          <w:lang w:eastAsia="en-AU"/>
        </w:rPr>
      </w:pPr>
      <w:r w:rsidRPr="00EB767C">
        <w:rPr>
          <w:rFonts w:eastAsia="Times New Roman" w:cstheme="minorHAnsi"/>
          <w:b/>
          <w:szCs w:val="22"/>
          <w:lang w:eastAsia="en-GB"/>
        </w:rPr>
        <w:t xml:space="preserve">Services Australia </w:t>
      </w:r>
      <w:r w:rsidRPr="00EB767C">
        <w:rPr>
          <w:rFonts w:eastAsia="Times New Roman" w:cstheme="minorHAnsi"/>
          <w:szCs w:val="22"/>
          <w:lang w:eastAsia="en-GB"/>
        </w:rPr>
        <w:t>is the primary portfolio agency responsible for administering the Income Apportionment Resolution Payment, including receiving, processing and managing applications and delivering payments.</w:t>
      </w:r>
    </w:p>
    <w:p w14:paraId="71A77984" w14:textId="5B31EC05" w:rsidR="00EB767C" w:rsidRPr="00FD4C88" w:rsidRDefault="00EB767C" w:rsidP="00FD4C88">
      <w:pPr>
        <w:pStyle w:val="Heading4"/>
        <w:rPr>
          <w:sz w:val="22"/>
          <w:szCs w:val="22"/>
        </w:rPr>
      </w:pPr>
      <w:bookmarkStart w:id="105" w:name="_Toc207287357"/>
      <w:bookmarkStart w:id="106" w:name="_Toc233038756"/>
      <w:r w:rsidRPr="00FD4C88">
        <w:rPr>
          <w:sz w:val="22"/>
          <w:szCs w:val="22"/>
        </w:rPr>
        <w:t>Performance Measure</w:t>
      </w:r>
      <w:bookmarkEnd w:id="105"/>
      <w:bookmarkEnd w:id="106"/>
    </w:p>
    <w:p w14:paraId="40EDB7C3" w14:textId="6887F930" w:rsidR="00EB767C" w:rsidRPr="00EB767C" w:rsidRDefault="00EB767C" w:rsidP="00DE365A">
      <w:pPr>
        <w:spacing w:before="120" w:after="160"/>
        <w:rPr>
          <w:rFonts w:eastAsia="Aptos" w:cstheme="minorHAnsi"/>
          <w:bCs/>
          <w:szCs w:val="22"/>
          <w:lang w:val="en-US" w:eastAsia="en-AU"/>
        </w:rPr>
      </w:pPr>
      <w:r w:rsidRPr="00EB767C">
        <w:rPr>
          <w:rFonts w:eastAsia="Aptos" w:cstheme="minorHAnsi"/>
          <w:szCs w:val="22"/>
          <w:lang w:eastAsia="en-AU"/>
        </w:rPr>
        <w:t xml:space="preserve">1.9.1-1 </w:t>
      </w:r>
      <w:r w:rsidRPr="00EB767C">
        <w:rPr>
          <w:rFonts w:eastAsia="Aptos" w:cstheme="minorHAnsi"/>
          <w:szCs w:val="22"/>
          <w:lang w:val="en-US" w:eastAsia="en-AU"/>
        </w:rPr>
        <w:t xml:space="preserve">Extent to which applications for the Income Apportionment Resolution Scheme are </w:t>
      </w:r>
      <w:proofErr w:type="spellStart"/>
      <w:r w:rsidRPr="00EB767C">
        <w:rPr>
          <w:rFonts w:eastAsia="Aptos" w:cstheme="minorHAnsi"/>
          <w:szCs w:val="22"/>
          <w:lang w:val="en-US" w:eastAsia="en-AU"/>
        </w:rPr>
        <w:t>finalised</w:t>
      </w:r>
      <w:proofErr w:type="spellEnd"/>
      <w:r w:rsidRPr="00EB767C">
        <w:rPr>
          <w:rFonts w:eastAsia="Aptos" w:cstheme="minorHAnsi"/>
          <w:szCs w:val="22"/>
          <w:lang w:val="en-US" w:eastAsia="en-AU"/>
        </w:rPr>
        <w:t>, and payments made where applicants meet eligibility requirements, in accordance with the Income Apportionment Resolution Scheme Determination 2025.</w:t>
      </w:r>
    </w:p>
    <w:tbl>
      <w:tblPr>
        <w:tblStyle w:val="Numericaltable11"/>
        <w:tblW w:w="10490" w:type="dxa"/>
        <w:tblInd w:w="-5" w:type="dxa"/>
        <w:tblLook w:val="04A0" w:firstRow="1" w:lastRow="0" w:firstColumn="1" w:lastColumn="0" w:noHBand="0" w:noVBand="1"/>
        <w:tblCaption w:val="Table 23 - Extent to which applications for the Income Apportionment Resolution Scheme are finalised, and payments made where applicants meet eligibility requirements, in accordance with the Income Apportionment Resolution Scheme Determination 2025."/>
        <w:tblDescription w:val="Target for the extent to which applications for the Income Apportionment Resolution Scheme are finalised, and payments made where applicants meet eligibility requirements, in accordance with the Income Apportionment Resolution Scheme Determination 2025."/>
      </w:tblPr>
      <w:tblGrid>
        <w:gridCol w:w="2835"/>
        <w:gridCol w:w="2584"/>
        <w:gridCol w:w="2519"/>
        <w:gridCol w:w="2552"/>
      </w:tblGrid>
      <w:tr w:rsidR="00EB767C" w:rsidRPr="00EB767C" w14:paraId="4FF84CEC" w14:textId="77777777" w:rsidTr="00B655E4">
        <w:trPr>
          <w:trHeight w:val="433"/>
        </w:trPr>
        <w:tc>
          <w:tcPr>
            <w:tcW w:w="2835" w:type="dxa"/>
            <w:shd w:val="clear" w:color="auto" w:fill="D9D9D6"/>
          </w:tcPr>
          <w:p w14:paraId="7AAF8296" w14:textId="77777777" w:rsidR="00EB767C" w:rsidRPr="00EB767C" w:rsidRDefault="00EB767C" w:rsidP="00B655E4">
            <w:pPr>
              <w:spacing w:before="240" w:after="120"/>
              <w:rPr>
                <w:rFonts w:cstheme="minorHAnsi"/>
              </w:rPr>
            </w:pPr>
            <w:r w:rsidRPr="00EB767C">
              <w:rPr>
                <w:rFonts w:cstheme="minorHAnsi"/>
                <w:b/>
              </w:rPr>
              <w:t>Target</w:t>
            </w:r>
          </w:p>
        </w:tc>
        <w:tc>
          <w:tcPr>
            <w:tcW w:w="2584" w:type="dxa"/>
            <w:shd w:val="clear" w:color="auto" w:fill="D9D9D6"/>
          </w:tcPr>
          <w:p w14:paraId="3A31B106" w14:textId="77777777" w:rsidR="00EB767C" w:rsidRPr="00EB767C" w:rsidRDefault="00EB767C" w:rsidP="00B655E4">
            <w:pPr>
              <w:spacing w:before="240" w:after="120"/>
              <w:jc w:val="both"/>
              <w:rPr>
                <w:rFonts w:cstheme="minorHAnsi"/>
                <w:b/>
              </w:rPr>
            </w:pPr>
            <w:r w:rsidRPr="00EB767C">
              <w:rPr>
                <w:rFonts w:cstheme="minorHAnsi"/>
                <w:b/>
              </w:rPr>
              <w:t>2026–27</w:t>
            </w:r>
          </w:p>
        </w:tc>
        <w:tc>
          <w:tcPr>
            <w:tcW w:w="2519" w:type="dxa"/>
            <w:shd w:val="clear" w:color="auto" w:fill="D9D9D6"/>
          </w:tcPr>
          <w:p w14:paraId="1F6108D3" w14:textId="77777777" w:rsidR="00EB767C" w:rsidRPr="00EB767C" w:rsidRDefault="00EB767C" w:rsidP="00B655E4">
            <w:pPr>
              <w:spacing w:before="240" w:after="120"/>
              <w:jc w:val="both"/>
              <w:rPr>
                <w:rFonts w:cstheme="minorHAnsi"/>
                <w:b/>
              </w:rPr>
            </w:pPr>
            <w:r w:rsidRPr="00EB767C">
              <w:rPr>
                <w:rFonts w:cstheme="minorHAnsi"/>
                <w:b/>
              </w:rPr>
              <w:t>2027–28</w:t>
            </w:r>
          </w:p>
        </w:tc>
        <w:tc>
          <w:tcPr>
            <w:tcW w:w="2552" w:type="dxa"/>
            <w:shd w:val="clear" w:color="auto" w:fill="D9D9D6"/>
          </w:tcPr>
          <w:p w14:paraId="689C51BA" w14:textId="77777777" w:rsidR="00EB767C" w:rsidRPr="00EB767C" w:rsidRDefault="00EB767C" w:rsidP="00B655E4">
            <w:pPr>
              <w:spacing w:before="240" w:after="120"/>
              <w:jc w:val="both"/>
              <w:rPr>
                <w:rFonts w:cstheme="minorHAnsi"/>
                <w:b/>
              </w:rPr>
            </w:pPr>
            <w:r w:rsidRPr="00EB767C">
              <w:rPr>
                <w:rFonts w:cstheme="minorHAnsi"/>
                <w:b/>
              </w:rPr>
              <w:t>2028-29</w:t>
            </w:r>
          </w:p>
        </w:tc>
      </w:tr>
      <w:tr w:rsidR="00EB767C" w:rsidRPr="00EB767C" w14:paraId="7E18577C" w14:textId="77777777" w:rsidTr="00B655E4">
        <w:tc>
          <w:tcPr>
            <w:tcW w:w="2835" w:type="dxa"/>
            <w:shd w:val="clear" w:color="auto" w:fill="FFFFFF" w:themeFill="background1"/>
          </w:tcPr>
          <w:p w14:paraId="03ABD959" w14:textId="28A82412" w:rsidR="00EB767C" w:rsidRPr="00EB767C" w:rsidRDefault="009E1B06" w:rsidP="00B655E4">
            <w:pPr>
              <w:spacing w:before="240" w:after="120"/>
              <w:rPr>
                <w:rFonts w:cstheme="minorHAnsi"/>
              </w:rPr>
            </w:pPr>
            <w:r>
              <w:rPr>
                <w:rFonts w:cstheme="minorHAnsi"/>
                <w:noProof/>
              </w:rPr>
              <mc:AlternateContent>
                <mc:Choice Requires="wps">
                  <w:drawing>
                    <wp:anchor distT="0" distB="0" distL="114300" distR="114300" simplePos="0" relativeHeight="251670536" behindDoc="0" locked="0" layoutInCell="1" allowOverlap="1" wp14:anchorId="5E344548" wp14:editId="64AC2339">
                      <wp:simplePos x="0" y="0"/>
                      <wp:positionH relativeFrom="column">
                        <wp:posOffset>-33711</wp:posOffset>
                      </wp:positionH>
                      <wp:positionV relativeFrom="paragraph">
                        <wp:posOffset>189268</wp:posOffset>
                      </wp:positionV>
                      <wp:extent cx="45719" cy="116006"/>
                      <wp:effectExtent l="0" t="0" r="12065" b="17780"/>
                      <wp:wrapNone/>
                      <wp:docPr id="746514908" name="Diamond 14" descr="The diamond symbol represents Performance measures that may be impacted by external factors."/>
                      <wp:cNvGraphicFramePr/>
                      <a:graphic xmlns:a="http://schemas.openxmlformats.org/drawingml/2006/main">
                        <a:graphicData uri="http://schemas.microsoft.com/office/word/2010/wordprocessingShape">
                          <wps:wsp>
                            <wps:cNvSpPr/>
                            <wps:spPr>
                              <a:xfrm>
                                <a:off x="0" y="0"/>
                                <a:ext cx="45719" cy="116006"/>
                              </a:xfrm>
                              <a:prstGeom prst="diamond">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652A0F" id="Diamond 14" o:spid="_x0000_s1026" type="#_x0000_t4" alt="The diamond symbol represents Performance measures that may be impacted by external factors." style="position:absolute;margin-left:-2.65pt;margin-top:14.9pt;width:3.6pt;height:9.15pt;z-index:251670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" fillcolor="black [3213]" strokecolor="#000d10 [484]" strokeweight=".73403mm"/>
                  </w:pict>
                </mc:Fallback>
              </mc:AlternateContent>
            </w:r>
            <w:r>
              <w:rPr>
                <w:rFonts w:cstheme="minorHAnsi"/>
              </w:rPr>
              <w:t xml:space="preserve"> </w:t>
            </w:r>
            <w:r w:rsidR="005A2AFD">
              <w:rPr>
                <w:rFonts w:cstheme="minorHAnsi"/>
              </w:rPr>
              <w:t xml:space="preserve"> </w:t>
            </w:r>
            <w:r w:rsidR="00EB767C" w:rsidRPr="00EB767C">
              <w:rPr>
                <w:rFonts w:cstheme="minorHAnsi"/>
              </w:rPr>
              <w:t>1.9.1-1 Proportion of valid applications for the Income Apportionment Resolution Payment finalised by the relevant target date, with resolution payments made in accordance with the Income Apportionment Resolution Scheme Determination 2025.</w:t>
            </w:r>
          </w:p>
          <w:p w14:paraId="72BDD61D" w14:textId="77777777" w:rsidR="00EB767C" w:rsidRPr="00EB767C" w:rsidRDefault="00EB767C" w:rsidP="00B655E4">
            <w:pPr>
              <w:spacing w:before="240" w:after="120"/>
              <w:rPr>
                <w:rFonts w:cstheme="minorHAnsi"/>
              </w:rPr>
            </w:pPr>
          </w:p>
        </w:tc>
        <w:tc>
          <w:tcPr>
            <w:tcW w:w="2584" w:type="dxa"/>
          </w:tcPr>
          <w:p w14:paraId="77CC0BDF" w14:textId="77777777" w:rsidR="00EB767C" w:rsidRPr="00EB767C" w:rsidRDefault="00EB767C" w:rsidP="00B655E4">
            <w:pPr>
              <w:spacing w:before="240" w:after="120"/>
              <w:rPr>
                <w:rFonts w:cstheme="minorHAnsi"/>
              </w:rPr>
            </w:pPr>
            <w:r w:rsidRPr="00EB767C">
              <w:rPr>
                <w:rFonts w:cstheme="minorHAnsi"/>
              </w:rPr>
              <w:t>at least 70% of valid applications submitted by 30 June 2027 are finalised by 30 June 2027.</w:t>
            </w:r>
          </w:p>
        </w:tc>
        <w:tc>
          <w:tcPr>
            <w:tcW w:w="2519" w:type="dxa"/>
          </w:tcPr>
          <w:p w14:paraId="69F0553B" w14:textId="77777777" w:rsidR="00EB767C" w:rsidRPr="00EB767C" w:rsidRDefault="00EB767C" w:rsidP="00B655E4">
            <w:pPr>
              <w:spacing w:before="240" w:after="120"/>
              <w:rPr>
                <w:rFonts w:cstheme="minorHAnsi"/>
                <w:lang w:val="en-US" w:eastAsia="en-GB"/>
              </w:rPr>
            </w:pPr>
            <w:proofErr w:type="gramStart"/>
            <w:r w:rsidRPr="00EB767C">
              <w:rPr>
                <w:rFonts w:cstheme="minorHAnsi"/>
                <w:lang w:val="en-US" w:eastAsia="en-GB"/>
              </w:rPr>
              <w:t>at</w:t>
            </w:r>
            <w:proofErr w:type="gramEnd"/>
            <w:r w:rsidRPr="00EB767C">
              <w:rPr>
                <w:rFonts w:cstheme="minorHAnsi"/>
                <w:lang w:val="en-US" w:eastAsia="en-GB"/>
              </w:rPr>
              <w:t xml:space="preserve"> least 95% of valid applications submitted by 29 January 2028 are </w:t>
            </w:r>
            <w:proofErr w:type="spellStart"/>
            <w:r w:rsidRPr="00EB767C">
              <w:rPr>
                <w:rFonts w:cstheme="minorHAnsi"/>
                <w:lang w:val="en-US" w:eastAsia="en-GB"/>
              </w:rPr>
              <w:t>finalised</w:t>
            </w:r>
            <w:proofErr w:type="spellEnd"/>
            <w:r w:rsidRPr="00EB767C">
              <w:rPr>
                <w:rFonts w:cstheme="minorHAnsi"/>
                <w:lang w:val="en-US" w:eastAsia="en-GB"/>
              </w:rPr>
              <w:t xml:space="preserve"> by 30 June 2028. </w:t>
            </w:r>
          </w:p>
          <w:p w14:paraId="4402B5F0" w14:textId="77777777" w:rsidR="00EB767C" w:rsidRPr="00EB767C" w:rsidRDefault="00EB767C" w:rsidP="00B655E4">
            <w:pPr>
              <w:spacing w:before="240" w:after="120"/>
              <w:rPr>
                <w:rFonts w:cstheme="minorHAnsi"/>
              </w:rPr>
            </w:pPr>
          </w:p>
        </w:tc>
        <w:tc>
          <w:tcPr>
            <w:tcW w:w="2552" w:type="dxa"/>
          </w:tcPr>
          <w:p w14:paraId="370A9B8B" w14:textId="77777777" w:rsidR="00EB767C" w:rsidRPr="00EB767C" w:rsidRDefault="00EB767C" w:rsidP="00B655E4">
            <w:pPr>
              <w:spacing w:before="240" w:after="120"/>
              <w:rPr>
                <w:rFonts w:cstheme="minorHAnsi"/>
                <w:lang w:eastAsia="en-GB"/>
              </w:rPr>
            </w:pPr>
            <w:r w:rsidRPr="00EB767C">
              <w:rPr>
                <w:rFonts w:cstheme="minorHAnsi"/>
                <w:lang w:eastAsia="en-GB"/>
              </w:rPr>
              <w:t>at least 99% of valid applications submitted by 29 January 2028 are finalised by 30 June 2029.</w:t>
            </w:r>
          </w:p>
          <w:p w14:paraId="2CFDF7CB" w14:textId="77777777" w:rsidR="00EB767C" w:rsidRPr="00EB767C" w:rsidRDefault="00EB767C" w:rsidP="00B655E4">
            <w:pPr>
              <w:spacing w:before="240" w:after="120"/>
              <w:rPr>
                <w:rFonts w:cstheme="minorHAnsi"/>
                <w:lang w:eastAsia="en-GB"/>
              </w:rPr>
            </w:pPr>
          </w:p>
          <w:p w14:paraId="2617E77C" w14:textId="77777777" w:rsidR="00EB767C" w:rsidRPr="00EB767C" w:rsidRDefault="00EB767C" w:rsidP="00B655E4">
            <w:pPr>
              <w:spacing w:before="240" w:after="120"/>
              <w:rPr>
                <w:rFonts w:cstheme="minorHAnsi"/>
              </w:rPr>
            </w:pPr>
          </w:p>
        </w:tc>
      </w:tr>
    </w:tbl>
    <w:p w14:paraId="3548397B" w14:textId="77777777" w:rsidR="00E765FA" w:rsidRDefault="00E765FA">
      <w:pPr>
        <w:spacing w:after="240"/>
        <w:rPr>
          <w:rFonts w:eastAsia="Times New Roman" w:cstheme="minorHAnsi"/>
          <w:b/>
          <w:szCs w:val="22"/>
          <w:lang w:eastAsia="en-AU"/>
        </w:rPr>
      </w:pPr>
      <w:r>
        <w:rPr>
          <w:rFonts w:eastAsia="Times New Roman" w:cstheme="minorHAnsi"/>
          <w:b/>
          <w:szCs w:val="22"/>
          <w:lang w:eastAsia="en-AU"/>
        </w:rPr>
        <w:br w:type="page"/>
      </w:r>
    </w:p>
    <w:p w14:paraId="06E12F47" w14:textId="0DACB27E" w:rsidR="00EB767C" w:rsidRPr="00EB767C" w:rsidRDefault="00EB767C" w:rsidP="00FD4C88">
      <w:pPr>
        <w:pStyle w:val="CPCustom3"/>
        <w:rPr>
          <w:lang w:eastAsia="en-AU"/>
        </w:rPr>
      </w:pPr>
      <w:r w:rsidRPr="00EB767C">
        <w:rPr>
          <w:lang w:eastAsia="en-AU"/>
        </w:rPr>
        <w:lastRenderedPageBreak/>
        <w:t>Rationale</w:t>
      </w:r>
    </w:p>
    <w:p w14:paraId="07DF7AC2" w14:textId="7286A5D9" w:rsidR="00EB767C" w:rsidRPr="00EB767C" w:rsidRDefault="00EB767C" w:rsidP="00E765FA">
      <w:pPr>
        <w:spacing w:before="120" w:after="160"/>
        <w:rPr>
          <w:rFonts w:cstheme="minorHAnsi"/>
          <w:szCs w:val="22"/>
          <w:lang w:eastAsia="en-AU"/>
        </w:rPr>
      </w:pPr>
      <w:r w:rsidRPr="00EB767C">
        <w:rPr>
          <w:rFonts w:cstheme="minorHAnsi"/>
          <w:szCs w:val="22"/>
          <w:lang w:eastAsia="en-AU"/>
        </w:rPr>
        <w:t xml:space="preserve">This measure aligns with the </w:t>
      </w:r>
      <w:r w:rsidR="0054557F">
        <w:rPr>
          <w:rFonts w:cstheme="minorHAnsi"/>
          <w:szCs w:val="22"/>
          <w:lang w:eastAsia="en-AU"/>
        </w:rPr>
        <w:t>d</w:t>
      </w:r>
      <w:r w:rsidRPr="00EB767C">
        <w:rPr>
          <w:rFonts w:cstheme="minorHAnsi"/>
          <w:szCs w:val="22"/>
          <w:lang w:eastAsia="en-AU"/>
        </w:rPr>
        <w:t>epartment’s purpose of supporting a fair, trusted and effective social security system by ensuring eligible individuals receive timely resolution payments for debts affected by income apportionment.</w:t>
      </w:r>
    </w:p>
    <w:p w14:paraId="23750E4A" w14:textId="329571B1" w:rsidR="00EB767C" w:rsidRPr="00EB767C" w:rsidRDefault="00EB767C" w:rsidP="00E765FA">
      <w:pPr>
        <w:spacing w:before="120" w:after="160"/>
        <w:rPr>
          <w:rFonts w:cstheme="minorHAnsi"/>
          <w:szCs w:val="22"/>
          <w:lang w:eastAsia="en-AU"/>
        </w:rPr>
      </w:pPr>
      <w:r w:rsidRPr="00EB767C">
        <w:rPr>
          <w:rFonts w:cstheme="minorHAnsi"/>
          <w:szCs w:val="22"/>
          <w:lang w:eastAsia="en-AU"/>
        </w:rPr>
        <w:t xml:space="preserve">The measure is designed to demonstrate the </w:t>
      </w:r>
      <w:r w:rsidR="0054557F">
        <w:rPr>
          <w:rFonts w:cstheme="minorHAnsi"/>
          <w:szCs w:val="22"/>
          <w:lang w:eastAsia="en-AU"/>
        </w:rPr>
        <w:t>d</w:t>
      </w:r>
      <w:r w:rsidRPr="00EB767C">
        <w:rPr>
          <w:rFonts w:cstheme="minorHAnsi"/>
          <w:szCs w:val="22"/>
          <w:lang w:eastAsia="en-AU"/>
        </w:rPr>
        <w:t>epartment’s effectiveness in delivering a nationally consistent and timely resolution scheme, providing closure for applicants with affected debts. It shows progress over time in finalising applications and issuing payments, reflecting both service delivery performance and the overall success of the Scheme in resolving historical issues.</w:t>
      </w:r>
    </w:p>
    <w:p w14:paraId="5CB1EDFE" w14:textId="77777777" w:rsidR="00EB767C" w:rsidRPr="00EB767C" w:rsidRDefault="00EB767C" w:rsidP="00FD4C88">
      <w:pPr>
        <w:pStyle w:val="CPCustom3"/>
        <w:rPr>
          <w:lang w:eastAsia="en-AU"/>
        </w:rPr>
      </w:pPr>
      <w:r w:rsidRPr="00EB767C">
        <w:rPr>
          <w:lang w:eastAsia="en-AU"/>
        </w:rPr>
        <w:t>Methodology</w:t>
      </w:r>
    </w:p>
    <w:p w14:paraId="3104238F" w14:textId="77777777" w:rsidR="00EB767C" w:rsidRPr="00EB767C" w:rsidRDefault="00EB767C" w:rsidP="00E765FA">
      <w:pPr>
        <w:spacing w:before="120" w:after="160"/>
        <w:rPr>
          <w:rFonts w:cstheme="minorHAnsi"/>
          <w:szCs w:val="22"/>
          <w:lang w:eastAsia="en-AU"/>
        </w:rPr>
      </w:pPr>
      <w:r w:rsidRPr="00EB767C">
        <w:rPr>
          <w:rFonts w:cstheme="minorHAnsi"/>
          <w:szCs w:val="22"/>
          <w:lang w:eastAsia="en-AU"/>
        </w:rPr>
        <w:t xml:space="preserve">In relation to the targets, valid application is defined as a debt that has been registered for assessment in accordance with the requirements as set out in the Income Apportionment Resolution Scheme Determination. An application is considered finalised when Services Australia has completed assessment and one of the following outcomes has occurred: </w:t>
      </w:r>
    </w:p>
    <w:p w14:paraId="06D4E936" w14:textId="77777777" w:rsidR="00EB767C" w:rsidRPr="00E765FA" w:rsidRDefault="00EB767C" w:rsidP="00E765FA">
      <w:pPr>
        <w:pStyle w:val="ListParagraph"/>
        <w:spacing w:before="120" w:after="160"/>
      </w:pPr>
      <w:r w:rsidRPr="00E765FA">
        <w:t>a resolution payment has been made to the applicant;</w:t>
      </w:r>
    </w:p>
    <w:p w14:paraId="3103824D" w14:textId="77777777" w:rsidR="00EB767C" w:rsidRPr="00E765FA" w:rsidRDefault="00EB767C" w:rsidP="00E765FA">
      <w:pPr>
        <w:pStyle w:val="ListParagraph"/>
        <w:spacing w:before="120" w:after="160"/>
      </w:pPr>
      <w:r w:rsidRPr="00E765FA">
        <w:t>a resolution payment has been applied to reduce the outstanding amount of the debt;</w:t>
      </w:r>
    </w:p>
    <w:p w14:paraId="6EAA9AF6" w14:textId="77777777" w:rsidR="00EB767C" w:rsidRPr="00E765FA" w:rsidRDefault="00EB767C" w:rsidP="00E765FA">
      <w:pPr>
        <w:pStyle w:val="ListParagraph"/>
        <w:spacing w:before="120" w:after="160"/>
      </w:pPr>
      <w:r w:rsidRPr="00E765FA">
        <w:t>the application has been refused; or</w:t>
      </w:r>
    </w:p>
    <w:p w14:paraId="2207CB27" w14:textId="77777777" w:rsidR="00EB767C" w:rsidRPr="00E765FA" w:rsidRDefault="00EB767C" w:rsidP="00E765FA">
      <w:pPr>
        <w:pStyle w:val="ListParagraph"/>
        <w:spacing w:before="120" w:after="160"/>
      </w:pPr>
      <w:r w:rsidRPr="00E765FA">
        <w:t>another final administrative outcome has been recorded in accordance with the Determination.</w:t>
      </w:r>
    </w:p>
    <w:p w14:paraId="20094D58" w14:textId="77777777" w:rsidR="00EB767C" w:rsidRPr="00EB767C" w:rsidRDefault="00EB767C" w:rsidP="00E765FA">
      <w:pPr>
        <w:spacing w:before="120" w:after="160"/>
        <w:rPr>
          <w:rFonts w:cstheme="minorHAnsi"/>
          <w:szCs w:val="22"/>
          <w:highlight w:val="yellow"/>
          <w:lang w:eastAsia="en-AU"/>
        </w:rPr>
      </w:pPr>
      <w:r w:rsidRPr="00EB767C">
        <w:rPr>
          <w:rFonts w:cstheme="minorHAnsi"/>
          <w:szCs w:val="22"/>
          <w:lang w:eastAsia="en-AU"/>
        </w:rPr>
        <w:t xml:space="preserve">The target date means the date specified for the financial year that applications are expected to be finalised by. Valid applications that have a debt under review will not count towards the target being finalised. </w:t>
      </w:r>
    </w:p>
    <w:p w14:paraId="1FE8E8F6" w14:textId="77777777" w:rsidR="00EB767C" w:rsidRPr="00EB767C" w:rsidRDefault="00EB767C" w:rsidP="00FD4C88">
      <w:pPr>
        <w:pStyle w:val="CPCustom3"/>
        <w:rPr>
          <w:lang w:eastAsia="en-AU"/>
        </w:rPr>
      </w:pPr>
      <w:r w:rsidRPr="00EB767C">
        <w:rPr>
          <w:lang w:eastAsia="en-AU"/>
        </w:rPr>
        <w:t xml:space="preserve">Data Categorisation </w:t>
      </w:r>
    </w:p>
    <w:tbl>
      <w:tblPr>
        <w:tblStyle w:val="Numericaltable15"/>
        <w:tblpPr w:leftFromText="180" w:rightFromText="180" w:vertAnchor="text" w:horzAnchor="margin" w:tblpY="11"/>
        <w:tblW w:w="10201" w:type="dxa"/>
        <w:tblLook w:val="04A0" w:firstRow="1" w:lastRow="0" w:firstColumn="1" w:lastColumn="0" w:noHBand="0" w:noVBand="1"/>
        <w:tblCaption w:val="Table 24 - Categorisation of data source"/>
        <w:tblDescription w:val="Categorisation of data source"/>
      </w:tblPr>
      <w:tblGrid>
        <w:gridCol w:w="3823"/>
        <w:gridCol w:w="6378"/>
      </w:tblGrid>
      <w:tr w:rsidR="00EB767C" w:rsidRPr="00EB767C" w14:paraId="12B0EBB1" w14:textId="77777777" w:rsidTr="00B655E4">
        <w:trPr>
          <w:trHeight w:val="558"/>
          <w:tblHeader/>
        </w:trPr>
        <w:tc>
          <w:tcPr>
            <w:tcW w:w="3823" w:type="dxa"/>
            <w:shd w:val="clear" w:color="auto" w:fill="215868"/>
          </w:tcPr>
          <w:p w14:paraId="453DDD7D" w14:textId="77777777" w:rsidR="00EB767C" w:rsidRPr="00EB767C" w:rsidRDefault="00EB767C" w:rsidP="00B655E4">
            <w:pPr>
              <w:suppressAutoHyphens/>
              <w:spacing w:before="120" w:after="120"/>
              <w:rPr>
                <w:rFonts w:asciiTheme="minorHAnsi" w:hAnsiTheme="minorHAnsi" w:cstheme="minorHAnsi"/>
                <w:b/>
                <w:bCs/>
                <w:color w:val="FFFFFF"/>
                <w:szCs w:val="22"/>
              </w:rPr>
            </w:pPr>
            <w:r w:rsidRPr="00EB767C">
              <w:rPr>
                <w:rFonts w:asciiTheme="minorHAnsi" w:hAnsiTheme="minorHAnsi" w:cstheme="minorHAnsi"/>
                <w:b/>
                <w:bCs/>
                <w:color w:val="FFFFFF"/>
                <w:szCs w:val="22"/>
              </w:rPr>
              <w:t xml:space="preserve">Categorisation of data source </w:t>
            </w:r>
          </w:p>
        </w:tc>
        <w:tc>
          <w:tcPr>
            <w:tcW w:w="6378" w:type="dxa"/>
            <w:shd w:val="clear" w:color="auto" w:fill="215868"/>
          </w:tcPr>
          <w:p w14:paraId="7166E01F" w14:textId="77777777" w:rsidR="00EB767C" w:rsidRPr="00EB767C" w:rsidRDefault="00EB767C" w:rsidP="00B655E4">
            <w:pPr>
              <w:suppressAutoHyphens/>
              <w:spacing w:before="120" w:after="120"/>
              <w:rPr>
                <w:rFonts w:asciiTheme="minorHAnsi" w:hAnsiTheme="minorHAnsi" w:cstheme="minorHAnsi"/>
                <w:b/>
                <w:bCs/>
                <w:color w:val="FFFFFF"/>
                <w:szCs w:val="22"/>
              </w:rPr>
            </w:pPr>
            <w:r w:rsidRPr="00EB767C">
              <w:rPr>
                <w:rFonts w:asciiTheme="minorHAnsi" w:hAnsiTheme="minorHAnsi" w:cstheme="minorHAnsi"/>
                <w:b/>
                <w:bCs/>
                <w:color w:val="FFFFFF"/>
                <w:szCs w:val="22"/>
              </w:rPr>
              <w:t xml:space="preserve">Data source </w:t>
            </w:r>
          </w:p>
        </w:tc>
      </w:tr>
      <w:tr w:rsidR="00EB767C" w:rsidRPr="00EB767C" w14:paraId="14B6F311" w14:textId="77777777" w:rsidTr="00B655E4">
        <w:trPr>
          <w:trHeight w:val="558"/>
        </w:trPr>
        <w:tc>
          <w:tcPr>
            <w:tcW w:w="3823" w:type="dxa"/>
          </w:tcPr>
          <w:p w14:paraId="284EA478" w14:textId="078FC65A" w:rsidR="00EB767C" w:rsidRPr="00EB767C" w:rsidRDefault="00EB767C" w:rsidP="00B655E4">
            <w:pPr>
              <w:suppressAutoHyphens/>
              <w:spacing w:before="120" w:after="120"/>
              <w:rPr>
                <w:rFonts w:asciiTheme="minorHAnsi" w:hAnsiTheme="minorHAnsi" w:cstheme="minorHAnsi"/>
                <w:color w:val="000000"/>
                <w:szCs w:val="22"/>
              </w:rPr>
            </w:pPr>
            <w:r w:rsidRPr="00EB767C">
              <w:rPr>
                <w:rFonts w:cstheme="minorHAnsi"/>
                <w:noProof/>
                <w:szCs w:val="22"/>
              </w:rPr>
              <w:drawing>
                <wp:inline distT="0" distB="0" distL="0" distR="0" wp14:anchorId="7036561A" wp14:editId="6F920D04">
                  <wp:extent cx="1205357" cy="351909"/>
                  <wp:effectExtent l="0" t="0" r="0" b="0"/>
                  <wp:docPr id="1272432533" name="picture" descr="Second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432533" name="picture" descr="Secondary sour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5357" cy="351909"/>
                          </a:xfrm>
                          <a:prstGeom prst="rect">
                            <a:avLst/>
                          </a:prstGeom>
                        </pic:spPr>
                      </pic:pic>
                    </a:graphicData>
                  </a:graphic>
                </wp:inline>
              </w:drawing>
            </w:r>
            <w:r w:rsidR="007E4EC0">
              <w:rPr>
                <w:rFonts w:asciiTheme="minorHAnsi" w:hAnsiTheme="minorHAnsi" w:cstheme="minorHAnsi"/>
                <w:color w:val="000000"/>
                <w:szCs w:val="22"/>
              </w:rPr>
              <w:t xml:space="preserve"> </w:t>
            </w:r>
            <w:r w:rsidRPr="00EB767C">
              <w:rPr>
                <w:rFonts w:cstheme="minorHAnsi"/>
                <w:noProof/>
                <w:szCs w:val="22"/>
              </w:rPr>
              <w:drawing>
                <wp:inline distT="0" distB="0" distL="0" distR="0" wp14:anchorId="510A501B" wp14:editId="13B00D2E">
                  <wp:extent cx="886700" cy="346367"/>
                  <wp:effectExtent l="0" t="0" r="8890" b="0"/>
                  <wp:docPr id="993122245" name="picture" descr=" 'Ti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122245" name="picture" descr=" 'Tier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6700" cy="346367"/>
                          </a:xfrm>
                          <a:prstGeom prst="rect">
                            <a:avLst/>
                          </a:prstGeom>
                        </pic:spPr>
                      </pic:pic>
                    </a:graphicData>
                  </a:graphic>
                </wp:inline>
              </w:drawing>
            </w:r>
          </w:p>
        </w:tc>
        <w:tc>
          <w:tcPr>
            <w:tcW w:w="6378" w:type="dxa"/>
          </w:tcPr>
          <w:p w14:paraId="6C0847CA" w14:textId="77777777" w:rsidR="00EB767C" w:rsidRPr="00EB767C" w:rsidRDefault="00EB767C" w:rsidP="00B655E4">
            <w:pPr>
              <w:suppressAutoHyphens/>
              <w:spacing w:before="120" w:after="120"/>
              <w:rPr>
                <w:rFonts w:asciiTheme="minorHAnsi" w:hAnsiTheme="minorHAnsi" w:cstheme="minorHAnsi"/>
                <w:color w:val="000000"/>
                <w:szCs w:val="22"/>
              </w:rPr>
            </w:pPr>
            <w:r w:rsidRPr="00EB767C">
              <w:rPr>
                <w:rFonts w:asciiTheme="minorHAnsi" w:hAnsiTheme="minorHAnsi" w:cstheme="minorHAnsi"/>
                <w:color w:val="000000"/>
                <w:szCs w:val="22"/>
              </w:rPr>
              <w:t>Services Australia administrative data</w:t>
            </w:r>
          </w:p>
        </w:tc>
      </w:tr>
    </w:tbl>
    <w:p w14:paraId="49978F31" w14:textId="77777777" w:rsidR="00EB767C" w:rsidRPr="00EB767C" w:rsidRDefault="00EB767C" w:rsidP="00FD4C88">
      <w:pPr>
        <w:pStyle w:val="CPCustom3"/>
        <w:rPr>
          <w:lang w:eastAsia="en-AU"/>
        </w:rPr>
      </w:pPr>
      <w:r w:rsidRPr="00EB767C">
        <w:rPr>
          <w:lang w:eastAsia="en-AU"/>
        </w:rPr>
        <w:t xml:space="preserve">Supporting Information </w:t>
      </w:r>
    </w:p>
    <w:p w14:paraId="565D3798" w14:textId="77777777" w:rsidR="00EB767C" w:rsidRPr="00EB767C" w:rsidRDefault="00EB767C" w:rsidP="00E765FA">
      <w:pPr>
        <w:pStyle w:val="ListParagraph"/>
        <w:spacing w:before="120" w:after="160"/>
        <w:rPr>
          <w:lang w:eastAsia="en-AU"/>
        </w:rPr>
      </w:pPr>
      <w:r w:rsidRPr="00EB767C">
        <w:rPr>
          <w:lang w:eastAsia="en-AU"/>
        </w:rPr>
        <w:t xml:space="preserve">Administered outlays </w:t>
      </w:r>
    </w:p>
    <w:p w14:paraId="512AB888" w14:textId="77777777" w:rsidR="00EB767C" w:rsidRPr="00EB767C" w:rsidRDefault="00EB767C" w:rsidP="00E765FA">
      <w:pPr>
        <w:pStyle w:val="ListParagraph"/>
        <w:spacing w:before="120" w:after="160"/>
        <w:rPr>
          <w:lang w:eastAsia="en-AU"/>
        </w:rPr>
      </w:pPr>
      <w:r w:rsidRPr="00EB767C">
        <w:rPr>
          <w:lang w:eastAsia="en-AU"/>
        </w:rPr>
        <w:t>Payment accuracy</w:t>
      </w:r>
    </w:p>
    <w:p w14:paraId="6EF60BFA" w14:textId="77777777" w:rsidR="00EB767C" w:rsidRPr="00EB767C" w:rsidRDefault="00EB767C" w:rsidP="00E765FA">
      <w:pPr>
        <w:pStyle w:val="ListParagraph"/>
        <w:spacing w:before="120" w:after="160"/>
        <w:rPr>
          <w:lang w:eastAsia="en-AU"/>
        </w:rPr>
      </w:pPr>
      <w:r w:rsidRPr="00EB767C">
        <w:rPr>
          <w:lang w:eastAsia="en-AU"/>
        </w:rPr>
        <w:t xml:space="preserve">Number of recipients </w:t>
      </w:r>
    </w:p>
    <w:p w14:paraId="30326FD9" w14:textId="77777777" w:rsidR="00E71249" w:rsidRPr="00E765FA" w:rsidRDefault="00E71249" w:rsidP="00E71249">
      <w:pPr>
        <w:spacing w:after="240"/>
        <w:rPr>
          <w:sz w:val="28"/>
          <w:szCs w:val="32"/>
        </w:rPr>
      </w:pPr>
      <w:r>
        <w:rPr>
          <w:color w:val="FF0000"/>
          <w:sz w:val="28"/>
          <w:szCs w:val="32"/>
        </w:rPr>
        <w:br w:type="page"/>
      </w:r>
    </w:p>
    <w:p w14:paraId="19F9A9E2" w14:textId="19EB0614" w:rsidR="00E71249" w:rsidRPr="00DD6FA0" w:rsidRDefault="009A0C00" w:rsidP="00DD6FA0">
      <w:pPr>
        <w:pStyle w:val="Heading3"/>
        <w:shd w:val="clear" w:color="auto" w:fill="005A70" w:themeFill="accent1"/>
        <w:rPr>
          <w:rFonts w:asciiTheme="minorHAnsi" w:hAnsiTheme="minorHAnsi" w:cstheme="minorHAnsi"/>
          <w:b/>
          <w:bCs w:val="0"/>
          <w:color w:val="FFFFFF" w:themeColor="background1"/>
          <w:sz w:val="22"/>
          <w:szCs w:val="22"/>
          <w:lang w:eastAsia="en-AU"/>
        </w:rPr>
      </w:pPr>
      <w:bookmarkStart w:id="107" w:name="_Toc238653299"/>
      <w:r w:rsidRPr="00DD6FA0">
        <w:rPr>
          <w:rFonts w:asciiTheme="minorHAnsi" w:hAnsiTheme="minorHAnsi" w:cstheme="minorHAnsi"/>
          <w:b/>
          <w:bCs w:val="0"/>
          <w:color w:val="FFFFFF" w:themeColor="background1"/>
          <w:sz w:val="22"/>
          <w:szCs w:val="22"/>
          <w:lang w:eastAsia="en-AU"/>
        </w:rPr>
        <w:lastRenderedPageBreak/>
        <w:t>Cross Program – Rent Assistance</w:t>
      </w:r>
      <w:bookmarkEnd w:id="107"/>
    </w:p>
    <w:p w14:paraId="19F6F29C" w14:textId="77777777" w:rsidR="00E71249" w:rsidRPr="00FB1833" w:rsidRDefault="00E71249" w:rsidP="00E765FA">
      <w:pPr>
        <w:shd w:val="clear" w:color="auto" w:fill="005A70"/>
        <w:spacing w:before="120" w:after="160" w:line="259" w:lineRule="auto"/>
        <w:rPr>
          <w:rFonts w:cstheme="minorHAnsi"/>
          <w:color w:val="FFFFFF"/>
          <w:szCs w:val="22"/>
          <w:lang w:eastAsia="en-AU"/>
        </w:rPr>
      </w:pPr>
      <w:r w:rsidRPr="00FB1833">
        <w:rPr>
          <w:rFonts w:cstheme="minorHAnsi"/>
          <w:color w:val="FFFFFF"/>
          <w:szCs w:val="22"/>
          <w:lang w:eastAsia="en-AU"/>
        </w:rPr>
        <w:t>To make payments to income support or family payment recipients to assist with the costs of renting private and community housing</w:t>
      </w:r>
      <w:r>
        <w:rPr>
          <w:rFonts w:cstheme="minorHAnsi"/>
          <w:color w:val="FFFFFF"/>
          <w:szCs w:val="22"/>
          <w:lang w:eastAsia="en-AU"/>
        </w:rPr>
        <w:t>.</w:t>
      </w:r>
    </w:p>
    <w:p w14:paraId="31C6044B" w14:textId="77777777" w:rsidR="00E71249" w:rsidRPr="002A5B00" w:rsidRDefault="00E71249" w:rsidP="002A5B00">
      <w:pPr>
        <w:pStyle w:val="Heading4"/>
        <w:shd w:val="clear" w:color="auto" w:fill="B1E4E3" w:themeFill="accent3"/>
        <w:spacing w:before="60" w:after="60"/>
        <w:rPr>
          <w:color w:val="auto"/>
          <w:sz w:val="22"/>
          <w:szCs w:val="22"/>
        </w:rPr>
      </w:pPr>
      <w:r w:rsidRPr="002A5B00">
        <w:rPr>
          <w:color w:val="auto"/>
          <w:sz w:val="22"/>
          <w:szCs w:val="22"/>
        </w:rPr>
        <w:t>Key Activity — Rent Assistance</w:t>
      </w:r>
    </w:p>
    <w:p w14:paraId="149F7EE0" w14:textId="77777777" w:rsidR="00E71249" w:rsidRPr="00FB1833" w:rsidRDefault="00E71249" w:rsidP="00E765FA">
      <w:pPr>
        <w:suppressAutoHyphens/>
        <w:spacing w:before="120" w:after="160"/>
        <w:rPr>
          <w:rFonts w:eastAsia="Times New Roman" w:cstheme="minorHAnsi"/>
          <w:szCs w:val="22"/>
          <w:lang w:eastAsia="en-AU"/>
        </w:rPr>
      </w:pPr>
      <w:r w:rsidRPr="00FB1833">
        <w:rPr>
          <w:rFonts w:eastAsia="Times New Roman" w:cstheme="minorHAnsi"/>
          <w:szCs w:val="22"/>
          <w:lang w:eastAsia="en-AU"/>
        </w:rPr>
        <w:t>Cross Program Rent Assistance is a supplementary payment to assist eligible Australians receiving income support or family assistance payments with the cost of private rental or community housing. Individuals receiving the following payments may be eligible for Rent Assistance:</w:t>
      </w:r>
    </w:p>
    <w:p w14:paraId="45D311BE" w14:textId="77777777" w:rsidR="00E71249" w:rsidRPr="00FB1833" w:rsidRDefault="00E71249" w:rsidP="00E765FA">
      <w:pPr>
        <w:pStyle w:val="ListParagraph"/>
        <w:spacing w:before="120" w:after="160"/>
        <w:rPr>
          <w:lang w:eastAsia="en-AU"/>
        </w:rPr>
      </w:pPr>
      <w:r w:rsidRPr="00FB1833">
        <w:rPr>
          <w:lang w:eastAsia="en-AU"/>
        </w:rPr>
        <w:t>Age Pension, Carer Payment or Disability Support Pension</w:t>
      </w:r>
    </w:p>
    <w:p w14:paraId="4D5C92F8" w14:textId="77777777" w:rsidR="00E71249" w:rsidRPr="00FB1833" w:rsidRDefault="00E71249" w:rsidP="00E765FA">
      <w:pPr>
        <w:pStyle w:val="ListParagraph"/>
        <w:spacing w:before="120" w:after="160"/>
        <w:rPr>
          <w:lang w:eastAsia="en-AU"/>
        </w:rPr>
      </w:pPr>
      <w:r w:rsidRPr="00FB1833">
        <w:rPr>
          <w:lang w:eastAsia="en-AU"/>
        </w:rPr>
        <w:t xml:space="preserve">ABSTUDY Living Allowance, </w:t>
      </w:r>
      <w:proofErr w:type="spellStart"/>
      <w:r w:rsidRPr="00FB1833">
        <w:rPr>
          <w:lang w:eastAsia="en-AU"/>
        </w:rPr>
        <w:t>Austudy</w:t>
      </w:r>
      <w:proofErr w:type="spellEnd"/>
      <w:r w:rsidRPr="00FB1833">
        <w:rPr>
          <w:lang w:eastAsia="en-AU"/>
        </w:rPr>
        <w:t xml:space="preserve"> or Youth Allowance</w:t>
      </w:r>
    </w:p>
    <w:p w14:paraId="737F11FA" w14:textId="77777777" w:rsidR="00E71249" w:rsidRPr="00FB1833" w:rsidRDefault="00E71249" w:rsidP="00E765FA">
      <w:pPr>
        <w:pStyle w:val="ListParagraph"/>
        <w:spacing w:before="120" w:after="160"/>
        <w:rPr>
          <w:lang w:eastAsia="en-AU"/>
        </w:rPr>
      </w:pPr>
      <w:r w:rsidRPr="00FB1833">
        <w:rPr>
          <w:lang w:eastAsia="en-AU"/>
        </w:rPr>
        <w:t xml:space="preserve">Special Benefit </w:t>
      </w:r>
    </w:p>
    <w:p w14:paraId="6CE19483" w14:textId="77777777" w:rsidR="00E71249" w:rsidRPr="00FB1833" w:rsidRDefault="00E71249" w:rsidP="00E765FA">
      <w:pPr>
        <w:pStyle w:val="ListParagraph"/>
        <w:spacing w:before="120" w:after="160"/>
        <w:rPr>
          <w:lang w:eastAsia="en-AU"/>
        </w:rPr>
      </w:pPr>
      <w:r w:rsidRPr="00FB1833">
        <w:rPr>
          <w:lang w:eastAsia="en-AU"/>
        </w:rPr>
        <w:t>FTB Part A, at more than the base rate</w:t>
      </w:r>
    </w:p>
    <w:p w14:paraId="250B46A0" w14:textId="77777777" w:rsidR="00E71249" w:rsidRPr="00FB1833" w:rsidRDefault="00E71249" w:rsidP="00E765FA">
      <w:pPr>
        <w:pStyle w:val="ListParagraph"/>
        <w:spacing w:before="120" w:after="160"/>
        <w:rPr>
          <w:lang w:eastAsia="en-AU"/>
        </w:rPr>
      </w:pPr>
      <w:r w:rsidRPr="00FB1833">
        <w:rPr>
          <w:lang w:eastAsia="en-AU"/>
        </w:rPr>
        <w:t>Parenting Payment, partnered and single</w:t>
      </w:r>
    </w:p>
    <w:p w14:paraId="3CA1244B" w14:textId="77777777" w:rsidR="00E71249" w:rsidRPr="00FB1833" w:rsidRDefault="00E71249" w:rsidP="00E765FA">
      <w:pPr>
        <w:pStyle w:val="ListParagraph"/>
        <w:spacing w:before="120" w:after="160"/>
        <w:rPr>
          <w:lang w:eastAsia="en-AU"/>
        </w:rPr>
      </w:pPr>
      <w:proofErr w:type="spellStart"/>
      <w:r w:rsidRPr="00FB1833">
        <w:rPr>
          <w:lang w:eastAsia="en-AU"/>
        </w:rPr>
        <w:t>JobSeeker</w:t>
      </w:r>
      <w:proofErr w:type="spellEnd"/>
      <w:r w:rsidRPr="00FB1833">
        <w:rPr>
          <w:lang w:eastAsia="en-AU"/>
        </w:rPr>
        <w:t xml:space="preserve"> Payment or Farm Household Allowance</w:t>
      </w:r>
    </w:p>
    <w:p w14:paraId="0CFA259E" w14:textId="77777777" w:rsidR="00E71249" w:rsidRPr="00FB1833" w:rsidRDefault="00E71249" w:rsidP="00E765FA">
      <w:pPr>
        <w:pStyle w:val="ListParagraph"/>
        <w:spacing w:before="120" w:after="160"/>
        <w:rPr>
          <w:lang w:eastAsia="en-AU"/>
        </w:rPr>
      </w:pPr>
      <w:r w:rsidRPr="00FB1833">
        <w:rPr>
          <w:lang w:eastAsia="en-AU"/>
        </w:rPr>
        <w:t>Service Pension, Income Support Supplement, Veteran Payment, or Department of Veterans’ Affairs Education Schemes.</w:t>
      </w:r>
    </w:p>
    <w:p w14:paraId="2318643B" w14:textId="77777777" w:rsidR="00E71249" w:rsidRPr="00FB1833" w:rsidRDefault="00E71249" w:rsidP="00E765FA">
      <w:pPr>
        <w:spacing w:before="120" w:after="160"/>
        <w:rPr>
          <w:rFonts w:eastAsia="Times New Roman" w:cstheme="minorHAnsi"/>
          <w:szCs w:val="22"/>
          <w:lang w:eastAsia="en-AU"/>
        </w:rPr>
      </w:pPr>
      <w:r w:rsidRPr="00FB1833">
        <w:rPr>
          <w:rFonts w:eastAsia="Times New Roman" w:cstheme="minorHAnsi"/>
          <w:szCs w:val="22"/>
          <w:lang w:eastAsia="en-AU"/>
        </w:rPr>
        <w:t>In 2026-27, the government expects to spend around $7.4 billion on CRA to assist households who are in private rental accommodation or community housing and receiving income support or FTB.</w:t>
      </w:r>
    </w:p>
    <w:p w14:paraId="79C9EBB8" w14:textId="620E9F73" w:rsidR="00E71249" w:rsidRPr="00FB1833" w:rsidRDefault="00E71249" w:rsidP="00E765FA">
      <w:pPr>
        <w:suppressAutoHyphens/>
        <w:spacing w:before="120" w:after="160" w:line="257" w:lineRule="auto"/>
        <w:rPr>
          <w:rFonts w:eastAsia="Times New Roman" w:cstheme="minorHAnsi"/>
          <w:szCs w:val="22"/>
          <w:lang w:eastAsia="en-AU"/>
        </w:rPr>
      </w:pPr>
      <w:r w:rsidRPr="00FB1833">
        <w:rPr>
          <w:rFonts w:eastAsia="Times New Roman" w:cstheme="minorHAnsi"/>
          <w:b/>
          <w:bCs/>
          <w:szCs w:val="22"/>
          <w:lang w:eastAsia="en-AU"/>
        </w:rPr>
        <w:t xml:space="preserve">The </w:t>
      </w:r>
      <w:r w:rsidR="00602666">
        <w:rPr>
          <w:rFonts w:eastAsia="Times New Roman" w:cstheme="minorHAnsi"/>
          <w:b/>
          <w:bCs/>
          <w:szCs w:val="22"/>
          <w:lang w:eastAsia="en-AU"/>
        </w:rPr>
        <w:t>d</w:t>
      </w:r>
      <w:r w:rsidRPr="00FB1833">
        <w:rPr>
          <w:rFonts w:eastAsia="Times New Roman" w:cstheme="minorHAnsi"/>
          <w:b/>
          <w:bCs/>
          <w:szCs w:val="22"/>
          <w:lang w:eastAsia="en-AU"/>
        </w:rPr>
        <w:t>epartment</w:t>
      </w:r>
      <w:r w:rsidRPr="00FB1833">
        <w:rPr>
          <w:rFonts w:eastAsia="Times New Roman" w:cstheme="minorHAnsi"/>
          <w:szCs w:val="22"/>
          <w:lang w:eastAsia="en-AU"/>
        </w:rPr>
        <w:t xml:space="preserve"> is responsible for Rent Assistance policy and program management.</w:t>
      </w:r>
    </w:p>
    <w:p w14:paraId="5264EC33" w14:textId="77777777" w:rsidR="00E71249" w:rsidRPr="00FB1833" w:rsidRDefault="00E71249" w:rsidP="00E765FA">
      <w:pPr>
        <w:spacing w:before="120" w:after="160"/>
        <w:rPr>
          <w:rFonts w:eastAsia="Times New Roman" w:cstheme="minorHAnsi"/>
          <w:szCs w:val="22"/>
          <w:lang w:eastAsia="en-AU"/>
        </w:rPr>
      </w:pPr>
      <w:r w:rsidRPr="00FB1833">
        <w:rPr>
          <w:rFonts w:eastAsia="Times New Roman" w:cstheme="minorHAnsi"/>
          <w:b/>
          <w:bCs/>
          <w:szCs w:val="22"/>
          <w:lang w:eastAsia="en-AU"/>
        </w:rPr>
        <w:t>Services Australia</w:t>
      </w:r>
      <w:r w:rsidRPr="00FB1833">
        <w:rPr>
          <w:rFonts w:eastAsia="Times New Roman" w:cstheme="minorHAnsi"/>
          <w:szCs w:val="22"/>
          <w:lang w:eastAsia="en-AU"/>
        </w:rPr>
        <w:t xml:space="preserve"> is responsible for administering Rent Assistance, including assessments, compliance and payments.</w:t>
      </w:r>
    </w:p>
    <w:p w14:paraId="04C65233" w14:textId="6018C311" w:rsidR="00E71249" w:rsidRPr="009A0C00" w:rsidRDefault="00E71249" w:rsidP="009A0C00">
      <w:pPr>
        <w:pStyle w:val="Heading4"/>
        <w:rPr>
          <w:sz w:val="22"/>
          <w:szCs w:val="22"/>
          <w:lang w:eastAsia="en-AU"/>
        </w:rPr>
      </w:pPr>
      <w:bookmarkStart w:id="108" w:name="_Toc256000029"/>
      <w:r w:rsidRPr="009A0C00">
        <w:rPr>
          <w:sz w:val="22"/>
          <w:szCs w:val="22"/>
          <w:lang w:eastAsia="en-AU"/>
        </w:rPr>
        <w:t>Performance Measure</w:t>
      </w:r>
      <w:bookmarkEnd w:id="108"/>
    </w:p>
    <w:p w14:paraId="474C10B2" w14:textId="77777777" w:rsidR="00E71249" w:rsidRPr="00FB1833" w:rsidRDefault="00E71249" w:rsidP="00E71249">
      <w:pPr>
        <w:suppressAutoHyphens/>
        <w:spacing w:before="120" w:after="120" w:line="256" w:lineRule="auto"/>
        <w:rPr>
          <w:rFonts w:eastAsia="Times New Roman" w:cstheme="minorHAnsi"/>
          <w:szCs w:val="22"/>
          <w:lang w:eastAsia="en-AU"/>
        </w:rPr>
      </w:pPr>
      <w:r w:rsidRPr="00FB1833">
        <w:rPr>
          <w:rFonts w:eastAsia="Times New Roman" w:cstheme="minorHAnsi"/>
          <w:szCs w:val="22"/>
          <w:lang w:eastAsia="en-AU"/>
        </w:rPr>
        <w:t>Australians receiving income support or family assistance payments are assisted with the cost of private rental or community housing.</w:t>
      </w:r>
    </w:p>
    <w:tbl>
      <w:tblPr>
        <w:tblStyle w:val="TableGrid394"/>
        <w:tblW w:w="4976" w:type="pct"/>
        <w:jc w:val="center"/>
        <w:tblLook w:val="04A0" w:firstRow="1" w:lastRow="0" w:firstColumn="1" w:lastColumn="0" w:noHBand="0" w:noVBand="1"/>
        <w:tblCaption w:val="Table 25 - Australians receiving income support or family assistance payments are assisted with the cost of private rental or community housing"/>
        <w:tblDescription w:val="Target for Australians receiving income support or family assistance payments are assisted with the cost of private rental or community housing"/>
      </w:tblPr>
      <w:tblGrid>
        <w:gridCol w:w="3767"/>
        <w:gridCol w:w="1434"/>
        <w:gridCol w:w="1648"/>
        <w:gridCol w:w="1648"/>
        <w:gridCol w:w="1648"/>
      </w:tblGrid>
      <w:tr w:rsidR="00E71249" w:rsidRPr="00FB1833" w14:paraId="64AEC6A9" w14:textId="77777777" w:rsidTr="00496219">
        <w:trPr>
          <w:cantSplit/>
          <w:trHeight w:val="356"/>
          <w:tblHeader/>
          <w:jc w:val="center"/>
        </w:trPr>
        <w:tc>
          <w:tcPr>
            <w:tcW w:w="1909" w:type="pct"/>
            <w:tcBorders>
              <w:top w:val="single" w:sz="4" w:space="0" w:color="auto"/>
              <w:bottom w:val="single" w:sz="4" w:space="0" w:color="auto"/>
              <w:right w:val="single" w:sz="6" w:space="0" w:color="auto"/>
            </w:tcBorders>
            <w:shd w:val="clear" w:color="auto" w:fill="D9D9D6"/>
          </w:tcPr>
          <w:p w14:paraId="4C294FE9" w14:textId="77777777" w:rsidR="00E71249" w:rsidRPr="00FB1833" w:rsidRDefault="00E71249" w:rsidP="00496219">
            <w:pPr>
              <w:spacing w:before="120" w:after="60" w:line="252" w:lineRule="auto"/>
              <w:rPr>
                <w:rFonts w:asciiTheme="minorHAnsi" w:hAnsiTheme="minorHAnsi" w:cstheme="minorHAnsi"/>
                <w:szCs w:val="22"/>
              </w:rPr>
            </w:pPr>
            <w:r w:rsidRPr="00FB1833">
              <w:rPr>
                <w:rFonts w:asciiTheme="minorHAnsi" w:hAnsiTheme="minorHAnsi" w:cstheme="minorHAnsi"/>
                <w:b/>
                <w:szCs w:val="22"/>
              </w:rPr>
              <w:t>Target</w:t>
            </w:r>
          </w:p>
        </w:tc>
        <w:tc>
          <w:tcPr>
            <w:tcW w:w="759" w:type="pct"/>
            <w:tcBorders>
              <w:top w:val="single" w:sz="4" w:space="0" w:color="auto"/>
              <w:left w:val="single" w:sz="6" w:space="0" w:color="auto"/>
              <w:bottom w:val="single" w:sz="4" w:space="0" w:color="auto"/>
              <w:right w:val="single" w:sz="6" w:space="0" w:color="auto"/>
            </w:tcBorders>
            <w:shd w:val="clear" w:color="auto" w:fill="D9D9D6"/>
            <w:vAlign w:val="center"/>
          </w:tcPr>
          <w:p w14:paraId="67EB6FEA" w14:textId="77777777" w:rsidR="00E71249" w:rsidRPr="00FB1833" w:rsidRDefault="00E71249" w:rsidP="00496219">
            <w:pPr>
              <w:spacing w:before="120" w:after="60" w:line="252" w:lineRule="auto"/>
              <w:rPr>
                <w:rFonts w:asciiTheme="minorHAnsi" w:hAnsiTheme="minorHAnsi" w:cstheme="minorHAnsi"/>
                <w:szCs w:val="22"/>
              </w:rPr>
            </w:pPr>
            <w:r w:rsidRPr="00FB1833">
              <w:rPr>
                <w:rFonts w:asciiTheme="minorHAnsi" w:hAnsiTheme="minorHAnsi" w:cstheme="minorHAnsi"/>
                <w:b/>
                <w:szCs w:val="22"/>
              </w:rPr>
              <w:t>2026–27</w:t>
            </w:r>
          </w:p>
        </w:tc>
        <w:tc>
          <w:tcPr>
            <w:tcW w:w="777" w:type="pct"/>
            <w:tcBorders>
              <w:top w:val="single" w:sz="4" w:space="0" w:color="auto"/>
              <w:left w:val="single" w:sz="6" w:space="0" w:color="auto"/>
              <w:bottom w:val="single" w:sz="4" w:space="0" w:color="auto"/>
              <w:right w:val="single" w:sz="6" w:space="0" w:color="auto"/>
            </w:tcBorders>
            <w:shd w:val="clear" w:color="auto" w:fill="D9D9D6"/>
            <w:vAlign w:val="center"/>
          </w:tcPr>
          <w:p w14:paraId="4E314EC8" w14:textId="77777777" w:rsidR="00E71249" w:rsidRPr="00FB1833" w:rsidRDefault="00E71249" w:rsidP="00496219">
            <w:pPr>
              <w:spacing w:before="120" w:after="60" w:line="252" w:lineRule="auto"/>
              <w:rPr>
                <w:rFonts w:asciiTheme="minorHAnsi" w:hAnsiTheme="minorHAnsi" w:cstheme="minorHAnsi"/>
                <w:b/>
                <w:szCs w:val="22"/>
              </w:rPr>
            </w:pPr>
            <w:r w:rsidRPr="00FB1833">
              <w:rPr>
                <w:rFonts w:asciiTheme="minorHAnsi" w:hAnsiTheme="minorHAnsi" w:cstheme="minorHAnsi"/>
                <w:b/>
                <w:szCs w:val="22"/>
              </w:rPr>
              <w:t>2027–28</w:t>
            </w:r>
          </w:p>
        </w:tc>
        <w:tc>
          <w:tcPr>
            <w:tcW w:w="777" w:type="pct"/>
            <w:tcBorders>
              <w:top w:val="single" w:sz="4" w:space="0" w:color="auto"/>
              <w:left w:val="single" w:sz="6" w:space="0" w:color="auto"/>
              <w:bottom w:val="single" w:sz="4" w:space="0" w:color="auto"/>
              <w:right w:val="single" w:sz="6" w:space="0" w:color="auto"/>
            </w:tcBorders>
            <w:shd w:val="clear" w:color="auto" w:fill="D9D9D6"/>
            <w:vAlign w:val="center"/>
          </w:tcPr>
          <w:p w14:paraId="54A82246" w14:textId="77777777" w:rsidR="00E71249" w:rsidRPr="00FB1833" w:rsidRDefault="00E71249" w:rsidP="00496219">
            <w:pPr>
              <w:spacing w:before="120" w:after="60" w:line="252" w:lineRule="auto"/>
              <w:rPr>
                <w:rFonts w:asciiTheme="minorHAnsi" w:hAnsiTheme="minorHAnsi" w:cstheme="minorHAnsi"/>
                <w:b/>
                <w:szCs w:val="22"/>
              </w:rPr>
            </w:pPr>
            <w:r w:rsidRPr="00FB1833">
              <w:rPr>
                <w:rFonts w:asciiTheme="minorHAnsi" w:hAnsiTheme="minorHAnsi" w:cstheme="minorHAnsi"/>
                <w:b/>
                <w:szCs w:val="22"/>
              </w:rPr>
              <w:t>2028–29</w:t>
            </w:r>
          </w:p>
        </w:tc>
        <w:tc>
          <w:tcPr>
            <w:tcW w:w="777" w:type="pct"/>
            <w:tcBorders>
              <w:top w:val="single" w:sz="4" w:space="0" w:color="auto"/>
              <w:left w:val="single" w:sz="6" w:space="0" w:color="auto"/>
              <w:bottom w:val="single" w:sz="4" w:space="0" w:color="auto"/>
              <w:right w:val="single" w:sz="4" w:space="0" w:color="auto"/>
            </w:tcBorders>
            <w:shd w:val="clear" w:color="auto" w:fill="D9D9D6"/>
            <w:vAlign w:val="center"/>
          </w:tcPr>
          <w:p w14:paraId="5137CC8B" w14:textId="77777777" w:rsidR="00E71249" w:rsidRPr="00FB1833" w:rsidRDefault="00E71249" w:rsidP="00496219">
            <w:pPr>
              <w:spacing w:before="120" w:after="60" w:line="252" w:lineRule="auto"/>
              <w:rPr>
                <w:rFonts w:asciiTheme="minorHAnsi" w:hAnsiTheme="minorHAnsi" w:cstheme="minorHAnsi"/>
                <w:b/>
                <w:szCs w:val="22"/>
              </w:rPr>
            </w:pPr>
            <w:r w:rsidRPr="00FB1833">
              <w:rPr>
                <w:rFonts w:asciiTheme="minorHAnsi" w:hAnsiTheme="minorHAnsi" w:cstheme="minorHAnsi"/>
                <w:b/>
                <w:szCs w:val="22"/>
              </w:rPr>
              <w:t>2029–30</w:t>
            </w:r>
          </w:p>
        </w:tc>
      </w:tr>
      <w:tr w:rsidR="00E71249" w:rsidRPr="00FB1833" w14:paraId="0B464CF8" w14:textId="77777777" w:rsidTr="00496219">
        <w:trPr>
          <w:cantSplit/>
          <w:trHeight w:val="356"/>
          <w:jc w:val="center"/>
        </w:trPr>
        <w:tc>
          <w:tcPr>
            <w:tcW w:w="1909" w:type="pct"/>
            <w:tcBorders>
              <w:top w:val="single" w:sz="4" w:space="0" w:color="auto"/>
              <w:bottom w:val="single" w:sz="4" w:space="0" w:color="auto"/>
            </w:tcBorders>
          </w:tcPr>
          <w:p w14:paraId="20083D41" w14:textId="557C97C3" w:rsidR="00E71249" w:rsidRPr="00FB1833" w:rsidRDefault="009E1B06" w:rsidP="00496219">
            <w:pPr>
              <w:spacing w:before="120" w:after="60" w:line="252" w:lineRule="auto"/>
              <w:rPr>
                <w:rFonts w:asciiTheme="minorHAnsi" w:hAnsiTheme="minorHAnsi" w:cstheme="minorHAnsi"/>
                <w:szCs w:val="22"/>
              </w:rPr>
            </w:pPr>
            <w:r>
              <w:rPr>
                <w:rFonts w:eastAsiaTheme="minorEastAsia" w:cstheme="minorHAnsi"/>
                <w:noProof/>
                <w:szCs w:val="22"/>
                <w:lang w:eastAsia="en-AU"/>
              </w:rPr>
              <mc:AlternateContent>
                <mc:Choice Requires="wps">
                  <w:drawing>
                    <wp:anchor distT="0" distB="0" distL="114300" distR="114300" simplePos="0" relativeHeight="251671560" behindDoc="0" locked="0" layoutInCell="1" allowOverlap="1" wp14:anchorId="74754DB1" wp14:editId="147C1CCA">
                      <wp:simplePos x="0" y="0"/>
                      <wp:positionH relativeFrom="column">
                        <wp:posOffset>-26879</wp:posOffset>
                      </wp:positionH>
                      <wp:positionV relativeFrom="paragraph">
                        <wp:posOffset>125029</wp:posOffset>
                      </wp:positionV>
                      <wp:extent cx="45719" cy="109182"/>
                      <wp:effectExtent l="0" t="0" r="12065" b="24765"/>
                      <wp:wrapNone/>
                      <wp:docPr id="2145990761" name="Diamond 16" descr="The diamond symbol represents Performance measures that may be impacted by external factors."/>
                      <wp:cNvGraphicFramePr/>
                      <a:graphic xmlns:a="http://schemas.openxmlformats.org/drawingml/2006/main">
                        <a:graphicData uri="http://schemas.microsoft.com/office/word/2010/wordprocessingShape">
                          <wps:wsp>
                            <wps:cNvSpPr/>
                            <wps:spPr>
                              <a:xfrm>
                                <a:off x="0" y="0"/>
                                <a:ext cx="45719" cy="109182"/>
                              </a:xfrm>
                              <a:prstGeom prst="diamond">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F717C6" id="Diamond 16" o:spid="_x0000_s1026" type="#_x0000_t4" alt="The diamond symbol represents Performance measures that may be impacted by external factors." style="position:absolute;margin-left:-2.1pt;margin-top:9.85pt;width:3.6pt;height:8.6pt;z-index:251671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" fillcolor="black [3213]" strokecolor="#000d10 [484]" strokeweight=".73403mm"/>
                  </w:pict>
                </mc:Fallback>
              </mc:AlternateContent>
            </w:r>
            <w:r>
              <w:rPr>
                <w:rFonts w:eastAsiaTheme="minorEastAsia" w:cstheme="minorHAnsi"/>
                <w:szCs w:val="22"/>
                <w:lang w:eastAsia="en-AU"/>
              </w:rPr>
              <w:t xml:space="preserve"> </w:t>
            </w:r>
            <w:r w:rsidR="005A2AFD">
              <w:rPr>
                <w:rFonts w:eastAsiaTheme="minorEastAsia" w:cstheme="minorHAnsi"/>
                <w:szCs w:val="22"/>
                <w:lang w:eastAsia="en-AU"/>
              </w:rPr>
              <w:t xml:space="preserve"> </w:t>
            </w:r>
            <w:r w:rsidR="00E71249" w:rsidRPr="00FB1833">
              <w:rPr>
                <w:rFonts w:asciiTheme="minorHAnsi" w:hAnsiTheme="minorHAnsi" w:cstheme="minorHAnsi"/>
                <w:szCs w:val="22"/>
                <w:lang w:eastAsia="en-GB"/>
              </w:rPr>
              <w:t>Commonwealth Rent Assistance (CRA) reduces the proportion of recipient households in "rental stress" by at least 25 percentage points</w:t>
            </w:r>
            <w:r w:rsidR="00E71249" w:rsidRPr="00FB1833">
              <w:rPr>
                <w:rFonts w:asciiTheme="minorHAnsi" w:hAnsiTheme="minorHAnsi" w:cstheme="minorHAnsi"/>
                <w:szCs w:val="22"/>
                <w:vertAlign w:val="superscript"/>
                <w:lang w:eastAsia="en-GB"/>
              </w:rPr>
              <w:footnoteReference w:id="12"/>
            </w:r>
            <w:r w:rsidR="00E71249" w:rsidRPr="00FB1833">
              <w:rPr>
                <w:rFonts w:asciiTheme="minorHAnsi" w:hAnsiTheme="minorHAnsi" w:cstheme="minorHAnsi"/>
                <w:szCs w:val="22"/>
                <w:lang w:eastAsia="en-GB"/>
              </w:rPr>
              <w:t>.</w:t>
            </w:r>
          </w:p>
        </w:tc>
        <w:tc>
          <w:tcPr>
            <w:tcW w:w="759" w:type="pct"/>
            <w:tcBorders>
              <w:top w:val="single" w:sz="4" w:space="0" w:color="auto"/>
              <w:bottom w:val="single" w:sz="4" w:space="0" w:color="auto"/>
            </w:tcBorders>
          </w:tcPr>
          <w:p w14:paraId="7722A3C0" w14:textId="77777777" w:rsidR="00E71249" w:rsidRPr="00FB1833" w:rsidRDefault="00E71249" w:rsidP="00496219">
            <w:pPr>
              <w:spacing w:before="120" w:after="60" w:line="252" w:lineRule="auto"/>
              <w:rPr>
                <w:rFonts w:asciiTheme="minorHAnsi" w:hAnsiTheme="minorHAnsi" w:cstheme="minorHAnsi"/>
                <w:szCs w:val="22"/>
              </w:rPr>
            </w:pPr>
            <w:r w:rsidRPr="00FB1833">
              <w:rPr>
                <w:rFonts w:asciiTheme="minorHAnsi" w:hAnsiTheme="minorHAnsi" w:cstheme="minorHAnsi"/>
                <w:szCs w:val="22"/>
                <w:lang w:eastAsia="en-GB"/>
              </w:rPr>
              <w:t>CRA reduces the proportion of recipient households in "rental stress" by at least 25 percentage points.</w:t>
            </w:r>
          </w:p>
        </w:tc>
        <w:tc>
          <w:tcPr>
            <w:tcW w:w="777" w:type="pct"/>
            <w:tcBorders>
              <w:top w:val="single" w:sz="4" w:space="0" w:color="auto"/>
              <w:bottom w:val="single" w:sz="4" w:space="0" w:color="auto"/>
            </w:tcBorders>
          </w:tcPr>
          <w:p w14:paraId="06F10559" w14:textId="77777777" w:rsidR="00E71249" w:rsidRPr="00FB1833" w:rsidRDefault="00E71249" w:rsidP="00496219">
            <w:pPr>
              <w:spacing w:before="120" w:after="60" w:line="252" w:lineRule="auto"/>
              <w:rPr>
                <w:rFonts w:asciiTheme="minorHAnsi" w:hAnsiTheme="minorHAnsi" w:cstheme="minorHAnsi"/>
                <w:szCs w:val="22"/>
              </w:rPr>
            </w:pPr>
            <w:r w:rsidRPr="00FB1833">
              <w:rPr>
                <w:rFonts w:asciiTheme="minorHAnsi" w:hAnsiTheme="minorHAnsi" w:cstheme="minorHAnsi"/>
                <w:szCs w:val="22"/>
                <w:lang w:eastAsia="en-GB"/>
              </w:rPr>
              <w:t>CRA reduces the proportion of recipient households in "rental stress" by at least 25 percentage points.</w:t>
            </w:r>
          </w:p>
        </w:tc>
        <w:tc>
          <w:tcPr>
            <w:tcW w:w="777" w:type="pct"/>
            <w:tcBorders>
              <w:top w:val="single" w:sz="4" w:space="0" w:color="auto"/>
              <w:bottom w:val="single" w:sz="4" w:space="0" w:color="auto"/>
            </w:tcBorders>
          </w:tcPr>
          <w:p w14:paraId="6766DFE7" w14:textId="77777777" w:rsidR="00E71249" w:rsidRPr="00FB1833" w:rsidRDefault="00E71249" w:rsidP="00496219">
            <w:pPr>
              <w:spacing w:before="120" w:after="60" w:line="252" w:lineRule="auto"/>
              <w:rPr>
                <w:rFonts w:asciiTheme="minorHAnsi" w:hAnsiTheme="minorHAnsi" w:cstheme="minorHAnsi"/>
                <w:szCs w:val="22"/>
              </w:rPr>
            </w:pPr>
            <w:r w:rsidRPr="00FB1833">
              <w:rPr>
                <w:rFonts w:asciiTheme="minorHAnsi" w:hAnsiTheme="minorHAnsi" w:cstheme="minorHAnsi"/>
                <w:szCs w:val="22"/>
                <w:lang w:eastAsia="en-GB"/>
              </w:rPr>
              <w:t>CRA reduces the proportion of recipient households in "rental stress" by at least 25 percentage points.</w:t>
            </w:r>
          </w:p>
        </w:tc>
        <w:tc>
          <w:tcPr>
            <w:tcW w:w="777" w:type="pct"/>
            <w:tcBorders>
              <w:top w:val="single" w:sz="4" w:space="0" w:color="auto"/>
              <w:bottom w:val="single" w:sz="4" w:space="0" w:color="auto"/>
            </w:tcBorders>
          </w:tcPr>
          <w:p w14:paraId="70A88013" w14:textId="77777777" w:rsidR="00E71249" w:rsidRPr="00FB1833" w:rsidRDefault="00E71249" w:rsidP="00496219">
            <w:pPr>
              <w:spacing w:before="120" w:after="60" w:line="252" w:lineRule="auto"/>
              <w:rPr>
                <w:rFonts w:asciiTheme="minorHAnsi" w:hAnsiTheme="minorHAnsi" w:cstheme="minorHAnsi"/>
                <w:szCs w:val="22"/>
              </w:rPr>
            </w:pPr>
            <w:r w:rsidRPr="00FB1833">
              <w:rPr>
                <w:rFonts w:asciiTheme="minorHAnsi" w:hAnsiTheme="minorHAnsi" w:cstheme="minorHAnsi"/>
                <w:szCs w:val="22"/>
                <w:lang w:eastAsia="en-GB"/>
              </w:rPr>
              <w:t>CRA reduces the proportion of recipient households in "rental stress" by at least 25 percentage points.</w:t>
            </w:r>
          </w:p>
        </w:tc>
      </w:tr>
    </w:tbl>
    <w:p w14:paraId="524D0AEE" w14:textId="77777777" w:rsidR="00E765FA" w:rsidRDefault="00E765FA">
      <w:pPr>
        <w:spacing w:after="240"/>
        <w:rPr>
          <w:rFonts w:eastAsia="Times New Roman" w:cstheme="minorHAnsi"/>
          <w:b/>
          <w:szCs w:val="22"/>
          <w:lang w:eastAsia="en-AU"/>
        </w:rPr>
      </w:pPr>
      <w:r>
        <w:rPr>
          <w:rFonts w:eastAsia="Times New Roman" w:cstheme="minorHAnsi"/>
          <w:b/>
          <w:szCs w:val="22"/>
          <w:lang w:eastAsia="en-AU"/>
        </w:rPr>
        <w:br w:type="page"/>
      </w:r>
    </w:p>
    <w:p w14:paraId="23038782" w14:textId="71688897" w:rsidR="00E71249" w:rsidRPr="00FB1833" w:rsidRDefault="00E71249" w:rsidP="009A0C00">
      <w:pPr>
        <w:pStyle w:val="CPCustom3"/>
        <w:rPr>
          <w:lang w:eastAsia="en-AU"/>
        </w:rPr>
      </w:pPr>
      <w:r w:rsidRPr="00FB1833">
        <w:rPr>
          <w:lang w:eastAsia="en-AU"/>
        </w:rPr>
        <w:lastRenderedPageBreak/>
        <w:t>Rationale</w:t>
      </w:r>
    </w:p>
    <w:p w14:paraId="59724FA8" w14:textId="77777777" w:rsidR="00E71249" w:rsidRPr="00FB1833" w:rsidRDefault="00E71249" w:rsidP="00E765FA">
      <w:pPr>
        <w:suppressAutoHyphens/>
        <w:spacing w:before="120" w:after="160" w:line="257" w:lineRule="auto"/>
        <w:rPr>
          <w:rFonts w:eastAsia="Times New Roman" w:cstheme="minorHAnsi"/>
          <w:szCs w:val="22"/>
          <w:lang w:eastAsia="en-AU"/>
        </w:rPr>
      </w:pPr>
      <w:r w:rsidRPr="00FB1833">
        <w:rPr>
          <w:rFonts w:eastAsia="Times New Roman" w:cstheme="minorHAnsi"/>
          <w:szCs w:val="22"/>
          <w:lang w:eastAsia="en-AU"/>
        </w:rPr>
        <w:t>This measure demonstrates the effectiveness of CRA in achieving the objective of Outcome 1 in delivering: a sustainable social security system that incentivises self-reliance and supports people who cannot fully support themselves by providing targeted payments and assistance.</w:t>
      </w:r>
    </w:p>
    <w:p w14:paraId="1166BA2C" w14:textId="77777777" w:rsidR="00E71249" w:rsidRPr="00FB1833" w:rsidRDefault="00E71249" w:rsidP="00E765FA">
      <w:pPr>
        <w:suppressAutoHyphens/>
        <w:spacing w:before="120" w:after="160"/>
        <w:rPr>
          <w:rFonts w:eastAsia="Times New Roman" w:cstheme="minorHAnsi"/>
          <w:szCs w:val="22"/>
          <w:lang w:eastAsia="en-AU"/>
        </w:rPr>
      </w:pPr>
      <w:r w:rsidRPr="00FB1833">
        <w:rPr>
          <w:rFonts w:eastAsia="Times New Roman" w:cstheme="minorHAnsi"/>
          <w:szCs w:val="22"/>
          <w:lang w:eastAsia="en-AU"/>
        </w:rPr>
        <w:t>Reducing the proportion of recipient households in "rental stress" by at least 25 percentage points measures the effectiveness of CRA for recipient households.</w:t>
      </w:r>
    </w:p>
    <w:p w14:paraId="2D00F12B" w14:textId="77777777" w:rsidR="00E71249" w:rsidRPr="00FB1833" w:rsidRDefault="00E71249" w:rsidP="009A0C00">
      <w:pPr>
        <w:pStyle w:val="CPCustom3"/>
        <w:rPr>
          <w:lang w:eastAsia="en-AU"/>
        </w:rPr>
      </w:pPr>
      <w:r w:rsidRPr="00FB1833">
        <w:rPr>
          <w:lang w:eastAsia="en-AU"/>
        </w:rPr>
        <w:t>Methodology</w:t>
      </w:r>
    </w:p>
    <w:p w14:paraId="1830C787" w14:textId="77777777" w:rsidR="00E71249" w:rsidRPr="00FB1833" w:rsidRDefault="00E71249" w:rsidP="00E765FA">
      <w:pPr>
        <w:spacing w:before="120" w:after="160" w:line="256" w:lineRule="auto"/>
        <w:rPr>
          <w:rFonts w:eastAsia="Times New Roman" w:cstheme="minorHAnsi"/>
          <w:szCs w:val="22"/>
          <w:lang w:eastAsia="en-AU"/>
        </w:rPr>
      </w:pPr>
      <w:r w:rsidRPr="00FB1833">
        <w:rPr>
          <w:rFonts w:eastAsia="Times New Roman" w:cstheme="minorHAnsi"/>
          <w:szCs w:val="22"/>
          <w:lang w:eastAsia="en-AU"/>
        </w:rPr>
        <w:t>Rental stress is defined as a rent assistance recipient household paying more than 30% of their income on rent. The proportion of individuals and families experiencing rental stress after receipt of CRA is calculated using:</w:t>
      </w:r>
    </w:p>
    <w:p w14:paraId="226355C5" w14:textId="77777777" w:rsidR="00E71249" w:rsidRPr="00FB1833" w:rsidRDefault="00E71249" w:rsidP="00E765FA">
      <w:pPr>
        <w:pStyle w:val="ListParagraph"/>
        <w:spacing w:before="120" w:after="160"/>
        <w:rPr>
          <w:lang w:eastAsia="en-AU"/>
        </w:rPr>
      </w:pPr>
      <w:r w:rsidRPr="00FB1833">
        <w:rPr>
          <w:lang w:eastAsia="en-AU"/>
        </w:rPr>
        <w:t>Percentage of CRA recipients paying more than 30% of their income in rent prior to receiving CRA</w:t>
      </w:r>
    </w:p>
    <w:p w14:paraId="57DE243B" w14:textId="77777777" w:rsidR="00E71249" w:rsidRPr="00FB1833" w:rsidRDefault="00E71249" w:rsidP="00E765FA">
      <w:pPr>
        <w:pStyle w:val="ListParagraph"/>
        <w:spacing w:before="120" w:after="160"/>
        <w:rPr>
          <w:lang w:eastAsia="en-AU"/>
        </w:rPr>
      </w:pPr>
      <w:r w:rsidRPr="00FB1833">
        <w:rPr>
          <w:lang w:eastAsia="en-AU"/>
        </w:rPr>
        <w:t>Percentage of CRA recipients paying more than 30% of their income in rent including after receiving CRA.</w:t>
      </w:r>
    </w:p>
    <w:p w14:paraId="0020D815" w14:textId="77777777" w:rsidR="00E71249" w:rsidRPr="00FB1833" w:rsidRDefault="00E71249" w:rsidP="009A0C00">
      <w:pPr>
        <w:pStyle w:val="CPCustom3"/>
        <w:rPr>
          <w:lang w:eastAsia="en-AU"/>
        </w:rPr>
      </w:pPr>
      <w:r w:rsidRPr="00FB1833">
        <w:rPr>
          <w:lang w:eastAsia="en-AU"/>
        </w:rPr>
        <w:t>Data Categorisation</w:t>
      </w:r>
    </w:p>
    <w:tbl>
      <w:tblPr>
        <w:tblStyle w:val="Numericaltable16"/>
        <w:tblpPr w:leftFromText="180" w:rightFromText="180" w:vertAnchor="text" w:horzAnchor="margin" w:tblpY="11"/>
        <w:tblW w:w="10201" w:type="dxa"/>
        <w:tblLook w:val="04A0" w:firstRow="1" w:lastRow="0" w:firstColumn="1" w:lastColumn="0" w:noHBand="0" w:noVBand="1"/>
        <w:tblCaption w:val="Table 26 - Categorisation of data source"/>
        <w:tblDescription w:val="Categorisation of data source"/>
      </w:tblPr>
      <w:tblGrid>
        <w:gridCol w:w="3823"/>
        <w:gridCol w:w="6378"/>
      </w:tblGrid>
      <w:tr w:rsidR="00E71249" w:rsidRPr="00FB1833" w14:paraId="0D74773E" w14:textId="77777777" w:rsidTr="00496219">
        <w:trPr>
          <w:trHeight w:val="558"/>
          <w:tblHeader/>
        </w:trPr>
        <w:tc>
          <w:tcPr>
            <w:tcW w:w="3823" w:type="dxa"/>
            <w:shd w:val="clear" w:color="auto" w:fill="215868"/>
          </w:tcPr>
          <w:p w14:paraId="070E5FA5" w14:textId="77777777" w:rsidR="00E71249" w:rsidRPr="00FB1833" w:rsidRDefault="00E71249" w:rsidP="00496219">
            <w:pPr>
              <w:suppressAutoHyphens/>
              <w:spacing w:before="120" w:after="120"/>
              <w:rPr>
                <w:rFonts w:asciiTheme="minorHAnsi" w:hAnsiTheme="minorHAnsi" w:cstheme="minorHAnsi"/>
                <w:b/>
                <w:bCs/>
                <w:color w:val="FFFFFF"/>
                <w:szCs w:val="22"/>
              </w:rPr>
            </w:pPr>
            <w:r w:rsidRPr="00FB1833">
              <w:rPr>
                <w:rFonts w:asciiTheme="minorHAnsi" w:hAnsiTheme="minorHAnsi" w:cstheme="minorHAnsi"/>
                <w:b/>
                <w:bCs/>
                <w:color w:val="FFFFFF"/>
                <w:szCs w:val="22"/>
              </w:rPr>
              <w:t xml:space="preserve">Categorisation of data source </w:t>
            </w:r>
          </w:p>
        </w:tc>
        <w:tc>
          <w:tcPr>
            <w:tcW w:w="6378" w:type="dxa"/>
            <w:shd w:val="clear" w:color="auto" w:fill="215868"/>
          </w:tcPr>
          <w:p w14:paraId="4D77F164" w14:textId="77777777" w:rsidR="00E71249" w:rsidRPr="00FB1833" w:rsidRDefault="00E71249" w:rsidP="00496219">
            <w:pPr>
              <w:suppressAutoHyphens/>
              <w:spacing w:before="120" w:after="120"/>
              <w:rPr>
                <w:rFonts w:asciiTheme="minorHAnsi" w:hAnsiTheme="minorHAnsi" w:cstheme="minorHAnsi"/>
                <w:b/>
                <w:bCs/>
                <w:color w:val="FFFFFF"/>
                <w:szCs w:val="22"/>
              </w:rPr>
            </w:pPr>
            <w:r w:rsidRPr="00FB1833">
              <w:rPr>
                <w:rFonts w:asciiTheme="minorHAnsi" w:hAnsiTheme="minorHAnsi" w:cstheme="minorHAnsi"/>
                <w:b/>
                <w:bCs/>
                <w:color w:val="FFFFFF"/>
                <w:szCs w:val="22"/>
              </w:rPr>
              <w:t xml:space="preserve">Data source </w:t>
            </w:r>
          </w:p>
        </w:tc>
      </w:tr>
      <w:tr w:rsidR="00E71249" w:rsidRPr="00FB1833" w14:paraId="417DC80C" w14:textId="77777777" w:rsidTr="00496219">
        <w:trPr>
          <w:trHeight w:val="558"/>
        </w:trPr>
        <w:tc>
          <w:tcPr>
            <w:tcW w:w="3823" w:type="dxa"/>
          </w:tcPr>
          <w:p w14:paraId="480F3B9F" w14:textId="7C200303" w:rsidR="00E71249" w:rsidRPr="00FB1833" w:rsidRDefault="00E71249" w:rsidP="00496219">
            <w:pPr>
              <w:suppressAutoHyphens/>
              <w:spacing w:before="120" w:after="120"/>
              <w:rPr>
                <w:rFonts w:asciiTheme="minorHAnsi" w:hAnsiTheme="minorHAnsi" w:cstheme="minorHAnsi"/>
                <w:color w:val="000000"/>
                <w:szCs w:val="22"/>
              </w:rPr>
            </w:pPr>
            <w:r w:rsidRPr="00FB1833">
              <w:rPr>
                <w:rFonts w:cstheme="minorHAnsi"/>
                <w:noProof/>
                <w:szCs w:val="22"/>
              </w:rPr>
              <w:drawing>
                <wp:inline distT="0" distB="0" distL="0" distR="0" wp14:anchorId="3F5D0DE6" wp14:editId="6FEB0239">
                  <wp:extent cx="1177747" cy="352425"/>
                  <wp:effectExtent l="0" t="0" r="3810" b="0"/>
                  <wp:docPr id="356949674" name="picture" descr="second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659055" name="picture" descr="secondary sour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77747" cy="352425"/>
                          </a:xfrm>
                          <a:prstGeom prst="rect">
                            <a:avLst/>
                          </a:prstGeom>
                        </pic:spPr>
                      </pic:pic>
                    </a:graphicData>
                  </a:graphic>
                </wp:inline>
              </w:drawing>
            </w:r>
            <w:r w:rsidR="007E4EC0">
              <w:rPr>
                <w:rFonts w:asciiTheme="minorHAnsi" w:hAnsiTheme="minorHAnsi" w:cstheme="minorHAnsi"/>
                <w:color w:val="000000"/>
                <w:szCs w:val="22"/>
              </w:rPr>
              <w:t xml:space="preserve"> </w:t>
            </w:r>
            <w:r w:rsidRPr="00FB1833">
              <w:rPr>
                <w:rFonts w:cstheme="minorHAnsi"/>
                <w:noProof/>
                <w:szCs w:val="22"/>
              </w:rPr>
              <w:drawing>
                <wp:inline distT="0" distB="0" distL="0" distR="0" wp14:anchorId="25C14476" wp14:editId="026C312C">
                  <wp:extent cx="885825" cy="342900"/>
                  <wp:effectExtent l="0" t="0" r="9525" b="0"/>
                  <wp:docPr id="1637878585" name="picture" descr="tier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199727" name="picture" descr="tier 1&#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5825" cy="342900"/>
                          </a:xfrm>
                          <a:prstGeom prst="rect">
                            <a:avLst/>
                          </a:prstGeom>
                        </pic:spPr>
                      </pic:pic>
                    </a:graphicData>
                  </a:graphic>
                </wp:inline>
              </w:drawing>
            </w:r>
          </w:p>
        </w:tc>
        <w:tc>
          <w:tcPr>
            <w:tcW w:w="6378" w:type="dxa"/>
          </w:tcPr>
          <w:p w14:paraId="0B6F2226" w14:textId="77777777" w:rsidR="00E71249" w:rsidRPr="00FB1833" w:rsidRDefault="00E71249" w:rsidP="00496219">
            <w:pPr>
              <w:suppressAutoHyphens/>
              <w:spacing w:before="120" w:after="120"/>
              <w:rPr>
                <w:rFonts w:asciiTheme="minorHAnsi" w:hAnsiTheme="minorHAnsi" w:cstheme="minorHAnsi"/>
                <w:color w:val="000000"/>
                <w:szCs w:val="22"/>
              </w:rPr>
            </w:pPr>
            <w:r w:rsidRPr="00FB1833">
              <w:rPr>
                <w:rFonts w:asciiTheme="minorHAnsi" w:hAnsiTheme="minorHAnsi" w:cstheme="minorHAnsi"/>
                <w:color w:val="000000"/>
                <w:szCs w:val="22"/>
              </w:rPr>
              <w:t>Services Australia administrative data - Social Services Housing Data Set.</w:t>
            </w:r>
          </w:p>
        </w:tc>
      </w:tr>
    </w:tbl>
    <w:p w14:paraId="11704FB3" w14:textId="77777777" w:rsidR="00E71249" w:rsidRPr="00FB1833" w:rsidRDefault="00E71249" w:rsidP="009A0C00">
      <w:pPr>
        <w:pStyle w:val="CPCustom3"/>
        <w:rPr>
          <w:lang w:eastAsia="en-AU"/>
        </w:rPr>
      </w:pPr>
      <w:r w:rsidRPr="00FB1833">
        <w:rPr>
          <w:lang w:eastAsia="en-AU"/>
        </w:rPr>
        <w:t>Supporting Information</w:t>
      </w:r>
    </w:p>
    <w:p w14:paraId="1CAE499D" w14:textId="77777777" w:rsidR="00E71249" w:rsidRPr="00FB1833" w:rsidRDefault="00E71249" w:rsidP="00E765FA">
      <w:pPr>
        <w:pStyle w:val="ListParagraph"/>
        <w:spacing w:before="120" w:after="160"/>
        <w:rPr>
          <w:lang w:eastAsia="en-AU"/>
        </w:rPr>
      </w:pPr>
      <w:r w:rsidRPr="00FB1833">
        <w:rPr>
          <w:lang w:eastAsia="en-AU"/>
        </w:rPr>
        <w:t>Administered outlays</w:t>
      </w:r>
    </w:p>
    <w:p w14:paraId="654ADFBA" w14:textId="77777777" w:rsidR="00E71249" w:rsidRPr="00FB1833" w:rsidRDefault="00E71249" w:rsidP="00E71249">
      <w:pPr>
        <w:spacing w:before="120"/>
        <w:rPr>
          <w:rFonts w:cstheme="minorHAnsi"/>
          <w:szCs w:val="22"/>
        </w:rPr>
      </w:pPr>
      <w:r w:rsidRPr="00FB1833">
        <w:rPr>
          <w:rFonts w:cstheme="minorHAnsi"/>
          <w:szCs w:val="22"/>
        </w:rPr>
        <w:br w:type="page"/>
      </w:r>
    </w:p>
    <w:p w14:paraId="0475DEA8" w14:textId="77777777" w:rsidR="00E71249" w:rsidRPr="009A0C00" w:rsidRDefault="00E71249" w:rsidP="009A0C00">
      <w:pPr>
        <w:pStyle w:val="Heading3"/>
        <w:rPr>
          <w:sz w:val="40"/>
          <w:szCs w:val="40"/>
        </w:rPr>
      </w:pPr>
      <w:bookmarkStart w:id="109" w:name="_Toc175906059"/>
      <w:bookmarkStart w:id="110" w:name="_Toc201309094"/>
      <w:bookmarkStart w:id="111" w:name="_Toc201310790"/>
      <w:bookmarkStart w:id="112" w:name="_Toc207287363"/>
      <w:bookmarkStart w:id="113" w:name="_Toc238653300"/>
      <w:r w:rsidRPr="009A0C00">
        <w:rPr>
          <w:sz w:val="40"/>
          <w:szCs w:val="40"/>
        </w:rPr>
        <w:lastRenderedPageBreak/>
        <w:t>Outcome 2: Families and Communities</w:t>
      </w:r>
      <w:bookmarkEnd w:id="109"/>
      <w:bookmarkEnd w:id="110"/>
      <w:bookmarkEnd w:id="111"/>
      <w:bookmarkEnd w:id="112"/>
      <w:bookmarkEnd w:id="113"/>
    </w:p>
    <w:p w14:paraId="38EB7EB7" w14:textId="77777777" w:rsidR="00E71249" w:rsidRPr="00125A3E" w:rsidRDefault="00E71249" w:rsidP="00125A3E">
      <w:pPr>
        <w:pStyle w:val="Heading4"/>
        <w:rPr>
          <w:sz w:val="22"/>
          <w:szCs w:val="22"/>
        </w:rPr>
      </w:pPr>
      <w:bookmarkStart w:id="114" w:name="_Toc77593305"/>
      <w:bookmarkStart w:id="115" w:name="_Toc111026127"/>
      <w:bookmarkStart w:id="116" w:name="_Toc172099804"/>
      <w:bookmarkStart w:id="117" w:name="_Toc175906060"/>
      <w:bookmarkStart w:id="118" w:name="_Toc201309095"/>
      <w:bookmarkStart w:id="119" w:name="_Toc201310791"/>
      <w:bookmarkStart w:id="120" w:name="_Toc207287364"/>
      <w:r w:rsidRPr="00125A3E">
        <w:rPr>
          <w:sz w:val="22"/>
          <w:szCs w:val="22"/>
        </w:rPr>
        <w:t>Programs and activities</w:t>
      </w:r>
      <w:bookmarkEnd w:id="114"/>
      <w:bookmarkEnd w:id="115"/>
      <w:bookmarkEnd w:id="116"/>
      <w:bookmarkEnd w:id="117"/>
      <w:bookmarkEnd w:id="118"/>
      <w:bookmarkEnd w:id="119"/>
      <w:bookmarkEnd w:id="120"/>
    </w:p>
    <w:p w14:paraId="3D690859" w14:textId="77777777" w:rsidR="00E71249" w:rsidRPr="00666438" w:rsidRDefault="00E71249" w:rsidP="00E765FA">
      <w:pPr>
        <w:spacing w:before="120" w:after="120"/>
        <w:ind w:right="-2"/>
        <w:rPr>
          <w:rFonts w:cstheme="minorHAnsi"/>
          <w:szCs w:val="22"/>
          <w:lang w:eastAsia="en-AU"/>
        </w:rPr>
      </w:pPr>
      <w:r w:rsidRPr="00666438">
        <w:rPr>
          <w:rFonts w:cstheme="minorHAnsi"/>
          <w:szCs w:val="22"/>
          <w:lang w:eastAsia="en-AU"/>
        </w:rPr>
        <w:t xml:space="preserve">Outcome 2 comprises one program underpinned by </w:t>
      </w:r>
      <w:proofErr w:type="gramStart"/>
      <w:r w:rsidRPr="00666438">
        <w:rPr>
          <w:rFonts w:cstheme="minorHAnsi"/>
          <w:szCs w:val="22"/>
          <w:lang w:eastAsia="en-AU"/>
        </w:rPr>
        <w:t>a number of</w:t>
      </w:r>
      <w:proofErr w:type="gramEnd"/>
      <w:r w:rsidRPr="00666438">
        <w:rPr>
          <w:rFonts w:cstheme="minorHAnsi"/>
          <w:szCs w:val="22"/>
          <w:lang w:eastAsia="en-AU"/>
        </w:rPr>
        <w:t xml:space="preserve"> activities that seek to contribute to stronger and more resilient individuals, children, families and communities. The table below depicts how this purpose is translated into measurable activities.</w:t>
      </w:r>
    </w:p>
    <w:p w14:paraId="01721E52" w14:textId="77777777" w:rsidR="00E71249" w:rsidRPr="00666438" w:rsidRDefault="00E71249" w:rsidP="00E765FA">
      <w:pPr>
        <w:spacing w:before="120" w:after="120"/>
        <w:ind w:right="-2"/>
        <w:rPr>
          <w:rFonts w:cstheme="minorHAnsi"/>
          <w:szCs w:val="22"/>
          <w:lang w:eastAsia="en-AU"/>
        </w:rPr>
      </w:pPr>
      <w:r w:rsidRPr="00666438">
        <w:rPr>
          <w:rFonts w:cstheme="minorHAnsi"/>
          <w:szCs w:val="22"/>
          <w:lang w:eastAsia="en-AU"/>
        </w:rPr>
        <w:t xml:space="preserve">An in-depth description of each of the activities, performance measures, targets, rationale, methodology and outputs are in the Performance Tables Section on the pages that follow. </w:t>
      </w:r>
    </w:p>
    <w:p w14:paraId="0DBBB84B" w14:textId="77777777" w:rsidR="00125A3E" w:rsidRPr="00DD6FA0" w:rsidRDefault="00E71249" w:rsidP="00DD6FA0">
      <w:pPr>
        <w:pStyle w:val="Heading3"/>
        <w:shd w:val="clear" w:color="auto" w:fill="005A70" w:themeFill="accent1"/>
        <w:rPr>
          <w:rFonts w:asciiTheme="minorHAnsi" w:hAnsiTheme="minorHAnsi" w:cstheme="minorHAnsi"/>
          <w:b/>
          <w:bCs w:val="0"/>
          <w:color w:val="FFFFFF" w:themeColor="background1"/>
          <w:sz w:val="22"/>
          <w:szCs w:val="22"/>
          <w:lang w:eastAsia="en-AU"/>
        </w:rPr>
      </w:pPr>
      <w:bookmarkStart w:id="121" w:name="_Toc238653301"/>
      <w:r w:rsidRPr="00DD6FA0">
        <w:rPr>
          <w:rFonts w:asciiTheme="minorHAnsi" w:hAnsiTheme="minorHAnsi" w:cstheme="minorHAnsi"/>
          <w:b/>
          <w:bCs w:val="0"/>
          <w:color w:val="FFFFFF" w:themeColor="background1"/>
          <w:sz w:val="22"/>
          <w:szCs w:val="22"/>
          <w:lang w:eastAsia="en-AU"/>
        </w:rPr>
        <w:t>Outcome 2 – Families and Communities</w:t>
      </w:r>
      <w:bookmarkEnd w:id="121"/>
    </w:p>
    <w:p w14:paraId="6BA3EE74" w14:textId="3CF49317" w:rsidR="00E71249" w:rsidRPr="00125A3E" w:rsidRDefault="00E71249" w:rsidP="00125A3E">
      <w:pPr>
        <w:shd w:val="clear" w:color="auto" w:fill="005A70"/>
        <w:spacing w:before="120" w:after="120" w:line="254" w:lineRule="auto"/>
        <w:rPr>
          <w:rFonts w:cstheme="minorHAnsi"/>
          <w:color w:val="FFFFFF" w:themeColor="background1"/>
          <w:bdr w:val="none" w:sz="0" w:space="0" w:color="auto" w:frame="1"/>
          <w:lang w:eastAsia="en-AU"/>
        </w:rPr>
      </w:pPr>
      <w:r w:rsidRPr="00125A3E">
        <w:rPr>
          <w:rFonts w:cstheme="minorHAnsi"/>
          <w:color w:val="FFFFFF" w:themeColor="background1"/>
          <w:bdr w:val="none" w:sz="0" w:space="0" w:color="auto" w:frame="1"/>
          <w:lang w:eastAsia="en-AU"/>
        </w:rPr>
        <w:t>Promote stronger and more resilient families, children, individuals and communities by providing targeted</w:t>
      </w:r>
      <w:r w:rsidR="00125A3E" w:rsidRPr="00125A3E">
        <w:rPr>
          <w:rFonts w:cstheme="minorHAnsi"/>
          <w:color w:val="FFFFFF" w:themeColor="background1"/>
          <w:bdr w:val="none" w:sz="0" w:space="0" w:color="auto" w:frame="1"/>
          <w:lang w:eastAsia="en-AU"/>
        </w:rPr>
        <w:t xml:space="preserve"> </w:t>
      </w:r>
      <w:r w:rsidRPr="00125A3E">
        <w:rPr>
          <w:rFonts w:cstheme="minorHAnsi"/>
          <w:color w:val="FFFFFF" w:themeColor="background1"/>
          <w:bdr w:val="none" w:sz="0" w:space="0" w:color="auto" w:frame="1"/>
          <w:lang w:eastAsia="en-AU"/>
        </w:rPr>
        <w:t>supports.</w:t>
      </w:r>
    </w:p>
    <w:tbl>
      <w:tblPr>
        <w:tblStyle w:val="Numericaltable11"/>
        <w:tblW w:w="10468" w:type="dxa"/>
        <w:jc w:val="center"/>
        <w:tblInd w:w="0" w:type="dxa"/>
        <w:tblBorders>
          <w:top w:val="none" w:sz="0" w:space="0" w:color="auto"/>
          <w:left w:val="single" w:sz="36" w:space="0" w:color="FFFFFF"/>
          <w:bottom w:val="single" w:sz="36" w:space="0" w:color="FFFFFF"/>
          <w:right w:val="single" w:sz="36" w:space="0" w:color="FFFFFF"/>
          <w:insideH w:val="none" w:sz="0" w:space="0" w:color="auto"/>
          <w:insideV w:val="single" w:sz="36" w:space="0" w:color="FFFFFF"/>
        </w:tblBorders>
        <w:tblLayout w:type="fixed"/>
        <w:tblLook w:val="04A0" w:firstRow="1" w:lastRow="0" w:firstColumn="1" w:lastColumn="0" w:noHBand="0" w:noVBand="1"/>
        <w:tblCaption w:val="Table 27 - Outcome 2 - Families and Communities"/>
        <w:tblDescription w:val="A table detailing Outcome 2's Program and the associated key activities that Outcome 2 comprises of.&#10;"/>
      </w:tblPr>
      <w:tblGrid>
        <w:gridCol w:w="10468"/>
      </w:tblGrid>
      <w:tr w:rsidR="00E71249" w:rsidRPr="00B963AC" w14:paraId="67A00238" w14:textId="77777777" w:rsidTr="00125A3E">
        <w:trPr>
          <w:tblHeader/>
          <w:jc w:val="center"/>
        </w:trPr>
        <w:tc>
          <w:tcPr>
            <w:tcW w:w="10468" w:type="dxa"/>
            <w:tcBorders>
              <w:top w:val="single" w:sz="36" w:space="0" w:color="FFFFFF"/>
              <w:left w:val="single" w:sz="36" w:space="0" w:color="FFFFFF"/>
              <w:bottom w:val="single" w:sz="36" w:space="0" w:color="FFFFFF"/>
              <w:right w:val="single" w:sz="36" w:space="0" w:color="FFFFFF"/>
            </w:tcBorders>
            <w:shd w:val="clear" w:color="auto" w:fill="005A70"/>
            <w:hideMark/>
          </w:tcPr>
          <w:p w14:paraId="0AFFD097" w14:textId="77777777" w:rsidR="00E71249" w:rsidRPr="004E3EC4" w:rsidRDefault="00E71249" w:rsidP="00125A3E">
            <w:pPr>
              <w:spacing w:before="120" w:after="120"/>
              <w:ind w:left="134"/>
              <w:jc w:val="center"/>
              <w:rPr>
                <w:rFonts w:cstheme="minorHAnsi"/>
                <w:b/>
                <w:color w:val="FFFFFF"/>
                <w:kern w:val="2"/>
                <w14:ligatures w14:val="standardContextual"/>
              </w:rPr>
            </w:pPr>
            <w:r w:rsidRPr="004E3EC4">
              <w:rPr>
                <w:rFonts w:cstheme="minorHAnsi"/>
                <w:b/>
                <w:bCs/>
                <w:color w:val="FFFFFF"/>
                <w:kern w:val="2"/>
                <w14:ligatures w14:val="standardContextual"/>
              </w:rPr>
              <w:t>Program 2.1</w:t>
            </w:r>
          </w:p>
          <w:p w14:paraId="12F1F711" w14:textId="77777777" w:rsidR="00E71249" w:rsidRPr="004E3EC4" w:rsidRDefault="00E71249" w:rsidP="00496219">
            <w:pPr>
              <w:spacing w:before="120" w:after="120"/>
              <w:jc w:val="center"/>
              <w:rPr>
                <w:rFonts w:cstheme="minorHAnsi"/>
                <w:color w:val="FFFFFF"/>
                <w:kern w:val="2"/>
                <w14:ligatures w14:val="standardContextual"/>
              </w:rPr>
            </w:pPr>
            <w:r w:rsidRPr="004E3EC4">
              <w:rPr>
                <w:rFonts w:cstheme="minorHAnsi"/>
                <w:b/>
                <w:color w:val="FFFFFF"/>
                <w:kern w:val="2"/>
                <w14:ligatures w14:val="standardContextual"/>
              </w:rPr>
              <w:t>Families and Communities</w:t>
            </w:r>
          </w:p>
        </w:tc>
      </w:tr>
      <w:tr w:rsidR="00E71249" w:rsidRPr="00B963AC" w14:paraId="225A9677" w14:textId="77777777" w:rsidTr="00125A3E">
        <w:trPr>
          <w:jc w:val="center"/>
        </w:trPr>
        <w:tc>
          <w:tcPr>
            <w:tcW w:w="10468" w:type="dxa"/>
            <w:tcBorders>
              <w:top w:val="single" w:sz="36" w:space="0" w:color="FFFFFF"/>
              <w:left w:val="single" w:sz="36" w:space="0" w:color="FFFFFF"/>
              <w:bottom w:val="single" w:sz="36" w:space="0" w:color="FFFFFF"/>
              <w:right w:val="single" w:sz="36" w:space="0" w:color="FFFFFF"/>
            </w:tcBorders>
            <w:shd w:val="clear" w:color="auto" w:fill="B1E4E3"/>
            <w:hideMark/>
          </w:tcPr>
          <w:p w14:paraId="0081FD48" w14:textId="77777777" w:rsidR="00E71249" w:rsidRPr="004E3EC4" w:rsidRDefault="00E71249" w:rsidP="00496219">
            <w:pPr>
              <w:spacing w:before="120" w:after="120"/>
              <w:ind w:left="85"/>
              <w:jc w:val="center"/>
              <w:rPr>
                <w:rFonts w:cstheme="minorHAnsi"/>
                <w:b/>
                <w:kern w:val="2"/>
                <w14:ligatures w14:val="standardContextual"/>
              </w:rPr>
            </w:pPr>
            <w:r w:rsidRPr="004E3EC4">
              <w:rPr>
                <w:rFonts w:cstheme="minorHAnsi"/>
                <w:b/>
                <w:bCs/>
                <w:kern w:val="2"/>
                <w14:ligatures w14:val="standardContextual"/>
              </w:rPr>
              <w:t>Key activities*</w:t>
            </w:r>
          </w:p>
          <w:p w14:paraId="15DE6BF4" w14:textId="77777777" w:rsidR="00E71249" w:rsidRPr="004E3EC4" w:rsidRDefault="00E71249" w:rsidP="00496219">
            <w:pPr>
              <w:spacing w:before="120" w:after="120"/>
              <w:ind w:left="170"/>
              <w:rPr>
                <w:rFonts w:cstheme="minorHAnsi"/>
                <w:kern w:val="2"/>
                <w14:ligatures w14:val="standardContextual"/>
              </w:rPr>
            </w:pPr>
            <w:r w:rsidRPr="004E3EC4">
              <w:rPr>
                <w:rFonts w:cstheme="minorHAnsi"/>
                <w:kern w:val="2"/>
                <w14:ligatures w14:val="standardContextual"/>
              </w:rPr>
              <w:t>2.1.1 – Families and Children</w:t>
            </w:r>
          </w:p>
          <w:p w14:paraId="10E03D58" w14:textId="77777777" w:rsidR="00E71249" w:rsidRPr="004E3EC4" w:rsidRDefault="00E71249" w:rsidP="00496219">
            <w:pPr>
              <w:spacing w:before="120" w:after="120"/>
              <w:ind w:left="170"/>
              <w:rPr>
                <w:rFonts w:cstheme="minorHAnsi"/>
                <w:kern w:val="2"/>
                <w14:ligatures w14:val="standardContextual"/>
              </w:rPr>
            </w:pPr>
            <w:r w:rsidRPr="004E3EC4">
              <w:rPr>
                <w:rFonts w:cstheme="minorHAnsi"/>
                <w:kern w:val="2"/>
                <w14:ligatures w14:val="standardContextual"/>
              </w:rPr>
              <w:t>2.1.2 – Family Safety</w:t>
            </w:r>
          </w:p>
          <w:p w14:paraId="059E25D0" w14:textId="77777777" w:rsidR="00E71249" w:rsidRPr="004E3EC4" w:rsidRDefault="00E71249" w:rsidP="00496219">
            <w:pPr>
              <w:spacing w:before="120" w:after="120"/>
              <w:ind w:left="170"/>
              <w:rPr>
                <w:rFonts w:cstheme="minorHAnsi"/>
                <w:kern w:val="2"/>
                <w14:ligatures w14:val="standardContextual"/>
              </w:rPr>
            </w:pPr>
            <w:r w:rsidRPr="004E3EC4">
              <w:rPr>
                <w:rFonts w:cstheme="minorHAnsi"/>
                <w:kern w:val="2"/>
                <w14:ligatures w14:val="standardContextual"/>
              </w:rPr>
              <w:t>2.1.5 – Financial Wellbeing and Capability</w:t>
            </w:r>
          </w:p>
          <w:p w14:paraId="1F1D4750" w14:textId="77777777" w:rsidR="00E71249" w:rsidRPr="004E3EC4" w:rsidRDefault="00E71249" w:rsidP="00496219">
            <w:pPr>
              <w:spacing w:before="120" w:after="120"/>
              <w:ind w:left="170"/>
              <w:rPr>
                <w:rFonts w:cstheme="minorHAnsi"/>
                <w:kern w:val="2"/>
                <w14:ligatures w14:val="standardContextual"/>
              </w:rPr>
            </w:pPr>
            <w:r w:rsidRPr="004E3EC4">
              <w:rPr>
                <w:rFonts w:cstheme="minorHAnsi"/>
                <w:kern w:val="2"/>
                <w14:ligatures w14:val="standardContextual"/>
              </w:rPr>
              <w:t>2.1.7 – National Redress Scheme for Institutional Child Sexual Abuse</w:t>
            </w:r>
          </w:p>
          <w:p w14:paraId="4145805F" w14:textId="77777777" w:rsidR="00E71249" w:rsidRPr="004E3EC4" w:rsidRDefault="00E71249" w:rsidP="00496219">
            <w:pPr>
              <w:spacing w:before="120" w:after="120"/>
              <w:ind w:left="170"/>
              <w:rPr>
                <w:rFonts w:cstheme="minorHAnsi"/>
                <w:kern w:val="2"/>
                <w14:ligatures w14:val="standardContextual"/>
              </w:rPr>
            </w:pPr>
            <w:r w:rsidRPr="004E3EC4">
              <w:rPr>
                <w:rFonts w:cstheme="minorHAnsi"/>
                <w:kern w:val="2"/>
                <w14:ligatures w14:val="standardContextual"/>
              </w:rPr>
              <w:t>*The key activity numbering in Outcome 2 is not consecutive as it reflects the 2025-26 Portfolio Budget Statement appropriation numbering.</w:t>
            </w:r>
          </w:p>
        </w:tc>
      </w:tr>
    </w:tbl>
    <w:p w14:paraId="44861A4F" w14:textId="77777777" w:rsidR="00E71249" w:rsidRPr="00B963AC" w:rsidRDefault="00E71249" w:rsidP="00E71249">
      <w:pPr>
        <w:rPr>
          <w:rFonts w:ascii="Calibri" w:hAnsi="Calibri" w:cs="Calibri"/>
          <w:szCs w:val="22"/>
        </w:rPr>
      </w:pPr>
      <w:r w:rsidRPr="00B963AC">
        <w:rPr>
          <w:rFonts w:ascii="Calibri" w:hAnsi="Calibri" w:cs="Calibri"/>
          <w:szCs w:val="22"/>
        </w:rPr>
        <w:br w:type="page"/>
      </w:r>
    </w:p>
    <w:p w14:paraId="67AC289B" w14:textId="27A91D84" w:rsidR="00E71249" w:rsidRPr="00DD6FA0" w:rsidRDefault="00E71249" w:rsidP="00DD6FA0">
      <w:pPr>
        <w:pStyle w:val="Heading3"/>
        <w:shd w:val="clear" w:color="auto" w:fill="005A70" w:themeFill="accent1"/>
        <w:rPr>
          <w:rFonts w:asciiTheme="minorHAnsi" w:hAnsiTheme="minorHAnsi" w:cstheme="minorHAnsi"/>
          <w:b/>
          <w:bCs w:val="0"/>
          <w:color w:val="FFFFFF" w:themeColor="background1"/>
          <w:sz w:val="22"/>
          <w:szCs w:val="22"/>
          <w:lang w:eastAsia="en-AU"/>
        </w:rPr>
      </w:pPr>
      <w:bookmarkStart w:id="122" w:name="_Toc201310792"/>
      <w:bookmarkStart w:id="123" w:name="_Toc201309096"/>
      <w:bookmarkStart w:id="124" w:name="_Toc238653302"/>
      <w:r w:rsidRPr="00DD6FA0">
        <w:rPr>
          <w:rFonts w:asciiTheme="minorHAnsi" w:hAnsiTheme="minorHAnsi" w:cstheme="minorHAnsi"/>
          <w:b/>
          <w:bCs w:val="0"/>
          <w:color w:val="FFFFFF" w:themeColor="background1"/>
          <w:sz w:val="22"/>
          <w:szCs w:val="22"/>
          <w:lang w:eastAsia="en-AU"/>
        </w:rPr>
        <w:lastRenderedPageBreak/>
        <w:t>P</w:t>
      </w:r>
      <w:r w:rsidR="00A97D98" w:rsidRPr="00DD6FA0">
        <w:rPr>
          <w:rFonts w:asciiTheme="minorHAnsi" w:hAnsiTheme="minorHAnsi" w:cstheme="minorHAnsi"/>
          <w:b/>
          <w:bCs w:val="0"/>
          <w:color w:val="FFFFFF" w:themeColor="background1"/>
          <w:sz w:val="22"/>
          <w:szCs w:val="22"/>
          <w:lang w:eastAsia="en-AU"/>
        </w:rPr>
        <w:t>rogram</w:t>
      </w:r>
      <w:r w:rsidRPr="00DD6FA0">
        <w:rPr>
          <w:rFonts w:asciiTheme="minorHAnsi" w:hAnsiTheme="minorHAnsi" w:cstheme="minorHAnsi"/>
          <w:b/>
          <w:bCs w:val="0"/>
          <w:color w:val="FFFFFF" w:themeColor="background1"/>
          <w:sz w:val="22"/>
          <w:szCs w:val="22"/>
          <w:lang w:eastAsia="en-AU"/>
        </w:rPr>
        <w:t xml:space="preserve"> 2.1 F</w:t>
      </w:r>
      <w:bookmarkEnd w:id="122"/>
      <w:bookmarkEnd w:id="123"/>
      <w:r w:rsidR="00A97D98" w:rsidRPr="00DD6FA0">
        <w:rPr>
          <w:rFonts w:asciiTheme="minorHAnsi" w:hAnsiTheme="minorHAnsi" w:cstheme="minorHAnsi"/>
          <w:b/>
          <w:bCs w:val="0"/>
          <w:color w:val="FFFFFF" w:themeColor="background1"/>
          <w:sz w:val="22"/>
          <w:szCs w:val="22"/>
          <w:lang w:eastAsia="en-AU"/>
        </w:rPr>
        <w:t>amilies and Communities</w:t>
      </w:r>
      <w:bookmarkEnd w:id="124"/>
    </w:p>
    <w:p w14:paraId="529EAF54" w14:textId="77777777" w:rsidR="00E71249" w:rsidRPr="00FB1833" w:rsidRDefault="00E71249" w:rsidP="002F2790">
      <w:pPr>
        <w:shd w:val="clear" w:color="auto" w:fill="005A70"/>
        <w:spacing w:before="120" w:after="160" w:line="256" w:lineRule="auto"/>
        <w:rPr>
          <w:rFonts w:eastAsia="Aptos" w:cstheme="minorHAnsi"/>
          <w:color w:val="FFFFFF"/>
          <w:kern w:val="2"/>
          <w:szCs w:val="22"/>
          <w:lang w:eastAsia="en-AU"/>
          <w14:ligatures w14:val="standardContextual"/>
        </w:rPr>
      </w:pPr>
      <w:r w:rsidRPr="00FB1833">
        <w:rPr>
          <w:rFonts w:eastAsia="Aptos" w:cstheme="minorHAnsi"/>
          <w:color w:val="FFFFFF"/>
          <w:kern w:val="2"/>
          <w:szCs w:val="22"/>
          <w:lang w:eastAsia="en-AU"/>
          <w14:ligatures w14:val="standardContextual"/>
        </w:rPr>
        <w:t>To strengthen relationships, support families, improve wellbeing of children and young people, reduce the cost of family breakdown, and strengthen family and community functioning.</w:t>
      </w:r>
    </w:p>
    <w:p w14:paraId="2CB90E5F" w14:textId="77777777" w:rsidR="00E71249" w:rsidRPr="002A5B00" w:rsidRDefault="00E71249" w:rsidP="002A5B00">
      <w:pPr>
        <w:pStyle w:val="Heading4"/>
        <w:shd w:val="clear" w:color="auto" w:fill="B1E4E3" w:themeFill="accent3"/>
        <w:spacing w:before="60" w:after="60"/>
        <w:rPr>
          <w:color w:val="auto"/>
          <w:sz w:val="22"/>
          <w:szCs w:val="22"/>
        </w:rPr>
      </w:pPr>
      <w:r w:rsidRPr="002A5B00">
        <w:rPr>
          <w:color w:val="auto"/>
          <w:sz w:val="22"/>
          <w:szCs w:val="22"/>
        </w:rPr>
        <w:t>Key Activity — 2.1.1- Families and Children</w:t>
      </w:r>
    </w:p>
    <w:p w14:paraId="526918B8" w14:textId="77777777" w:rsidR="00E71249" w:rsidRPr="00FB1833" w:rsidRDefault="00E71249" w:rsidP="002F2790">
      <w:pPr>
        <w:spacing w:before="120" w:after="160" w:line="280" w:lineRule="atLeast"/>
        <w:rPr>
          <w:rFonts w:eastAsia="Aptos" w:cstheme="minorHAnsi"/>
          <w:spacing w:val="4"/>
          <w:kern w:val="2"/>
          <w:szCs w:val="22"/>
          <w:lang w:eastAsia="en-AU"/>
          <w14:ligatures w14:val="standardContextual"/>
        </w:rPr>
      </w:pPr>
      <w:r w:rsidRPr="00FB1833">
        <w:rPr>
          <w:rFonts w:eastAsia="Times New Roman" w:cstheme="minorHAnsi"/>
          <w:szCs w:val="22"/>
          <w:lang w:eastAsia="en-AU"/>
        </w:rPr>
        <w:t xml:space="preserve">Families and Children is a key activity of the Families and Communities Program. The Families and Children key activity provides services and initiatives to support families, strengthen relationships, improve the wellbeing of children and young people, enhance family and community functioning, and build capacity within the families and </w:t>
      </w:r>
      <w:proofErr w:type="gramStart"/>
      <w:r w:rsidRPr="00FB1833">
        <w:rPr>
          <w:rFonts w:eastAsia="Times New Roman" w:cstheme="minorHAnsi"/>
          <w:szCs w:val="22"/>
          <w:lang w:eastAsia="en-AU"/>
        </w:rPr>
        <w:t>communities</w:t>
      </w:r>
      <w:proofErr w:type="gramEnd"/>
      <w:r w:rsidRPr="00FB1833">
        <w:rPr>
          <w:rFonts w:eastAsia="Times New Roman" w:cstheme="minorHAnsi"/>
          <w:szCs w:val="22"/>
          <w:lang w:eastAsia="en-AU"/>
        </w:rPr>
        <w:t xml:space="preserve"> sector</w:t>
      </w:r>
      <w:r w:rsidRPr="00FB1833">
        <w:rPr>
          <w:rFonts w:eastAsia="Aptos" w:cstheme="minorHAnsi"/>
          <w:spacing w:val="4"/>
          <w:kern w:val="2"/>
          <w:szCs w:val="22"/>
          <w:lang w:eastAsia="en-AU"/>
          <w14:ligatures w14:val="standardContextual"/>
        </w:rPr>
        <w:t>.</w:t>
      </w:r>
    </w:p>
    <w:p w14:paraId="24E62C41" w14:textId="77777777" w:rsidR="00E71249" w:rsidRPr="00FB1833" w:rsidRDefault="00E71249" w:rsidP="002F2790">
      <w:pPr>
        <w:suppressAutoHyphens/>
        <w:spacing w:before="120" w:after="160" w:line="257" w:lineRule="auto"/>
        <w:rPr>
          <w:rFonts w:eastAsia="Aptos" w:cstheme="minorHAnsi"/>
          <w:color w:val="000000"/>
          <w:kern w:val="2"/>
          <w:szCs w:val="22"/>
          <w:lang w:eastAsia="en-AU"/>
          <w14:ligatures w14:val="standardContextual"/>
        </w:rPr>
      </w:pPr>
      <w:r w:rsidRPr="00FB1833">
        <w:rPr>
          <w:rFonts w:eastAsia="Aptos" w:cstheme="minorHAnsi"/>
          <w:b/>
          <w:color w:val="000000"/>
          <w:kern w:val="2"/>
          <w:szCs w:val="22"/>
          <w:lang w:eastAsia="en-AU"/>
          <w14:ligatures w14:val="standardContextual"/>
        </w:rPr>
        <w:t>Families and children service providers</w:t>
      </w:r>
      <w:r w:rsidRPr="00FB1833">
        <w:rPr>
          <w:rFonts w:eastAsia="Aptos" w:cstheme="minorHAnsi"/>
          <w:color w:val="000000"/>
          <w:kern w:val="2"/>
          <w:szCs w:val="22"/>
          <w:lang w:eastAsia="en-AU"/>
          <w14:ligatures w14:val="standardContextual"/>
        </w:rPr>
        <w:t xml:space="preserve"> </w:t>
      </w:r>
      <w:r w:rsidRPr="00FB1833">
        <w:rPr>
          <w:rFonts w:eastAsia="Times New Roman" w:cstheme="minorHAnsi"/>
          <w:szCs w:val="22"/>
          <w:lang w:eastAsia="en-AU"/>
        </w:rPr>
        <w:t>deliver early intervention and prevention activities to improve the wellbeing of families and children (including after separation), including parenting programs, relationship counselling, playgroups and other supports.</w:t>
      </w:r>
    </w:p>
    <w:p w14:paraId="2D3C7230" w14:textId="2F52CFD9" w:rsidR="00E71249" w:rsidRPr="00FB1833" w:rsidRDefault="00E71249" w:rsidP="002F2790">
      <w:pPr>
        <w:suppressAutoHyphens/>
        <w:spacing w:before="120" w:after="160" w:line="256" w:lineRule="auto"/>
        <w:rPr>
          <w:rFonts w:eastAsia="Aptos" w:cstheme="minorHAnsi"/>
          <w:color w:val="000000"/>
          <w:kern w:val="2"/>
          <w:szCs w:val="22"/>
          <w:lang w:eastAsia="en-AU"/>
          <w14:ligatures w14:val="standardContextual"/>
        </w:rPr>
      </w:pPr>
      <w:r w:rsidRPr="00FB1833">
        <w:rPr>
          <w:rFonts w:eastAsia="Aptos" w:cstheme="minorHAnsi"/>
          <w:b/>
          <w:color w:val="000000"/>
          <w:kern w:val="2"/>
          <w:szCs w:val="22"/>
          <w:lang w:eastAsia="en-AU"/>
          <w14:ligatures w14:val="standardContextual"/>
        </w:rPr>
        <w:t xml:space="preserve">The </w:t>
      </w:r>
      <w:r w:rsidR="0054557F">
        <w:rPr>
          <w:rFonts w:eastAsia="Aptos" w:cstheme="minorHAnsi"/>
          <w:b/>
          <w:color w:val="000000"/>
          <w:kern w:val="2"/>
          <w:szCs w:val="22"/>
          <w:lang w:eastAsia="en-AU"/>
          <w14:ligatures w14:val="standardContextual"/>
        </w:rPr>
        <w:t>d</w:t>
      </w:r>
      <w:r w:rsidRPr="00FB1833">
        <w:rPr>
          <w:rFonts w:eastAsia="Aptos" w:cstheme="minorHAnsi"/>
          <w:b/>
          <w:color w:val="000000"/>
          <w:kern w:val="2"/>
          <w:szCs w:val="22"/>
          <w:lang w:eastAsia="en-AU"/>
          <w14:ligatures w14:val="standardContextual"/>
        </w:rPr>
        <w:t>epartment</w:t>
      </w:r>
      <w:r w:rsidRPr="00FB1833">
        <w:rPr>
          <w:rFonts w:eastAsia="Aptos" w:cstheme="minorHAnsi"/>
          <w:color w:val="000000"/>
          <w:kern w:val="2"/>
          <w:szCs w:val="22"/>
          <w:lang w:eastAsia="en-AU"/>
          <w14:ligatures w14:val="standardContextual"/>
        </w:rPr>
        <w:t xml:space="preserve"> </w:t>
      </w:r>
      <w:r w:rsidRPr="00FB1833">
        <w:rPr>
          <w:rFonts w:eastAsia="Times New Roman" w:cstheme="minorHAnsi"/>
          <w:szCs w:val="22"/>
          <w:lang w:eastAsia="en-AU"/>
        </w:rPr>
        <w:t>is responsible for designing and implementing the Families and Children key activity, including</w:t>
      </w:r>
      <w:r w:rsidRPr="00FB1833">
        <w:rPr>
          <w:rFonts w:eastAsia="Aptos" w:cstheme="minorHAnsi"/>
          <w:color w:val="000000"/>
          <w:kern w:val="2"/>
          <w:szCs w:val="22"/>
          <w:lang w:eastAsia="en-AU"/>
          <w14:ligatures w14:val="standardContextual"/>
        </w:rPr>
        <w:t xml:space="preserve">: </w:t>
      </w:r>
    </w:p>
    <w:p w14:paraId="02F5543D" w14:textId="77777777" w:rsidR="00E71249" w:rsidRPr="00FB1833" w:rsidRDefault="00E71249" w:rsidP="002F2790">
      <w:pPr>
        <w:pStyle w:val="ListParagraph"/>
        <w:spacing w:before="120" w:after="160"/>
        <w:ind w:left="714" w:hanging="357"/>
        <w:rPr>
          <w:lang w:eastAsia="en-AU"/>
        </w:rPr>
      </w:pPr>
      <w:r w:rsidRPr="00FB1833">
        <w:rPr>
          <w:lang w:eastAsia="en-AU"/>
        </w:rPr>
        <w:t>designing policy and legislation</w:t>
      </w:r>
    </w:p>
    <w:p w14:paraId="18AD4F80" w14:textId="77777777" w:rsidR="00E71249" w:rsidRDefault="00E71249" w:rsidP="002F2790">
      <w:pPr>
        <w:pStyle w:val="ListParagraph"/>
        <w:spacing w:before="120" w:after="160"/>
        <w:ind w:left="714" w:hanging="357"/>
        <w:rPr>
          <w:lang w:eastAsia="en-AU"/>
        </w:rPr>
      </w:pPr>
      <w:r w:rsidRPr="00FB1833">
        <w:rPr>
          <w:lang w:eastAsia="en-AU"/>
        </w:rPr>
        <w:t>designing and managing grants to service providers.</w:t>
      </w:r>
    </w:p>
    <w:p w14:paraId="77A6EB91" w14:textId="05FF2FC3" w:rsidR="00E71249" w:rsidRPr="00A97D98" w:rsidRDefault="00E71249" w:rsidP="00A97D98">
      <w:pPr>
        <w:pStyle w:val="Heading4"/>
        <w:rPr>
          <w:sz w:val="22"/>
          <w:szCs w:val="22"/>
          <w:lang w:eastAsia="en-AU"/>
        </w:rPr>
      </w:pPr>
      <w:bookmarkStart w:id="125" w:name="_Toc229055913"/>
      <w:r w:rsidRPr="00A97D98">
        <w:rPr>
          <w:sz w:val="22"/>
          <w:szCs w:val="22"/>
          <w:lang w:eastAsia="en-AU"/>
        </w:rPr>
        <w:t>Performance Measure</w:t>
      </w:r>
      <w:bookmarkEnd w:id="125"/>
    </w:p>
    <w:p w14:paraId="59A8153B" w14:textId="77777777" w:rsidR="00E71249" w:rsidRPr="00FB1833" w:rsidRDefault="00E71249" w:rsidP="00E71249">
      <w:pPr>
        <w:suppressAutoHyphens/>
        <w:spacing w:before="120" w:after="120"/>
        <w:rPr>
          <w:rFonts w:eastAsia="Times New Roman" w:cstheme="minorHAnsi"/>
          <w:szCs w:val="22"/>
          <w:lang w:eastAsia="en-AU"/>
        </w:rPr>
      </w:pPr>
      <w:r w:rsidRPr="00FB1833">
        <w:rPr>
          <w:rFonts w:eastAsia="Aptos" w:cstheme="minorHAnsi"/>
          <w:kern w:val="2"/>
          <w:szCs w:val="22"/>
          <w:lang w:eastAsia="en-AU"/>
          <w14:ligatures w14:val="standardContextual"/>
        </w:rPr>
        <w:t xml:space="preserve">2.1.1-1 </w:t>
      </w:r>
      <w:r w:rsidRPr="00FB1833">
        <w:rPr>
          <w:rFonts w:eastAsia="Times New Roman" w:cstheme="minorHAnsi"/>
          <w:szCs w:val="22"/>
          <w:lang w:eastAsia="en-AU"/>
        </w:rPr>
        <w:t>Extent to which individuals have improved individual and family functioning</w:t>
      </w:r>
    </w:p>
    <w:tbl>
      <w:tblPr>
        <w:tblStyle w:val="TableGrid39"/>
        <w:tblW w:w="4976" w:type="pct"/>
        <w:jc w:val="center"/>
        <w:tblLook w:val="04A0" w:firstRow="1" w:lastRow="0" w:firstColumn="1" w:lastColumn="0" w:noHBand="0" w:noVBand="1"/>
        <w:tblCaption w:val="Table 28 - 2.1.1-1 Extent to which individuals have improved individual and family functioning"/>
        <w:tblDescription w:val="Target for the extent to which individuals have improved individual and family functioning"/>
      </w:tblPr>
      <w:tblGrid>
        <w:gridCol w:w="4497"/>
        <w:gridCol w:w="1351"/>
        <w:gridCol w:w="1499"/>
        <w:gridCol w:w="1349"/>
        <w:gridCol w:w="1449"/>
      </w:tblGrid>
      <w:tr w:rsidR="00E71249" w:rsidRPr="00FB1833" w14:paraId="398ED84A" w14:textId="77777777" w:rsidTr="00496219">
        <w:trPr>
          <w:cantSplit/>
          <w:trHeight w:val="166"/>
          <w:jc w:val="center"/>
        </w:trPr>
        <w:tc>
          <w:tcPr>
            <w:tcW w:w="2216" w:type="pct"/>
            <w:tcBorders>
              <w:top w:val="single" w:sz="4" w:space="0" w:color="auto"/>
              <w:bottom w:val="single" w:sz="4" w:space="0" w:color="auto"/>
              <w:right w:val="single" w:sz="6" w:space="0" w:color="auto"/>
            </w:tcBorders>
            <w:shd w:val="clear" w:color="auto" w:fill="D9D9D6"/>
          </w:tcPr>
          <w:p w14:paraId="20436681" w14:textId="77777777" w:rsidR="00E71249" w:rsidRPr="00FB1833" w:rsidRDefault="00E71249" w:rsidP="00496219">
            <w:pPr>
              <w:spacing w:before="120" w:after="120"/>
              <w:rPr>
                <w:rFonts w:asciiTheme="minorHAnsi" w:hAnsiTheme="minorHAnsi" w:cstheme="minorHAnsi"/>
                <w:szCs w:val="22"/>
              </w:rPr>
            </w:pPr>
            <w:r w:rsidRPr="00FB1833">
              <w:rPr>
                <w:rFonts w:asciiTheme="minorHAnsi" w:hAnsiTheme="minorHAnsi" w:cstheme="minorHAnsi"/>
                <w:b/>
                <w:szCs w:val="22"/>
              </w:rPr>
              <w:t>Target</w:t>
            </w:r>
          </w:p>
        </w:tc>
        <w:tc>
          <w:tcPr>
            <w:tcW w:w="666" w:type="pct"/>
            <w:tcBorders>
              <w:top w:val="single" w:sz="4" w:space="0" w:color="auto"/>
              <w:left w:val="single" w:sz="6" w:space="0" w:color="auto"/>
              <w:bottom w:val="single" w:sz="4" w:space="0" w:color="auto"/>
              <w:right w:val="single" w:sz="6" w:space="0" w:color="auto"/>
            </w:tcBorders>
            <w:shd w:val="clear" w:color="auto" w:fill="D9D9D6"/>
          </w:tcPr>
          <w:p w14:paraId="54C0362F" w14:textId="77777777" w:rsidR="00E71249" w:rsidRPr="00FB1833" w:rsidRDefault="00E71249" w:rsidP="00496219">
            <w:pPr>
              <w:spacing w:before="120" w:after="120"/>
              <w:rPr>
                <w:rFonts w:asciiTheme="minorHAnsi" w:hAnsiTheme="minorHAnsi" w:cstheme="minorHAnsi"/>
                <w:szCs w:val="22"/>
              </w:rPr>
            </w:pPr>
            <w:r w:rsidRPr="00FB1833">
              <w:rPr>
                <w:rFonts w:asciiTheme="minorHAnsi" w:hAnsiTheme="minorHAnsi" w:cstheme="minorHAnsi"/>
                <w:b/>
                <w:szCs w:val="22"/>
              </w:rPr>
              <w:t>2026–27</w:t>
            </w:r>
          </w:p>
        </w:tc>
        <w:tc>
          <w:tcPr>
            <w:tcW w:w="739" w:type="pct"/>
            <w:tcBorders>
              <w:top w:val="single" w:sz="4" w:space="0" w:color="auto"/>
              <w:left w:val="single" w:sz="6" w:space="0" w:color="auto"/>
              <w:bottom w:val="single" w:sz="4" w:space="0" w:color="auto"/>
              <w:right w:val="single" w:sz="6" w:space="0" w:color="auto"/>
            </w:tcBorders>
            <w:shd w:val="clear" w:color="auto" w:fill="D9D9D6"/>
          </w:tcPr>
          <w:p w14:paraId="6CEB8250" w14:textId="77777777" w:rsidR="00E71249" w:rsidRPr="00FB1833" w:rsidRDefault="00E71249" w:rsidP="00496219">
            <w:pPr>
              <w:spacing w:before="120" w:after="120"/>
              <w:rPr>
                <w:rFonts w:asciiTheme="minorHAnsi" w:hAnsiTheme="minorHAnsi" w:cstheme="minorHAnsi"/>
                <w:b/>
                <w:szCs w:val="22"/>
              </w:rPr>
            </w:pPr>
            <w:r w:rsidRPr="00FB1833">
              <w:rPr>
                <w:rFonts w:asciiTheme="minorHAnsi" w:hAnsiTheme="minorHAnsi" w:cstheme="minorHAnsi"/>
                <w:b/>
                <w:szCs w:val="22"/>
              </w:rPr>
              <w:t>2027–28</w:t>
            </w:r>
          </w:p>
        </w:tc>
        <w:tc>
          <w:tcPr>
            <w:tcW w:w="665" w:type="pct"/>
            <w:tcBorders>
              <w:top w:val="single" w:sz="4" w:space="0" w:color="auto"/>
              <w:left w:val="single" w:sz="6" w:space="0" w:color="auto"/>
              <w:bottom w:val="single" w:sz="4" w:space="0" w:color="auto"/>
              <w:right w:val="single" w:sz="6" w:space="0" w:color="auto"/>
            </w:tcBorders>
            <w:shd w:val="clear" w:color="auto" w:fill="D9D9D6"/>
          </w:tcPr>
          <w:p w14:paraId="21F31DB7" w14:textId="77777777" w:rsidR="00E71249" w:rsidRPr="00FB1833" w:rsidRDefault="00E71249" w:rsidP="00496219">
            <w:pPr>
              <w:spacing w:before="120" w:after="120"/>
              <w:rPr>
                <w:rFonts w:asciiTheme="minorHAnsi" w:hAnsiTheme="minorHAnsi" w:cstheme="minorHAnsi"/>
                <w:b/>
                <w:szCs w:val="22"/>
              </w:rPr>
            </w:pPr>
            <w:r w:rsidRPr="00FB1833">
              <w:rPr>
                <w:rFonts w:asciiTheme="minorHAnsi" w:hAnsiTheme="minorHAnsi" w:cstheme="minorHAnsi"/>
                <w:b/>
                <w:szCs w:val="22"/>
              </w:rPr>
              <w:t>2028-29</w:t>
            </w:r>
          </w:p>
        </w:tc>
        <w:tc>
          <w:tcPr>
            <w:tcW w:w="714" w:type="pct"/>
            <w:tcBorders>
              <w:top w:val="single" w:sz="4" w:space="0" w:color="auto"/>
              <w:left w:val="single" w:sz="6" w:space="0" w:color="auto"/>
              <w:bottom w:val="single" w:sz="4" w:space="0" w:color="auto"/>
              <w:right w:val="single" w:sz="4" w:space="0" w:color="auto"/>
            </w:tcBorders>
            <w:shd w:val="clear" w:color="auto" w:fill="D9D9D6"/>
          </w:tcPr>
          <w:p w14:paraId="06C7C9A1" w14:textId="77777777" w:rsidR="00E71249" w:rsidRPr="00FB1833" w:rsidRDefault="00E71249" w:rsidP="00496219">
            <w:pPr>
              <w:spacing w:before="120" w:after="120"/>
              <w:rPr>
                <w:rFonts w:asciiTheme="minorHAnsi" w:hAnsiTheme="minorHAnsi" w:cstheme="minorHAnsi"/>
                <w:b/>
                <w:szCs w:val="22"/>
              </w:rPr>
            </w:pPr>
            <w:r w:rsidRPr="00FB1833">
              <w:rPr>
                <w:rFonts w:asciiTheme="minorHAnsi" w:hAnsiTheme="minorHAnsi" w:cstheme="minorHAnsi"/>
                <w:b/>
                <w:szCs w:val="22"/>
              </w:rPr>
              <w:t>2029-30</w:t>
            </w:r>
          </w:p>
        </w:tc>
      </w:tr>
      <w:tr w:rsidR="00E71249" w:rsidRPr="00FB1833" w14:paraId="13A726FB" w14:textId="77777777" w:rsidTr="00496219">
        <w:trPr>
          <w:cantSplit/>
          <w:trHeight w:val="356"/>
          <w:jc w:val="center"/>
        </w:trPr>
        <w:tc>
          <w:tcPr>
            <w:tcW w:w="2216" w:type="pct"/>
            <w:tcBorders>
              <w:top w:val="single" w:sz="4" w:space="0" w:color="auto"/>
            </w:tcBorders>
          </w:tcPr>
          <w:p w14:paraId="380C6E91" w14:textId="27D6E9C9" w:rsidR="00E71249" w:rsidRPr="00FB1833" w:rsidRDefault="009E1B06" w:rsidP="00496219">
            <w:pPr>
              <w:spacing w:before="120" w:after="120"/>
              <w:rPr>
                <w:rFonts w:asciiTheme="minorHAnsi" w:hAnsiTheme="minorHAnsi" w:cstheme="minorHAnsi"/>
                <w:szCs w:val="22"/>
              </w:rPr>
            </w:pPr>
            <w:r>
              <w:rPr>
                <w:rFonts w:cstheme="minorHAnsi"/>
                <w:noProof/>
                <w:szCs w:val="22"/>
              </w:rPr>
              <mc:AlternateContent>
                <mc:Choice Requires="wps">
                  <w:drawing>
                    <wp:anchor distT="0" distB="0" distL="114300" distR="114300" simplePos="0" relativeHeight="251672584" behindDoc="0" locked="0" layoutInCell="1" allowOverlap="1" wp14:anchorId="63F40977" wp14:editId="7514430D">
                      <wp:simplePos x="0" y="0"/>
                      <wp:positionH relativeFrom="column">
                        <wp:posOffset>-6407</wp:posOffset>
                      </wp:positionH>
                      <wp:positionV relativeFrom="paragraph">
                        <wp:posOffset>126356</wp:posOffset>
                      </wp:positionV>
                      <wp:extent cx="45719" cy="95534"/>
                      <wp:effectExtent l="0" t="0" r="12065" b="19050"/>
                      <wp:wrapNone/>
                      <wp:docPr id="1521888600" name="Diamond 17" descr="The diamond symbol represents Performance measures that may be impacted by external factors."/>
                      <wp:cNvGraphicFramePr/>
                      <a:graphic xmlns:a="http://schemas.openxmlformats.org/drawingml/2006/main">
                        <a:graphicData uri="http://schemas.microsoft.com/office/word/2010/wordprocessingShape">
                          <wps:wsp>
                            <wps:cNvSpPr/>
                            <wps:spPr>
                              <a:xfrm>
                                <a:off x="0" y="0"/>
                                <a:ext cx="45719" cy="95534"/>
                              </a:xfrm>
                              <a:prstGeom prst="diamond">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2723B7" id="Diamond 17" o:spid="_x0000_s1026" type="#_x0000_t4" alt="The diamond symbol represents Performance measures that may be impacted by external factors." style="position:absolute;margin-left:-.5pt;margin-top:9.95pt;width:3.6pt;height:7.5pt;z-index:251672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" fillcolor="black [3213]" strokecolor="#000d10 [484]" strokeweight=".73403mm"/>
                  </w:pict>
                </mc:Fallback>
              </mc:AlternateContent>
            </w:r>
            <w:r w:rsidR="00E71249" w:rsidRPr="00FB1833">
              <w:rPr>
                <w:rFonts w:asciiTheme="minorHAnsi" w:hAnsiTheme="minorHAnsi" w:cstheme="minorHAnsi"/>
                <w:szCs w:val="22"/>
              </w:rPr>
              <w:t xml:space="preserve"> </w:t>
            </w:r>
            <w:r w:rsidR="005A2AFD">
              <w:rPr>
                <w:rFonts w:asciiTheme="minorHAnsi" w:hAnsiTheme="minorHAnsi" w:cstheme="minorHAnsi"/>
                <w:szCs w:val="22"/>
              </w:rPr>
              <w:t xml:space="preserve"> </w:t>
            </w:r>
            <w:r w:rsidR="00E71249" w:rsidRPr="00FB1833">
              <w:rPr>
                <w:rFonts w:asciiTheme="minorHAnsi" w:hAnsiTheme="minorHAnsi" w:cstheme="minorHAnsi"/>
                <w:szCs w:val="22"/>
              </w:rPr>
              <w:t>2.1.1-1A</w:t>
            </w:r>
            <w:r w:rsidR="00E71249" w:rsidRPr="00087716">
              <w:rPr>
                <w:rFonts w:asciiTheme="minorHAnsi" w:hAnsiTheme="minorHAnsi" w:cstheme="minorHAnsi"/>
                <w:szCs w:val="22"/>
              </w:rPr>
              <w:t xml:space="preserve"> – </w:t>
            </w:r>
            <w:r w:rsidR="00E71249" w:rsidRPr="00FB1833">
              <w:rPr>
                <w:rFonts w:asciiTheme="minorHAnsi" w:hAnsiTheme="minorHAnsi" w:cstheme="minorHAnsi"/>
                <w:szCs w:val="22"/>
              </w:rPr>
              <w:t>At least 75% of clients in reporting services have improved family functioning.</w:t>
            </w:r>
          </w:p>
        </w:tc>
        <w:tc>
          <w:tcPr>
            <w:tcW w:w="666" w:type="pct"/>
            <w:tcBorders>
              <w:top w:val="single" w:sz="4" w:space="0" w:color="auto"/>
            </w:tcBorders>
          </w:tcPr>
          <w:p w14:paraId="4FFA88CA" w14:textId="77777777" w:rsidR="00E71249" w:rsidRPr="00FB1833" w:rsidRDefault="00E71249" w:rsidP="00496219">
            <w:pPr>
              <w:spacing w:before="120" w:after="120"/>
              <w:rPr>
                <w:rFonts w:asciiTheme="minorHAnsi" w:hAnsiTheme="minorHAnsi" w:cstheme="minorHAnsi"/>
                <w:szCs w:val="22"/>
              </w:rPr>
            </w:pPr>
            <w:r w:rsidRPr="00FB1833">
              <w:rPr>
                <w:rFonts w:asciiTheme="minorHAnsi" w:hAnsiTheme="minorHAnsi" w:cstheme="minorHAnsi"/>
                <w:szCs w:val="22"/>
                <w:lang w:eastAsia="en-GB"/>
              </w:rPr>
              <w:t>≥75%</w:t>
            </w:r>
          </w:p>
        </w:tc>
        <w:tc>
          <w:tcPr>
            <w:tcW w:w="739" w:type="pct"/>
            <w:tcBorders>
              <w:top w:val="single" w:sz="4" w:space="0" w:color="auto"/>
            </w:tcBorders>
          </w:tcPr>
          <w:p w14:paraId="595E9E99" w14:textId="77777777" w:rsidR="00E71249" w:rsidRPr="00FB1833" w:rsidRDefault="00E71249" w:rsidP="00496219">
            <w:pPr>
              <w:spacing w:before="120" w:after="120"/>
              <w:rPr>
                <w:rFonts w:asciiTheme="minorHAnsi" w:hAnsiTheme="minorHAnsi" w:cstheme="minorHAnsi"/>
                <w:szCs w:val="22"/>
              </w:rPr>
            </w:pPr>
            <w:r w:rsidRPr="00FB1833">
              <w:rPr>
                <w:rFonts w:asciiTheme="minorHAnsi" w:hAnsiTheme="minorHAnsi" w:cstheme="minorHAnsi"/>
                <w:szCs w:val="22"/>
                <w:lang w:eastAsia="en-GB"/>
              </w:rPr>
              <w:t>≥75%</w:t>
            </w:r>
          </w:p>
        </w:tc>
        <w:tc>
          <w:tcPr>
            <w:tcW w:w="665" w:type="pct"/>
            <w:tcBorders>
              <w:top w:val="single" w:sz="4" w:space="0" w:color="auto"/>
            </w:tcBorders>
          </w:tcPr>
          <w:p w14:paraId="1DF73F08" w14:textId="77777777" w:rsidR="00E71249" w:rsidRPr="00FB1833" w:rsidRDefault="00E71249" w:rsidP="00496219">
            <w:pPr>
              <w:spacing w:before="120" w:after="120"/>
              <w:rPr>
                <w:rFonts w:asciiTheme="minorHAnsi" w:hAnsiTheme="minorHAnsi" w:cstheme="minorHAnsi"/>
                <w:szCs w:val="22"/>
              </w:rPr>
            </w:pPr>
            <w:r w:rsidRPr="00FB1833">
              <w:rPr>
                <w:rFonts w:asciiTheme="minorHAnsi" w:hAnsiTheme="minorHAnsi" w:cstheme="minorHAnsi"/>
                <w:szCs w:val="22"/>
                <w:lang w:eastAsia="en-GB"/>
              </w:rPr>
              <w:t>≥75%</w:t>
            </w:r>
          </w:p>
        </w:tc>
        <w:tc>
          <w:tcPr>
            <w:tcW w:w="714" w:type="pct"/>
            <w:tcBorders>
              <w:top w:val="single" w:sz="4" w:space="0" w:color="auto"/>
            </w:tcBorders>
          </w:tcPr>
          <w:p w14:paraId="3139DB84" w14:textId="77777777" w:rsidR="00E71249" w:rsidRPr="00FB1833" w:rsidRDefault="00E71249" w:rsidP="00496219">
            <w:pPr>
              <w:spacing w:before="120" w:after="120"/>
              <w:rPr>
                <w:rFonts w:asciiTheme="minorHAnsi" w:hAnsiTheme="minorHAnsi" w:cstheme="minorHAnsi"/>
                <w:szCs w:val="22"/>
              </w:rPr>
            </w:pPr>
            <w:r w:rsidRPr="00FB1833">
              <w:rPr>
                <w:rFonts w:asciiTheme="minorHAnsi" w:hAnsiTheme="minorHAnsi" w:cstheme="minorHAnsi"/>
                <w:szCs w:val="22"/>
                <w:lang w:eastAsia="en-GB"/>
              </w:rPr>
              <w:t>≥75%</w:t>
            </w:r>
          </w:p>
        </w:tc>
      </w:tr>
    </w:tbl>
    <w:p w14:paraId="0E8F1E5D" w14:textId="77777777" w:rsidR="00E71249" w:rsidRPr="00FB1833" w:rsidRDefault="00E71249" w:rsidP="00A97D98">
      <w:pPr>
        <w:pStyle w:val="CPCustom3"/>
        <w:rPr>
          <w:lang w:eastAsia="en-AU"/>
        </w:rPr>
      </w:pPr>
      <w:r w:rsidRPr="00FB1833">
        <w:rPr>
          <w:lang w:eastAsia="en-AU"/>
        </w:rPr>
        <w:t>Rationale</w:t>
      </w:r>
    </w:p>
    <w:p w14:paraId="238C8B96" w14:textId="77777777" w:rsidR="00E71249" w:rsidRPr="00FB1833" w:rsidRDefault="00E71249" w:rsidP="002F2790">
      <w:pPr>
        <w:suppressAutoHyphens/>
        <w:spacing w:before="120" w:after="160" w:line="257" w:lineRule="auto"/>
        <w:rPr>
          <w:rFonts w:eastAsia="Times New Roman" w:cstheme="minorHAnsi"/>
          <w:szCs w:val="22"/>
          <w:lang w:eastAsia="en-AU"/>
        </w:rPr>
      </w:pPr>
      <w:r w:rsidRPr="00FB1833">
        <w:rPr>
          <w:rFonts w:eastAsia="Times New Roman" w:cstheme="minorHAnsi"/>
          <w:szCs w:val="22"/>
          <w:lang w:eastAsia="en-AU"/>
        </w:rPr>
        <w:t>Measuring the extent to which individuals have improved individual and family functioning demonstrates that Families and Children Service Providers have strengthened family functioning. This measure demonstrates the</w:t>
      </w:r>
      <w:r w:rsidRPr="00FB1833">
        <w:rPr>
          <w:rFonts w:eastAsia="Aptos" w:cstheme="minorHAnsi"/>
          <w:color w:val="000000"/>
          <w:kern w:val="2"/>
          <w:szCs w:val="22"/>
          <w:lang w:eastAsia="en-AU"/>
          <w14:ligatures w14:val="standardContextual"/>
        </w:rPr>
        <w:t xml:space="preserve"> </w:t>
      </w:r>
      <w:r w:rsidRPr="00FB1833">
        <w:rPr>
          <w:rFonts w:eastAsia="Aptos" w:cstheme="minorHAnsi"/>
          <w:b/>
          <w:color w:val="000000"/>
          <w:kern w:val="2"/>
          <w:szCs w:val="22"/>
          <w:lang w:eastAsia="en-AU"/>
          <w14:ligatures w14:val="standardContextual"/>
        </w:rPr>
        <w:t>effectiveness</w:t>
      </w:r>
      <w:r w:rsidRPr="00FB1833">
        <w:rPr>
          <w:rFonts w:eastAsia="Aptos" w:cstheme="minorHAnsi"/>
          <w:color w:val="000000"/>
          <w:kern w:val="2"/>
          <w:szCs w:val="22"/>
          <w:lang w:eastAsia="en-AU"/>
          <w14:ligatures w14:val="standardContextual"/>
        </w:rPr>
        <w:t xml:space="preserve"> </w:t>
      </w:r>
      <w:r w:rsidRPr="00FB1833">
        <w:rPr>
          <w:rFonts w:eastAsia="Times New Roman" w:cstheme="minorHAnsi"/>
          <w:szCs w:val="22"/>
          <w:lang w:eastAsia="en-AU"/>
        </w:rPr>
        <w:t xml:space="preserve">of Families and Children in achieving the objective of the key activity: to provide services and initiatives to support families, strengthen relationships, improve the wellbeing of children and young people, enhance family and community functioning, and build capacity within the families and </w:t>
      </w:r>
      <w:proofErr w:type="gramStart"/>
      <w:r w:rsidRPr="00FB1833">
        <w:rPr>
          <w:rFonts w:eastAsia="Times New Roman" w:cstheme="minorHAnsi"/>
          <w:szCs w:val="22"/>
          <w:lang w:eastAsia="en-AU"/>
        </w:rPr>
        <w:t>communities</w:t>
      </w:r>
      <w:proofErr w:type="gramEnd"/>
      <w:r w:rsidRPr="00FB1833">
        <w:rPr>
          <w:rFonts w:eastAsia="Times New Roman" w:cstheme="minorHAnsi"/>
          <w:szCs w:val="22"/>
          <w:lang w:eastAsia="en-AU"/>
        </w:rPr>
        <w:t xml:space="preserve"> sector.</w:t>
      </w:r>
    </w:p>
    <w:p w14:paraId="61D3BD00" w14:textId="77777777" w:rsidR="00E71249" w:rsidRPr="00FB1833" w:rsidRDefault="00E71249" w:rsidP="002F2790">
      <w:pPr>
        <w:suppressAutoHyphens/>
        <w:spacing w:before="120" w:after="160" w:line="256" w:lineRule="auto"/>
        <w:rPr>
          <w:rFonts w:eastAsia="Times New Roman" w:cstheme="minorHAnsi"/>
          <w:szCs w:val="22"/>
          <w:lang w:eastAsia="en-AU"/>
        </w:rPr>
      </w:pPr>
      <w:r w:rsidRPr="00FB1833">
        <w:rPr>
          <w:rFonts w:eastAsia="Times New Roman" w:cstheme="minorHAnsi"/>
          <w:szCs w:val="22"/>
          <w:lang w:eastAsia="en-AU"/>
        </w:rPr>
        <w:t>The target of ‘at least 75% of clients in reporting services have improved family functioning’ demonstrates the</w:t>
      </w:r>
      <w:r w:rsidRPr="00FB1833">
        <w:rPr>
          <w:rFonts w:eastAsia="Aptos" w:cstheme="minorHAnsi"/>
          <w:color w:val="000000"/>
          <w:kern w:val="2"/>
          <w:szCs w:val="22"/>
          <w:lang w:eastAsia="en-AU"/>
          <w14:ligatures w14:val="standardContextual"/>
        </w:rPr>
        <w:t xml:space="preserve"> </w:t>
      </w:r>
      <w:r w:rsidRPr="00FB1833">
        <w:rPr>
          <w:rFonts w:eastAsia="Aptos" w:cstheme="minorHAnsi"/>
          <w:b/>
          <w:color w:val="000000"/>
          <w:kern w:val="2"/>
          <w:szCs w:val="22"/>
          <w:lang w:eastAsia="en-AU"/>
          <w14:ligatures w14:val="standardContextual"/>
        </w:rPr>
        <w:t>effectiveness</w:t>
      </w:r>
      <w:r w:rsidRPr="00FB1833">
        <w:rPr>
          <w:rFonts w:eastAsia="Aptos" w:cstheme="minorHAnsi"/>
          <w:color w:val="000000"/>
          <w:kern w:val="2"/>
          <w:szCs w:val="22"/>
          <w:lang w:eastAsia="en-AU"/>
          <w14:ligatures w14:val="standardContextual"/>
        </w:rPr>
        <w:t xml:space="preserve"> </w:t>
      </w:r>
      <w:r w:rsidRPr="00FB1833">
        <w:rPr>
          <w:rFonts w:eastAsia="Times New Roman" w:cstheme="minorHAnsi"/>
          <w:szCs w:val="22"/>
          <w:lang w:eastAsia="en-AU"/>
        </w:rPr>
        <w:t>of the key activity by showing that a significant majority of clients that received services from Families and Children Service Providers have improved individual and family functioning.</w:t>
      </w:r>
    </w:p>
    <w:p w14:paraId="13069C18" w14:textId="77777777" w:rsidR="00E71249" w:rsidRPr="00FB1833" w:rsidRDefault="00E71249" w:rsidP="00A97D98">
      <w:pPr>
        <w:pStyle w:val="CPCustom3"/>
        <w:rPr>
          <w:lang w:eastAsia="en-AU"/>
        </w:rPr>
      </w:pPr>
      <w:r w:rsidRPr="00FB1833">
        <w:rPr>
          <w:lang w:eastAsia="en-AU"/>
        </w:rPr>
        <w:t>Methodology</w:t>
      </w:r>
    </w:p>
    <w:p w14:paraId="7F9EF831" w14:textId="71F7EBF2" w:rsidR="002F2790" w:rsidRDefault="00E71249" w:rsidP="002F2790">
      <w:pPr>
        <w:suppressAutoHyphens/>
        <w:spacing w:before="120" w:after="160" w:line="256" w:lineRule="auto"/>
        <w:rPr>
          <w:rFonts w:eastAsia="Times New Roman" w:cstheme="minorHAnsi"/>
          <w:szCs w:val="22"/>
          <w:lang w:eastAsia="en-AU"/>
        </w:rPr>
      </w:pPr>
      <w:r w:rsidRPr="00FB1833">
        <w:rPr>
          <w:rFonts w:eastAsia="Times New Roman" w:cstheme="minorHAnsi"/>
          <w:szCs w:val="22"/>
          <w:lang w:eastAsia="en-AU"/>
        </w:rPr>
        <w:t>Funded service providers conduct a survey with a sample of clients to whom they provide a service. Client Circumstances data is based on a self-assessment of functioning, pre-service to establish a baseline and post-service to record the self-assessed outcome.</w:t>
      </w:r>
    </w:p>
    <w:p w14:paraId="4F23A01E" w14:textId="77777777" w:rsidR="002F2790" w:rsidRDefault="002F2790">
      <w:pPr>
        <w:spacing w:after="240"/>
        <w:rPr>
          <w:rFonts w:eastAsia="Times New Roman" w:cstheme="minorHAnsi"/>
          <w:szCs w:val="22"/>
          <w:lang w:eastAsia="en-AU"/>
        </w:rPr>
      </w:pPr>
      <w:r>
        <w:rPr>
          <w:rFonts w:eastAsia="Times New Roman" w:cstheme="minorHAnsi"/>
          <w:szCs w:val="22"/>
          <w:lang w:eastAsia="en-AU"/>
        </w:rPr>
        <w:br w:type="page"/>
      </w:r>
    </w:p>
    <w:p w14:paraId="10A467D7" w14:textId="77777777" w:rsidR="00E71249" w:rsidRPr="00FB1833" w:rsidRDefault="00E71249" w:rsidP="00A97D98">
      <w:pPr>
        <w:pStyle w:val="CPCustom3"/>
        <w:rPr>
          <w:lang w:eastAsia="en-AU"/>
        </w:rPr>
      </w:pPr>
      <w:r w:rsidRPr="00FB1833">
        <w:rPr>
          <w:lang w:eastAsia="en-AU"/>
        </w:rPr>
        <w:lastRenderedPageBreak/>
        <w:t>Data Categorisation</w:t>
      </w:r>
    </w:p>
    <w:tbl>
      <w:tblPr>
        <w:tblStyle w:val="Numericaltable12"/>
        <w:tblpPr w:leftFromText="180" w:rightFromText="180" w:vertAnchor="text" w:horzAnchor="margin" w:tblpY="11"/>
        <w:tblW w:w="10201" w:type="dxa"/>
        <w:tblLook w:val="04A0" w:firstRow="1" w:lastRow="0" w:firstColumn="1" w:lastColumn="0" w:noHBand="0" w:noVBand="1"/>
        <w:tblCaption w:val="Table 29 - Categorisation of data source"/>
        <w:tblDescription w:val="Categorisation of data source"/>
      </w:tblPr>
      <w:tblGrid>
        <w:gridCol w:w="3823"/>
        <w:gridCol w:w="6378"/>
      </w:tblGrid>
      <w:tr w:rsidR="00E71249" w:rsidRPr="00FB1833" w14:paraId="72C5E14C" w14:textId="77777777" w:rsidTr="00496219">
        <w:trPr>
          <w:trHeight w:val="558"/>
          <w:tblHeader/>
        </w:trPr>
        <w:tc>
          <w:tcPr>
            <w:tcW w:w="3823" w:type="dxa"/>
            <w:shd w:val="clear" w:color="auto" w:fill="215868"/>
          </w:tcPr>
          <w:p w14:paraId="0E305649" w14:textId="77777777" w:rsidR="00E71249" w:rsidRPr="00FB1833" w:rsidRDefault="00E71249" w:rsidP="00496219">
            <w:pPr>
              <w:suppressAutoHyphens/>
              <w:spacing w:before="120" w:after="120"/>
              <w:rPr>
                <w:rFonts w:asciiTheme="minorHAnsi" w:hAnsiTheme="minorHAnsi" w:cstheme="minorHAnsi"/>
                <w:b/>
                <w:bCs/>
                <w:color w:val="FFFFFF"/>
                <w:szCs w:val="22"/>
              </w:rPr>
            </w:pPr>
            <w:r w:rsidRPr="00FB1833">
              <w:rPr>
                <w:rFonts w:asciiTheme="minorHAnsi" w:hAnsiTheme="minorHAnsi" w:cstheme="minorHAnsi"/>
                <w:b/>
                <w:bCs/>
                <w:color w:val="FFFFFF"/>
                <w:szCs w:val="22"/>
              </w:rPr>
              <w:t xml:space="preserve">Categorisation of data source </w:t>
            </w:r>
          </w:p>
        </w:tc>
        <w:tc>
          <w:tcPr>
            <w:tcW w:w="6378" w:type="dxa"/>
            <w:shd w:val="clear" w:color="auto" w:fill="215868"/>
          </w:tcPr>
          <w:p w14:paraId="6F6AE451" w14:textId="77777777" w:rsidR="00E71249" w:rsidRPr="00FB1833" w:rsidRDefault="00E71249" w:rsidP="00496219">
            <w:pPr>
              <w:suppressAutoHyphens/>
              <w:spacing w:before="120" w:after="120"/>
              <w:rPr>
                <w:rFonts w:asciiTheme="minorHAnsi" w:hAnsiTheme="minorHAnsi" w:cstheme="minorHAnsi"/>
                <w:b/>
                <w:bCs/>
                <w:color w:val="FFFFFF"/>
                <w:szCs w:val="22"/>
              </w:rPr>
            </w:pPr>
            <w:r w:rsidRPr="00FB1833">
              <w:rPr>
                <w:rFonts w:asciiTheme="minorHAnsi" w:hAnsiTheme="minorHAnsi" w:cstheme="minorHAnsi"/>
                <w:b/>
                <w:bCs/>
                <w:color w:val="FFFFFF"/>
                <w:szCs w:val="22"/>
              </w:rPr>
              <w:t xml:space="preserve">Data source </w:t>
            </w:r>
          </w:p>
        </w:tc>
      </w:tr>
      <w:tr w:rsidR="00E71249" w:rsidRPr="00FB1833" w14:paraId="7AA7C714" w14:textId="77777777" w:rsidTr="00496219">
        <w:trPr>
          <w:trHeight w:val="558"/>
        </w:trPr>
        <w:tc>
          <w:tcPr>
            <w:tcW w:w="3823" w:type="dxa"/>
          </w:tcPr>
          <w:p w14:paraId="2C6113C7" w14:textId="3A04D132" w:rsidR="00E71249" w:rsidRPr="00FB1833" w:rsidRDefault="00E71249" w:rsidP="00496219">
            <w:pPr>
              <w:suppressAutoHyphens/>
              <w:spacing w:before="120" w:after="120"/>
              <w:rPr>
                <w:rFonts w:asciiTheme="minorHAnsi" w:hAnsiTheme="minorHAnsi" w:cstheme="minorHAnsi"/>
                <w:color w:val="000000"/>
                <w:szCs w:val="22"/>
              </w:rPr>
            </w:pPr>
            <w:r w:rsidRPr="00FB1833">
              <w:rPr>
                <w:rFonts w:cstheme="minorHAnsi"/>
                <w:noProof/>
                <w:szCs w:val="22"/>
              </w:rPr>
              <w:drawing>
                <wp:inline distT="0" distB="0" distL="0" distR="0" wp14:anchorId="0BA71158" wp14:editId="235124D4">
                  <wp:extent cx="1205357" cy="351909"/>
                  <wp:effectExtent l="0" t="0" r="0" b="0"/>
                  <wp:docPr id="809015881" name="picture" descr="'Terti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172866" name="picture" descr="'Tertiary Sour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05357" cy="351909"/>
                          </a:xfrm>
                          <a:prstGeom prst="rect">
                            <a:avLst/>
                          </a:prstGeom>
                        </pic:spPr>
                      </pic:pic>
                    </a:graphicData>
                  </a:graphic>
                </wp:inline>
              </w:drawing>
            </w:r>
            <w:r w:rsidR="007E4EC0">
              <w:rPr>
                <w:rFonts w:asciiTheme="minorHAnsi" w:hAnsiTheme="minorHAnsi" w:cstheme="minorHAnsi"/>
                <w:color w:val="000000"/>
                <w:szCs w:val="22"/>
              </w:rPr>
              <w:t xml:space="preserve"> </w:t>
            </w:r>
            <w:r w:rsidRPr="00FB1833">
              <w:rPr>
                <w:rFonts w:cstheme="minorHAnsi"/>
                <w:noProof/>
                <w:szCs w:val="22"/>
              </w:rPr>
              <w:drawing>
                <wp:inline distT="0" distB="0" distL="0" distR="0" wp14:anchorId="7AFEAAE6" wp14:editId="16EF3EF8">
                  <wp:extent cx="886700" cy="346367"/>
                  <wp:effectExtent l="0" t="0" r="8890" b="0"/>
                  <wp:docPr id="422840642" name="picture" descr=" 'Ti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19566" name="picture" descr=" 'Tier 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86700" cy="346367"/>
                          </a:xfrm>
                          <a:prstGeom prst="rect">
                            <a:avLst/>
                          </a:prstGeom>
                        </pic:spPr>
                      </pic:pic>
                    </a:graphicData>
                  </a:graphic>
                </wp:inline>
              </w:drawing>
            </w:r>
          </w:p>
        </w:tc>
        <w:tc>
          <w:tcPr>
            <w:tcW w:w="6378" w:type="dxa"/>
          </w:tcPr>
          <w:p w14:paraId="234073D0" w14:textId="16FC8649" w:rsidR="00E71249" w:rsidRPr="00FB1833" w:rsidRDefault="00E71249" w:rsidP="00496219">
            <w:pPr>
              <w:suppressAutoHyphens/>
              <w:spacing w:before="120" w:after="120"/>
              <w:rPr>
                <w:rFonts w:asciiTheme="minorHAnsi" w:hAnsiTheme="minorHAnsi" w:cstheme="minorHAnsi"/>
                <w:color w:val="000000"/>
                <w:szCs w:val="22"/>
              </w:rPr>
            </w:pPr>
            <w:r w:rsidRPr="00FB1833">
              <w:rPr>
                <w:rFonts w:asciiTheme="minorHAnsi" w:hAnsiTheme="minorHAnsi" w:cstheme="minorHAnsi"/>
                <w:color w:val="000000"/>
                <w:szCs w:val="22"/>
              </w:rPr>
              <w:t xml:space="preserve">The </w:t>
            </w:r>
            <w:r w:rsidR="0054557F">
              <w:rPr>
                <w:rFonts w:asciiTheme="minorHAnsi" w:hAnsiTheme="minorHAnsi" w:cstheme="minorHAnsi"/>
                <w:color w:val="000000"/>
                <w:szCs w:val="22"/>
              </w:rPr>
              <w:t>d</w:t>
            </w:r>
            <w:r w:rsidRPr="00FB1833">
              <w:rPr>
                <w:rFonts w:asciiTheme="minorHAnsi" w:hAnsiTheme="minorHAnsi" w:cstheme="minorHAnsi"/>
                <w:color w:val="000000"/>
                <w:szCs w:val="22"/>
              </w:rPr>
              <w:t>epartment’s Data Exchange – Family Functioning SCORE data.</w:t>
            </w:r>
          </w:p>
        </w:tc>
      </w:tr>
    </w:tbl>
    <w:p w14:paraId="118D4646" w14:textId="77777777" w:rsidR="00E71249" w:rsidRPr="00FB1833" w:rsidRDefault="00E71249" w:rsidP="00A97D98">
      <w:pPr>
        <w:pStyle w:val="CPCustom3"/>
        <w:rPr>
          <w:lang w:eastAsia="en-AU"/>
        </w:rPr>
      </w:pPr>
      <w:r w:rsidRPr="00FB1833">
        <w:rPr>
          <w:lang w:eastAsia="en-AU"/>
        </w:rPr>
        <w:t xml:space="preserve">Supporting Information </w:t>
      </w:r>
    </w:p>
    <w:p w14:paraId="73CDB694" w14:textId="77777777" w:rsidR="00E71249" w:rsidRPr="00FB1833" w:rsidRDefault="00E71249" w:rsidP="00796A7F">
      <w:pPr>
        <w:pStyle w:val="ListParagraph"/>
        <w:spacing w:before="120" w:after="160"/>
        <w:rPr>
          <w:lang w:eastAsia="en-AU"/>
        </w:rPr>
      </w:pPr>
      <w:r w:rsidRPr="00FB1833">
        <w:rPr>
          <w:lang w:eastAsia="en-AU"/>
        </w:rPr>
        <w:t>Administered outlays</w:t>
      </w:r>
    </w:p>
    <w:p w14:paraId="35E25316" w14:textId="77777777" w:rsidR="00E71249" w:rsidRPr="00FB1833" w:rsidRDefault="00E71249" w:rsidP="00796A7F">
      <w:pPr>
        <w:pStyle w:val="ListParagraph"/>
        <w:spacing w:before="120" w:after="160"/>
        <w:rPr>
          <w:lang w:eastAsia="en-AU"/>
        </w:rPr>
      </w:pPr>
      <w:r w:rsidRPr="00FB1833">
        <w:rPr>
          <w:lang w:eastAsia="en-AU"/>
        </w:rPr>
        <w:t>Number of individuals assisted</w:t>
      </w:r>
    </w:p>
    <w:p w14:paraId="469A4EA1" w14:textId="77777777" w:rsidR="00E71249" w:rsidRPr="00FB1833" w:rsidRDefault="00E71249" w:rsidP="00796A7F">
      <w:pPr>
        <w:pStyle w:val="ListParagraph"/>
        <w:spacing w:before="120" w:after="160"/>
        <w:rPr>
          <w:lang w:eastAsia="en-AU"/>
        </w:rPr>
      </w:pPr>
      <w:r w:rsidRPr="00FB1833">
        <w:rPr>
          <w:lang w:eastAsia="en-AU"/>
        </w:rPr>
        <w:t>Percentage of assisted individuals from priority groups</w:t>
      </w:r>
    </w:p>
    <w:p w14:paraId="28C755F3" w14:textId="77777777" w:rsidR="00E71249" w:rsidRDefault="00E71249" w:rsidP="00E71249">
      <w:pPr>
        <w:spacing w:before="120" w:after="240"/>
        <w:rPr>
          <w:rFonts w:cstheme="minorHAnsi"/>
          <w:szCs w:val="22"/>
        </w:rPr>
      </w:pPr>
      <w:r>
        <w:rPr>
          <w:rFonts w:cstheme="minorHAnsi"/>
          <w:szCs w:val="22"/>
        </w:rPr>
        <w:br w:type="page"/>
      </w:r>
    </w:p>
    <w:p w14:paraId="02390E7E" w14:textId="414E303C" w:rsidR="00E71249" w:rsidRPr="00DD6FA0" w:rsidRDefault="00E71249" w:rsidP="00DD6FA0">
      <w:pPr>
        <w:pStyle w:val="Heading3"/>
        <w:shd w:val="clear" w:color="auto" w:fill="005A70" w:themeFill="accent1"/>
        <w:rPr>
          <w:rFonts w:asciiTheme="minorHAnsi" w:hAnsiTheme="minorHAnsi" w:cstheme="minorHAnsi"/>
          <w:b/>
          <w:bCs w:val="0"/>
          <w:color w:val="FFFFFF" w:themeColor="background1"/>
          <w:sz w:val="22"/>
          <w:szCs w:val="22"/>
          <w:lang w:eastAsia="en-AU"/>
        </w:rPr>
      </w:pPr>
      <w:bookmarkStart w:id="126" w:name="_Toc201309097"/>
      <w:bookmarkStart w:id="127" w:name="_Toc201310793"/>
      <w:bookmarkStart w:id="128" w:name="_Toc238653303"/>
      <w:r w:rsidRPr="00DD6FA0">
        <w:rPr>
          <w:rFonts w:asciiTheme="minorHAnsi" w:hAnsiTheme="minorHAnsi" w:cstheme="minorHAnsi"/>
          <w:b/>
          <w:bCs w:val="0"/>
          <w:color w:val="FFFFFF" w:themeColor="background1"/>
          <w:sz w:val="22"/>
          <w:szCs w:val="22"/>
          <w:lang w:eastAsia="en-AU"/>
        </w:rPr>
        <w:lastRenderedPageBreak/>
        <w:t>P</w:t>
      </w:r>
      <w:r w:rsidR="00A97D98" w:rsidRPr="00DD6FA0">
        <w:rPr>
          <w:rFonts w:asciiTheme="minorHAnsi" w:hAnsiTheme="minorHAnsi" w:cstheme="minorHAnsi"/>
          <w:b/>
          <w:bCs w:val="0"/>
          <w:color w:val="FFFFFF" w:themeColor="background1"/>
          <w:sz w:val="22"/>
          <w:szCs w:val="22"/>
          <w:lang w:eastAsia="en-AU"/>
        </w:rPr>
        <w:t>rogram</w:t>
      </w:r>
      <w:r w:rsidRPr="00DD6FA0">
        <w:rPr>
          <w:rFonts w:asciiTheme="minorHAnsi" w:hAnsiTheme="minorHAnsi" w:cstheme="minorHAnsi"/>
          <w:b/>
          <w:bCs w:val="0"/>
          <w:color w:val="FFFFFF" w:themeColor="background1"/>
          <w:sz w:val="22"/>
          <w:szCs w:val="22"/>
          <w:lang w:eastAsia="en-AU"/>
        </w:rPr>
        <w:t xml:space="preserve"> 2.1 </w:t>
      </w:r>
      <w:bookmarkEnd w:id="126"/>
      <w:bookmarkEnd w:id="127"/>
      <w:r w:rsidR="00A97D98" w:rsidRPr="00DD6FA0">
        <w:rPr>
          <w:rFonts w:asciiTheme="minorHAnsi" w:hAnsiTheme="minorHAnsi" w:cstheme="minorHAnsi"/>
          <w:b/>
          <w:bCs w:val="0"/>
          <w:color w:val="FFFFFF" w:themeColor="background1"/>
          <w:sz w:val="22"/>
          <w:szCs w:val="22"/>
          <w:lang w:eastAsia="en-AU"/>
        </w:rPr>
        <w:t>Families and Communities</w:t>
      </w:r>
      <w:bookmarkEnd w:id="128"/>
    </w:p>
    <w:p w14:paraId="61EDA8A0" w14:textId="77777777" w:rsidR="00E71249" w:rsidRPr="0040749B" w:rsidRDefault="00E71249" w:rsidP="00796A7F">
      <w:pPr>
        <w:shd w:val="clear" w:color="auto" w:fill="005A70"/>
        <w:spacing w:before="120" w:after="160" w:line="256" w:lineRule="auto"/>
        <w:rPr>
          <w:rFonts w:eastAsia="Aptos" w:cstheme="minorHAnsi"/>
          <w:color w:val="FFFFFF"/>
          <w:kern w:val="2"/>
          <w:szCs w:val="22"/>
          <w:lang w:eastAsia="en-AU"/>
          <w14:ligatures w14:val="standardContextual"/>
        </w:rPr>
      </w:pPr>
      <w:r w:rsidRPr="0040749B">
        <w:rPr>
          <w:rFonts w:eastAsia="Aptos" w:cstheme="minorHAnsi"/>
          <w:color w:val="FFFFFF"/>
          <w:kern w:val="2"/>
          <w:szCs w:val="22"/>
          <w:lang w:eastAsia="en-AU"/>
          <w14:ligatures w14:val="standardContextual"/>
        </w:rPr>
        <w:t>To strengthen relationships, support families, improve wellbeing of children and young people, reduce the cost of family breakdown, and strengthen family and community functioning.</w:t>
      </w:r>
    </w:p>
    <w:p w14:paraId="756AEC73" w14:textId="77777777" w:rsidR="00E71249" w:rsidRPr="002A5B00" w:rsidRDefault="00E71249" w:rsidP="002A5B00">
      <w:pPr>
        <w:pStyle w:val="Heading4"/>
        <w:shd w:val="clear" w:color="auto" w:fill="B1E4E3" w:themeFill="accent3"/>
        <w:spacing w:before="60" w:after="60"/>
        <w:rPr>
          <w:color w:val="auto"/>
          <w:sz w:val="22"/>
          <w:szCs w:val="22"/>
        </w:rPr>
      </w:pPr>
      <w:r w:rsidRPr="002A5B00">
        <w:rPr>
          <w:color w:val="auto"/>
          <w:sz w:val="22"/>
          <w:szCs w:val="22"/>
        </w:rPr>
        <w:t>Key Activity — 2.1.2 – Family Safety</w:t>
      </w:r>
    </w:p>
    <w:p w14:paraId="21FDDEF5" w14:textId="77777777" w:rsidR="00E71249" w:rsidRPr="0040749B" w:rsidRDefault="00E71249" w:rsidP="00796A7F">
      <w:pPr>
        <w:spacing w:before="120" w:after="160" w:line="256" w:lineRule="auto"/>
        <w:rPr>
          <w:rFonts w:cstheme="minorHAnsi"/>
          <w:szCs w:val="22"/>
          <w:lang w:eastAsia="en-AU"/>
        </w:rPr>
      </w:pPr>
      <w:r w:rsidRPr="0040749B">
        <w:rPr>
          <w:rFonts w:cstheme="minorHAnsi"/>
          <w:i/>
          <w:iCs/>
          <w:szCs w:val="22"/>
          <w:lang w:eastAsia="en-AU"/>
        </w:rPr>
        <w:t>The National Plan to End Violence against Women and Children 2022-2032 (National Plan)</w:t>
      </w:r>
      <w:r w:rsidRPr="0040749B">
        <w:rPr>
          <w:rFonts w:cstheme="minorHAnsi"/>
          <w:szCs w:val="22"/>
          <w:lang w:eastAsia="en-AU"/>
        </w:rPr>
        <w:t xml:space="preserve"> sets the national policy agenda to guide the work of Commonwealth, state and territory governments, family safety experts and front-line services to end violence against women and children. Under the national plan: </w:t>
      </w:r>
    </w:p>
    <w:p w14:paraId="235F1521" w14:textId="18B19696" w:rsidR="00E71249" w:rsidRPr="0040749B" w:rsidRDefault="00E71249" w:rsidP="00796A7F">
      <w:pPr>
        <w:spacing w:before="120" w:after="160" w:line="256" w:lineRule="auto"/>
        <w:rPr>
          <w:rFonts w:cstheme="minorHAnsi"/>
          <w:szCs w:val="22"/>
          <w:lang w:eastAsia="en-AU"/>
        </w:rPr>
      </w:pPr>
      <w:r w:rsidRPr="0040749B">
        <w:rPr>
          <w:rFonts w:cstheme="minorHAnsi"/>
          <w:b/>
          <w:bCs/>
          <w:szCs w:val="22"/>
          <w:lang w:eastAsia="en-AU"/>
        </w:rPr>
        <w:t xml:space="preserve">The </w:t>
      </w:r>
      <w:r w:rsidR="0054557F">
        <w:rPr>
          <w:rFonts w:cstheme="minorHAnsi"/>
          <w:b/>
          <w:bCs/>
          <w:szCs w:val="22"/>
          <w:lang w:eastAsia="en-AU"/>
        </w:rPr>
        <w:t>d</w:t>
      </w:r>
      <w:r w:rsidRPr="0040749B">
        <w:rPr>
          <w:rFonts w:cstheme="minorHAnsi"/>
          <w:b/>
          <w:bCs/>
          <w:szCs w:val="22"/>
          <w:lang w:eastAsia="en-AU"/>
        </w:rPr>
        <w:t>epartment</w:t>
      </w:r>
      <w:r w:rsidRPr="0040749B">
        <w:rPr>
          <w:rFonts w:cstheme="minorHAnsi"/>
          <w:szCs w:val="22"/>
          <w:lang w:eastAsia="en-AU"/>
        </w:rPr>
        <w:t xml:space="preserve"> is responsible for policy stewardship of the National Plan </w:t>
      </w:r>
      <w:r w:rsidR="0022364D">
        <w:rPr>
          <w:rFonts w:cstheme="minorHAnsi"/>
          <w:szCs w:val="22"/>
          <w:lang w:eastAsia="en-AU"/>
        </w:rPr>
        <w:t xml:space="preserve">and subsequent action plans </w:t>
      </w:r>
      <w:r w:rsidRPr="0040749B">
        <w:rPr>
          <w:rFonts w:cstheme="minorHAnsi"/>
          <w:szCs w:val="22"/>
          <w:lang w:eastAsia="en-AU"/>
        </w:rPr>
        <w:t>and creating policies and programs that operate under its remit, following on from the former National Plan to Reduce Violence Against Women (2010-2022). This includes key activity 2.1.2 - Family Safety in part 3 of the Corporate Plan.</w:t>
      </w:r>
    </w:p>
    <w:p w14:paraId="11BA4857" w14:textId="77777777" w:rsidR="00E71249" w:rsidRPr="0040749B" w:rsidRDefault="00E71249" w:rsidP="00796A7F">
      <w:pPr>
        <w:spacing w:before="120" w:after="160" w:line="256" w:lineRule="auto"/>
        <w:rPr>
          <w:rFonts w:cstheme="minorHAnsi"/>
          <w:szCs w:val="22"/>
          <w:lang w:eastAsia="en-AU"/>
        </w:rPr>
      </w:pPr>
      <w:r w:rsidRPr="0040749B">
        <w:rPr>
          <w:rFonts w:cstheme="minorHAnsi"/>
          <w:szCs w:val="22"/>
          <w:lang w:eastAsia="en-AU"/>
        </w:rPr>
        <w:t xml:space="preserve">The </w:t>
      </w:r>
      <w:r w:rsidRPr="0040749B">
        <w:rPr>
          <w:rFonts w:eastAsia="Aptos" w:cstheme="minorHAnsi"/>
          <w:b/>
          <w:bCs/>
          <w:spacing w:val="4"/>
          <w:kern w:val="2"/>
          <w:szCs w:val="22"/>
          <w:lang w:eastAsia="en-GB"/>
          <w14:ligatures w14:val="standardContextual"/>
        </w:rPr>
        <w:t>Domestic, Family and Sexual Violence Commission</w:t>
      </w:r>
      <w:r w:rsidRPr="0040749B">
        <w:rPr>
          <w:rFonts w:eastAsia="Aptos" w:cstheme="minorHAnsi"/>
          <w:spacing w:val="4"/>
          <w:kern w:val="2"/>
          <w:szCs w:val="22"/>
          <w:lang w:eastAsia="en-GB"/>
          <w14:ligatures w14:val="standardContextual"/>
        </w:rPr>
        <w:t xml:space="preserve"> (</w:t>
      </w:r>
      <w:r w:rsidRPr="0040749B">
        <w:rPr>
          <w:rFonts w:cstheme="minorHAnsi"/>
          <w:szCs w:val="22"/>
          <w:lang w:eastAsia="en-AU"/>
        </w:rPr>
        <w:t>Commission) is responsible for promoting the objectives under the National Plan and providing yearly reporting to Parliament on the National Plan’s efficacy at meeting its targets. The Commission also engages with victim survivors, providing lived experience to inform policies and solutions across government.</w:t>
      </w:r>
    </w:p>
    <w:p w14:paraId="3275F1AC" w14:textId="77777777" w:rsidR="00E71249" w:rsidRPr="0040749B" w:rsidRDefault="00E71249" w:rsidP="00796A7F">
      <w:pPr>
        <w:spacing w:before="120" w:after="160" w:line="256" w:lineRule="auto"/>
        <w:rPr>
          <w:rFonts w:cstheme="minorHAnsi"/>
          <w:szCs w:val="22"/>
          <w:lang w:eastAsia="en-AU"/>
        </w:rPr>
      </w:pPr>
      <w:r w:rsidRPr="0040749B">
        <w:rPr>
          <w:rFonts w:eastAsia="Aptos" w:cstheme="minorHAnsi"/>
          <w:spacing w:val="4"/>
          <w:kern w:val="2"/>
          <w:szCs w:val="22"/>
          <w:lang w:eastAsia="en-GB"/>
          <w14:ligatures w14:val="standardContextual"/>
        </w:rPr>
        <w:t xml:space="preserve">The </w:t>
      </w:r>
      <w:r w:rsidRPr="0040749B">
        <w:rPr>
          <w:rFonts w:eastAsia="Aptos" w:cstheme="minorHAnsi"/>
          <w:b/>
          <w:bCs/>
          <w:spacing w:val="4"/>
          <w:kern w:val="2"/>
          <w:szCs w:val="22"/>
          <w:lang w:eastAsia="en-GB"/>
          <w14:ligatures w14:val="standardContextual"/>
        </w:rPr>
        <w:t>Office for Women (Department of the Prime Minister and Cabinet</w:t>
      </w:r>
      <w:r w:rsidRPr="0040749B">
        <w:rPr>
          <w:rFonts w:cstheme="minorHAnsi"/>
          <w:szCs w:val="22"/>
          <w:lang w:eastAsia="en-AU"/>
        </w:rPr>
        <w:t>) is responsible for coordinating and promoting policies and programs across the public service that address gender inequality, and work to advance the overall commitment for the government to achieve gender equality and improve the lives of people in Australia, such as providing annual gender balance reporting for Australian Government boards.</w:t>
      </w:r>
    </w:p>
    <w:p w14:paraId="71C51292" w14:textId="77777777" w:rsidR="00E71249" w:rsidRPr="0040749B" w:rsidRDefault="00E71249" w:rsidP="00796A7F">
      <w:pPr>
        <w:spacing w:before="120" w:after="160" w:line="256" w:lineRule="auto"/>
        <w:rPr>
          <w:rFonts w:cstheme="minorHAnsi"/>
          <w:szCs w:val="22"/>
          <w:lang w:eastAsia="en-AU"/>
        </w:rPr>
      </w:pPr>
      <w:r w:rsidRPr="0040749B">
        <w:rPr>
          <w:rFonts w:eastAsia="Aptos" w:cstheme="minorHAnsi"/>
          <w:b/>
          <w:bCs/>
          <w:spacing w:val="4"/>
          <w:kern w:val="2"/>
          <w:szCs w:val="22"/>
          <w:lang w:eastAsia="en-GB"/>
          <w14:ligatures w14:val="standardContextual"/>
        </w:rPr>
        <w:t>State and territory governments</w:t>
      </w:r>
      <w:r w:rsidRPr="0040749B">
        <w:rPr>
          <w:rFonts w:eastAsia="Aptos" w:cstheme="minorHAnsi"/>
          <w:spacing w:val="4"/>
          <w:kern w:val="2"/>
          <w:szCs w:val="22"/>
          <w:lang w:eastAsia="en-GB"/>
          <w14:ligatures w14:val="standardContextual"/>
        </w:rPr>
        <w:t xml:space="preserve"> </w:t>
      </w:r>
      <w:r w:rsidRPr="0040749B">
        <w:rPr>
          <w:rFonts w:cstheme="minorHAnsi"/>
          <w:szCs w:val="22"/>
          <w:lang w:eastAsia="en-AU"/>
        </w:rPr>
        <w:t>support delivery of frontline domestic, family and sexual violence services and delivery of housing that supports response, recovery and healing for victim-survivors. This is in addition to policing and judicial responsibilities and providing prevention and early intervention programs focused on gender-based violence.</w:t>
      </w:r>
    </w:p>
    <w:p w14:paraId="306668FF" w14:textId="77777777" w:rsidR="00E71249" w:rsidRPr="0040749B" w:rsidRDefault="00E71249" w:rsidP="00796A7F">
      <w:pPr>
        <w:spacing w:before="120" w:after="160" w:line="256" w:lineRule="auto"/>
        <w:rPr>
          <w:rFonts w:cstheme="minorHAnsi"/>
          <w:szCs w:val="22"/>
          <w:lang w:eastAsia="en-AU"/>
        </w:rPr>
      </w:pPr>
      <w:r w:rsidRPr="0040749B">
        <w:rPr>
          <w:rFonts w:cstheme="minorHAnsi"/>
          <w:szCs w:val="22"/>
          <w:lang w:eastAsia="en-AU"/>
        </w:rPr>
        <w:t>All governments have committed to the aim of ending gender-based violence in one generation. The main vehicle to achieve this goal is through the implementation of the National Plan. The National Plan utilises a public health approach, with clear objectives spanning 4 domains: prevention, early intervention, response, and recovery and healing. All Australian governments have committed to the National Plan with clear actions for implementation as outlined in the</w:t>
      </w:r>
      <w:r w:rsidRPr="0040749B">
        <w:rPr>
          <w:rFonts w:cstheme="minorHAnsi"/>
          <w:kern w:val="2"/>
          <w:szCs w:val="22"/>
          <w:lang w:eastAsia="en-AU"/>
          <w14:ligatures w14:val="standardContextual"/>
        </w:rPr>
        <w:t xml:space="preserve"> </w:t>
      </w:r>
      <w:r w:rsidRPr="0040749B">
        <w:rPr>
          <w:rFonts w:cstheme="minorHAnsi"/>
          <w:i/>
          <w:iCs/>
          <w:kern w:val="2"/>
          <w:szCs w:val="22"/>
          <w:lang w:eastAsia="en-AU"/>
          <w14:ligatures w14:val="standardContextual"/>
        </w:rPr>
        <w:t>First Action Plan 2023-2027</w:t>
      </w:r>
      <w:r w:rsidRPr="0040749B">
        <w:rPr>
          <w:rFonts w:cstheme="minorHAnsi"/>
          <w:kern w:val="2"/>
          <w:szCs w:val="22"/>
          <w:lang w:eastAsia="en-AU"/>
          <w14:ligatures w14:val="standardContextual"/>
        </w:rPr>
        <w:t xml:space="preserve"> and dedicated </w:t>
      </w:r>
      <w:r w:rsidRPr="0040749B">
        <w:rPr>
          <w:rFonts w:cstheme="minorHAnsi"/>
          <w:i/>
          <w:iCs/>
          <w:kern w:val="2"/>
          <w:szCs w:val="22"/>
          <w:lang w:eastAsia="en-AU"/>
          <w14:ligatures w14:val="standardContextual"/>
        </w:rPr>
        <w:t>Aboriginal and Torres Strait Islander Action Plan 2023-2025</w:t>
      </w:r>
      <w:r w:rsidRPr="0040749B">
        <w:rPr>
          <w:rFonts w:cstheme="minorHAnsi"/>
          <w:kern w:val="2"/>
          <w:szCs w:val="22"/>
          <w:lang w:eastAsia="en-AU"/>
          <w14:ligatures w14:val="standardContextual"/>
        </w:rPr>
        <w:t xml:space="preserve">. While the Aboriginal and Torres Strait Islander Action Plan has formally concluded, </w:t>
      </w:r>
      <w:proofErr w:type="gramStart"/>
      <w:r w:rsidRPr="0040749B">
        <w:rPr>
          <w:rFonts w:cstheme="minorHAnsi"/>
          <w:kern w:val="2"/>
          <w:szCs w:val="22"/>
          <w:lang w:eastAsia="en-AU"/>
          <w14:ligatures w14:val="standardContextual"/>
        </w:rPr>
        <w:t>a number of</w:t>
      </w:r>
      <w:proofErr w:type="gramEnd"/>
      <w:r w:rsidRPr="0040749B">
        <w:rPr>
          <w:rFonts w:cstheme="minorHAnsi"/>
          <w:kern w:val="2"/>
          <w:szCs w:val="22"/>
          <w:lang w:eastAsia="en-AU"/>
          <w14:ligatures w14:val="standardContextual"/>
        </w:rPr>
        <w:t xml:space="preserve"> continuing measures and commitments established under the plan remain in place and continue to inform implementation under the National Plan. </w:t>
      </w:r>
      <w:r w:rsidRPr="0040749B">
        <w:rPr>
          <w:rFonts w:cstheme="minorHAnsi"/>
          <w:szCs w:val="22"/>
          <w:lang w:eastAsia="en-AU"/>
        </w:rPr>
        <w:t>The department contributes to the aim of ending gender-based violence through policy stewardship of the National Plan and implementing a range of actions and activities in the Action Plans.</w:t>
      </w:r>
    </w:p>
    <w:p w14:paraId="63D6BF26" w14:textId="77777777" w:rsidR="00E71249" w:rsidRPr="0040749B" w:rsidRDefault="00E71249" w:rsidP="00796A7F">
      <w:pPr>
        <w:spacing w:before="120" w:after="160" w:line="256" w:lineRule="auto"/>
        <w:rPr>
          <w:rFonts w:cstheme="minorHAnsi"/>
          <w:szCs w:val="22"/>
          <w:lang w:eastAsia="en-AU"/>
        </w:rPr>
      </w:pPr>
      <w:r w:rsidRPr="0040749B">
        <w:rPr>
          <w:rFonts w:cstheme="minorHAnsi"/>
          <w:szCs w:val="22"/>
          <w:lang w:eastAsia="en-AU"/>
        </w:rPr>
        <w:t>The National Plan is supported by an Outcomes Framework. The Outcomes Framework interprets the vision of the National Plan. It paves the way for the next 10 years, to achieve our goal, where Australia is a country in which all people live free from gender-based violence and are safe in all settings including at home, at work, at school, in the community, and online. There are 6 long-term outcomes drawn from the National Plan:</w:t>
      </w:r>
    </w:p>
    <w:p w14:paraId="406FFDB4" w14:textId="77777777" w:rsidR="00E71249" w:rsidRPr="00796A7F" w:rsidRDefault="00E71249" w:rsidP="006778D7">
      <w:pPr>
        <w:pStyle w:val="ListNumber"/>
        <w:numPr>
          <w:ilvl w:val="0"/>
          <w:numId w:val="30"/>
        </w:numPr>
        <w:spacing w:before="120" w:after="160"/>
        <w:rPr>
          <w:rFonts w:eastAsia="Calibri"/>
          <w:lang w:eastAsia="en-GB"/>
        </w:rPr>
      </w:pPr>
      <w:r w:rsidRPr="0040749B">
        <w:rPr>
          <w:lang w:eastAsia="en-AU"/>
        </w:rPr>
        <w:t>Systems and institutions effectively support and protect people impacted by violence</w:t>
      </w:r>
      <w:r w:rsidRPr="00796A7F">
        <w:rPr>
          <w:rFonts w:eastAsia="Calibri"/>
          <w:lang w:eastAsia="en-GB"/>
        </w:rPr>
        <w:t>.</w:t>
      </w:r>
    </w:p>
    <w:p w14:paraId="2364C79F" w14:textId="77777777" w:rsidR="00E71249" w:rsidRPr="0040749B" w:rsidRDefault="00E71249" w:rsidP="0062346D">
      <w:pPr>
        <w:pStyle w:val="ListNumber"/>
        <w:spacing w:before="120" w:after="160"/>
        <w:rPr>
          <w:lang w:eastAsia="en-AU"/>
        </w:rPr>
      </w:pPr>
      <w:r w:rsidRPr="0040749B">
        <w:rPr>
          <w:lang w:eastAsia="en-AU"/>
        </w:rPr>
        <w:t>Services and prevention programs are effective, culturally responsive, intersectional and accessible.</w:t>
      </w:r>
    </w:p>
    <w:p w14:paraId="6C4AE172" w14:textId="77777777" w:rsidR="00E71249" w:rsidRPr="0040749B" w:rsidRDefault="00E71249" w:rsidP="0062346D">
      <w:pPr>
        <w:pStyle w:val="ListNumber"/>
        <w:spacing w:before="120" w:after="160"/>
        <w:rPr>
          <w:rFonts w:eastAsia="Calibri"/>
          <w:lang w:eastAsia="en-GB"/>
        </w:rPr>
      </w:pPr>
      <w:r w:rsidRPr="0040749B">
        <w:rPr>
          <w:lang w:eastAsia="en-AU"/>
        </w:rPr>
        <w:t>Community attitudes and beliefs embrace gender equality and condemn all forms of gendered violence without exception</w:t>
      </w:r>
      <w:r w:rsidRPr="0040749B">
        <w:rPr>
          <w:rFonts w:eastAsia="Calibri"/>
          <w:lang w:eastAsia="en-GB"/>
        </w:rPr>
        <w:t>.</w:t>
      </w:r>
    </w:p>
    <w:p w14:paraId="0FB7C595" w14:textId="77777777" w:rsidR="00E71249" w:rsidRPr="0040749B" w:rsidRDefault="00E71249" w:rsidP="0062346D">
      <w:pPr>
        <w:pStyle w:val="ListNumber"/>
        <w:spacing w:before="120" w:after="160"/>
        <w:rPr>
          <w:rFonts w:eastAsia="Calibri"/>
          <w:lang w:eastAsia="en-GB"/>
        </w:rPr>
      </w:pPr>
      <w:r w:rsidRPr="0040749B">
        <w:rPr>
          <w:lang w:eastAsia="en-AU"/>
        </w:rPr>
        <w:lastRenderedPageBreak/>
        <w:t>People who choose to use violence are accountable for their actions and stop their violent, coercive and abusive behaviours</w:t>
      </w:r>
      <w:r w:rsidRPr="0040749B">
        <w:rPr>
          <w:rFonts w:eastAsia="Calibri"/>
          <w:lang w:eastAsia="en-GB"/>
        </w:rPr>
        <w:t>.</w:t>
      </w:r>
    </w:p>
    <w:p w14:paraId="18239FA7" w14:textId="77777777" w:rsidR="00E71249" w:rsidRPr="0040749B" w:rsidRDefault="00E71249" w:rsidP="0062346D">
      <w:pPr>
        <w:pStyle w:val="ListNumber"/>
        <w:spacing w:before="120" w:after="160"/>
        <w:rPr>
          <w:lang w:eastAsia="en-AU"/>
        </w:rPr>
      </w:pPr>
      <w:r w:rsidRPr="0040749B">
        <w:rPr>
          <w:lang w:eastAsia="en-AU"/>
        </w:rPr>
        <w:t>Children and young people are safe in all settings and are effectively supported by systems and services.</w:t>
      </w:r>
    </w:p>
    <w:p w14:paraId="29B077D3" w14:textId="77777777" w:rsidR="00E71249" w:rsidRPr="0040749B" w:rsidRDefault="00E71249" w:rsidP="0062346D">
      <w:pPr>
        <w:pStyle w:val="ListNumber"/>
        <w:spacing w:before="120" w:after="160"/>
        <w:rPr>
          <w:lang w:eastAsia="en-AU"/>
        </w:rPr>
      </w:pPr>
      <w:r w:rsidRPr="0040749B">
        <w:rPr>
          <w:lang w:eastAsia="en-AU"/>
        </w:rPr>
        <w:t>Women are safe and respected in all settings and experience economic, political, cultural and social equality</w:t>
      </w:r>
    </w:p>
    <w:p w14:paraId="71F1AF4B" w14:textId="77777777" w:rsidR="00E71249" w:rsidRPr="0040749B" w:rsidRDefault="00E71249" w:rsidP="0062346D">
      <w:pPr>
        <w:spacing w:before="120" w:after="160" w:line="256" w:lineRule="auto"/>
        <w:rPr>
          <w:rFonts w:cstheme="minorHAnsi"/>
          <w:szCs w:val="22"/>
          <w:lang w:eastAsia="en-AU"/>
        </w:rPr>
      </w:pPr>
      <w:r w:rsidRPr="0040749B">
        <w:rPr>
          <w:rFonts w:cstheme="minorHAnsi"/>
          <w:szCs w:val="22"/>
          <w:lang w:eastAsia="en-AU"/>
        </w:rPr>
        <w:t xml:space="preserve">As part of the Commonwealth initiatives, the department has </w:t>
      </w:r>
      <w:proofErr w:type="gramStart"/>
      <w:r w:rsidRPr="0040749B">
        <w:rPr>
          <w:rFonts w:cstheme="minorHAnsi"/>
          <w:szCs w:val="22"/>
          <w:lang w:eastAsia="en-AU"/>
        </w:rPr>
        <w:t>a number of</w:t>
      </w:r>
      <w:proofErr w:type="gramEnd"/>
      <w:r w:rsidRPr="0040749B">
        <w:rPr>
          <w:rFonts w:cstheme="minorHAnsi"/>
          <w:szCs w:val="22"/>
          <w:lang w:eastAsia="en-AU"/>
        </w:rPr>
        <w:t xml:space="preserve"> national programs that it delivers. There are 7 key national initiatives for which the department is responsible, these are outlined further below with output targets and success criterion.</w:t>
      </w:r>
    </w:p>
    <w:p w14:paraId="5FDEC1B0" w14:textId="77777777" w:rsidR="00E71249" w:rsidRPr="00A97D98" w:rsidRDefault="00E71249" w:rsidP="00A97D98">
      <w:pPr>
        <w:pStyle w:val="Heading4"/>
        <w:rPr>
          <w:sz w:val="22"/>
          <w:szCs w:val="22"/>
          <w:lang w:eastAsia="en-AU"/>
        </w:rPr>
      </w:pPr>
      <w:r w:rsidRPr="00A97D98">
        <w:rPr>
          <w:sz w:val="22"/>
          <w:szCs w:val="22"/>
        </w:rPr>
        <w:t>Performance Measure</w:t>
      </w:r>
    </w:p>
    <w:p w14:paraId="7FB95713" w14:textId="77777777" w:rsidR="00E71249" w:rsidRPr="0040749B" w:rsidRDefault="00E71249" w:rsidP="00E71249">
      <w:pPr>
        <w:spacing w:before="120" w:after="120" w:line="256" w:lineRule="auto"/>
        <w:rPr>
          <w:rFonts w:cstheme="minorHAnsi"/>
          <w:szCs w:val="22"/>
          <w:lang w:eastAsia="en-AU"/>
        </w:rPr>
      </w:pPr>
      <w:r w:rsidRPr="0040749B">
        <w:rPr>
          <w:rFonts w:cstheme="minorHAnsi"/>
          <w:szCs w:val="22"/>
          <w:lang w:eastAsia="en-AU"/>
        </w:rPr>
        <w:t>2.1.2-1 Successful implementation of Department of Social Services-led initiatives under the National Plan to End Violence against Women and Children 2022–2032.</w:t>
      </w:r>
    </w:p>
    <w:tbl>
      <w:tblPr>
        <w:tblStyle w:val="TableGrid391"/>
        <w:tblW w:w="4976" w:type="pct"/>
        <w:jc w:val="center"/>
        <w:tblLook w:val="04A0" w:firstRow="1" w:lastRow="0" w:firstColumn="1" w:lastColumn="0" w:noHBand="0" w:noVBand="1"/>
        <w:tblCaption w:val="Table 30 - Successful implementation of Department of Social Services-led initiatives under the National Plan to End Violence against Women and Children 2022–2032."/>
        <w:tblDescription w:val="Target for Successful implementation of Department of Social Services-led initiatives under the National Plan to End Violence against Women and Children 2022–2032."/>
      </w:tblPr>
      <w:tblGrid>
        <w:gridCol w:w="2927"/>
        <w:gridCol w:w="1804"/>
        <w:gridCol w:w="1804"/>
        <w:gridCol w:w="1804"/>
        <w:gridCol w:w="1806"/>
      </w:tblGrid>
      <w:tr w:rsidR="00E71249" w:rsidRPr="0040749B" w14:paraId="5E65E109" w14:textId="77777777" w:rsidTr="00496219">
        <w:trPr>
          <w:cantSplit/>
          <w:trHeight w:val="356"/>
          <w:jc w:val="center"/>
        </w:trPr>
        <w:tc>
          <w:tcPr>
            <w:tcW w:w="1443" w:type="pct"/>
            <w:tcBorders>
              <w:top w:val="single" w:sz="4" w:space="0" w:color="auto"/>
              <w:left w:val="single" w:sz="4" w:space="0" w:color="auto"/>
              <w:bottom w:val="single" w:sz="4" w:space="0" w:color="auto"/>
              <w:right w:val="single" w:sz="6" w:space="0" w:color="auto"/>
            </w:tcBorders>
            <w:shd w:val="clear" w:color="auto" w:fill="D9D9D6"/>
            <w:hideMark/>
          </w:tcPr>
          <w:p w14:paraId="044E6174"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b/>
                <w:bCs/>
                <w:szCs w:val="22"/>
              </w:rPr>
              <w:t>Target</w:t>
            </w:r>
          </w:p>
        </w:tc>
        <w:tc>
          <w:tcPr>
            <w:tcW w:w="889" w:type="pct"/>
            <w:tcBorders>
              <w:top w:val="single" w:sz="4" w:space="0" w:color="auto"/>
              <w:left w:val="single" w:sz="6" w:space="0" w:color="auto"/>
              <w:bottom w:val="single" w:sz="4" w:space="0" w:color="auto"/>
              <w:right w:val="single" w:sz="6" w:space="0" w:color="auto"/>
            </w:tcBorders>
            <w:shd w:val="clear" w:color="auto" w:fill="D9D9D6"/>
          </w:tcPr>
          <w:p w14:paraId="4DFD41D5"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b/>
                <w:szCs w:val="22"/>
              </w:rPr>
              <w:t>2026–27</w:t>
            </w:r>
          </w:p>
        </w:tc>
        <w:tc>
          <w:tcPr>
            <w:tcW w:w="889" w:type="pct"/>
            <w:tcBorders>
              <w:top w:val="single" w:sz="4" w:space="0" w:color="auto"/>
              <w:left w:val="single" w:sz="6" w:space="0" w:color="auto"/>
              <w:bottom w:val="single" w:sz="4" w:space="0" w:color="auto"/>
              <w:right w:val="single" w:sz="6" w:space="0" w:color="auto"/>
            </w:tcBorders>
            <w:shd w:val="clear" w:color="auto" w:fill="D9D9D6"/>
            <w:hideMark/>
          </w:tcPr>
          <w:p w14:paraId="07D3660B" w14:textId="77777777" w:rsidR="00E71249" w:rsidRPr="0040749B" w:rsidRDefault="00E71249" w:rsidP="00496219">
            <w:pPr>
              <w:spacing w:before="120" w:after="60" w:line="252" w:lineRule="auto"/>
              <w:rPr>
                <w:rFonts w:asciiTheme="minorHAnsi" w:hAnsiTheme="minorHAnsi" w:cstheme="minorHAnsi"/>
                <w:b/>
                <w:bCs/>
                <w:szCs w:val="22"/>
              </w:rPr>
            </w:pPr>
            <w:r w:rsidRPr="0040749B">
              <w:rPr>
                <w:rFonts w:asciiTheme="minorHAnsi" w:hAnsiTheme="minorHAnsi" w:cstheme="minorHAnsi"/>
                <w:b/>
                <w:szCs w:val="22"/>
              </w:rPr>
              <w:t>2027–28</w:t>
            </w:r>
          </w:p>
        </w:tc>
        <w:tc>
          <w:tcPr>
            <w:tcW w:w="889" w:type="pct"/>
            <w:tcBorders>
              <w:top w:val="single" w:sz="4" w:space="0" w:color="auto"/>
              <w:left w:val="single" w:sz="6" w:space="0" w:color="auto"/>
              <w:bottom w:val="single" w:sz="4" w:space="0" w:color="auto"/>
              <w:right w:val="single" w:sz="6" w:space="0" w:color="auto"/>
            </w:tcBorders>
            <w:shd w:val="clear" w:color="auto" w:fill="D9D9D6"/>
            <w:hideMark/>
          </w:tcPr>
          <w:p w14:paraId="53FE696B" w14:textId="77777777" w:rsidR="00E71249" w:rsidRPr="0040749B" w:rsidRDefault="00E71249" w:rsidP="00496219">
            <w:pPr>
              <w:spacing w:before="120" w:after="60" w:line="252" w:lineRule="auto"/>
              <w:rPr>
                <w:rFonts w:asciiTheme="minorHAnsi" w:hAnsiTheme="minorHAnsi" w:cstheme="minorHAnsi"/>
                <w:b/>
                <w:bCs/>
                <w:szCs w:val="22"/>
              </w:rPr>
            </w:pPr>
            <w:r w:rsidRPr="0040749B">
              <w:rPr>
                <w:rFonts w:asciiTheme="minorHAnsi" w:hAnsiTheme="minorHAnsi" w:cstheme="minorHAnsi"/>
                <w:b/>
                <w:szCs w:val="22"/>
              </w:rPr>
              <w:t>2028-29</w:t>
            </w:r>
          </w:p>
        </w:tc>
        <w:tc>
          <w:tcPr>
            <w:tcW w:w="890" w:type="pct"/>
            <w:tcBorders>
              <w:top w:val="single" w:sz="4" w:space="0" w:color="auto"/>
              <w:left w:val="single" w:sz="6" w:space="0" w:color="auto"/>
              <w:bottom w:val="single" w:sz="4" w:space="0" w:color="auto"/>
              <w:right w:val="single" w:sz="4" w:space="0" w:color="auto"/>
            </w:tcBorders>
            <w:shd w:val="clear" w:color="auto" w:fill="D9D9D6"/>
            <w:hideMark/>
          </w:tcPr>
          <w:p w14:paraId="621F1B44" w14:textId="77777777" w:rsidR="00E71249" w:rsidRPr="0040749B" w:rsidRDefault="00E71249" w:rsidP="00496219">
            <w:pPr>
              <w:spacing w:before="120" w:after="60" w:line="252" w:lineRule="auto"/>
              <w:rPr>
                <w:rFonts w:asciiTheme="minorHAnsi" w:hAnsiTheme="minorHAnsi" w:cstheme="minorHAnsi"/>
                <w:b/>
                <w:bCs/>
                <w:szCs w:val="22"/>
              </w:rPr>
            </w:pPr>
            <w:r w:rsidRPr="0040749B">
              <w:rPr>
                <w:rFonts w:asciiTheme="minorHAnsi" w:hAnsiTheme="minorHAnsi" w:cstheme="minorHAnsi"/>
                <w:b/>
                <w:szCs w:val="22"/>
              </w:rPr>
              <w:t>2029-30</w:t>
            </w:r>
          </w:p>
        </w:tc>
      </w:tr>
      <w:tr w:rsidR="00E71249" w:rsidRPr="0040749B" w14:paraId="3D31099F" w14:textId="77777777" w:rsidTr="00496219">
        <w:trPr>
          <w:cantSplit/>
          <w:trHeight w:val="356"/>
          <w:jc w:val="center"/>
        </w:trPr>
        <w:tc>
          <w:tcPr>
            <w:tcW w:w="1443" w:type="pct"/>
            <w:tcBorders>
              <w:top w:val="single" w:sz="4" w:space="0" w:color="auto"/>
              <w:left w:val="single" w:sz="4" w:space="0" w:color="auto"/>
              <w:bottom w:val="single" w:sz="4" w:space="0" w:color="auto"/>
              <w:right w:val="single" w:sz="4" w:space="0" w:color="auto"/>
            </w:tcBorders>
            <w:hideMark/>
          </w:tcPr>
          <w:p w14:paraId="0576EE3D" w14:textId="7AD3849B" w:rsidR="00E71249" w:rsidRPr="0040749B" w:rsidRDefault="009E1B06" w:rsidP="00496219">
            <w:pPr>
              <w:spacing w:before="120" w:after="60" w:line="252" w:lineRule="auto"/>
              <w:rPr>
                <w:rFonts w:asciiTheme="minorHAnsi" w:hAnsiTheme="minorHAnsi" w:cstheme="minorHAnsi"/>
                <w:szCs w:val="22"/>
              </w:rPr>
            </w:pPr>
            <w:r>
              <w:rPr>
                <w:rFonts w:cstheme="minorHAnsi"/>
                <w:noProof/>
                <w:szCs w:val="22"/>
              </w:rPr>
              <mc:AlternateContent>
                <mc:Choice Requires="wps">
                  <w:drawing>
                    <wp:anchor distT="0" distB="0" distL="114300" distR="114300" simplePos="0" relativeHeight="251673608" behindDoc="0" locked="0" layoutInCell="1" allowOverlap="1" wp14:anchorId="134872E3" wp14:editId="7708D9B5">
                      <wp:simplePos x="0" y="0"/>
                      <wp:positionH relativeFrom="column">
                        <wp:posOffset>-26879</wp:posOffset>
                      </wp:positionH>
                      <wp:positionV relativeFrom="paragraph">
                        <wp:posOffset>125389</wp:posOffset>
                      </wp:positionV>
                      <wp:extent cx="45719" cy="95534"/>
                      <wp:effectExtent l="0" t="0" r="12065" b="19050"/>
                      <wp:wrapNone/>
                      <wp:docPr id="774966887" name="Diamond 18" descr="The diamond symbol represents Performance measures that may be impacted by external factors."/>
                      <wp:cNvGraphicFramePr/>
                      <a:graphic xmlns:a="http://schemas.openxmlformats.org/drawingml/2006/main">
                        <a:graphicData uri="http://schemas.microsoft.com/office/word/2010/wordprocessingShape">
                          <wps:wsp>
                            <wps:cNvSpPr/>
                            <wps:spPr>
                              <a:xfrm>
                                <a:off x="0" y="0"/>
                                <a:ext cx="45719" cy="95534"/>
                              </a:xfrm>
                              <a:prstGeom prst="diamond">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4A9194" id="Diamond 18" o:spid="_x0000_s1026" type="#_x0000_t4" alt="The diamond symbol represents Performance measures that may be impacted by external factors." style="position:absolute;margin-left:-2.1pt;margin-top:9.85pt;width:3.6pt;height:7.5pt;z-index:251673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" fillcolor="black [3213]" strokecolor="#000d10 [484]" strokeweight=".73403mm"/>
                  </w:pict>
                </mc:Fallback>
              </mc:AlternateContent>
            </w:r>
            <w:r w:rsidR="00E71249" w:rsidRPr="0040749B">
              <w:rPr>
                <w:rFonts w:asciiTheme="minorHAnsi" w:hAnsiTheme="minorHAnsi" w:cstheme="minorHAnsi"/>
                <w:szCs w:val="22"/>
              </w:rPr>
              <w:t xml:space="preserve"> </w:t>
            </w:r>
            <w:r w:rsidR="005A2AFD">
              <w:rPr>
                <w:rFonts w:asciiTheme="minorHAnsi" w:hAnsiTheme="minorHAnsi" w:cstheme="minorHAnsi"/>
                <w:szCs w:val="22"/>
              </w:rPr>
              <w:t xml:space="preserve"> </w:t>
            </w:r>
            <w:r w:rsidR="00E71249" w:rsidRPr="0040749B">
              <w:rPr>
                <w:rFonts w:asciiTheme="minorHAnsi" w:hAnsiTheme="minorHAnsi" w:cstheme="minorHAnsi"/>
                <w:szCs w:val="22"/>
              </w:rPr>
              <w:t>2.1.2-1A</w:t>
            </w:r>
            <w:r w:rsidR="00E71249" w:rsidRPr="00087716">
              <w:rPr>
                <w:rFonts w:asciiTheme="minorHAnsi" w:hAnsiTheme="minorHAnsi" w:cstheme="minorHAnsi"/>
                <w:szCs w:val="22"/>
              </w:rPr>
              <w:t xml:space="preserve"> – </w:t>
            </w:r>
            <w:r w:rsidR="00E71249" w:rsidRPr="0040749B">
              <w:rPr>
                <w:rFonts w:asciiTheme="minorHAnsi" w:hAnsiTheme="minorHAnsi" w:cstheme="minorHAnsi"/>
                <w:szCs w:val="22"/>
              </w:rPr>
              <w:t>Demonstrated achievement of continued successful delivery of initiatives under the National Plan to End Violence against Women and Children 2022–2032.</w:t>
            </w:r>
          </w:p>
        </w:tc>
        <w:tc>
          <w:tcPr>
            <w:tcW w:w="889" w:type="pct"/>
            <w:tcBorders>
              <w:top w:val="single" w:sz="4" w:space="0" w:color="auto"/>
              <w:left w:val="single" w:sz="4" w:space="0" w:color="auto"/>
              <w:bottom w:val="single" w:sz="4" w:space="0" w:color="auto"/>
              <w:right w:val="single" w:sz="4" w:space="0" w:color="auto"/>
            </w:tcBorders>
          </w:tcPr>
          <w:p w14:paraId="3E9E5714" w14:textId="6B34098A"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 xml:space="preserve">The </w:t>
            </w:r>
            <w:r w:rsidR="0054557F">
              <w:rPr>
                <w:rFonts w:asciiTheme="minorHAnsi" w:hAnsiTheme="minorHAnsi" w:cstheme="minorHAnsi"/>
                <w:szCs w:val="22"/>
              </w:rPr>
              <w:t>d</w:t>
            </w:r>
            <w:r w:rsidRPr="0040749B">
              <w:rPr>
                <w:rFonts w:asciiTheme="minorHAnsi" w:hAnsiTheme="minorHAnsi" w:cstheme="minorHAnsi"/>
                <w:szCs w:val="22"/>
              </w:rPr>
              <w:t xml:space="preserve">epartment will report implementation outputs against the </w:t>
            </w:r>
          </w:p>
          <w:p w14:paraId="5B7F6797"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 xml:space="preserve">6 long-term National Plan to End Violence against Women and Children </w:t>
            </w:r>
          </w:p>
          <w:p w14:paraId="41B5F714"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2022–2032 outcomes.</w:t>
            </w:r>
          </w:p>
        </w:tc>
        <w:tc>
          <w:tcPr>
            <w:tcW w:w="889" w:type="pct"/>
            <w:tcBorders>
              <w:top w:val="single" w:sz="4" w:space="0" w:color="auto"/>
              <w:left w:val="single" w:sz="4" w:space="0" w:color="auto"/>
              <w:bottom w:val="single" w:sz="4" w:space="0" w:color="auto"/>
              <w:right w:val="single" w:sz="4" w:space="0" w:color="auto"/>
            </w:tcBorders>
          </w:tcPr>
          <w:p w14:paraId="7CD49154" w14:textId="465ED53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 xml:space="preserve"> The </w:t>
            </w:r>
            <w:r w:rsidR="0054557F">
              <w:rPr>
                <w:rFonts w:asciiTheme="minorHAnsi" w:hAnsiTheme="minorHAnsi" w:cstheme="minorHAnsi"/>
                <w:szCs w:val="22"/>
              </w:rPr>
              <w:t>d</w:t>
            </w:r>
            <w:r w:rsidRPr="0040749B">
              <w:rPr>
                <w:rFonts w:asciiTheme="minorHAnsi" w:hAnsiTheme="minorHAnsi" w:cstheme="minorHAnsi"/>
                <w:szCs w:val="22"/>
              </w:rPr>
              <w:t xml:space="preserve">epartment will report implementation outputs against the </w:t>
            </w:r>
          </w:p>
          <w:p w14:paraId="01D84645"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 xml:space="preserve">6 long-term National Plan to End Violence against Women and Children </w:t>
            </w:r>
          </w:p>
          <w:p w14:paraId="610C7731"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2022–2032 outcomes.</w:t>
            </w:r>
          </w:p>
        </w:tc>
        <w:tc>
          <w:tcPr>
            <w:tcW w:w="889" w:type="pct"/>
            <w:tcBorders>
              <w:top w:val="single" w:sz="4" w:space="0" w:color="auto"/>
              <w:left w:val="single" w:sz="4" w:space="0" w:color="auto"/>
              <w:bottom w:val="single" w:sz="4" w:space="0" w:color="auto"/>
              <w:right w:val="single" w:sz="4" w:space="0" w:color="auto"/>
            </w:tcBorders>
          </w:tcPr>
          <w:p w14:paraId="36458080" w14:textId="3F266FFA"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 xml:space="preserve">The </w:t>
            </w:r>
            <w:r w:rsidR="0054557F">
              <w:rPr>
                <w:rFonts w:asciiTheme="minorHAnsi" w:hAnsiTheme="minorHAnsi" w:cstheme="minorHAnsi"/>
                <w:szCs w:val="22"/>
              </w:rPr>
              <w:t>d</w:t>
            </w:r>
            <w:r w:rsidRPr="0040749B">
              <w:rPr>
                <w:rFonts w:asciiTheme="minorHAnsi" w:hAnsiTheme="minorHAnsi" w:cstheme="minorHAnsi"/>
                <w:szCs w:val="22"/>
              </w:rPr>
              <w:t xml:space="preserve">epartment will report implementation outputs against the </w:t>
            </w:r>
          </w:p>
          <w:p w14:paraId="235F75FC"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 xml:space="preserve">6 long-term National Plan to End Violence against Women and Children </w:t>
            </w:r>
          </w:p>
          <w:p w14:paraId="203E02F7"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2022–2032 outcomes.</w:t>
            </w:r>
          </w:p>
        </w:tc>
        <w:tc>
          <w:tcPr>
            <w:tcW w:w="890" w:type="pct"/>
            <w:tcBorders>
              <w:top w:val="single" w:sz="4" w:space="0" w:color="auto"/>
              <w:left w:val="single" w:sz="4" w:space="0" w:color="auto"/>
              <w:bottom w:val="single" w:sz="4" w:space="0" w:color="auto"/>
              <w:right w:val="single" w:sz="4" w:space="0" w:color="auto"/>
            </w:tcBorders>
          </w:tcPr>
          <w:p w14:paraId="06047CF9" w14:textId="40A2B139"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 xml:space="preserve">The </w:t>
            </w:r>
            <w:r w:rsidR="0054557F">
              <w:rPr>
                <w:rFonts w:asciiTheme="minorHAnsi" w:hAnsiTheme="minorHAnsi" w:cstheme="minorHAnsi"/>
                <w:szCs w:val="22"/>
              </w:rPr>
              <w:t>d</w:t>
            </w:r>
            <w:r w:rsidRPr="0040749B">
              <w:rPr>
                <w:rFonts w:asciiTheme="minorHAnsi" w:hAnsiTheme="minorHAnsi" w:cstheme="minorHAnsi"/>
                <w:szCs w:val="22"/>
              </w:rPr>
              <w:t xml:space="preserve">epartment will report implementation outputs against the </w:t>
            </w:r>
          </w:p>
          <w:p w14:paraId="753B1B9E"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 xml:space="preserve">6 long-term National Plan to End Violence against Women and Children </w:t>
            </w:r>
          </w:p>
          <w:p w14:paraId="779F8151"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2022–2032 outcomes.</w:t>
            </w:r>
          </w:p>
        </w:tc>
      </w:tr>
    </w:tbl>
    <w:p w14:paraId="1D4AE2B8" w14:textId="77777777" w:rsidR="00E71249" w:rsidRPr="0040749B" w:rsidRDefault="00E71249" w:rsidP="00E71249">
      <w:pPr>
        <w:spacing w:before="120" w:after="60" w:line="256" w:lineRule="auto"/>
        <w:rPr>
          <w:rFonts w:cstheme="minorHAnsi"/>
          <w:b/>
          <w:szCs w:val="22"/>
        </w:rPr>
      </w:pPr>
      <w:r w:rsidRPr="0040749B">
        <w:rPr>
          <w:rFonts w:cstheme="minorHAnsi"/>
          <w:b/>
          <w:szCs w:val="22"/>
        </w:rPr>
        <w:t>Criteria for the 2026–27 performance target is:</w:t>
      </w:r>
    </w:p>
    <w:p w14:paraId="5CE86B08" w14:textId="77777777" w:rsidR="00E71249" w:rsidRPr="0040749B" w:rsidRDefault="00E71249" w:rsidP="006778D7">
      <w:pPr>
        <w:pStyle w:val="ListParagraph"/>
        <w:numPr>
          <w:ilvl w:val="0"/>
          <w:numId w:val="16"/>
        </w:numPr>
        <w:spacing w:before="120" w:after="160" w:line="257" w:lineRule="auto"/>
        <w:ind w:left="714" w:hanging="357"/>
        <w:rPr>
          <w:rFonts w:cstheme="minorHAnsi"/>
          <w:b/>
          <w:szCs w:val="22"/>
        </w:rPr>
      </w:pPr>
      <w:r w:rsidRPr="0040749B">
        <w:rPr>
          <w:rFonts w:cstheme="minorHAnsi"/>
          <w:b/>
          <w:szCs w:val="22"/>
        </w:rPr>
        <w:t xml:space="preserve">Met: </w:t>
      </w:r>
      <w:r w:rsidRPr="0040749B">
        <w:rPr>
          <w:rFonts w:cstheme="minorHAnsi"/>
          <w:color w:val="000000" w:themeColor="text1"/>
          <w:szCs w:val="22"/>
          <w:lang w:eastAsia="en-AU"/>
        </w:rPr>
        <w:t>each long-term outcome has an initiative that has met its output target</w:t>
      </w:r>
    </w:p>
    <w:p w14:paraId="5B5F08F7" w14:textId="77777777" w:rsidR="00E71249" w:rsidRPr="0040749B" w:rsidRDefault="00E71249" w:rsidP="006778D7">
      <w:pPr>
        <w:pStyle w:val="ListParagraph"/>
        <w:numPr>
          <w:ilvl w:val="0"/>
          <w:numId w:val="16"/>
        </w:numPr>
        <w:spacing w:before="120" w:after="160" w:line="257" w:lineRule="auto"/>
        <w:ind w:left="714" w:hanging="357"/>
        <w:rPr>
          <w:rFonts w:cstheme="minorHAnsi"/>
          <w:b/>
          <w:szCs w:val="22"/>
        </w:rPr>
      </w:pPr>
      <w:r w:rsidRPr="0040749B">
        <w:rPr>
          <w:rFonts w:cstheme="minorHAnsi"/>
          <w:b/>
          <w:szCs w:val="22"/>
        </w:rPr>
        <w:t xml:space="preserve">Partially Met: </w:t>
      </w:r>
      <w:r w:rsidRPr="0040749B">
        <w:rPr>
          <w:rFonts w:cstheme="minorHAnsi"/>
          <w:color w:val="000000" w:themeColor="text1"/>
          <w:szCs w:val="22"/>
          <w:lang w:eastAsia="en-AU"/>
        </w:rPr>
        <w:t>3-5 of the long-term outcomes have an initiative that has met its output target</w:t>
      </w:r>
    </w:p>
    <w:p w14:paraId="67E7DD9F" w14:textId="77777777" w:rsidR="00E71249" w:rsidRPr="0040749B" w:rsidRDefault="00E71249" w:rsidP="006778D7">
      <w:pPr>
        <w:pStyle w:val="ListParagraph"/>
        <w:numPr>
          <w:ilvl w:val="0"/>
          <w:numId w:val="16"/>
        </w:numPr>
        <w:spacing w:before="120" w:after="160" w:line="257" w:lineRule="auto"/>
        <w:ind w:left="714" w:hanging="357"/>
        <w:rPr>
          <w:rFonts w:cstheme="minorHAnsi"/>
          <w:b/>
          <w:szCs w:val="22"/>
        </w:rPr>
      </w:pPr>
      <w:r w:rsidRPr="0040749B">
        <w:rPr>
          <w:rFonts w:cstheme="minorHAnsi"/>
          <w:b/>
          <w:szCs w:val="22"/>
        </w:rPr>
        <w:t xml:space="preserve">Not Met: </w:t>
      </w:r>
      <w:r w:rsidRPr="0040749B">
        <w:rPr>
          <w:rFonts w:cstheme="minorHAnsi"/>
          <w:color w:val="000000" w:themeColor="text1"/>
          <w:szCs w:val="22"/>
          <w:lang w:eastAsia="en-AU"/>
        </w:rPr>
        <w:t>less than 3 long-term outcomes have initiatives that meet their target</w:t>
      </w:r>
      <w:r>
        <w:rPr>
          <w:rFonts w:cstheme="minorHAnsi"/>
          <w:szCs w:val="22"/>
          <w:lang w:eastAsia="en-GB"/>
        </w:rPr>
        <w:t>.</w:t>
      </w:r>
    </w:p>
    <w:p w14:paraId="452DFA33" w14:textId="77777777" w:rsidR="00E71249" w:rsidRPr="0040749B" w:rsidRDefault="00E71249" w:rsidP="00A97D98">
      <w:pPr>
        <w:pStyle w:val="CPCustom3"/>
        <w:rPr>
          <w:lang w:eastAsia="en-AU"/>
        </w:rPr>
      </w:pPr>
      <w:r w:rsidRPr="0040749B">
        <w:rPr>
          <w:lang w:eastAsia="en-AU"/>
        </w:rPr>
        <w:t>Rationale</w:t>
      </w:r>
    </w:p>
    <w:p w14:paraId="0FE43D6A" w14:textId="3C75A4A9" w:rsidR="00E71249" w:rsidRPr="0040749B" w:rsidRDefault="00E71249" w:rsidP="0062346D">
      <w:pPr>
        <w:autoSpaceDE w:val="0"/>
        <w:autoSpaceDN w:val="0"/>
        <w:adjustRightInd w:val="0"/>
        <w:spacing w:before="120" w:after="160"/>
        <w:rPr>
          <w:rFonts w:cstheme="minorHAnsi"/>
          <w:szCs w:val="22"/>
          <w:lang w:eastAsia="en-AU"/>
        </w:rPr>
      </w:pPr>
      <w:r w:rsidRPr="0040749B">
        <w:rPr>
          <w:rFonts w:cstheme="minorHAnsi"/>
          <w:szCs w:val="22"/>
          <w:lang w:eastAsia="en-AU"/>
        </w:rPr>
        <w:t xml:space="preserve">This measure primarily demonstrates the achievement of outputs from the national programs (referred to here as initiatives) administered by the </w:t>
      </w:r>
      <w:r w:rsidR="0054557F">
        <w:rPr>
          <w:rFonts w:cstheme="minorHAnsi"/>
          <w:szCs w:val="22"/>
          <w:lang w:eastAsia="en-AU"/>
        </w:rPr>
        <w:t>d</w:t>
      </w:r>
      <w:r w:rsidRPr="0040749B">
        <w:rPr>
          <w:rFonts w:cstheme="minorHAnsi"/>
          <w:szCs w:val="22"/>
          <w:lang w:eastAsia="en-AU"/>
        </w:rPr>
        <w:t>epartment which directly support implementation of the National Plan.</w:t>
      </w:r>
    </w:p>
    <w:p w14:paraId="4214B88A" w14:textId="77777777" w:rsidR="00E71249" w:rsidRPr="0040749B" w:rsidRDefault="00E71249" w:rsidP="0062346D">
      <w:pPr>
        <w:suppressAutoHyphens/>
        <w:spacing w:before="120" w:after="160"/>
        <w:rPr>
          <w:rFonts w:cstheme="minorHAnsi"/>
          <w:szCs w:val="22"/>
          <w:lang w:eastAsia="en-AU"/>
        </w:rPr>
      </w:pPr>
      <w:r w:rsidRPr="0040749B">
        <w:rPr>
          <w:rFonts w:cstheme="minorHAnsi"/>
          <w:szCs w:val="22"/>
          <w:lang w:eastAsia="en-AU"/>
        </w:rPr>
        <w:t>Reporting outputs for initiatives the department administers will demonstrate achievement under this key activity during the implementation of the National Plan.</w:t>
      </w:r>
    </w:p>
    <w:p w14:paraId="2FF86658" w14:textId="77777777" w:rsidR="00E71249" w:rsidRPr="0040749B" w:rsidRDefault="00E71249" w:rsidP="00A97D98">
      <w:pPr>
        <w:pStyle w:val="CPCustom3"/>
        <w:rPr>
          <w:lang w:eastAsia="en-AU"/>
        </w:rPr>
      </w:pPr>
      <w:r w:rsidRPr="0040749B">
        <w:rPr>
          <w:lang w:eastAsia="en-AU"/>
        </w:rPr>
        <w:t>Methodology</w:t>
      </w:r>
    </w:p>
    <w:p w14:paraId="677AFA22" w14:textId="4E762A9A" w:rsidR="00E71249" w:rsidRPr="0040749B" w:rsidRDefault="00E71249" w:rsidP="0062346D">
      <w:pPr>
        <w:spacing w:before="120" w:after="160"/>
        <w:rPr>
          <w:rFonts w:cstheme="minorHAnsi"/>
          <w:szCs w:val="22"/>
        </w:rPr>
      </w:pPr>
      <w:r w:rsidRPr="0040749B">
        <w:rPr>
          <w:rFonts w:cstheme="minorHAnsi"/>
          <w:szCs w:val="22"/>
          <w:lang w:eastAsia="en-AU"/>
        </w:rPr>
        <w:t xml:space="preserve">Under the National Plan, the </w:t>
      </w:r>
      <w:r w:rsidR="0054557F">
        <w:rPr>
          <w:rFonts w:cstheme="minorHAnsi"/>
          <w:szCs w:val="22"/>
          <w:lang w:eastAsia="en-AU"/>
        </w:rPr>
        <w:t>d</w:t>
      </w:r>
      <w:r w:rsidRPr="0040749B">
        <w:rPr>
          <w:rFonts w:cstheme="minorHAnsi"/>
          <w:szCs w:val="22"/>
          <w:lang w:eastAsia="en-AU"/>
        </w:rPr>
        <w:t xml:space="preserve">epartment delivers </w:t>
      </w:r>
      <w:proofErr w:type="gramStart"/>
      <w:r w:rsidRPr="0040749B">
        <w:rPr>
          <w:rFonts w:cstheme="minorHAnsi"/>
          <w:szCs w:val="22"/>
          <w:lang w:eastAsia="en-AU"/>
        </w:rPr>
        <w:t>a number of</w:t>
      </w:r>
      <w:proofErr w:type="gramEnd"/>
      <w:r w:rsidRPr="0040749B">
        <w:rPr>
          <w:rFonts w:cstheme="minorHAnsi"/>
          <w:szCs w:val="22"/>
          <w:lang w:eastAsia="en-AU"/>
        </w:rPr>
        <w:t xml:space="preserve"> national programs as part of Commonwealth initiatives. The </w:t>
      </w:r>
      <w:r w:rsidR="0054557F">
        <w:rPr>
          <w:rFonts w:cstheme="minorHAnsi"/>
          <w:szCs w:val="22"/>
          <w:lang w:eastAsia="en-AU"/>
        </w:rPr>
        <w:t>d</w:t>
      </w:r>
      <w:r w:rsidRPr="0040749B">
        <w:rPr>
          <w:rFonts w:cstheme="minorHAnsi"/>
          <w:szCs w:val="22"/>
          <w:lang w:eastAsia="en-AU"/>
        </w:rPr>
        <w:t>epartment reports on implementation outputs aligned with the National Plan’s six long term outcomes. These outputs are delivered through 7 key national initiatives for which the department holds responsibility, each supported by established output targets and success criteria.</w:t>
      </w:r>
      <w:bookmarkStart w:id="129" w:name="_Toc207287367"/>
      <w:bookmarkStart w:id="130" w:name="_Hlk205997541"/>
    </w:p>
    <w:p w14:paraId="73DAE515" w14:textId="33A2ECF2" w:rsidR="00E71249" w:rsidRPr="00A97D98" w:rsidRDefault="00E71249" w:rsidP="00A97D98">
      <w:pPr>
        <w:pStyle w:val="Heading4"/>
        <w:rPr>
          <w:sz w:val="22"/>
          <w:szCs w:val="22"/>
        </w:rPr>
      </w:pPr>
      <w:r w:rsidRPr="00A97D98">
        <w:rPr>
          <w:sz w:val="22"/>
          <w:szCs w:val="22"/>
        </w:rPr>
        <w:lastRenderedPageBreak/>
        <w:t>Performance Measure – 1800RESPECT</w:t>
      </w:r>
      <w:bookmarkEnd w:id="129"/>
    </w:p>
    <w:p w14:paraId="2F9344B3" w14:textId="77777777" w:rsidR="00E71249" w:rsidRPr="0040749B" w:rsidRDefault="00E71249" w:rsidP="00AA7736">
      <w:pPr>
        <w:spacing w:before="120" w:after="160" w:line="259" w:lineRule="auto"/>
        <w:rPr>
          <w:rFonts w:cstheme="minorHAnsi"/>
          <w:szCs w:val="22"/>
          <w:lang w:eastAsia="en-AU"/>
        </w:rPr>
      </w:pPr>
      <w:r w:rsidRPr="0040749B">
        <w:rPr>
          <w:rFonts w:cstheme="minorHAnsi"/>
          <w:szCs w:val="22"/>
          <w:lang w:eastAsia="en-AU"/>
        </w:rPr>
        <w:t>The number of calls to the service answered within 20 seconds is calculated as a percentage of the total number of calls answered and number of calls abandoned (minus the number of calls abandoned within 5 seconds).</w:t>
      </w:r>
    </w:p>
    <w:tbl>
      <w:tblPr>
        <w:tblStyle w:val="TableGrid395"/>
        <w:tblW w:w="4951" w:type="pct"/>
        <w:jc w:val="center"/>
        <w:tblLook w:val="04A0" w:firstRow="1" w:lastRow="0" w:firstColumn="1" w:lastColumn="0" w:noHBand="0" w:noVBand="1"/>
        <w:tblCaption w:val="Table 31 - The number of calls to the service answered within 20 seconds is calculated as a percentage of the total number of calls answered and number of calls abandoned (minus the number of calls abandoned within 5 seconds)."/>
        <w:tblDescription w:val="The success criterion is met if the percentage is great than or equal to 80% "/>
      </w:tblPr>
      <w:tblGrid>
        <w:gridCol w:w="4106"/>
        <w:gridCol w:w="1496"/>
        <w:gridCol w:w="1496"/>
        <w:gridCol w:w="1495"/>
        <w:gridCol w:w="1498"/>
      </w:tblGrid>
      <w:tr w:rsidR="00E71249" w:rsidRPr="0040749B" w14:paraId="4F353093" w14:textId="77777777" w:rsidTr="00496219">
        <w:trPr>
          <w:cantSplit/>
          <w:trHeight w:val="356"/>
          <w:tblHeader/>
          <w:jc w:val="center"/>
        </w:trPr>
        <w:tc>
          <w:tcPr>
            <w:tcW w:w="2034" w:type="pct"/>
            <w:tcBorders>
              <w:top w:val="single" w:sz="4" w:space="0" w:color="auto"/>
              <w:left w:val="single" w:sz="4" w:space="0" w:color="auto"/>
              <w:bottom w:val="single" w:sz="4" w:space="0" w:color="auto"/>
              <w:right w:val="single" w:sz="6" w:space="0" w:color="auto"/>
            </w:tcBorders>
            <w:shd w:val="clear" w:color="auto" w:fill="D9D9D6"/>
            <w:hideMark/>
          </w:tcPr>
          <w:p w14:paraId="3FBF5A6C"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b/>
                <w:szCs w:val="22"/>
              </w:rPr>
              <w:t>Target</w:t>
            </w:r>
          </w:p>
        </w:tc>
        <w:tc>
          <w:tcPr>
            <w:tcW w:w="741" w:type="pct"/>
            <w:tcBorders>
              <w:top w:val="single" w:sz="4" w:space="0" w:color="auto"/>
              <w:left w:val="single" w:sz="6" w:space="0" w:color="auto"/>
              <w:bottom w:val="single" w:sz="4" w:space="0" w:color="auto"/>
              <w:right w:val="single" w:sz="6" w:space="0" w:color="auto"/>
            </w:tcBorders>
            <w:shd w:val="clear" w:color="auto" w:fill="D9D9D6"/>
          </w:tcPr>
          <w:p w14:paraId="2AFCC172"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b/>
                <w:szCs w:val="22"/>
              </w:rPr>
              <w:t>2026–27</w:t>
            </w:r>
          </w:p>
        </w:tc>
        <w:tc>
          <w:tcPr>
            <w:tcW w:w="741" w:type="pct"/>
            <w:tcBorders>
              <w:top w:val="single" w:sz="4" w:space="0" w:color="auto"/>
              <w:left w:val="single" w:sz="6" w:space="0" w:color="auto"/>
              <w:bottom w:val="single" w:sz="4" w:space="0" w:color="auto"/>
              <w:right w:val="single" w:sz="6" w:space="0" w:color="auto"/>
            </w:tcBorders>
            <w:shd w:val="clear" w:color="auto" w:fill="D9D9D6"/>
          </w:tcPr>
          <w:p w14:paraId="3D95EE95"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b/>
                <w:szCs w:val="22"/>
              </w:rPr>
              <w:t>2027–28</w:t>
            </w:r>
          </w:p>
        </w:tc>
        <w:tc>
          <w:tcPr>
            <w:tcW w:w="741" w:type="pct"/>
            <w:tcBorders>
              <w:top w:val="single" w:sz="4" w:space="0" w:color="auto"/>
              <w:left w:val="single" w:sz="6" w:space="0" w:color="auto"/>
              <w:bottom w:val="single" w:sz="4" w:space="0" w:color="auto"/>
              <w:right w:val="single" w:sz="6" w:space="0" w:color="auto"/>
            </w:tcBorders>
            <w:shd w:val="clear" w:color="auto" w:fill="D9D9D6"/>
          </w:tcPr>
          <w:p w14:paraId="3BEE9E80" w14:textId="77777777" w:rsidR="00E71249" w:rsidRPr="0040749B" w:rsidRDefault="00E71249" w:rsidP="00496219">
            <w:pPr>
              <w:spacing w:before="120" w:after="60" w:line="252" w:lineRule="auto"/>
              <w:rPr>
                <w:rFonts w:asciiTheme="minorHAnsi" w:hAnsiTheme="minorHAnsi" w:cstheme="minorHAnsi"/>
                <w:b/>
                <w:bCs/>
                <w:szCs w:val="22"/>
              </w:rPr>
            </w:pPr>
            <w:r w:rsidRPr="0040749B">
              <w:rPr>
                <w:rFonts w:asciiTheme="minorHAnsi" w:hAnsiTheme="minorHAnsi" w:cstheme="minorHAnsi"/>
                <w:b/>
                <w:szCs w:val="22"/>
              </w:rPr>
              <w:t>2028–29</w:t>
            </w:r>
          </w:p>
        </w:tc>
        <w:tc>
          <w:tcPr>
            <w:tcW w:w="742" w:type="pct"/>
            <w:tcBorders>
              <w:top w:val="single" w:sz="4" w:space="0" w:color="auto"/>
              <w:left w:val="single" w:sz="6" w:space="0" w:color="auto"/>
              <w:bottom w:val="single" w:sz="4" w:space="0" w:color="auto"/>
              <w:right w:val="single" w:sz="6" w:space="0" w:color="auto"/>
            </w:tcBorders>
            <w:shd w:val="clear" w:color="auto" w:fill="D9D9D6"/>
          </w:tcPr>
          <w:p w14:paraId="4C435C35" w14:textId="77777777" w:rsidR="00E71249" w:rsidRPr="0040749B" w:rsidRDefault="00E71249" w:rsidP="00496219">
            <w:pPr>
              <w:spacing w:before="120" w:after="60" w:line="252" w:lineRule="auto"/>
              <w:rPr>
                <w:rFonts w:asciiTheme="minorHAnsi" w:hAnsiTheme="minorHAnsi" w:cstheme="minorHAnsi"/>
                <w:b/>
                <w:bCs/>
                <w:szCs w:val="22"/>
              </w:rPr>
            </w:pPr>
            <w:r w:rsidRPr="0040749B">
              <w:rPr>
                <w:rFonts w:asciiTheme="minorHAnsi" w:hAnsiTheme="minorHAnsi" w:cstheme="minorHAnsi"/>
                <w:b/>
                <w:szCs w:val="22"/>
              </w:rPr>
              <w:t>2029–30</w:t>
            </w:r>
          </w:p>
        </w:tc>
      </w:tr>
      <w:tr w:rsidR="00E71249" w:rsidRPr="0040749B" w14:paraId="10339C28" w14:textId="77777777" w:rsidTr="00496219">
        <w:trPr>
          <w:cantSplit/>
          <w:trHeight w:val="356"/>
          <w:jc w:val="center"/>
        </w:trPr>
        <w:tc>
          <w:tcPr>
            <w:tcW w:w="2034" w:type="pct"/>
            <w:tcBorders>
              <w:top w:val="single" w:sz="4" w:space="0" w:color="auto"/>
              <w:left w:val="single" w:sz="4" w:space="0" w:color="auto"/>
              <w:bottom w:val="single" w:sz="4" w:space="0" w:color="auto"/>
              <w:right w:val="single" w:sz="4" w:space="0" w:color="auto"/>
            </w:tcBorders>
            <w:hideMark/>
          </w:tcPr>
          <w:p w14:paraId="469550A4" w14:textId="77777777" w:rsidR="00E71249" w:rsidRPr="0040749B" w:rsidRDefault="00E71249" w:rsidP="00496219">
            <w:pPr>
              <w:spacing w:before="120" w:after="120"/>
              <w:rPr>
                <w:rFonts w:asciiTheme="minorHAnsi" w:hAnsiTheme="minorHAnsi" w:cstheme="minorHAnsi"/>
                <w:b/>
                <w:szCs w:val="22"/>
              </w:rPr>
            </w:pPr>
            <w:r w:rsidRPr="0040749B">
              <w:rPr>
                <w:rFonts w:asciiTheme="minorHAnsi" w:hAnsiTheme="minorHAnsi" w:cstheme="minorHAnsi"/>
                <w:szCs w:val="22"/>
              </w:rPr>
              <w:t>The success criterion is met if the percentage is great than or equal to 80%</w:t>
            </w:r>
            <w:r>
              <w:rPr>
                <w:rFonts w:asciiTheme="minorHAnsi" w:hAnsiTheme="minorHAnsi" w:cstheme="minorHAnsi"/>
                <w:szCs w:val="22"/>
              </w:rPr>
              <w:t>.</w:t>
            </w:r>
          </w:p>
        </w:tc>
        <w:tc>
          <w:tcPr>
            <w:tcW w:w="741" w:type="pct"/>
            <w:tcBorders>
              <w:top w:val="single" w:sz="4" w:space="0" w:color="auto"/>
              <w:left w:val="single" w:sz="4" w:space="0" w:color="auto"/>
              <w:bottom w:val="single" w:sz="4" w:space="0" w:color="auto"/>
              <w:right w:val="single" w:sz="4" w:space="0" w:color="auto"/>
            </w:tcBorders>
          </w:tcPr>
          <w:p w14:paraId="69438A3A"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≥80%</w:t>
            </w:r>
          </w:p>
        </w:tc>
        <w:tc>
          <w:tcPr>
            <w:tcW w:w="741" w:type="pct"/>
            <w:tcBorders>
              <w:top w:val="single" w:sz="4" w:space="0" w:color="auto"/>
              <w:left w:val="single" w:sz="4" w:space="0" w:color="auto"/>
              <w:bottom w:val="single" w:sz="4" w:space="0" w:color="auto"/>
              <w:right w:val="single" w:sz="4" w:space="0" w:color="auto"/>
            </w:tcBorders>
          </w:tcPr>
          <w:p w14:paraId="5F1ACD6D"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≥80%</w:t>
            </w:r>
          </w:p>
        </w:tc>
        <w:tc>
          <w:tcPr>
            <w:tcW w:w="741" w:type="pct"/>
            <w:tcBorders>
              <w:top w:val="single" w:sz="4" w:space="0" w:color="auto"/>
              <w:left w:val="single" w:sz="4" w:space="0" w:color="auto"/>
              <w:bottom w:val="single" w:sz="4" w:space="0" w:color="auto"/>
              <w:right w:val="single" w:sz="4" w:space="0" w:color="auto"/>
            </w:tcBorders>
          </w:tcPr>
          <w:p w14:paraId="2247C031"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≥80%</w:t>
            </w:r>
          </w:p>
        </w:tc>
        <w:tc>
          <w:tcPr>
            <w:tcW w:w="742" w:type="pct"/>
            <w:tcBorders>
              <w:top w:val="single" w:sz="4" w:space="0" w:color="auto"/>
              <w:left w:val="single" w:sz="4" w:space="0" w:color="auto"/>
              <w:bottom w:val="single" w:sz="4" w:space="0" w:color="auto"/>
              <w:right w:val="single" w:sz="4" w:space="0" w:color="auto"/>
            </w:tcBorders>
          </w:tcPr>
          <w:p w14:paraId="35A4D95D"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≥80%</w:t>
            </w:r>
          </w:p>
        </w:tc>
      </w:tr>
    </w:tbl>
    <w:p w14:paraId="26FA5611" w14:textId="77777777" w:rsidR="00E71249" w:rsidRPr="00A97D98" w:rsidRDefault="00E71249" w:rsidP="00A97D98">
      <w:pPr>
        <w:pStyle w:val="Heading4"/>
        <w:rPr>
          <w:sz w:val="22"/>
          <w:szCs w:val="22"/>
        </w:rPr>
      </w:pPr>
      <w:bookmarkStart w:id="131" w:name="_Toc207287368"/>
      <w:r w:rsidRPr="00A97D98">
        <w:rPr>
          <w:sz w:val="22"/>
          <w:szCs w:val="22"/>
        </w:rPr>
        <w:t>Performance Measure - Our Watch</w:t>
      </w:r>
      <w:bookmarkEnd w:id="131"/>
    </w:p>
    <w:p w14:paraId="6CC4921B" w14:textId="77777777" w:rsidR="00E71249" w:rsidRPr="0040749B" w:rsidRDefault="00E71249" w:rsidP="00AA7736">
      <w:pPr>
        <w:spacing w:before="120" w:after="160" w:line="252" w:lineRule="auto"/>
        <w:rPr>
          <w:rFonts w:eastAsia="Aptos" w:cstheme="minorHAnsi"/>
          <w:kern w:val="2"/>
          <w:szCs w:val="22"/>
          <w14:ligatures w14:val="standardContextual"/>
        </w:rPr>
      </w:pPr>
      <w:r w:rsidRPr="0040749B">
        <w:rPr>
          <w:rFonts w:cstheme="minorHAnsi"/>
          <w:bCs/>
          <w:szCs w:val="22"/>
        </w:rPr>
        <w:t>The proportion of participants surveyed that report an improvement in their knowledge, understanding and/or awareness of the drivers of gender-based violence, and/or effective prevention of violence against women and children, following engagement with a PPAP activity.</w:t>
      </w:r>
    </w:p>
    <w:tbl>
      <w:tblPr>
        <w:tblStyle w:val="TableGrid39"/>
        <w:tblW w:w="4976" w:type="pct"/>
        <w:jc w:val="center"/>
        <w:tblLook w:val="04A0" w:firstRow="1" w:lastRow="0" w:firstColumn="1" w:lastColumn="0" w:noHBand="0" w:noVBand="1"/>
        <w:tblCaption w:val="Table 32 - The proportion of participants surveyed that report an improvement in their knowledge, understanding and/or awareness of the drivers of gender-based violence, and/or effective prevention of violence against women and children, following engagement with a PPAP activity."/>
        <w:tblDescription w:val="Target for the proportion of participants surveyed that report an improvement in their knowledge, understanding and/or awareness of the drivers of gender-based violence, and/or effective prevention of violence against women and children, following engagement with a PPAP activity."/>
      </w:tblPr>
      <w:tblGrid>
        <w:gridCol w:w="4142"/>
        <w:gridCol w:w="1502"/>
        <w:gridCol w:w="1501"/>
        <w:gridCol w:w="1501"/>
        <w:gridCol w:w="1499"/>
      </w:tblGrid>
      <w:tr w:rsidR="00E71249" w:rsidRPr="0040749B" w14:paraId="149FBF18" w14:textId="77777777" w:rsidTr="00496219">
        <w:trPr>
          <w:cantSplit/>
          <w:trHeight w:val="356"/>
          <w:jc w:val="center"/>
        </w:trPr>
        <w:tc>
          <w:tcPr>
            <w:tcW w:w="2041" w:type="pct"/>
            <w:tcBorders>
              <w:top w:val="single" w:sz="4" w:space="0" w:color="auto"/>
              <w:bottom w:val="single" w:sz="4" w:space="0" w:color="auto"/>
              <w:right w:val="single" w:sz="6" w:space="0" w:color="auto"/>
            </w:tcBorders>
            <w:shd w:val="clear" w:color="auto" w:fill="D9D9D6"/>
          </w:tcPr>
          <w:p w14:paraId="4C25FE09"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b/>
                <w:szCs w:val="22"/>
              </w:rPr>
              <w:t>Target</w:t>
            </w:r>
          </w:p>
        </w:tc>
        <w:tc>
          <w:tcPr>
            <w:tcW w:w="740" w:type="pct"/>
            <w:tcBorders>
              <w:top w:val="single" w:sz="4" w:space="0" w:color="auto"/>
              <w:left w:val="single" w:sz="6" w:space="0" w:color="auto"/>
              <w:bottom w:val="single" w:sz="4" w:space="0" w:color="auto"/>
              <w:right w:val="single" w:sz="6" w:space="0" w:color="auto"/>
            </w:tcBorders>
            <w:shd w:val="clear" w:color="auto" w:fill="D9D9D6"/>
          </w:tcPr>
          <w:p w14:paraId="688F6C38"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b/>
                <w:szCs w:val="22"/>
              </w:rPr>
              <w:t>2026–27</w:t>
            </w:r>
          </w:p>
        </w:tc>
        <w:tc>
          <w:tcPr>
            <w:tcW w:w="740" w:type="pct"/>
            <w:tcBorders>
              <w:top w:val="single" w:sz="4" w:space="0" w:color="auto"/>
              <w:left w:val="single" w:sz="6" w:space="0" w:color="auto"/>
              <w:bottom w:val="single" w:sz="4" w:space="0" w:color="auto"/>
              <w:right w:val="single" w:sz="6" w:space="0" w:color="auto"/>
            </w:tcBorders>
            <w:shd w:val="clear" w:color="auto" w:fill="D9D9D6"/>
          </w:tcPr>
          <w:p w14:paraId="61378F16" w14:textId="77777777" w:rsidR="00E71249" w:rsidRPr="0040749B" w:rsidRDefault="00E71249" w:rsidP="00496219">
            <w:pPr>
              <w:spacing w:before="120" w:after="60" w:line="252" w:lineRule="auto"/>
              <w:rPr>
                <w:rFonts w:asciiTheme="minorHAnsi" w:hAnsiTheme="minorHAnsi" w:cstheme="minorHAnsi"/>
                <w:b/>
                <w:szCs w:val="22"/>
              </w:rPr>
            </w:pPr>
            <w:r w:rsidRPr="0040749B">
              <w:rPr>
                <w:rFonts w:asciiTheme="minorHAnsi" w:hAnsiTheme="minorHAnsi" w:cstheme="minorHAnsi"/>
                <w:b/>
                <w:szCs w:val="22"/>
              </w:rPr>
              <w:t>2027–28</w:t>
            </w:r>
          </w:p>
        </w:tc>
        <w:tc>
          <w:tcPr>
            <w:tcW w:w="740" w:type="pct"/>
            <w:tcBorders>
              <w:top w:val="single" w:sz="4" w:space="0" w:color="auto"/>
              <w:left w:val="single" w:sz="6" w:space="0" w:color="auto"/>
              <w:bottom w:val="single" w:sz="4" w:space="0" w:color="auto"/>
              <w:right w:val="single" w:sz="6" w:space="0" w:color="auto"/>
            </w:tcBorders>
            <w:shd w:val="clear" w:color="auto" w:fill="D9D9D6"/>
          </w:tcPr>
          <w:p w14:paraId="2B792AAA" w14:textId="77777777" w:rsidR="00E71249" w:rsidRPr="0040749B" w:rsidRDefault="00E71249" w:rsidP="00496219">
            <w:pPr>
              <w:spacing w:before="120" w:after="60" w:line="252" w:lineRule="auto"/>
              <w:rPr>
                <w:rFonts w:asciiTheme="minorHAnsi" w:hAnsiTheme="minorHAnsi" w:cstheme="minorHAnsi"/>
                <w:b/>
                <w:szCs w:val="22"/>
              </w:rPr>
            </w:pPr>
            <w:r w:rsidRPr="0040749B">
              <w:rPr>
                <w:rFonts w:asciiTheme="minorHAnsi" w:hAnsiTheme="minorHAnsi" w:cstheme="minorHAnsi"/>
                <w:b/>
                <w:szCs w:val="22"/>
              </w:rPr>
              <w:t>2028–29</w:t>
            </w:r>
          </w:p>
        </w:tc>
        <w:tc>
          <w:tcPr>
            <w:tcW w:w="739" w:type="pct"/>
            <w:tcBorders>
              <w:top w:val="single" w:sz="4" w:space="0" w:color="auto"/>
              <w:left w:val="single" w:sz="6" w:space="0" w:color="auto"/>
              <w:bottom w:val="single" w:sz="4" w:space="0" w:color="auto"/>
              <w:right w:val="single" w:sz="4" w:space="0" w:color="auto"/>
            </w:tcBorders>
            <w:shd w:val="clear" w:color="auto" w:fill="D9D9D6"/>
          </w:tcPr>
          <w:p w14:paraId="62669645" w14:textId="77777777" w:rsidR="00E71249" w:rsidRPr="0040749B" w:rsidRDefault="00E71249" w:rsidP="00496219">
            <w:pPr>
              <w:spacing w:before="120" w:after="60" w:line="252" w:lineRule="auto"/>
              <w:rPr>
                <w:rFonts w:asciiTheme="minorHAnsi" w:hAnsiTheme="minorHAnsi" w:cstheme="minorHAnsi"/>
                <w:b/>
                <w:szCs w:val="22"/>
              </w:rPr>
            </w:pPr>
            <w:r w:rsidRPr="0040749B">
              <w:rPr>
                <w:rFonts w:asciiTheme="minorHAnsi" w:hAnsiTheme="minorHAnsi" w:cstheme="minorHAnsi"/>
                <w:b/>
                <w:szCs w:val="22"/>
              </w:rPr>
              <w:t>2029–30</w:t>
            </w:r>
          </w:p>
        </w:tc>
      </w:tr>
      <w:tr w:rsidR="00E71249" w:rsidRPr="0040749B" w14:paraId="0591BE45" w14:textId="77777777" w:rsidTr="00496219">
        <w:trPr>
          <w:cantSplit/>
          <w:trHeight w:val="356"/>
          <w:jc w:val="center"/>
        </w:trPr>
        <w:tc>
          <w:tcPr>
            <w:tcW w:w="2041" w:type="pct"/>
            <w:tcBorders>
              <w:top w:val="single" w:sz="4" w:space="0" w:color="auto"/>
            </w:tcBorders>
          </w:tcPr>
          <w:p w14:paraId="4F72B005"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At least 70</w:t>
            </w:r>
            <w:r>
              <w:rPr>
                <w:rFonts w:asciiTheme="minorHAnsi" w:hAnsiTheme="minorHAnsi" w:cstheme="minorHAnsi"/>
                <w:szCs w:val="22"/>
              </w:rPr>
              <w:t>%</w:t>
            </w:r>
            <w:r w:rsidRPr="0040749B">
              <w:rPr>
                <w:rFonts w:asciiTheme="minorHAnsi" w:hAnsiTheme="minorHAnsi" w:cstheme="minorHAnsi"/>
                <w:szCs w:val="22"/>
              </w:rPr>
              <w:t xml:space="preserve"> of survey respondents report improved knowledge, understanding, and/or awareness.</w:t>
            </w:r>
          </w:p>
        </w:tc>
        <w:tc>
          <w:tcPr>
            <w:tcW w:w="740" w:type="pct"/>
            <w:tcBorders>
              <w:top w:val="single" w:sz="4" w:space="0" w:color="auto"/>
            </w:tcBorders>
          </w:tcPr>
          <w:p w14:paraId="7DD78169"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 xml:space="preserve">≥70 per cent </w:t>
            </w:r>
          </w:p>
        </w:tc>
        <w:tc>
          <w:tcPr>
            <w:tcW w:w="740" w:type="pct"/>
            <w:tcBorders>
              <w:top w:val="single" w:sz="4" w:space="0" w:color="auto"/>
            </w:tcBorders>
          </w:tcPr>
          <w:p w14:paraId="11949393" w14:textId="77777777" w:rsidR="00A43712" w:rsidRPr="0040749B" w:rsidRDefault="00A43712" w:rsidP="00A43712">
            <w:pPr>
              <w:spacing w:before="120" w:line="252" w:lineRule="auto"/>
              <w:rPr>
                <w:rFonts w:asciiTheme="minorHAnsi" w:hAnsiTheme="minorHAnsi" w:cstheme="minorHAnsi"/>
                <w:szCs w:val="22"/>
              </w:rPr>
            </w:pPr>
            <w:r w:rsidRPr="0040749B">
              <w:rPr>
                <w:rFonts w:asciiTheme="minorHAnsi" w:hAnsiTheme="minorHAnsi" w:cstheme="minorHAnsi"/>
                <w:szCs w:val="22"/>
              </w:rPr>
              <w:t>TBD*</w:t>
            </w:r>
          </w:p>
          <w:p w14:paraId="4F8C91EE" w14:textId="264D3076" w:rsidR="00E71249" w:rsidRPr="0040749B" w:rsidRDefault="00E71249" w:rsidP="00496219">
            <w:pPr>
              <w:spacing w:before="120" w:after="60" w:line="252" w:lineRule="auto"/>
              <w:rPr>
                <w:rFonts w:asciiTheme="minorHAnsi" w:hAnsiTheme="minorHAnsi" w:cstheme="minorHAnsi"/>
                <w:szCs w:val="22"/>
              </w:rPr>
            </w:pPr>
          </w:p>
        </w:tc>
        <w:tc>
          <w:tcPr>
            <w:tcW w:w="740" w:type="pct"/>
            <w:tcBorders>
              <w:top w:val="single" w:sz="4" w:space="0" w:color="auto"/>
            </w:tcBorders>
          </w:tcPr>
          <w:p w14:paraId="4D6ABA4F" w14:textId="77777777" w:rsidR="00A43712" w:rsidRPr="0040749B" w:rsidRDefault="00A43712" w:rsidP="00A43712">
            <w:pPr>
              <w:spacing w:before="120" w:line="252" w:lineRule="auto"/>
              <w:rPr>
                <w:rFonts w:asciiTheme="minorHAnsi" w:hAnsiTheme="minorHAnsi" w:cstheme="minorHAnsi"/>
                <w:szCs w:val="22"/>
              </w:rPr>
            </w:pPr>
            <w:r w:rsidRPr="0040749B">
              <w:rPr>
                <w:rFonts w:asciiTheme="minorHAnsi" w:hAnsiTheme="minorHAnsi" w:cstheme="minorHAnsi"/>
                <w:szCs w:val="22"/>
              </w:rPr>
              <w:t>TBD*</w:t>
            </w:r>
          </w:p>
          <w:p w14:paraId="5EC729CE" w14:textId="7A48E286" w:rsidR="00E71249" w:rsidRPr="0040749B" w:rsidRDefault="00E71249" w:rsidP="00496219">
            <w:pPr>
              <w:spacing w:before="120" w:after="60" w:line="252" w:lineRule="auto"/>
              <w:rPr>
                <w:rFonts w:asciiTheme="minorHAnsi" w:hAnsiTheme="minorHAnsi" w:cstheme="minorHAnsi"/>
                <w:szCs w:val="22"/>
              </w:rPr>
            </w:pPr>
          </w:p>
        </w:tc>
        <w:tc>
          <w:tcPr>
            <w:tcW w:w="739" w:type="pct"/>
            <w:tcBorders>
              <w:top w:val="single" w:sz="4" w:space="0" w:color="auto"/>
            </w:tcBorders>
          </w:tcPr>
          <w:p w14:paraId="79658223" w14:textId="77777777" w:rsidR="00A43712" w:rsidRPr="0040749B" w:rsidRDefault="00A43712" w:rsidP="00A43712">
            <w:pPr>
              <w:spacing w:before="120" w:line="252" w:lineRule="auto"/>
              <w:rPr>
                <w:rFonts w:asciiTheme="minorHAnsi" w:hAnsiTheme="minorHAnsi" w:cstheme="minorHAnsi"/>
                <w:szCs w:val="22"/>
              </w:rPr>
            </w:pPr>
            <w:r w:rsidRPr="0040749B">
              <w:rPr>
                <w:rFonts w:asciiTheme="minorHAnsi" w:hAnsiTheme="minorHAnsi" w:cstheme="minorHAnsi"/>
                <w:szCs w:val="22"/>
              </w:rPr>
              <w:t>TBD*</w:t>
            </w:r>
          </w:p>
          <w:p w14:paraId="199BB594" w14:textId="59272FB4" w:rsidR="00E71249" w:rsidRPr="0040749B" w:rsidRDefault="00E71249" w:rsidP="00496219">
            <w:pPr>
              <w:spacing w:before="120" w:after="60" w:line="252" w:lineRule="auto"/>
              <w:rPr>
                <w:rFonts w:asciiTheme="minorHAnsi" w:hAnsiTheme="minorHAnsi" w:cstheme="minorHAnsi"/>
                <w:szCs w:val="22"/>
              </w:rPr>
            </w:pPr>
          </w:p>
        </w:tc>
      </w:tr>
    </w:tbl>
    <w:p w14:paraId="41F10E84" w14:textId="70B89900" w:rsidR="00A43712" w:rsidRPr="0082537E" w:rsidRDefault="00A43712" w:rsidP="00AA7736">
      <w:pPr>
        <w:spacing w:before="120" w:after="160"/>
        <w:rPr>
          <w:rFonts w:cstheme="minorHAnsi"/>
          <w:bCs/>
          <w:szCs w:val="22"/>
        </w:rPr>
      </w:pPr>
      <w:bookmarkStart w:id="132" w:name="_Toc207287369"/>
      <w:r w:rsidRPr="0040749B">
        <w:rPr>
          <w:rFonts w:cstheme="minorHAnsi"/>
          <w:b/>
          <w:bCs/>
          <w:szCs w:val="22"/>
          <w:lang w:eastAsia="en-AU"/>
        </w:rPr>
        <w:t xml:space="preserve">* </w:t>
      </w:r>
      <w:r w:rsidRPr="0040749B">
        <w:rPr>
          <w:rFonts w:cstheme="minorHAnsi"/>
          <w:szCs w:val="22"/>
          <w:lang w:eastAsia="en-AU"/>
        </w:rPr>
        <w:t>TBD following acceptance of the National Plan's Second Action Plan</w:t>
      </w:r>
      <w:r>
        <w:rPr>
          <w:rFonts w:cstheme="minorHAnsi"/>
          <w:szCs w:val="22"/>
          <w:lang w:eastAsia="en-AU"/>
        </w:rPr>
        <w:t>.</w:t>
      </w:r>
    </w:p>
    <w:p w14:paraId="433D05D4" w14:textId="050BA3C3" w:rsidR="00E71249" w:rsidRPr="00A97D98" w:rsidRDefault="00E71249" w:rsidP="00A97D98">
      <w:pPr>
        <w:pStyle w:val="Heading4"/>
        <w:rPr>
          <w:sz w:val="22"/>
          <w:szCs w:val="22"/>
        </w:rPr>
      </w:pPr>
      <w:r w:rsidRPr="00A97D98">
        <w:rPr>
          <w:sz w:val="22"/>
          <w:szCs w:val="22"/>
        </w:rPr>
        <w:t>Performance Measure – DV alert</w:t>
      </w:r>
      <w:bookmarkEnd w:id="132"/>
    </w:p>
    <w:p w14:paraId="171568AA" w14:textId="77777777" w:rsidR="00E71249" w:rsidRPr="0040749B" w:rsidRDefault="00E71249" w:rsidP="00AA7736">
      <w:pPr>
        <w:spacing w:before="120" w:after="160" w:line="259" w:lineRule="auto"/>
        <w:rPr>
          <w:rFonts w:cstheme="minorHAnsi"/>
          <w:szCs w:val="22"/>
          <w:lang w:eastAsia="en-AU"/>
        </w:rPr>
      </w:pPr>
      <w:r w:rsidRPr="0040749B">
        <w:rPr>
          <w:rFonts w:cstheme="minorHAnsi"/>
          <w:szCs w:val="22"/>
          <w:lang w:eastAsia="en-AU"/>
        </w:rPr>
        <w:t>The total number of workshops delivered equals the target number of workshops listed for each financial year.</w:t>
      </w:r>
    </w:p>
    <w:tbl>
      <w:tblPr>
        <w:tblStyle w:val="TableGrid395"/>
        <w:tblW w:w="5000" w:type="pct"/>
        <w:jc w:val="center"/>
        <w:tblLook w:val="04A0" w:firstRow="1" w:lastRow="0" w:firstColumn="1" w:lastColumn="0" w:noHBand="0" w:noVBand="1"/>
        <w:tblCaption w:val="Table 33 - Performance Measure – DV alert"/>
        <w:tblDescription w:val="The total number of workshops delivered equals the target number of workshops listed for each financial year."/>
      </w:tblPr>
      <w:tblGrid>
        <w:gridCol w:w="4106"/>
        <w:gridCol w:w="1521"/>
        <w:gridCol w:w="1523"/>
        <w:gridCol w:w="1523"/>
        <w:gridCol w:w="1521"/>
      </w:tblGrid>
      <w:tr w:rsidR="00E71249" w:rsidRPr="0040749B" w14:paraId="50CBD5CE" w14:textId="77777777" w:rsidTr="00496219">
        <w:trPr>
          <w:cantSplit/>
          <w:trHeight w:val="356"/>
          <w:tblHeader/>
          <w:jc w:val="center"/>
        </w:trPr>
        <w:tc>
          <w:tcPr>
            <w:tcW w:w="2014" w:type="pct"/>
            <w:tcBorders>
              <w:top w:val="single" w:sz="4" w:space="0" w:color="auto"/>
              <w:left w:val="single" w:sz="4" w:space="0" w:color="auto"/>
              <w:bottom w:val="single" w:sz="4" w:space="0" w:color="auto"/>
              <w:right w:val="single" w:sz="6" w:space="0" w:color="auto"/>
            </w:tcBorders>
            <w:shd w:val="clear" w:color="auto" w:fill="D9D9D6"/>
            <w:vAlign w:val="center"/>
            <w:hideMark/>
          </w:tcPr>
          <w:p w14:paraId="2B5D02A6"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b/>
                <w:bCs/>
                <w:szCs w:val="22"/>
              </w:rPr>
              <w:t>Target</w:t>
            </w:r>
          </w:p>
        </w:tc>
        <w:tc>
          <w:tcPr>
            <w:tcW w:w="746" w:type="pct"/>
            <w:tcBorders>
              <w:top w:val="single" w:sz="4" w:space="0" w:color="auto"/>
              <w:left w:val="single" w:sz="6" w:space="0" w:color="auto"/>
              <w:bottom w:val="single" w:sz="4" w:space="0" w:color="auto"/>
              <w:right w:val="single" w:sz="6" w:space="0" w:color="auto"/>
            </w:tcBorders>
            <w:shd w:val="clear" w:color="auto" w:fill="D9D9D6"/>
            <w:hideMark/>
          </w:tcPr>
          <w:p w14:paraId="2A3B5952"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b/>
                <w:szCs w:val="22"/>
              </w:rPr>
              <w:t>2026–27</w:t>
            </w:r>
          </w:p>
        </w:tc>
        <w:tc>
          <w:tcPr>
            <w:tcW w:w="747" w:type="pct"/>
            <w:tcBorders>
              <w:top w:val="single" w:sz="4" w:space="0" w:color="auto"/>
              <w:left w:val="single" w:sz="6" w:space="0" w:color="auto"/>
              <w:bottom w:val="single" w:sz="4" w:space="0" w:color="auto"/>
              <w:right w:val="single" w:sz="6" w:space="0" w:color="auto"/>
            </w:tcBorders>
            <w:shd w:val="clear" w:color="auto" w:fill="D9D9D6"/>
            <w:hideMark/>
          </w:tcPr>
          <w:p w14:paraId="41DE6F6A" w14:textId="77777777" w:rsidR="00E71249" w:rsidRPr="0040749B" w:rsidRDefault="00E71249" w:rsidP="00496219">
            <w:pPr>
              <w:spacing w:before="120" w:after="60" w:line="252" w:lineRule="auto"/>
              <w:rPr>
                <w:rFonts w:asciiTheme="minorHAnsi" w:hAnsiTheme="minorHAnsi" w:cstheme="minorHAnsi"/>
                <w:b/>
                <w:szCs w:val="22"/>
              </w:rPr>
            </w:pPr>
            <w:r w:rsidRPr="0040749B">
              <w:rPr>
                <w:rFonts w:asciiTheme="minorHAnsi" w:hAnsiTheme="minorHAnsi" w:cstheme="minorHAnsi"/>
                <w:b/>
                <w:szCs w:val="22"/>
              </w:rPr>
              <w:t>2027–28</w:t>
            </w:r>
          </w:p>
        </w:tc>
        <w:tc>
          <w:tcPr>
            <w:tcW w:w="747" w:type="pct"/>
            <w:tcBorders>
              <w:top w:val="single" w:sz="4" w:space="0" w:color="auto"/>
              <w:left w:val="single" w:sz="6" w:space="0" w:color="auto"/>
              <w:bottom w:val="single" w:sz="4" w:space="0" w:color="auto"/>
              <w:right w:val="single" w:sz="6" w:space="0" w:color="auto"/>
            </w:tcBorders>
            <w:shd w:val="clear" w:color="auto" w:fill="D9D9D6"/>
            <w:hideMark/>
          </w:tcPr>
          <w:p w14:paraId="0D64FA12" w14:textId="77777777" w:rsidR="00E71249" w:rsidRPr="0040749B" w:rsidRDefault="00E71249" w:rsidP="00496219">
            <w:pPr>
              <w:spacing w:before="120" w:after="60" w:line="252" w:lineRule="auto"/>
              <w:rPr>
                <w:rFonts w:asciiTheme="minorHAnsi" w:hAnsiTheme="minorHAnsi" w:cstheme="minorHAnsi"/>
                <w:b/>
                <w:szCs w:val="22"/>
              </w:rPr>
            </w:pPr>
            <w:r w:rsidRPr="0040749B">
              <w:rPr>
                <w:rFonts w:asciiTheme="minorHAnsi" w:hAnsiTheme="minorHAnsi" w:cstheme="minorHAnsi"/>
                <w:b/>
                <w:szCs w:val="22"/>
              </w:rPr>
              <w:t>2028–29</w:t>
            </w:r>
          </w:p>
        </w:tc>
        <w:tc>
          <w:tcPr>
            <w:tcW w:w="747" w:type="pct"/>
            <w:tcBorders>
              <w:top w:val="single" w:sz="4" w:space="0" w:color="auto"/>
              <w:left w:val="single" w:sz="6" w:space="0" w:color="auto"/>
              <w:bottom w:val="single" w:sz="4" w:space="0" w:color="auto"/>
              <w:right w:val="single" w:sz="4" w:space="0" w:color="auto"/>
            </w:tcBorders>
            <w:shd w:val="clear" w:color="auto" w:fill="D9D9D6"/>
            <w:hideMark/>
          </w:tcPr>
          <w:p w14:paraId="75DA3FBB" w14:textId="77777777" w:rsidR="00E71249" w:rsidRPr="0040749B" w:rsidRDefault="00E71249" w:rsidP="00496219">
            <w:pPr>
              <w:spacing w:before="120" w:after="60" w:line="252" w:lineRule="auto"/>
              <w:rPr>
                <w:rFonts w:asciiTheme="minorHAnsi" w:hAnsiTheme="minorHAnsi" w:cstheme="minorHAnsi"/>
                <w:b/>
                <w:szCs w:val="22"/>
              </w:rPr>
            </w:pPr>
            <w:r w:rsidRPr="0040749B">
              <w:rPr>
                <w:rFonts w:asciiTheme="minorHAnsi" w:hAnsiTheme="minorHAnsi" w:cstheme="minorHAnsi"/>
                <w:b/>
                <w:szCs w:val="22"/>
              </w:rPr>
              <w:t>2029–30</w:t>
            </w:r>
          </w:p>
        </w:tc>
      </w:tr>
      <w:tr w:rsidR="00E71249" w:rsidRPr="0040749B" w14:paraId="29171374" w14:textId="77777777" w:rsidTr="00496219">
        <w:trPr>
          <w:cantSplit/>
          <w:trHeight w:val="356"/>
          <w:jc w:val="center"/>
        </w:trPr>
        <w:tc>
          <w:tcPr>
            <w:tcW w:w="2014" w:type="pct"/>
            <w:tcBorders>
              <w:top w:val="single" w:sz="4" w:space="0" w:color="auto"/>
              <w:left w:val="single" w:sz="4" w:space="0" w:color="auto"/>
              <w:bottom w:val="single" w:sz="4" w:space="0" w:color="auto"/>
              <w:right w:val="single" w:sz="4" w:space="0" w:color="auto"/>
            </w:tcBorders>
            <w:hideMark/>
          </w:tcPr>
          <w:p w14:paraId="36D616D4"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The success criterion is met if the target number of workshops is delivered each year.</w:t>
            </w:r>
          </w:p>
        </w:tc>
        <w:tc>
          <w:tcPr>
            <w:tcW w:w="746" w:type="pct"/>
            <w:tcBorders>
              <w:top w:val="single" w:sz="4" w:space="0" w:color="auto"/>
              <w:left w:val="single" w:sz="4" w:space="0" w:color="auto"/>
              <w:bottom w:val="single" w:sz="4" w:space="0" w:color="auto"/>
              <w:right w:val="single" w:sz="4" w:space="0" w:color="auto"/>
            </w:tcBorders>
          </w:tcPr>
          <w:p w14:paraId="4E36986F" w14:textId="77777777" w:rsidR="00E71249" w:rsidRPr="0040749B" w:rsidRDefault="00E71249" w:rsidP="00496219">
            <w:pPr>
              <w:spacing w:before="120" w:line="252" w:lineRule="auto"/>
              <w:rPr>
                <w:rFonts w:asciiTheme="minorHAnsi" w:hAnsiTheme="minorHAnsi" w:cstheme="minorHAnsi"/>
                <w:szCs w:val="22"/>
              </w:rPr>
            </w:pPr>
            <w:r w:rsidRPr="0040749B">
              <w:rPr>
                <w:rFonts w:asciiTheme="minorHAnsi" w:hAnsiTheme="minorHAnsi" w:cstheme="minorHAnsi"/>
                <w:szCs w:val="22"/>
              </w:rPr>
              <w:t>≥ 400 workshops</w:t>
            </w:r>
          </w:p>
          <w:p w14:paraId="1F82B6DD" w14:textId="77777777" w:rsidR="00E71249" w:rsidRPr="0040749B" w:rsidRDefault="00E71249" w:rsidP="00496219">
            <w:pPr>
              <w:spacing w:before="120" w:after="60" w:line="252" w:lineRule="auto"/>
              <w:rPr>
                <w:rFonts w:asciiTheme="minorHAnsi" w:hAnsiTheme="minorHAnsi" w:cstheme="minorHAnsi"/>
                <w:szCs w:val="22"/>
              </w:rPr>
            </w:pPr>
          </w:p>
        </w:tc>
        <w:tc>
          <w:tcPr>
            <w:tcW w:w="747" w:type="pct"/>
            <w:tcBorders>
              <w:top w:val="single" w:sz="4" w:space="0" w:color="auto"/>
              <w:left w:val="single" w:sz="4" w:space="0" w:color="auto"/>
              <w:bottom w:val="single" w:sz="4" w:space="0" w:color="auto"/>
              <w:right w:val="single" w:sz="4" w:space="0" w:color="auto"/>
            </w:tcBorders>
          </w:tcPr>
          <w:p w14:paraId="74ADFC45" w14:textId="77777777" w:rsidR="00E71249" w:rsidRPr="0040749B" w:rsidRDefault="00E71249" w:rsidP="00496219">
            <w:pPr>
              <w:spacing w:before="120" w:line="252" w:lineRule="auto"/>
              <w:rPr>
                <w:rFonts w:asciiTheme="minorHAnsi" w:hAnsiTheme="minorHAnsi" w:cstheme="minorHAnsi"/>
                <w:szCs w:val="22"/>
              </w:rPr>
            </w:pPr>
            <w:r w:rsidRPr="0040749B">
              <w:rPr>
                <w:rFonts w:asciiTheme="minorHAnsi" w:hAnsiTheme="minorHAnsi" w:cstheme="minorHAnsi"/>
                <w:szCs w:val="22"/>
              </w:rPr>
              <w:t>TBD*</w:t>
            </w:r>
          </w:p>
          <w:p w14:paraId="51B3E7EA" w14:textId="77777777" w:rsidR="00E71249" w:rsidRPr="0040749B" w:rsidRDefault="00E71249" w:rsidP="00496219">
            <w:pPr>
              <w:spacing w:before="120" w:after="60" w:line="252" w:lineRule="auto"/>
              <w:rPr>
                <w:rFonts w:asciiTheme="minorHAnsi" w:hAnsiTheme="minorHAnsi" w:cstheme="minorHAnsi"/>
                <w:szCs w:val="22"/>
              </w:rPr>
            </w:pPr>
          </w:p>
        </w:tc>
        <w:tc>
          <w:tcPr>
            <w:tcW w:w="747" w:type="pct"/>
            <w:tcBorders>
              <w:top w:val="single" w:sz="4" w:space="0" w:color="auto"/>
              <w:left w:val="single" w:sz="4" w:space="0" w:color="auto"/>
              <w:bottom w:val="single" w:sz="4" w:space="0" w:color="auto"/>
              <w:right w:val="single" w:sz="4" w:space="0" w:color="auto"/>
            </w:tcBorders>
          </w:tcPr>
          <w:p w14:paraId="7DD4D7CB" w14:textId="77777777" w:rsidR="00E71249" w:rsidRPr="0040749B" w:rsidRDefault="00E71249" w:rsidP="00496219">
            <w:pPr>
              <w:spacing w:before="120" w:line="252" w:lineRule="auto"/>
              <w:rPr>
                <w:rFonts w:asciiTheme="minorHAnsi" w:hAnsiTheme="minorHAnsi" w:cstheme="minorHAnsi"/>
                <w:szCs w:val="22"/>
              </w:rPr>
            </w:pPr>
            <w:r w:rsidRPr="0040749B">
              <w:rPr>
                <w:rFonts w:asciiTheme="minorHAnsi" w:hAnsiTheme="minorHAnsi" w:cstheme="minorHAnsi"/>
                <w:szCs w:val="22"/>
              </w:rPr>
              <w:t>TBD*</w:t>
            </w:r>
          </w:p>
          <w:p w14:paraId="69677424" w14:textId="77777777" w:rsidR="00E71249" w:rsidRPr="0040749B" w:rsidRDefault="00E71249" w:rsidP="00496219">
            <w:pPr>
              <w:spacing w:before="120" w:after="60" w:line="252" w:lineRule="auto"/>
              <w:rPr>
                <w:rFonts w:asciiTheme="minorHAnsi" w:hAnsiTheme="minorHAnsi" w:cstheme="minorHAnsi"/>
                <w:szCs w:val="22"/>
              </w:rPr>
            </w:pPr>
          </w:p>
        </w:tc>
        <w:tc>
          <w:tcPr>
            <w:tcW w:w="747" w:type="pct"/>
            <w:tcBorders>
              <w:top w:val="single" w:sz="4" w:space="0" w:color="auto"/>
              <w:left w:val="single" w:sz="4" w:space="0" w:color="auto"/>
              <w:bottom w:val="single" w:sz="4" w:space="0" w:color="auto"/>
              <w:right w:val="single" w:sz="4" w:space="0" w:color="auto"/>
            </w:tcBorders>
          </w:tcPr>
          <w:p w14:paraId="40DF6A69" w14:textId="77777777" w:rsidR="00E71249" w:rsidRPr="0040749B" w:rsidRDefault="00E71249" w:rsidP="00496219">
            <w:pPr>
              <w:spacing w:before="120" w:line="252" w:lineRule="auto"/>
              <w:rPr>
                <w:rFonts w:asciiTheme="minorHAnsi" w:hAnsiTheme="minorHAnsi" w:cstheme="minorHAnsi"/>
                <w:szCs w:val="22"/>
              </w:rPr>
            </w:pPr>
            <w:r w:rsidRPr="0040749B">
              <w:rPr>
                <w:rFonts w:asciiTheme="minorHAnsi" w:hAnsiTheme="minorHAnsi" w:cstheme="minorHAnsi"/>
                <w:szCs w:val="22"/>
              </w:rPr>
              <w:t>TBD*</w:t>
            </w:r>
          </w:p>
          <w:p w14:paraId="5602161C" w14:textId="77777777" w:rsidR="00E71249" w:rsidRPr="0040749B" w:rsidRDefault="00E71249" w:rsidP="00496219">
            <w:pPr>
              <w:spacing w:before="120" w:after="60" w:line="252" w:lineRule="auto"/>
              <w:rPr>
                <w:rFonts w:asciiTheme="minorHAnsi" w:hAnsiTheme="minorHAnsi" w:cstheme="minorHAnsi"/>
                <w:szCs w:val="22"/>
              </w:rPr>
            </w:pPr>
          </w:p>
        </w:tc>
      </w:tr>
    </w:tbl>
    <w:p w14:paraId="75521677" w14:textId="77777777" w:rsidR="00E71249" w:rsidRPr="0040749B" w:rsidRDefault="00E71249" w:rsidP="00E71249">
      <w:pPr>
        <w:spacing w:before="120"/>
        <w:rPr>
          <w:rFonts w:cstheme="minorHAnsi"/>
          <w:szCs w:val="22"/>
        </w:rPr>
      </w:pPr>
      <w:bookmarkStart w:id="133" w:name="_Toc207287370"/>
      <w:r w:rsidRPr="0040749B">
        <w:rPr>
          <w:rFonts w:cstheme="minorHAnsi"/>
          <w:b/>
          <w:bCs/>
          <w:szCs w:val="22"/>
          <w:lang w:eastAsia="en-AU"/>
        </w:rPr>
        <w:t xml:space="preserve">* </w:t>
      </w:r>
      <w:r w:rsidRPr="0040749B">
        <w:rPr>
          <w:rFonts w:cstheme="minorHAnsi"/>
          <w:szCs w:val="22"/>
          <w:lang w:eastAsia="en-AU"/>
        </w:rPr>
        <w:t>TBD following acceptance of the National Plan's Second Action Plan</w:t>
      </w:r>
      <w:r>
        <w:rPr>
          <w:rFonts w:cstheme="minorHAnsi"/>
          <w:szCs w:val="22"/>
          <w:lang w:eastAsia="en-AU"/>
        </w:rPr>
        <w:t>.</w:t>
      </w:r>
    </w:p>
    <w:p w14:paraId="6934BE73" w14:textId="77777777" w:rsidR="00E71249" w:rsidRPr="00A97D98" w:rsidRDefault="00E71249" w:rsidP="00A97D98">
      <w:pPr>
        <w:pStyle w:val="Heading4"/>
        <w:rPr>
          <w:sz w:val="22"/>
          <w:szCs w:val="22"/>
        </w:rPr>
      </w:pPr>
      <w:r w:rsidRPr="00A97D98">
        <w:rPr>
          <w:sz w:val="22"/>
          <w:szCs w:val="22"/>
        </w:rPr>
        <w:t>Performance Measure – Australian National Research Organisation for Women’s Safety (ANROWS)</w:t>
      </w:r>
      <w:bookmarkEnd w:id="133"/>
    </w:p>
    <w:p w14:paraId="277B3F49" w14:textId="77777777" w:rsidR="00E71249" w:rsidRPr="0040749B" w:rsidRDefault="00E71249" w:rsidP="00AA7736">
      <w:pPr>
        <w:spacing w:before="120" w:after="160" w:line="252" w:lineRule="auto"/>
        <w:rPr>
          <w:rFonts w:cstheme="minorHAnsi"/>
          <w:szCs w:val="22"/>
          <w:lang w:eastAsia="en-AU"/>
        </w:rPr>
      </w:pPr>
      <w:r w:rsidRPr="0040749B">
        <w:rPr>
          <w:rFonts w:cstheme="minorHAnsi"/>
          <w:szCs w:val="22"/>
          <w:lang w:eastAsia="en-AU"/>
        </w:rPr>
        <w:t>The total number of research and data activities including delivery of technical, strategy and/or policy reports by ANROWS in the 2026-27 financial year to track outcomes and sub-outcomes under the National Plan.</w:t>
      </w:r>
    </w:p>
    <w:tbl>
      <w:tblPr>
        <w:tblStyle w:val="TableGrid395"/>
        <w:tblW w:w="4950" w:type="pct"/>
        <w:jc w:val="center"/>
        <w:tblLook w:val="04A0" w:firstRow="1" w:lastRow="0" w:firstColumn="1" w:lastColumn="0" w:noHBand="0" w:noVBand="1"/>
        <w:tblCaption w:val="Table 34 - Performance Measure – Australian National Research Organisation for Women’s Safety (ANROWS)"/>
        <w:tblDescription w:val="Target for the total number of research and data activities including delivery of technical, strategy and/or policy reports by ANROWS in the 2026-27 financial year to track outcomes and sub-outcomes under the National Plan."/>
      </w:tblPr>
      <w:tblGrid>
        <w:gridCol w:w="4104"/>
        <w:gridCol w:w="1496"/>
        <w:gridCol w:w="1498"/>
        <w:gridCol w:w="1496"/>
        <w:gridCol w:w="1498"/>
      </w:tblGrid>
      <w:tr w:rsidR="00E71249" w:rsidRPr="0040749B" w14:paraId="28F46433" w14:textId="77777777" w:rsidTr="00496219">
        <w:trPr>
          <w:cantSplit/>
          <w:trHeight w:val="356"/>
          <w:tblHeader/>
          <w:jc w:val="center"/>
        </w:trPr>
        <w:tc>
          <w:tcPr>
            <w:tcW w:w="2034" w:type="pct"/>
            <w:tcBorders>
              <w:top w:val="single" w:sz="4" w:space="0" w:color="auto"/>
              <w:left w:val="single" w:sz="4" w:space="0" w:color="auto"/>
              <w:bottom w:val="single" w:sz="4" w:space="0" w:color="auto"/>
              <w:right w:val="single" w:sz="6" w:space="0" w:color="auto"/>
            </w:tcBorders>
            <w:shd w:val="clear" w:color="auto" w:fill="D9D9D6"/>
            <w:hideMark/>
          </w:tcPr>
          <w:p w14:paraId="3E379083"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b/>
                <w:szCs w:val="22"/>
              </w:rPr>
              <w:t>Target</w:t>
            </w:r>
          </w:p>
        </w:tc>
        <w:tc>
          <w:tcPr>
            <w:tcW w:w="741" w:type="pct"/>
            <w:tcBorders>
              <w:top w:val="single" w:sz="4" w:space="0" w:color="auto"/>
              <w:left w:val="single" w:sz="6" w:space="0" w:color="auto"/>
              <w:bottom w:val="single" w:sz="4" w:space="0" w:color="auto"/>
              <w:right w:val="single" w:sz="6" w:space="0" w:color="auto"/>
            </w:tcBorders>
            <w:shd w:val="clear" w:color="auto" w:fill="D9D9D6"/>
            <w:hideMark/>
          </w:tcPr>
          <w:p w14:paraId="74AFC5E2"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b/>
                <w:szCs w:val="22"/>
              </w:rPr>
              <w:t>2026–27</w:t>
            </w:r>
          </w:p>
        </w:tc>
        <w:tc>
          <w:tcPr>
            <w:tcW w:w="742" w:type="pct"/>
            <w:tcBorders>
              <w:top w:val="single" w:sz="4" w:space="0" w:color="auto"/>
              <w:left w:val="single" w:sz="6" w:space="0" w:color="auto"/>
              <w:bottom w:val="single" w:sz="4" w:space="0" w:color="auto"/>
              <w:right w:val="single" w:sz="6" w:space="0" w:color="auto"/>
            </w:tcBorders>
            <w:shd w:val="clear" w:color="auto" w:fill="D9D9D6"/>
            <w:hideMark/>
          </w:tcPr>
          <w:p w14:paraId="16475635" w14:textId="77777777" w:rsidR="00E71249" w:rsidRPr="0040749B" w:rsidRDefault="00E71249" w:rsidP="00496219">
            <w:pPr>
              <w:spacing w:before="120" w:after="60" w:line="252" w:lineRule="auto"/>
              <w:rPr>
                <w:rFonts w:asciiTheme="minorHAnsi" w:hAnsiTheme="minorHAnsi" w:cstheme="minorHAnsi"/>
                <w:b/>
                <w:szCs w:val="22"/>
              </w:rPr>
            </w:pPr>
            <w:r w:rsidRPr="0040749B">
              <w:rPr>
                <w:rFonts w:asciiTheme="minorHAnsi" w:hAnsiTheme="minorHAnsi" w:cstheme="minorHAnsi"/>
                <w:b/>
                <w:szCs w:val="22"/>
              </w:rPr>
              <w:t>2027–28</w:t>
            </w:r>
          </w:p>
        </w:tc>
        <w:tc>
          <w:tcPr>
            <w:tcW w:w="741" w:type="pct"/>
            <w:tcBorders>
              <w:top w:val="single" w:sz="4" w:space="0" w:color="auto"/>
              <w:left w:val="single" w:sz="6" w:space="0" w:color="auto"/>
              <w:bottom w:val="single" w:sz="4" w:space="0" w:color="auto"/>
              <w:right w:val="single" w:sz="6" w:space="0" w:color="auto"/>
            </w:tcBorders>
            <w:shd w:val="clear" w:color="auto" w:fill="D9D9D6"/>
            <w:hideMark/>
          </w:tcPr>
          <w:p w14:paraId="49C2E055" w14:textId="77777777" w:rsidR="00E71249" w:rsidRPr="0040749B" w:rsidRDefault="00E71249" w:rsidP="00496219">
            <w:pPr>
              <w:spacing w:before="120" w:after="60" w:line="252" w:lineRule="auto"/>
              <w:rPr>
                <w:rFonts w:asciiTheme="minorHAnsi" w:hAnsiTheme="minorHAnsi" w:cstheme="minorHAnsi"/>
                <w:b/>
                <w:szCs w:val="22"/>
              </w:rPr>
            </w:pPr>
            <w:r w:rsidRPr="0040749B">
              <w:rPr>
                <w:rFonts w:asciiTheme="minorHAnsi" w:hAnsiTheme="minorHAnsi" w:cstheme="minorHAnsi"/>
                <w:b/>
                <w:szCs w:val="22"/>
              </w:rPr>
              <w:t>2028–29</w:t>
            </w:r>
          </w:p>
        </w:tc>
        <w:tc>
          <w:tcPr>
            <w:tcW w:w="742" w:type="pct"/>
            <w:tcBorders>
              <w:top w:val="single" w:sz="4" w:space="0" w:color="auto"/>
              <w:left w:val="single" w:sz="6" w:space="0" w:color="auto"/>
              <w:bottom w:val="single" w:sz="4" w:space="0" w:color="auto"/>
              <w:right w:val="single" w:sz="4" w:space="0" w:color="auto"/>
            </w:tcBorders>
            <w:shd w:val="clear" w:color="auto" w:fill="D9D9D6"/>
            <w:hideMark/>
          </w:tcPr>
          <w:p w14:paraId="5424F5BE" w14:textId="77777777" w:rsidR="00E71249" w:rsidRPr="0040749B" w:rsidRDefault="00E71249" w:rsidP="00496219">
            <w:pPr>
              <w:spacing w:before="120" w:after="60" w:line="252" w:lineRule="auto"/>
              <w:rPr>
                <w:rFonts w:asciiTheme="minorHAnsi" w:hAnsiTheme="minorHAnsi" w:cstheme="minorHAnsi"/>
                <w:b/>
                <w:szCs w:val="22"/>
              </w:rPr>
            </w:pPr>
            <w:r w:rsidRPr="0040749B">
              <w:rPr>
                <w:rFonts w:asciiTheme="minorHAnsi" w:hAnsiTheme="minorHAnsi" w:cstheme="minorHAnsi"/>
                <w:b/>
                <w:szCs w:val="22"/>
              </w:rPr>
              <w:t>2029–30</w:t>
            </w:r>
          </w:p>
        </w:tc>
      </w:tr>
      <w:tr w:rsidR="00E71249" w:rsidRPr="0040749B" w14:paraId="2D4F6A80" w14:textId="77777777" w:rsidTr="00496219">
        <w:trPr>
          <w:cantSplit/>
          <w:trHeight w:val="356"/>
          <w:jc w:val="center"/>
        </w:trPr>
        <w:tc>
          <w:tcPr>
            <w:tcW w:w="2034" w:type="pct"/>
            <w:tcBorders>
              <w:top w:val="single" w:sz="4" w:space="0" w:color="auto"/>
              <w:left w:val="single" w:sz="4" w:space="0" w:color="auto"/>
              <w:bottom w:val="single" w:sz="4" w:space="0" w:color="auto"/>
              <w:right w:val="single" w:sz="4" w:space="0" w:color="auto"/>
            </w:tcBorders>
            <w:hideMark/>
          </w:tcPr>
          <w:p w14:paraId="42B4BAC4"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Greater than or equal to the annual target.</w:t>
            </w:r>
          </w:p>
        </w:tc>
        <w:tc>
          <w:tcPr>
            <w:tcW w:w="741" w:type="pct"/>
            <w:tcBorders>
              <w:top w:val="single" w:sz="4" w:space="0" w:color="auto"/>
              <w:left w:val="single" w:sz="4" w:space="0" w:color="auto"/>
              <w:bottom w:val="single" w:sz="4" w:space="0" w:color="auto"/>
              <w:right w:val="single" w:sz="4" w:space="0" w:color="auto"/>
            </w:tcBorders>
            <w:hideMark/>
          </w:tcPr>
          <w:p w14:paraId="2A6DBA8F"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20</w:t>
            </w:r>
          </w:p>
        </w:tc>
        <w:tc>
          <w:tcPr>
            <w:tcW w:w="742" w:type="pct"/>
            <w:tcBorders>
              <w:top w:val="single" w:sz="4" w:space="0" w:color="auto"/>
              <w:left w:val="single" w:sz="4" w:space="0" w:color="auto"/>
              <w:bottom w:val="single" w:sz="4" w:space="0" w:color="auto"/>
              <w:right w:val="single" w:sz="4" w:space="0" w:color="auto"/>
            </w:tcBorders>
            <w:hideMark/>
          </w:tcPr>
          <w:p w14:paraId="4E9AD31E"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TBD*</w:t>
            </w:r>
          </w:p>
        </w:tc>
        <w:tc>
          <w:tcPr>
            <w:tcW w:w="741" w:type="pct"/>
            <w:tcBorders>
              <w:top w:val="single" w:sz="4" w:space="0" w:color="auto"/>
              <w:left w:val="single" w:sz="4" w:space="0" w:color="auto"/>
              <w:bottom w:val="single" w:sz="4" w:space="0" w:color="auto"/>
              <w:right w:val="single" w:sz="4" w:space="0" w:color="auto"/>
            </w:tcBorders>
            <w:hideMark/>
          </w:tcPr>
          <w:p w14:paraId="24A21791"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TBD*</w:t>
            </w:r>
          </w:p>
        </w:tc>
        <w:tc>
          <w:tcPr>
            <w:tcW w:w="742" w:type="pct"/>
            <w:tcBorders>
              <w:top w:val="single" w:sz="4" w:space="0" w:color="auto"/>
              <w:left w:val="single" w:sz="4" w:space="0" w:color="auto"/>
              <w:bottom w:val="single" w:sz="4" w:space="0" w:color="auto"/>
              <w:right w:val="single" w:sz="4" w:space="0" w:color="auto"/>
            </w:tcBorders>
            <w:hideMark/>
          </w:tcPr>
          <w:p w14:paraId="796EDE34"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TBD*</w:t>
            </w:r>
          </w:p>
        </w:tc>
      </w:tr>
    </w:tbl>
    <w:p w14:paraId="5AB582D8" w14:textId="77777777" w:rsidR="00E71249" w:rsidRPr="0040749B" w:rsidRDefault="00E71249" w:rsidP="00E71249">
      <w:pPr>
        <w:spacing w:before="120" w:after="160" w:line="259" w:lineRule="auto"/>
        <w:rPr>
          <w:rFonts w:cstheme="minorHAnsi"/>
          <w:szCs w:val="22"/>
          <w:lang w:eastAsia="en-AU"/>
        </w:rPr>
      </w:pPr>
      <w:r w:rsidRPr="0040749B">
        <w:rPr>
          <w:rFonts w:cstheme="minorHAnsi"/>
          <w:b/>
          <w:bCs/>
          <w:szCs w:val="22"/>
          <w:lang w:eastAsia="en-AU"/>
        </w:rPr>
        <w:t xml:space="preserve">* </w:t>
      </w:r>
      <w:r w:rsidRPr="0040749B">
        <w:rPr>
          <w:rFonts w:cstheme="minorHAnsi"/>
          <w:szCs w:val="22"/>
          <w:lang w:eastAsia="en-AU"/>
        </w:rPr>
        <w:t>TBD following acceptance of the National Plan's Second Action Plan</w:t>
      </w:r>
      <w:r>
        <w:rPr>
          <w:rFonts w:cstheme="minorHAnsi"/>
          <w:szCs w:val="22"/>
          <w:lang w:eastAsia="en-AU"/>
        </w:rPr>
        <w:t>.</w:t>
      </w:r>
    </w:p>
    <w:p w14:paraId="00698A37" w14:textId="445F6714" w:rsidR="00E71249" w:rsidRPr="00A97D98" w:rsidRDefault="00E71249" w:rsidP="00A97D98">
      <w:pPr>
        <w:pStyle w:val="Heading4"/>
        <w:rPr>
          <w:sz w:val="22"/>
          <w:szCs w:val="22"/>
        </w:rPr>
      </w:pPr>
      <w:bookmarkStart w:id="134" w:name="_Toc207287371"/>
      <w:r w:rsidRPr="00A97D98">
        <w:rPr>
          <w:sz w:val="22"/>
          <w:szCs w:val="22"/>
        </w:rPr>
        <w:t xml:space="preserve">Performance Measure – </w:t>
      </w:r>
      <w:bookmarkEnd w:id="134"/>
      <w:r w:rsidRPr="00A97D98">
        <w:rPr>
          <w:sz w:val="22"/>
          <w:szCs w:val="22"/>
        </w:rPr>
        <w:t>Federation Funding Agreement</w:t>
      </w:r>
      <w:r w:rsidRPr="00A97D98">
        <w:rPr>
          <w:sz w:val="22"/>
          <w:szCs w:val="22"/>
        </w:rPr>
        <w:tab/>
      </w:r>
    </w:p>
    <w:p w14:paraId="6BE8091D" w14:textId="77777777" w:rsidR="00E71249" w:rsidRDefault="00E71249" w:rsidP="00CB1E42">
      <w:pPr>
        <w:spacing w:before="120" w:after="160" w:line="240" w:lineRule="auto"/>
        <w:rPr>
          <w:rFonts w:cstheme="minorHAnsi"/>
          <w:noProof/>
          <w:kern w:val="2"/>
          <w:szCs w:val="22"/>
        </w:rPr>
      </w:pPr>
      <w:r w:rsidRPr="0040749B">
        <w:rPr>
          <w:rFonts w:cstheme="minorHAnsi"/>
          <w:noProof/>
          <w:kern w:val="2"/>
          <w:szCs w:val="22"/>
        </w:rPr>
        <w:lastRenderedPageBreak/>
        <w:t>The Federation Funding Agreement on Family, Domestic and Sexual Violence Responses supports coordinated delivery across jurisdictions.</w:t>
      </w:r>
    </w:p>
    <w:tbl>
      <w:tblPr>
        <w:tblStyle w:val="TableGrid395"/>
        <w:tblW w:w="4951" w:type="pct"/>
        <w:jc w:val="center"/>
        <w:tblLook w:val="04A0" w:firstRow="1" w:lastRow="0" w:firstColumn="1" w:lastColumn="0" w:noHBand="0" w:noVBand="1"/>
        <w:tblCaption w:val="Table 35 - Performance Measure – Stop it at the Start"/>
        <w:tblDescription w:val="Target for The Federation Funding Agreement on Family, Domestic and Sexual Violence Responses supports coordinated delivery across jurisdictions."/>
      </w:tblPr>
      <w:tblGrid>
        <w:gridCol w:w="3515"/>
        <w:gridCol w:w="1644"/>
        <w:gridCol w:w="1644"/>
        <w:gridCol w:w="1644"/>
        <w:gridCol w:w="1644"/>
      </w:tblGrid>
      <w:tr w:rsidR="00E71249" w:rsidRPr="0040749B" w14:paraId="1FA83FD6" w14:textId="77777777" w:rsidTr="009B672D">
        <w:trPr>
          <w:cantSplit/>
          <w:trHeight w:val="356"/>
          <w:jc w:val="center"/>
        </w:trPr>
        <w:tc>
          <w:tcPr>
            <w:tcW w:w="1742" w:type="pct"/>
            <w:tcBorders>
              <w:top w:val="single" w:sz="4" w:space="0" w:color="auto"/>
              <w:left w:val="single" w:sz="4" w:space="0" w:color="auto"/>
              <w:bottom w:val="single" w:sz="4" w:space="0" w:color="auto"/>
              <w:right w:val="single" w:sz="6" w:space="0" w:color="auto"/>
            </w:tcBorders>
            <w:shd w:val="clear" w:color="auto" w:fill="D9D9D6"/>
            <w:hideMark/>
          </w:tcPr>
          <w:p w14:paraId="015CB014"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b/>
                <w:szCs w:val="22"/>
              </w:rPr>
              <w:t>Target</w:t>
            </w:r>
          </w:p>
        </w:tc>
        <w:tc>
          <w:tcPr>
            <w:tcW w:w="815" w:type="pct"/>
            <w:tcBorders>
              <w:top w:val="single" w:sz="4" w:space="0" w:color="auto"/>
              <w:left w:val="single" w:sz="6" w:space="0" w:color="auto"/>
              <w:bottom w:val="single" w:sz="4" w:space="0" w:color="auto"/>
              <w:right w:val="single" w:sz="6" w:space="0" w:color="auto"/>
            </w:tcBorders>
            <w:shd w:val="clear" w:color="auto" w:fill="D9D9D6"/>
          </w:tcPr>
          <w:p w14:paraId="5BDB964D"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b/>
                <w:szCs w:val="22"/>
              </w:rPr>
              <w:t>2026–27</w:t>
            </w:r>
          </w:p>
        </w:tc>
        <w:tc>
          <w:tcPr>
            <w:tcW w:w="815" w:type="pct"/>
            <w:tcBorders>
              <w:top w:val="single" w:sz="4" w:space="0" w:color="auto"/>
              <w:left w:val="single" w:sz="6" w:space="0" w:color="auto"/>
              <w:bottom w:val="single" w:sz="4" w:space="0" w:color="auto"/>
              <w:right w:val="single" w:sz="6" w:space="0" w:color="auto"/>
            </w:tcBorders>
            <w:shd w:val="clear" w:color="auto" w:fill="D9D9D6"/>
          </w:tcPr>
          <w:p w14:paraId="1221FA2B"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b/>
                <w:szCs w:val="22"/>
              </w:rPr>
              <w:t>2027–28</w:t>
            </w:r>
          </w:p>
        </w:tc>
        <w:tc>
          <w:tcPr>
            <w:tcW w:w="815" w:type="pct"/>
            <w:tcBorders>
              <w:top w:val="single" w:sz="4" w:space="0" w:color="auto"/>
              <w:left w:val="single" w:sz="6" w:space="0" w:color="auto"/>
              <w:bottom w:val="single" w:sz="4" w:space="0" w:color="auto"/>
              <w:right w:val="single" w:sz="6" w:space="0" w:color="auto"/>
            </w:tcBorders>
            <w:shd w:val="clear" w:color="auto" w:fill="D9D9D6"/>
          </w:tcPr>
          <w:p w14:paraId="3C86FBAB" w14:textId="77777777" w:rsidR="00E71249" w:rsidRPr="0040749B" w:rsidRDefault="00E71249" w:rsidP="00496219">
            <w:pPr>
              <w:spacing w:before="120" w:after="60" w:line="252" w:lineRule="auto"/>
              <w:rPr>
                <w:rFonts w:asciiTheme="minorHAnsi" w:hAnsiTheme="minorHAnsi" w:cstheme="minorHAnsi"/>
                <w:b/>
                <w:bCs/>
                <w:szCs w:val="22"/>
              </w:rPr>
            </w:pPr>
            <w:r w:rsidRPr="0040749B">
              <w:rPr>
                <w:rFonts w:asciiTheme="minorHAnsi" w:hAnsiTheme="minorHAnsi" w:cstheme="minorHAnsi"/>
                <w:b/>
                <w:szCs w:val="22"/>
              </w:rPr>
              <w:t>2028–29</w:t>
            </w:r>
          </w:p>
        </w:tc>
        <w:tc>
          <w:tcPr>
            <w:tcW w:w="815" w:type="pct"/>
            <w:tcBorders>
              <w:top w:val="single" w:sz="4" w:space="0" w:color="auto"/>
              <w:left w:val="single" w:sz="6" w:space="0" w:color="auto"/>
              <w:bottom w:val="single" w:sz="4" w:space="0" w:color="auto"/>
              <w:right w:val="single" w:sz="6" w:space="0" w:color="auto"/>
            </w:tcBorders>
            <w:shd w:val="clear" w:color="auto" w:fill="D9D9D6"/>
          </w:tcPr>
          <w:p w14:paraId="2171A3DE" w14:textId="77777777" w:rsidR="00E71249" w:rsidRPr="0040749B" w:rsidRDefault="00E71249" w:rsidP="00496219">
            <w:pPr>
              <w:spacing w:before="120" w:after="60" w:line="252" w:lineRule="auto"/>
              <w:rPr>
                <w:rFonts w:asciiTheme="minorHAnsi" w:hAnsiTheme="minorHAnsi" w:cstheme="minorHAnsi"/>
                <w:b/>
                <w:bCs/>
                <w:szCs w:val="22"/>
              </w:rPr>
            </w:pPr>
            <w:r w:rsidRPr="0040749B">
              <w:rPr>
                <w:rFonts w:asciiTheme="minorHAnsi" w:hAnsiTheme="minorHAnsi" w:cstheme="minorHAnsi"/>
                <w:b/>
                <w:szCs w:val="22"/>
              </w:rPr>
              <w:t>2029–30</w:t>
            </w:r>
          </w:p>
        </w:tc>
      </w:tr>
      <w:tr w:rsidR="00E71249" w:rsidRPr="0040749B" w14:paraId="1C3D04D1" w14:textId="77777777" w:rsidTr="009B672D">
        <w:trPr>
          <w:cantSplit/>
          <w:trHeight w:val="356"/>
          <w:jc w:val="center"/>
        </w:trPr>
        <w:tc>
          <w:tcPr>
            <w:tcW w:w="1742" w:type="pct"/>
            <w:tcBorders>
              <w:top w:val="single" w:sz="4" w:space="0" w:color="auto"/>
              <w:left w:val="single" w:sz="4" w:space="0" w:color="auto"/>
              <w:bottom w:val="single" w:sz="4" w:space="0" w:color="auto"/>
              <w:right w:val="single" w:sz="4" w:space="0" w:color="auto"/>
            </w:tcBorders>
          </w:tcPr>
          <w:p w14:paraId="14A5B376" w14:textId="77777777" w:rsidR="00E71249" w:rsidRPr="0040749B" w:rsidRDefault="00E71249" w:rsidP="00496219">
            <w:pPr>
              <w:spacing w:before="120" w:after="120"/>
              <w:rPr>
                <w:rFonts w:asciiTheme="minorHAnsi" w:hAnsiTheme="minorHAnsi" w:cstheme="minorHAnsi"/>
                <w:b/>
                <w:szCs w:val="22"/>
              </w:rPr>
            </w:pPr>
            <w:r w:rsidRPr="0040749B">
              <w:rPr>
                <w:rFonts w:asciiTheme="minorHAnsi" w:hAnsiTheme="minorHAnsi" w:cstheme="minorHAnsi"/>
                <w:noProof/>
                <w:kern w:val="2"/>
                <w:szCs w:val="22"/>
              </w:rPr>
              <w:t>Demonstrated stewardship of Commonwealth investment through the Family, Domestic and Sexual Violence Responses Responses 2021-30 Federation Funding Agreement (FDSV FFA).</w:t>
            </w:r>
          </w:p>
        </w:tc>
        <w:tc>
          <w:tcPr>
            <w:tcW w:w="815" w:type="pct"/>
            <w:tcBorders>
              <w:top w:val="single" w:sz="4" w:space="0" w:color="auto"/>
              <w:left w:val="single" w:sz="4" w:space="0" w:color="auto"/>
              <w:bottom w:val="single" w:sz="4" w:space="0" w:color="auto"/>
              <w:right w:val="single" w:sz="4" w:space="0" w:color="auto"/>
            </w:tcBorders>
          </w:tcPr>
          <w:p w14:paraId="33E26A9E" w14:textId="5D08D358" w:rsidR="00E71249" w:rsidRPr="0040749B" w:rsidRDefault="00E71249" w:rsidP="00496219">
            <w:pPr>
              <w:shd w:val="clear" w:color="auto" w:fill="FFFFFF" w:themeFill="background1"/>
              <w:spacing w:before="120" w:after="60"/>
              <w:ind w:left="142"/>
              <w:rPr>
                <w:rFonts w:asciiTheme="minorHAnsi" w:hAnsiTheme="minorHAnsi" w:cstheme="minorHAnsi"/>
                <w:szCs w:val="22"/>
              </w:rPr>
            </w:pPr>
            <w:r w:rsidRPr="0040749B">
              <w:rPr>
                <w:rFonts w:asciiTheme="minorHAnsi" w:hAnsiTheme="minorHAnsi" w:cstheme="minorHAnsi"/>
                <w:b/>
                <w:bCs/>
                <w:iCs/>
                <w:szCs w:val="22"/>
                <w:lang w:eastAsia="en-GB"/>
              </w:rPr>
              <w:t>The FDSV FFA</w:t>
            </w:r>
            <w:r w:rsidRPr="0040749B">
              <w:rPr>
                <w:rFonts w:asciiTheme="minorHAnsi" w:hAnsiTheme="minorHAnsi" w:cstheme="minorHAnsi"/>
                <w:iCs/>
                <w:szCs w:val="22"/>
                <w:lang w:eastAsia="en-GB"/>
              </w:rPr>
              <w:t xml:space="preserve"> is administered under Social Services</w:t>
            </w:r>
            <w:r w:rsidR="009B672D">
              <w:rPr>
                <w:rFonts w:asciiTheme="minorHAnsi" w:hAnsiTheme="minorHAnsi" w:cstheme="minorHAnsi"/>
                <w:iCs/>
                <w:szCs w:val="22"/>
                <w:lang w:eastAsia="en-GB"/>
              </w:rPr>
              <w:t>*</w:t>
            </w:r>
          </w:p>
        </w:tc>
        <w:tc>
          <w:tcPr>
            <w:tcW w:w="815" w:type="pct"/>
            <w:tcBorders>
              <w:top w:val="single" w:sz="4" w:space="0" w:color="auto"/>
              <w:left w:val="single" w:sz="4" w:space="0" w:color="auto"/>
              <w:bottom w:val="single" w:sz="4" w:space="0" w:color="auto"/>
              <w:right w:val="single" w:sz="4" w:space="0" w:color="auto"/>
            </w:tcBorders>
          </w:tcPr>
          <w:p w14:paraId="10210472" w14:textId="28482D1F" w:rsidR="00E71249" w:rsidRPr="0040749B" w:rsidRDefault="00E71249" w:rsidP="00496219">
            <w:pPr>
              <w:shd w:val="clear" w:color="auto" w:fill="FFFFFF" w:themeFill="background1"/>
              <w:spacing w:before="120" w:after="60"/>
              <w:ind w:left="142"/>
              <w:rPr>
                <w:rFonts w:asciiTheme="minorHAnsi" w:hAnsiTheme="minorHAnsi" w:cstheme="minorHAnsi"/>
                <w:szCs w:val="22"/>
              </w:rPr>
            </w:pPr>
            <w:r w:rsidRPr="0040749B">
              <w:rPr>
                <w:rFonts w:asciiTheme="minorHAnsi" w:hAnsiTheme="minorHAnsi" w:cstheme="minorHAnsi"/>
                <w:b/>
                <w:bCs/>
                <w:iCs/>
                <w:szCs w:val="22"/>
                <w:lang w:eastAsia="en-GB"/>
              </w:rPr>
              <w:t>The FDSV FFA</w:t>
            </w:r>
            <w:r w:rsidRPr="0040749B">
              <w:rPr>
                <w:rFonts w:asciiTheme="minorHAnsi" w:hAnsiTheme="minorHAnsi" w:cstheme="minorHAnsi"/>
                <w:iCs/>
                <w:szCs w:val="22"/>
                <w:lang w:eastAsia="en-GB"/>
              </w:rPr>
              <w:t xml:space="preserve"> is administered under Social Services</w:t>
            </w:r>
            <w:r w:rsidR="009B672D">
              <w:rPr>
                <w:rFonts w:asciiTheme="minorHAnsi" w:hAnsiTheme="minorHAnsi" w:cstheme="minorHAnsi"/>
                <w:iCs/>
                <w:szCs w:val="22"/>
                <w:lang w:eastAsia="en-GB"/>
              </w:rPr>
              <w:t>*</w:t>
            </w:r>
          </w:p>
        </w:tc>
        <w:tc>
          <w:tcPr>
            <w:tcW w:w="815" w:type="pct"/>
            <w:tcBorders>
              <w:top w:val="single" w:sz="4" w:space="0" w:color="auto"/>
              <w:left w:val="single" w:sz="4" w:space="0" w:color="auto"/>
              <w:bottom w:val="single" w:sz="4" w:space="0" w:color="auto"/>
              <w:right w:val="single" w:sz="4" w:space="0" w:color="auto"/>
            </w:tcBorders>
          </w:tcPr>
          <w:p w14:paraId="5DB4431B" w14:textId="73A09D70" w:rsidR="00E71249" w:rsidRPr="0040749B" w:rsidRDefault="00E71249" w:rsidP="00496219">
            <w:pPr>
              <w:shd w:val="clear" w:color="auto" w:fill="FFFFFF" w:themeFill="background1"/>
              <w:spacing w:before="120" w:after="60"/>
              <w:ind w:left="142"/>
              <w:rPr>
                <w:rFonts w:asciiTheme="minorHAnsi" w:hAnsiTheme="minorHAnsi" w:cstheme="minorHAnsi"/>
                <w:szCs w:val="22"/>
              </w:rPr>
            </w:pPr>
            <w:r w:rsidRPr="0040749B">
              <w:rPr>
                <w:rFonts w:asciiTheme="minorHAnsi" w:hAnsiTheme="minorHAnsi" w:cstheme="minorHAnsi"/>
                <w:b/>
                <w:bCs/>
                <w:iCs/>
                <w:szCs w:val="22"/>
                <w:lang w:eastAsia="en-GB"/>
              </w:rPr>
              <w:t>The FDSV FFA</w:t>
            </w:r>
            <w:r w:rsidRPr="0040749B">
              <w:rPr>
                <w:rFonts w:asciiTheme="minorHAnsi" w:hAnsiTheme="minorHAnsi" w:cstheme="minorHAnsi"/>
                <w:iCs/>
                <w:szCs w:val="22"/>
                <w:lang w:eastAsia="en-GB"/>
              </w:rPr>
              <w:t xml:space="preserve"> is administered under Social Services</w:t>
            </w:r>
            <w:r w:rsidR="009B672D">
              <w:rPr>
                <w:rFonts w:asciiTheme="minorHAnsi" w:hAnsiTheme="minorHAnsi" w:cstheme="minorHAnsi"/>
                <w:iCs/>
                <w:szCs w:val="22"/>
                <w:lang w:eastAsia="en-GB"/>
              </w:rPr>
              <w:t>*</w:t>
            </w:r>
          </w:p>
        </w:tc>
        <w:tc>
          <w:tcPr>
            <w:tcW w:w="815" w:type="pct"/>
            <w:tcBorders>
              <w:top w:val="single" w:sz="4" w:space="0" w:color="auto"/>
              <w:left w:val="single" w:sz="4" w:space="0" w:color="auto"/>
              <w:bottom w:val="single" w:sz="4" w:space="0" w:color="auto"/>
              <w:right w:val="single" w:sz="4" w:space="0" w:color="auto"/>
            </w:tcBorders>
          </w:tcPr>
          <w:p w14:paraId="677F5DC4" w14:textId="0ADACCB6" w:rsidR="00E71249" w:rsidRPr="0040749B" w:rsidRDefault="00E71249" w:rsidP="00496219">
            <w:pPr>
              <w:shd w:val="clear" w:color="auto" w:fill="FFFFFF" w:themeFill="background1"/>
              <w:spacing w:before="120" w:after="60"/>
              <w:ind w:left="142"/>
              <w:rPr>
                <w:rFonts w:asciiTheme="minorHAnsi" w:hAnsiTheme="minorHAnsi" w:cstheme="minorHAnsi"/>
                <w:szCs w:val="22"/>
              </w:rPr>
            </w:pPr>
            <w:r w:rsidRPr="0040749B">
              <w:rPr>
                <w:rFonts w:asciiTheme="minorHAnsi" w:hAnsiTheme="minorHAnsi" w:cstheme="minorHAnsi"/>
                <w:b/>
                <w:bCs/>
                <w:iCs/>
                <w:szCs w:val="22"/>
                <w:lang w:eastAsia="en-GB"/>
              </w:rPr>
              <w:t>The FDSV FFA</w:t>
            </w:r>
            <w:r w:rsidRPr="0040749B">
              <w:rPr>
                <w:rFonts w:asciiTheme="minorHAnsi" w:hAnsiTheme="minorHAnsi" w:cstheme="minorHAnsi"/>
                <w:iCs/>
                <w:szCs w:val="22"/>
                <w:lang w:eastAsia="en-GB"/>
              </w:rPr>
              <w:t xml:space="preserve"> is administered under Social Services</w:t>
            </w:r>
            <w:r w:rsidR="009B672D">
              <w:rPr>
                <w:rFonts w:asciiTheme="minorHAnsi" w:hAnsiTheme="minorHAnsi" w:cstheme="minorHAnsi"/>
                <w:iCs/>
                <w:szCs w:val="22"/>
                <w:lang w:eastAsia="en-GB"/>
              </w:rPr>
              <w:t>*</w:t>
            </w:r>
          </w:p>
        </w:tc>
      </w:tr>
    </w:tbl>
    <w:p w14:paraId="6B60CC3B" w14:textId="19147C03" w:rsidR="009B672D" w:rsidRPr="0082537E" w:rsidRDefault="00BE2977" w:rsidP="00C211A9">
      <w:bookmarkStart w:id="135" w:name="_Toc207287372"/>
      <w:r w:rsidRPr="0082537E">
        <w:rPr>
          <w:b/>
        </w:rPr>
        <w:t>*</w:t>
      </w:r>
      <w:r w:rsidRPr="0082537E">
        <w:t>Administered involves the department effectively stewarding Commonwealth funding provided through the FDSV FFA, including monitoring jurisdictional reporting and implementation against agreed performance and accountability requirements. Jurisdictions remain responsible for delivering funded activities and reporting on their outcomes and impacts.</w:t>
      </w:r>
    </w:p>
    <w:p w14:paraId="6BEE8CE1" w14:textId="15E41E08" w:rsidR="00E71249" w:rsidRPr="00A97D98" w:rsidRDefault="00E71249" w:rsidP="00A97D98">
      <w:pPr>
        <w:pStyle w:val="Heading4"/>
        <w:rPr>
          <w:sz w:val="22"/>
          <w:szCs w:val="22"/>
        </w:rPr>
      </w:pPr>
      <w:r w:rsidRPr="00A97D98">
        <w:rPr>
          <w:sz w:val="22"/>
          <w:szCs w:val="22"/>
        </w:rPr>
        <w:t>Performance Measure – Keeping Women Safe in Their Homes (KWSITH)</w:t>
      </w:r>
      <w:bookmarkEnd w:id="135"/>
      <w:r w:rsidRPr="00A97D98">
        <w:rPr>
          <w:sz w:val="22"/>
          <w:szCs w:val="22"/>
        </w:rPr>
        <w:tab/>
      </w:r>
    </w:p>
    <w:p w14:paraId="399F9477" w14:textId="77777777" w:rsidR="00E71249" w:rsidRPr="0040749B" w:rsidRDefault="00E71249" w:rsidP="00E71249">
      <w:pPr>
        <w:suppressAutoHyphens/>
        <w:spacing w:before="120" w:after="160" w:line="259" w:lineRule="auto"/>
        <w:rPr>
          <w:rFonts w:cstheme="minorHAnsi"/>
          <w:szCs w:val="22"/>
          <w:lang w:eastAsia="en-AU"/>
        </w:rPr>
      </w:pPr>
      <w:r w:rsidRPr="0040749B">
        <w:rPr>
          <w:rFonts w:cstheme="minorHAnsi"/>
          <w:szCs w:val="22"/>
          <w:lang w:eastAsia="en-AU"/>
        </w:rPr>
        <w:t>The extent to which victim-survivors of family and domestic violence are supported to safely remain in their homes or a home of their choosing.</w:t>
      </w:r>
    </w:p>
    <w:tbl>
      <w:tblPr>
        <w:tblStyle w:val="TableGrid395"/>
        <w:tblW w:w="4951" w:type="pct"/>
        <w:jc w:val="center"/>
        <w:tblLook w:val="04A0" w:firstRow="1" w:lastRow="0" w:firstColumn="1" w:lastColumn="0" w:noHBand="0" w:noVBand="1"/>
        <w:tblCaption w:val="Table 36 - Performance Measure – Keeping Women Safe in Their Homes (KWSITH) "/>
        <w:tblDescription w:val="Target for the extent to which victim-survivors of family and domestic violence are supported to safely remain in their homes or a home of their choosing."/>
      </w:tblPr>
      <w:tblGrid>
        <w:gridCol w:w="4106"/>
        <w:gridCol w:w="1496"/>
        <w:gridCol w:w="1496"/>
        <w:gridCol w:w="1495"/>
        <w:gridCol w:w="1498"/>
      </w:tblGrid>
      <w:tr w:rsidR="00E71249" w:rsidRPr="0040749B" w14:paraId="39757B91" w14:textId="77777777" w:rsidTr="00496219">
        <w:trPr>
          <w:cantSplit/>
          <w:trHeight w:val="356"/>
          <w:jc w:val="center"/>
        </w:trPr>
        <w:tc>
          <w:tcPr>
            <w:tcW w:w="2034" w:type="pct"/>
            <w:tcBorders>
              <w:top w:val="single" w:sz="4" w:space="0" w:color="auto"/>
              <w:left w:val="single" w:sz="4" w:space="0" w:color="auto"/>
              <w:bottom w:val="single" w:sz="4" w:space="0" w:color="auto"/>
              <w:right w:val="single" w:sz="6" w:space="0" w:color="auto"/>
            </w:tcBorders>
            <w:shd w:val="clear" w:color="auto" w:fill="D9D9D6"/>
            <w:hideMark/>
          </w:tcPr>
          <w:p w14:paraId="3A0F7578"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b/>
                <w:szCs w:val="22"/>
              </w:rPr>
              <w:t>Target</w:t>
            </w:r>
          </w:p>
        </w:tc>
        <w:tc>
          <w:tcPr>
            <w:tcW w:w="741" w:type="pct"/>
            <w:tcBorders>
              <w:top w:val="single" w:sz="4" w:space="0" w:color="auto"/>
              <w:left w:val="single" w:sz="6" w:space="0" w:color="auto"/>
              <w:bottom w:val="single" w:sz="4" w:space="0" w:color="auto"/>
              <w:right w:val="single" w:sz="6" w:space="0" w:color="auto"/>
            </w:tcBorders>
            <w:shd w:val="clear" w:color="auto" w:fill="D9D9D6"/>
          </w:tcPr>
          <w:p w14:paraId="7E1A4712"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b/>
                <w:szCs w:val="22"/>
              </w:rPr>
              <w:t>2026–27</w:t>
            </w:r>
          </w:p>
        </w:tc>
        <w:tc>
          <w:tcPr>
            <w:tcW w:w="741" w:type="pct"/>
            <w:tcBorders>
              <w:top w:val="single" w:sz="4" w:space="0" w:color="auto"/>
              <w:left w:val="single" w:sz="6" w:space="0" w:color="auto"/>
              <w:bottom w:val="single" w:sz="4" w:space="0" w:color="auto"/>
              <w:right w:val="single" w:sz="6" w:space="0" w:color="auto"/>
            </w:tcBorders>
            <w:shd w:val="clear" w:color="auto" w:fill="D9D9D6"/>
          </w:tcPr>
          <w:p w14:paraId="51256C82"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b/>
                <w:szCs w:val="22"/>
              </w:rPr>
              <w:t>2027–28</w:t>
            </w:r>
          </w:p>
        </w:tc>
        <w:tc>
          <w:tcPr>
            <w:tcW w:w="741" w:type="pct"/>
            <w:tcBorders>
              <w:top w:val="single" w:sz="4" w:space="0" w:color="auto"/>
              <w:left w:val="single" w:sz="6" w:space="0" w:color="auto"/>
              <w:bottom w:val="single" w:sz="4" w:space="0" w:color="auto"/>
              <w:right w:val="single" w:sz="6" w:space="0" w:color="auto"/>
            </w:tcBorders>
            <w:shd w:val="clear" w:color="auto" w:fill="D9D9D6"/>
          </w:tcPr>
          <w:p w14:paraId="23C09184" w14:textId="77777777" w:rsidR="00E71249" w:rsidRPr="0040749B" w:rsidRDefault="00E71249" w:rsidP="00496219">
            <w:pPr>
              <w:spacing w:before="120" w:after="60" w:line="252" w:lineRule="auto"/>
              <w:rPr>
                <w:rFonts w:asciiTheme="minorHAnsi" w:hAnsiTheme="minorHAnsi" w:cstheme="minorHAnsi"/>
                <w:b/>
                <w:bCs/>
                <w:szCs w:val="22"/>
              </w:rPr>
            </w:pPr>
            <w:r w:rsidRPr="0040749B">
              <w:rPr>
                <w:rFonts w:asciiTheme="minorHAnsi" w:hAnsiTheme="minorHAnsi" w:cstheme="minorHAnsi"/>
                <w:b/>
                <w:szCs w:val="22"/>
              </w:rPr>
              <w:t>2028–29</w:t>
            </w:r>
          </w:p>
        </w:tc>
        <w:tc>
          <w:tcPr>
            <w:tcW w:w="742" w:type="pct"/>
            <w:tcBorders>
              <w:top w:val="single" w:sz="4" w:space="0" w:color="auto"/>
              <w:left w:val="single" w:sz="6" w:space="0" w:color="auto"/>
              <w:bottom w:val="single" w:sz="4" w:space="0" w:color="auto"/>
              <w:right w:val="single" w:sz="6" w:space="0" w:color="auto"/>
            </w:tcBorders>
            <w:shd w:val="clear" w:color="auto" w:fill="D9D9D6"/>
          </w:tcPr>
          <w:p w14:paraId="2D9B4A13" w14:textId="77777777" w:rsidR="00E71249" w:rsidRPr="0040749B" w:rsidRDefault="00E71249" w:rsidP="00496219">
            <w:pPr>
              <w:spacing w:before="120" w:after="60" w:line="252" w:lineRule="auto"/>
              <w:rPr>
                <w:rFonts w:asciiTheme="minorHAnsi" w:hAnsiTheme="minorHAnsi" w:cstheme="minorHAnsi"/>
                <w:b/>
                <w:bCs/>
                <w:szCs w:val="22"/>
              </w:rPr>
            </w:pPr>
            <w:r w:rsidRPr="0040749B">
              <w:rPr>
                <w:rFonts w:asciiTheme="minorHAnsi" w:hAnsiTheme="minorHAnsi" w:cstheme="minorHAnsi"/>
                <w:b/>
                <w:szCs w:val="22"/>
              </w:rPr>
              <w:t>2029–30</w:t>
            </w:r>
          </w:p>
        </w:tc>
      </w:tr>
      <w:tr w:rsidR="00E71249" w:rsidRPr="0040749B" w14:paraId="288CC412" w14:textId="77777777" w:rsidTr="00496219">
        <w:trPr>
          <w:cantSplit/>
          <w:trHeight w:val="356"/>
          <w:jc w:val="center"/>
        </w:trPr>
        <w:tc>
          <w:tcPr>
            <w:tcW w:w="2034" w:type="pct"/>
            <w:tcBorders>
              <w:top w:val="single" w:sz="4" w:space="0" w:color="auto"/>
              <w:left w:val="single" w:sz="4" w:space="0" w:color="auto"/>
              <w:bottom w:val="single" w:sz="4" w:space="0" w:color="auto"/>
              <w:right w:val="single" w:sz="4" w:space="0" w:color="auto"/>
            </w:tcBorders>
            <w:hideMark/>
          </w:tcPr>
          <w:p w14:paraId="6B123A25" w14:textId="77777777" w:rsidR="00E71249" w:rsidRPr="0040749B" w:rsidRDefault="00E71249" w:rsidP="00496219">
            <w:pPr>
              <w:spacing w:before="120" w:after="120"/>
              <w:rPr>
                <w:rFonts w:asciiTheme="minorHAnsi" w:hAnsiTheme="minorHAnsi" w:cstheme="minorHAnsi"/>
                <w:b/>
                <w:szCs w:val="22"/>
              </w:rPr>
            </w:pPr>
            <w:r w:rsidRPr="0040749B">
              <w:rPr>
                <w:rFonts w:asciiTheme="minorHAnsi" w:hAnsiTheme="minorHAnsi" w:cstheme="minorHAnsi"/>
                <w:szCs w:val="22"/>
              </w:rPr>
              <w:t xml:space="preserve">The total number of Keeping Women Safe in their Homes clients assisted nationally is maintained at a minimum of 80% compared to the same period last financial year. </w:t>
            </w:r>
          </w:p>
        </w:tc>
        <w:tc>
          <w:tcPr>
            <w:tcW w:w="741" w:type="pct"/>
            <w:tcBorders>
              <w:top w:val="single" w:sz="4" w:space="0" w:color="auto"/>
              <w:left w:val="single" w:sz="4" w:space="0" w:color="auto"/>
              <w:bottom w:val="single" w:sz="4" w:space="0" w:color="auto"/>
              <w:right w:val="single" w:sz="4" w:space="0" w:color="auto"/>
            </w:tcBorders>
          </w:tcPr>
          <w:p w14:paraId="354DA0CB" w14:textId="77777777" w:rsidR="00E71249" w:rsidRPr="0040749B" w:rsidRDefault="00E71249" w:rsidP="00496219">
            <w:pPr>
              <w:spacing w:before="120" w:line="252" w:lineRule="auto"/>
              <w:rPr>
                <w:rFonts w:asciiTheme="minorHAnsi" w:hAnsiTheme="minorHAnsi" w:cstheme="minorHAnsi"/>
                <w:szCs w:val="22"/>
              </w:rPr>
            </w:pPr>
            <w:r w:rsidRPr="0040749B">
              <w:rPr>
                <w:rFonts w:asciiTheme="minorHAnsi" w:hAnsiTheme="minorHAnsi" w:cstheme="minorHAnsi"/>
                <w:szCs w:val="22"/>
              </w:rPr>
              <w:t>(n = 4,303)</w:t>
            </w:r>
          </w:p>
          <w:p w14:paraId="7E1E4F41"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At least 80% of 2025-26 client numbers (5,379).</w:t>
            </w:r>
          </w:p>
        </w:tc>
        <w:tc>
          <w:tcPr>
            <w:tcW w:w="741" w:type="pct"/>
            <w:tcBorders>
              <w:top w:val="single" w:sz="4" w:space="0" w:color="auto"/>
              <w:left w:val="single" w:sz="4" w:space="0" w:color="auto"/>
              <w:bottom w:val="single" w:sz="4" w:space="0" w:color="auto"/>
              <w:right w:val="single" w:sz="4" w:space="0" w:color="auto"/>
            </w:tcBorders>
          </w:tcPr>
          <w:p w14:paraId="6BD363B3"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N/A</w:t>
            </w:r>
          </w:p>
        </w:tc>
        <w:tc>
          <w:tcPr>
            <w:tcW w:w="741" w:type="pct"/>
            <w:tcBorders>
              <w:top w:val="single" w:sz="4" w:space="0" w:color="auto"/>
              <w:left w:val="single" w:sz="4" w:space="0" w:color="auto"/>
              <w:bottom w:val="single" w:sz="4" w:space="0" w:color="auto"/>
              <w:right w:val="single" w:sz="4" w:space="0" w:color="auto"/>
            </w:tcBorders>
          </w:tcPr>
          <w:p w14:paraId="27A4CA3B"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N/A</w:t>
            </w:r>
          </w:p>
        </w:tc>
        <w:tc>
          <w:tcPr>
            <w:tcW w:w="742" w:type="pct"/>
            <w:tcBorders>
              <w:top w:val="single" w:sz="4" w:space="0" w:color="auto"/>
              <w:left w:val="single" w:sz="4" w:space="0" w:color="auto"/>
              <w:bottom w:val="single" w:sz="4" w:space="0" w:color="auto"/>
              <w:right w:val="single" w:sz="4" w:space="0" w:color="auto"/>
            </w:tcBorders>
          </w:tcPr>
          <w:p w14:paraId="77EF0B2D"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N/A</w:t>
            </w:r>
          </w:p>
        </w:tc>
      </w:tr>
    </w:tbl>
    <w:p w14:paraId="3B4AB0CB" w14:textId="77777777" w:rsidR="00E71249" w:rsidRPr="00A97D98" w:rsidRDefault="00E71249" w:rsidP="00A97D98">
      <w:pPr>
        <w:pStyle w:val="Heading4"/>
        <w:rPr>
          <w:sz w:val="22"/>
          <w:szCs w:val="22"/>
        </w:rPr>
      </w:pPr>
      <w:bookmarkStart w:id="136" w:name="_Toc207287373"/>
      <w:r w:rsidRPr="00A97D98">
        <w:rPr>
          <w:sz w:val="22"/>
          <w:szCs w:val="22"/>
        </w:rPr>
        <w:t xml:space="preserve">Performance Measure – Leaving Violence </w:t>
      </w:r>
      <w:bookmarkEnd w:id="136"/>
      <w:r w:rsidRPr="00A97D98">
        <w:rPr>
          <w:sz w:val="22"/>
          <w:szCs w:val="22"/>
        </w:rPr>
        <w:t>Program</w:t>
      </w:r>
    </w:p>
    <w:p w14:paraId="3B6D35CF" w14:textId="77777777" w:rsidR="00E71249" w:rsidRPr="0040749B" w:rsidRDefault="00E71249" w:rsidP="00CB1E42">
      <w:pPr>
        <w:spacing w:before="120" w:after="160" w:line="252" w:lineRule="auto"/>
        <w:rPr>
          <w:rFonts w:eastAsia="Aptos" w:cstheme="minorHAnsi"/>
          <w:kern w:val="2"/>
          <w:szCs w:val="22"/>
          <w14:ligatures w14:val="standardContextual"/>
        </w:rPr>
      </w:pPr>
      <w:r w:rsidRPr="0040749B">
        <w:rPr>
          <w:rFonts w:cstheme="minorHAnsi"/>
          <w:szCs w:val="22"/>
        </w:rPr>
        <w:t>85% of assessments completed within 3 business days of a complete application being submitted</w:t>
      </w:r>
      <w:r w:rsidRPr="0040749B">
        <w:rPr>
          <w:rFonts w:eastAsia="Aptos" w:cstheme="minorHAnsi"/>
          <w:bCs/>
          <w:kern w:val="2"/>
          <w:szCs w:val="22"/>
          <w14:ligatures w14:val="standardContextual"/>
        </w:rPr>
        <w:t>.</w:t>
      </w:r>
    </w:p>
    <w:tbl>
      <w:tblPr>
        <w:tblStyle w:val="TableGrid395"/>
        <w:tblW w:w="4950" w:type="pct"/>
        <w:jc w:val="center"/>
        <w:tblLook w:val="04A0" w:firstRow="1" w:lastRow="0" w:firstColumn="1" w:lastColumn="0" w:noHBand="0" w:noVBand="1"/>
        <w:tblCaption w:val="Table 37 - Performance Measure – Leaving Violence Payment"/>
        <w:tblDescription w:val="85% of assessments completed within 3 business days of a complete application being submitted."/>
      </w:tblPr>
      <w:tblGrid>
        <w:gridCol w:w="4104"/>
        <w:gridCol w:w="1496"/>
        <w:gridCol w:w="1498"/>
        <w:gridCol w:w="1496"/>
        <w:gridCol w:w="1498"/>
      </w:tblGrid>
      <w:tr w:rsidR="00E71249" w:rsidRPr="0040749B" w14:paraId="0533645C" w14:textId="77777777" w:rsidTr="00496219">
        <w:trPr>
          <w:cantSplit/>
          <w:trHeight w:val="356"/>
          <w:jc w:val="center"/>
        </w:trPr>
        <w:tc>
          <w:tcPr>
            <w:tcW w:w="2034" w:type="pct"/>
            <w:tcBorders>
              <w:top w:val="single" w:sz="4" w:space="0" w:color="auto"/>
              <w:left w:val="single" w:sz="4" w:space="0" w:color="auto"/>
              <w:bottom w:val="single" w:sz="4" w:space="0" w:color="auto"/>
              <w:right w:val="single" w:sz="6" w:space="0" w:color="auto"/>
            </w:tcBorders>
            <w:shd w:val="clear" w:color="auto" w:fill="D9D9D6"/>
            <w:hideMark/>
          </w:tcPr>
          <w:p w14:paraId="67B62CC6"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b/>
                <w:bCs/>
                <w:szCs w:val="22"/>
              </w:rPr>
              <w:t>Target</w:t>
            </w:r>
          </w:p>
        </w:tc>
        <w:tc>
          <w:tcPr>
            <w:tcW w:w="741" w:type="pct"/>
            <w:tcBorders>
              <w:top w:val="single" w:sz="4" w:space="0" w:color="auto"/>
              <w:left w:val="single" w:sz="6" w:space="0" w:color="auto"/>
              <w:bottom w:val="single" w:sz="4" w:space="0" w:color="auto"/>
              <w:right w:val="single" w:sz="6" w:space="0" w:color="auto"/>
            </w:tcBorders>
            <w:shd w:val="clear" w:color="auto" w:fill="D9D9D6"/>
            <w:hideMark/>
          </w:tcPr>
          <w:p w14:paraId="52E09B52"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b/>
                <w:szCs w:val="22"/>
              </w:rPr>
              <w:t>2026–27</w:t>
            </w:r>
          </w:p>
        </w:tc>
        <w:tc>
          <w:tcPr>
            <w:tcW w:w="742" w:type="pct"/>
            <w:tcBorders>
              <w:top w:val="single" w:sz="4" w:space="0" w:color="auto"/>
              <w:left w:val="single" w:sz="6" w:space="0" w:color="auto"/>
              <w:bottom w:val="single" w:sz="4" w:space="0" w:color="auto"/>
              <w:right w:val="single" w:sz="6" w:space="0" w:color="auto"/>
            </w:tcBorders>
            <w:shd w:val="clear" w:color="auto" w:fill="D9D9D6"/>
            <w:hideMark/>
          </w:tcPr>
          <w:p w14:paraId="0DB36824" w14:textId="77777777" w:rsidR="00E71249" w:rsidRPr="0040749B" w:rsidRDefault="00E71249" w:rsidP="00496219">
            <w:pPr>
              <w:spacing w:before="120" w:after="60" w:line="252" w:lineRule="auto"/>
              <w:rPr>
                <w:rFonts w:asciiTheme="minorHAnsi" w:hAnsiTheme="minorHAnsi" w:cstheme="minorHAnsi"/>
                <w:b/>
                <w:szCs w:val="22"/>
              </w:rPr>
            </w:pPr>
            <w:r w:rsidRPr="0040749B">
              <w:rPr>
                <w:rFonts w:asciiTheme="minorHAnsi" w:hAnsiTheme="minorHAnsi" w:cstheme="minorHAnsi"/>
                <w:b/>
                <w:szCs w:val="22"/>
              </w:rPr>
              <w:t>2027–28</w:t>
            </w:r>
          </w:p>
        </w:tc>
        <w:tc>
          <w:tcPr>
            <w:tcW w:w="741" w:type="pct"/>
            <w:tcBorders>
              <w:top w:val="single" w:sz="4" w:space="0" w:color="auto"/>
              <w:left w:val="single" w:sz="6" w:space="0" w:color="auto"/>
              <w:bottom w:val="single" w:sz="4" w:space="0" w:color="auto"/>
              <w:right w:val="single" w:sz="6" w:space="0" w:color="auto"/>
            </w:tcBorders>
            <w:shd w:val="clear" w:color="auto" w:fill="D9D9D6"/>
            <w:hideMark/>
          </w:tcPr>
          <w:p w14:paraId="36AEEE44" w14:textId="77777777" w:rsidR="00E71249" w:rsidRPr="0040749B" w:rsidRDefault="00E71249" w:rsidP="00496219">
            <w:pPr>
              <w:spacing w:before="120" w:after="60" w:line="252" w:lineRule="auto"/>
              <w:rPr>
                <w:rFonts w:asciiTheme="minorHAnsi" w:hAnsiTheme="minorHAnsi" w:cstheme="minorHAnsi"/>
                <w:b/>
                <w:szCs w:val="22"/>
              </w:rPr>
            </w:pPr>
            <w:r w:rsidRPr="0040749B">
              <w:rPr>
                <w:rFonts w:asciiTheme="minorHAnsi" w:hAnsiTheme="minorHAnsi" w:cstheme="minorHAnsi"/>
                <w:b/>
                <w:szCs w:val="22"/>
              </w:rPr>
              <w:t>2028–29</w:t>
            </w:r>
          </w:p>
        </w:tc>
        <w:tc>
          <w:tcPr>
            <w:tcW w:w="742" w:type="pct"/>
            <w:tcBorders>
              <w:top w:val="single" w:sz="4" w:space="0" w:color="auto"/>
              <w:left w:val="single" w:sz="6" w:space="0" w:color="auto"/>
              <w:bottom w:val="single" w:sz="4" w:space="0" w:color="auto"/>
              <w:right w:val="single" w:sz="4" w:space="0" w:color="auto"/>
            </w:tcBorders>
            <w:shd w:val="clear" w:color="auto" w:fill="D9D9D6"/>
            <w:hideMark/>
          </w:tcPr>
          <w:p w14:paraId="6FF78197" w14:textId="77777777" w:rsidR="00E71249" w:rsidRPr="0040749B" w:rsidRDefault="00E71249" w:rsidP="00496219">
            <w:pPr>
              <w:spacing w:before="120" w:after="60" w:line="252" w:lineRule="auto"/>
              <w:rPr>
                <w:rFonts w:asciiTheme="minorHAnsi" w:hAnsiTheme="minorHAnsi" w:cstheme="minorHAnsi"/>
                <w:b/>
                <w:szCs w:val="22"/>
              </w:rPr>
            </w:pPr>
            <w:r w:rsidRPr="0040749B">
              <w:rPr>
                <w:rFonts w:asciiTheme="minorHAnsi" w:hAnsiTheme="minorHAnsi" w:cstheme="minorHAnsi"/>
                <w:b/>
                <w:szCs w:val="22"/>
              </w:rPr>
              <w:t>2029–30</w:t>
            </w:r>
          </w:p>
        </w:tc>
      </w:tr>
      <w:tr w:rsidR="00E71249" w:rsidRPr="0040749B" w14:paraId="0D4412BC" w14:textId="77777777" w:rsidTr="00496219">
        <w:trPr>
          <w:cantSplit/>
          <w:trHeight w:val="356"/>
          <w:jc w:val="center"/>
        </w:trPr>
        <w:tc>
          <w:tcPr>
            <w:tcW w:w="2034" w:type="pct"/>
            <w:tcBorders>
              <w:top w:val="single" w:sz="4" w:space="0" w:color="auto"/>
              <w:left w:val="single" w:sz="4" w:space="0" w:color="auto"/>
              <w:bottom w:val="single" w:sz="4" w:space="0" w:color="auto"/>
              <w:right w:val="single" w:sz="4" w:space="0" w:color="auto"/>
            </w:tcBorders>
            <w:hideMark/>
          </w:tcPr>
          <w:p w14:paraId="1F9DE37B"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The success criterion is met if the percentage of assessments completed within 3 business days is equal to or greater than 85% for the financial year.</w:t>
            </w:r>
          </w:p>
        </w:tc>
        <w:tc>
          <w:tcPr>
            <w:tcW w:w="741" w:type="pct"/>
            <w:tcBorders>
              <w:top w:val="single" w:sz="4" w:space="0" w:color="auto"/>
              <w:left w:val="single" w:sz="4" w:space="0" w:color="auto"/>
              <w:bottom w:val="single" w:sz="4" w:space="0" w:color="auto"/>
              <w:right w:val="single" w:sz="4" w:space="0" w:color="auto"/>
            </w:tcBorders>
          </w:tcPr>
          <w:p w14:paraId="072CB928"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85%</w:t>
            </w:r>
          </w:p>
        </w:tc>
        <w:tc>
          <w:tcPr>
            <w:tcW w:w="742" w:type="pct"/>
            <w:tcBorders>
              <w:top w:val="single" w:sz="4" w:space="0" w:color="auto"/>
              <w:left w:val="single" w:sz="4" w:space="0" w:color="auto"/>
              <w:bottom w:val="single" w:sz="4" w:space="0" w:color="auto"/>
              <w:right w:val="single" w:sz="4" w:space="0" w:color="auto"/>
            </w:tcBorders>
          </w:tcPr>
          <w:p w14:paraId="59C7F458"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TBC</w:t>
            </w:r>
          </w:p>
        </w:tc>
        <w:tc>
          <w:tcPr>
            <w:tcW w:w="741" w:type="pct"/>
            <w:tcBorders>
              <w:top w:val="single" w:sz="4" w:space="0" w:color="auto"/>
              <w:left w:val="single" w:sz="4" w:space="0" w:color="auto"/>
              <w:bottom w:val="single" w:sz="4" w:space="0" w:color="auto"/>
              <w:right w:val="single" w:sz="4" w:space="0" w:color="auto"/>
            </w:tcBorders>
          </w:tcPr>
          <w:p w14:paraId="66F5B260"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TBC</w:t>
            </w:r>
          </w:p>
        </w:tc>
        <w:tc>
          <w:tcPr>
            <w:tcW w:w="742" w:type="pct"/>
            <w:tcBorders>
              <w:top w:val="single" w:sz="4" w:space="0" w:color="auto"/>
              <w:left w:val="single" w:sz="4" w:space="0" w:color="auto"/>
              <w:bottom w:val="single" w:sz="4" w:space="0" w:color="auto"/>
              <w:right w:val="single" w:sz="4" w:space="0" w:color="auto"/>
            </w:tcBorders>
          </w:tcPr>
          <w:p w14:paraId="7AC907FB" w14:textId="77777777" w:rsidR="00E71249" w:rsidRPr="0040749B" w:rsidRDefault="00E71249" w:rsidP="00496219">
            <w:pPr>
              <w:spacing w:before="120" w:after="60" w:line="252" w:lineRule="auto"/>
              <w:rPr>
                <w:rFonts w:asciiTheme="minorHAnsi" w:hAnsiTheme="minorHAnsi" w:cstheme="minorHAnsi"/>
                <w:szCs w:val="22"/>
              </w:rPr>
            </w:pPr>
            <w:r w:rsidRPr="0040749B">
              <w:rPr>
                <w:rFonts w:asciiTheme="minorHAnsi" w:hAnsiTheme="minorHAnsi" w:cstheme="minorHAnsi"/>
                <w:szCs w:val="22"/>
              </w:rPr>
              <w:t>TBC</w:t>
            </w:r>
          </w:p>
        </w:tc>
      </w:tr>
    </w:tbl>
    <w:p w14:paraId="078F752A" w14:textId="77777777" w:rsidR="00E71249" w:rsidRPr="0040749B" w:rsidRDefault="00E71249" w:rsidP="00A97D98">
      <w:pPr>
        <w:pStyle w:val="CPCustom3"/>
        <w:rPr>
          <w:lang w:eastAsia="en-AU"/>
        </w:rPr>
      </w:pPr>
      <w:r w:rsidRPr="0040749B">
        <w:rPr>
          <w:lang w:eastAsia="en-AU"/>
        </w:rPr>
        <w:t>Data Categorisation</w:t>
      </w:r>
    </w:p>
    <w:tbl>
      <w:tblPr>
        <w:tblStyle w:val="Numericaltable2"/>
        <w:tblpPr w:leftFromText="180" w:rightFromText="180" w:bottomFromText="160" w:vertAnchor="text" w:horzAnchor="margin" w:tblpY="11"/>
        <w:tblW w:w="10201" w:type="dxa"/>
        <w:tblLook w:val="04A0" w:firstRow="1" w:lastRow="0" w:firstColumn="1" w:lastColumn="0" w:noHBand="0" w:noVBand="1"/>
        <w:tblCaption w:val="Table 38 - Categorisation of data source"/>
        <w:tblDescription w:val="Categorisation of data source"/>
      </w:tblPr>
      <w:tblGrid>
        <w:gridCol w:w="2405"/>
        <w:gridCol w:w="3827"/>
        <w:gridCol w:w="3969"/>
      </w:tblGrid>
      <w:tr w:rsidR="00E71249" w:rsidRPr="0040749B" w14:paraId="1B383370" w14:textId="77777777" w:rsidTr="00496219">
        <w:trPr>
          <w:trHeight w:val="557"/>
          <w:tblHeader/>
        </w:trPr>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8E8EF2" w14:textId="77777777" w:rsidR="00E71249" w:rsidRPr="0040749B" w:rsidRDefault="00E71249" w:rsidP="00496219">
            <w:pPr>
              <w:spacing w:before="120" w:after="160" w:line="259" w:lineRule="auto"/>
              <w:rPr>
                <w:rFonts w:asciiTheme="minorHAnsi" w:hAnsiTheme="minorHAnsi" w:cstheme="minorHAnsi"/>
                <w:b/>
                <w:bCs/>
              </w:rPr>
            </w:pPr>
            <w:r w:rsidRPr="0040749B">
              <w:rPr>
                <w:rFonts w:asciiTheme="minorHAnsi" w:hAnsiTheme="minorHAnsi" w:cstheme="minorHAnsi"/>
                <w:b/>
                <w:bCs/>
              </w:rPr>
              <w:t xml:space="preserve">Initiative </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0EA6B7" w14:textId="77777777" w:rsidR="00E71249" w:rsidRPr="0040749B" w:rsidRDefault="00E71249" w:rsidP="00496219">
            <w:pPr>
              <w:spacing w:before="120" w:after="160" w:line="259" w:lineRule="auto"/>
              <w:rPr>
                <w:rFonts w:asciiTheme="minorHAnsi" w:hAnsiTheme="minorHAnsi" w:cstheme="minorHAnsi"/>
                <w:b/>
                <w:bCs/>
              </w:rPr>
            </w:pPr>
            <w:r w:rsidRPr="0040749B">
              <w:rPr>
                <w:rFonts w:asciiTheme="minorHAnsi" w:hAnsiTheme="minorHAnsi" w:cstheme="minorHAnsi"/>
                <w:b/>
                <w:bCs/>
              </w:rPr>
              <w:t xml:space="preserve">Data categorisation  </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1E9B49" w14:textId="77777777" w:rsidR="00E71249" w:rsidRPr="0040749B" w:rsidRDefault="00E71249" w:rsidP="00496219">
            <w:pPr>
              <w:spacing w:before="120" w:after="160" w:line="259" w:lineRule="auto"/>
              <w:rPr>
                <w:rFonts w:asciiTheme="minorHAnsi" w:hAnsiTheme="minorHAnsi" w:cstheme="minorHAnsi"/>
                <w:b/>
                <w:bCs/>
              </w:rPr>
            </w:pPr>
            <w:r w:rsidRPr="0040749B">
              <w:rPr>
                <w:rFonts w:asciiTheme="minorHAnsi" w:hAnsiTheme="minorHAnsi" w:cstheme="minorHAnsi"/>
                <w:b/>
                <w:bCs/>
              </w:rPr>
              <w:t xml:space="preserve">Data source </w:t>
            </w:r>
          </w:p>
        </w:tc>
      </w:tr>
      <w:tr w:rsidR="00E71249" w:rsidRPr="0040749B" w14:paraId="6AC61B6B" w14:textId="77777777" w:rsidTr="00496219">
        <w:trPr>
          <w:trHeight w:val="557"/>
        </w:trPr>
        <w:tc>
          <w:tcPr>
            <w:tcW w:w="2405" w:type="dxa"/>
            <w:tcBorders>
              <w:top w:val="single" w:sz="4" w:space="0" w:color="auto"/>
              <w:left w:val="single" w:sz="4" w:space="0" w:color="auto"/>
              <w:bottom w:val="single" w:sz="4" w:space="0" w:color="auto"/>
              <w:right w:val="single" w:sz="4" w:space="0" w:color="auto"/>
            </w:tcBorders>
            <w:hideMark/>
          </w:tcPr>
          <w:p w14:paraId="561A032A" w14:textId="77777777" w:rsidR="00E71249" w:rsidRPr="0040749B" w:rsidRDefault="00E71249" w:rsidP="00496219">
            <w:pPr>
              <w:spacing w:before="120" w:after="160" w:line="259" w:lineRule="auto"/>
              <w:rPr>
                <w:rFonts w:asciiTheme="minorHAnsi" w:hAnsiTheme="minorHAnsi" w:cstheme="minorHAnsi"/>
              </w:rPr>
            </w:pPr>
            <w:r w:rsidRPr="0040749B">
              <w:rPr>
                <w:rFonts w:asciiTheme="minorHAnsi" w:hAnsiTheme="minorHAnsi" w:cstheme="minorHAnsi"/>
              </w:rPr>
              <w:t xml:space="preserve">1800RESPECT </w:t>
            </w:r>
          </w:p>
        </w:tc>
        <w:tc>
          <w:tcPr>
            <w:tcW w:w="3827" w:type="dxa"/>
            <w:tcBorders>
              <w:top w:val="single" w:sz="4" w:space="0" w:color="auto"/>
              <w:left w:val="single" w:sz="4" w:space="0" w:color="auto"/>
              <w:bottom w:val="single" w:sz="4" w:space="0" w:color="auto"/>
              <w:right w:val="single" w:sz="4" w:space="0" w:color="auto"/>
            </w:tcBorders>
          </w:tcPr>
          <w:p w14:paraId="3EF833EE" w14:textId="1D9735EF" w:rsidR="00E71249" w:rsidRPr="0040749B" w:rsidRDefault="00E71249" w:rsidP="00496219">
            <w:pPr>
              <w:spacing w:before="120" w:after="160" w:line="259" w:lineRule="auto"/>
              <w:rPr>
                <w:rFonts w:asciiTheme="minorHAnsi" w:hAnsiTheme="minorHAnsi" w:cstheme="minorHAnsi"/>
              </w:rPr>
            </w:pPr>
            <w:r w:rsidRPr="0040749B">
              <w:rPr>
                <w:rFonts w:cstheme="minorHAnsi"/>
                <w:noProof/>
              </w:rPr>
              <w:drawing>
                <wp:inline distT="0" distB="0" distL="0" distR="0" wp14:anchorId="734F6045" wp14:editId="472D2F67">
                  <wp:extent cx="1205357" cy="351909"/>
                  <wp:effectExtent l="0" t="0" r="0" b="0"/>
                  <wp:docPr id="986421523" name="picture" descr="'Terti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421523" name="picture" descr="'Tertiary Sour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05357" cy="351909"/>
                          </a:xfrm>
                          <a:prstGeom prst="rect">
                            <a:avLst/>
                          </a:prstGeom>
                        </pic:spPr>
                      </pic:pic>
                    </a:graphicData>
                  </a:graphic>
                </wp:inline>
              </w:drawing>
            </w:r>
            <w:r w:rsidR="00735DFB">
              <w:rPr>
                <w:rFonts w:asciiTheme="minorHAnsi" w:hAnsiTheme="minorHAnsi" w:cstheme="minorHAnsi"/>
              </w:rPr>
              <w:t xml:space="preserve">  </w:t>
            </w:r>
            <w:r w:rsidRPr="0040749B">
              <w:rPr>
                <w:rFonts w:cstheme="minorHAnsi"/>
                <w:noProof/>
              </w:rPr>
              <w:drawing>
                <wp:inline distT="0" distB="0" distL="0" distR="0" wp14:anchorId="2B805178" wp14:editId="74C23445">
                  <wp:extent cx="886700" cy="346367"/>
                  <wp:effectExtent l="0" t="0" r="8890" b="0"/>
                  <wp:docPr id="1653756031" name="picture" descr="'Ti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756031" name="picture" descr="'Tier 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86700" cy="346367"/>
                          </a:xfrm>
                          <a:prstGeom prst="rect">
                            <a:avLst/>
                          </a:prstGeom>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tcPr>
          <w:p w14:paraId="52ED0AD9" w14:textId="77777777" w:rsidR="00E71249" w:rsidRPr="0040749B" w:rsidRDefault="00E71249" w:rsidP="00496219">
            <w:pPr>
              <w:spacing w:before="120" w:after="160" w:line="259" w:lineRule="auto"/>
              <w:rPr>
                <w:rFonts w:asciiTheme="minorHAnsi" w:hAnsiTheme="minorHAnsi" w:cstheme="minorHAnsi"/>
              </w:rPr>
            </w:pPr>
            <w:r w:rsidRPr="0040749B">
              <w:rPr>
                <w:rFonts w:asciiTheme="minorHAnsi" w:hAnsiTheme="minorHAnsi" w:cstheme="minorHAnsi"/>
                <w:color w:val="000000"/>
                <w:lang w:eastAsia="en-AU"/>
              </w:rPr>
              <w:t>Telstra Health Contact Centre Management System (GENESYS)</w:t>
            </w:r>
          </w:p>
        </w:tc>
      </w:tr>
      <w:tr w:rsidR="00E71249" w:rsidRPr="0040749B" w14:paraId="2E52CFE5" w14:textId="77777777" w:rsidTr="00496219">
        <w:trPr>
          <w:trHeight w:val="557"/>
        </w:trPr>
        <w:tc>
          <w:tcPr>
            <w:tcW w:w="2405" w:type="dxa"/>
            <w:tcBorders>
              <w:top w:val="single" w:sz="4" w:space="0" w:color="auto"/>
              <w:left w:val="single" w:sz="4" w:space="0" w:color="auto"/>
              <w:bottom w:val="single" w:sz="4" w:space="0" w:color="auto"/>
              <w:right w:val="single" w:sz="4" w:space="0" w:color="auto"/>
            </w:tcBorders>
          </w:tcPr>
          <w:p w14:paraId="4D16C9FD" w14:textId="77777777" w:rsidR="00E71249" w:rsidRPr="0040749B" w:rsidRDefault="00E71249" w:rsidP="00496219">
            <w:pPr>
              <w:spacing w:before="120" w:after="160" w:line="259" w:lineRule="auto"/>
              <w:rPr>
                <w:rFonts w:asciiTheme="minorHAnsi" w:hAnsiTheme="minorHAnsi" w:cstheme="minorHAnsi"/>
              </w:rPr>
            </w:pPr>
            <w:r w:rsidRPr="0040749B">
              <w:rPr>
                <w:rFonts w:asciiTheme="minorHAnsi" w:hAnsiTheme="minorHAnsi" w:cstheme="minorHAnsi"/>
              </w:rPr>
              <w:t>Our Watch</w:t>
            </w:r>
          </w:p>
        </w:tc>
        <w:tc>
          <w:tcPr>
            <w:tcW w:w="3827" w:type="dxa"/>
            <w:tcBorders>
              <w:top w:val="single" w:sz="4" w:space="0" w:color="auto"/>
              <w:left w:val="single" w:sz="4" w:space="0" w:color="auto"/>
              <w:bottom w:val="single" w:sz="4" w:space="0" w:color="auto"/>
              <w:right w:val="single" w:sz="4" w:space="0" w:color="auto"/>
            </w:tcBorders>
          </w:tcPr>
          <w:p w14:paraId="7E4FBAF5" w14:textId="2D0A7D35" w:rsidR="00E71249" w:rsidRPr="0040749B" w:rsidRDefault="00E71249" w:rsidP="00496219">
            <w:pPr>
              <w:spacing w:before="120" w:after="160" w:line="259" w:lineRule="auto"/>
              <w:rPr>
                <w:rFonts w:asciiTheme="minorHAnsi" w:hAnsiTheme="minorHAnsi" w:cstheme="minorHAnsi"/>
                <w:noProof/>
              </w:rPr>
            </w:pPr>
            <w:r w:rsidRPr="0040749B">
              <w:rPr>
                <w:rFonts w:cstheme="minorHAnsi"/>
                <w:noProof/>
              </w:rPr>
              <w:drawing>
                <wp:inline distT="0" distB="0" distL="0" distR="0" wp14:anchorId="595C2670" wp14:editId="3F3B7BC4">
                  <wp:extent cx="1205357" cy="351909"/>
                  <wp:effectExtent l="0" t="0" r="0" b="0"/>
                  <wp:docPr id="1493038831" name="picture" descr="'Terti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421523" name="picture" descr="'Tertiary Sour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05357" cy="351909"/>
                          </a:xfrm>
                          <a:prstGeom prst="rect">
                            <a:avLst/>
                          </a:prstGeom>
                        </pic:spPr>
                      </pic:pic>
                    </a:graphicData>
                  </a:graphic>
                </wp:inline>
              </w:drawing>
            </w:r>
            <w:r w:rsidR="00735DFB">
              <w:rPr>
                <w:rFonts w:cstheme="minorHAnsi"/>
                <w:noProof/>
              </w:rPr>
              <w:t xml:space="preserve">   </w:t>
            </w:r>
            <w:r w:rsidRPr="0040749B">
              <w:rPr>
                <w:rFonts w:cstheme="minorHAnsi"/>
                <w:noProof/>
              </w:rPr>
              <w:drawing>
                <wp:inline distT="0" distB="0" distL="0" distR="0" wp14:anchorId="6807E950" wp14:editId="128E9D79">
                  <wp:extent cx="886700" cy="346367"/>
                  <wp:effectExtent l="0" t="0" r="8890" b="0"/>
                  <wp:docPr id="971454100" name="picture" descr="'Ti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756031" name="picture" descr="'Tier 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86700" cy="346367"/>
                          </a:xfrm>
                          <a:prstGeom prst="rect">
                            <a:avLst/>
                          </a:prstGeom>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tcPr>
          <w:p w14:paraId="53C45738" w14:textId="77777777" w:rsidR="00E71249" w:rsidRPr="0040749B" w:rsidRDefault="00E71249" w:rsidP="00496219">
            <w:pPr>
              <w:spacing w:before="120" w:after="160" w:line="259" w:lineRule="auto"/>
              <w:rPr>
                <w:rFonts w:asciiTheme="minorHAnsi" w:hAnsiTheme="minorHAnsi" w:cstheme="minorHAnsi"/>
                <w:color w:val="000000"/>
                <w:lang w:eastAsia="en-AU"/>
              </w:rPr>
            </w:pPr>
            <w:r w:rsidRPr="0040749B">
              <w:rPr>
                <w:rFonts w:asciiTheme="minorHAnsi" w:hAnsiTheme="minorHAnsi" w:cstheme="minorHAnsi"/>
                <w:color w:val="000000" w:themeColor="text1"/>
              </w:rPr>
              <w:t>Online discrete stakeholder survey</w:t>
            </w:r>
          </w:p>
        </w:tc>
      </w:tr>
      <w:tr w:rsidR="00E71249" w:rsidRPr="0040749B" w14:paraId="36D13550" w14:textId="77777777" w:rsidTr="00496219">
        <w:trPr>
          <w:trHeight w:val="557"/>
        </w:trPr>
        <w:tc>
          <w:tcPr>
            <w:tcW w:w="2405" w:type="dxa"/>
            <w:tcBorders>
              <w:top w:val="single" w:sz="4" w:space="0" w:color="auto"/>
              <w:left w:val="single" w:sz="4" w:space="0" w:color="auto"/>
              <w:bottom w:val="single" w:sz="4" w:space="0" w:color="auto"/>
              <w:right w:val="single" w:sz="4" w:space="0" w:color="auto"/>
            </w:tcBorders>
            <w:hideMark/>
          </w:tcPr>
          <w:p w14:paraId="39FE41C8" w14:textId="77777777" w:rsidR="00E71249" w:rsidRPr="0040749B" w:rsidRDefault="00E71249" w:rsidP="00496219">
            <w:pPr>
              <w:spacing w:before="120" w:after="160" w:line="259" w:lineRule="auto"/>
              <w:rPr>
                <w:rFonts w:asciiTheme="minorHAnsi" w:hAnsiTheme="minorHAnsi" w:cstheme="minorHAnsi"/>
              </w:rPr>
            </w:pPr>
            <w:r w:rsidRPr="0040749B">
              <w:rPr>
                <w:rFonts w:asciiTheme="minorHAnsi" w:hAnsiTheme="minorHAnsi" w:cstheme="minorHAnsi"/>
              </w:rPr>
              <w:lastRenderedPageBreak/>
              <w:t>DV</w:t>
            </w:r>
            <w:r>
              <w:rPr>
                <w:rFonts w:asciiTheme="minorHAnsi" w:hAnsiTheme="minorHAnsi" w:cstheme="minorHAnsi"/>
              </w:rPr>
              <w:t xml:space="preserve"> </w:t>
            </w:r>
            <w:r w:rsidRPr="0040749B">
              <w:rPr>
                <w:rFonts w:asciiTheme="minorHAnsi" w:hAnsiTheme="minorHAnsi" w:cstheme="minorHAnsi"/>
              </w:rPr>
              <w:t xml:space="preserve">alert </w:t>
            </w:r>
          </w:p>
        </w:tc>
        <w:tc>
          <w:tcPr>
            <w:tcW w:w="3827" w:type="dxa"/>
            <w:tcBorders>
              <w:top w:val="single" w:sz="4" w:space="0" w:color="auto"/>
              <w:left w:val="single" w:sz="4" w:space="0" w:color="auto"/>
              <w:bottom w:val="single" w:sz="4" w:space="0" w:color="auto"/>
              <w:right w:val="single" w:sz="4" w:space="0" w:color="auto"/>
            </w:tcBorders>
            <w:vAlign w:val="center"/>
          </w:tcPr>
          <w:p w14:paraId="6A2E7B55" w14:textId="5D34EF1C" w:rsidR="00E71249" w:rsidRPr="0040749B" w:rsidRDefault="00E71249" w:rsidP="00496219">
            <w:pPr>
              <w:spacing w:before="120" w:after="160" w:line="259" w:lineRule="auto"/>
              <w:rPr>
                <w:rFonts w:asciiTheme="minorHAnsi" w:hAnsiTheme="minorHAnsi" w:cstheme="minorHAnsi"/>
              </w:rPr>
            </w:pPr>
            <w:r w:rsidRPr="0040749B">
              <w:rPr>
                <w:rFonts w:cstheme="minorHAnsi"/>
                <w:noProof/>
              </w:rPr>
              <w:drawing>
                <wp:inline distT="0" distB="0" distL="0" distR="0" wp14:anchorId="043BE4A8" wp14:editId="08BFAF44">
                  <wp:extent cx="1205357" cy="351909"/>
                  <wp:effectExtent l="0" t="0" r="0" b="0"/>
                  <wp:docPr id="35621268" name="picture" descr="second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21268" name="picture" descr="secondary sour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5357" cy="351909"/>
                          </a:xfrm>
                          <a:prstGeom prst="rect">
                            <a:avLst/>
                          </a:prstGeom>
                        </pic:spPr>
                      </pic:pic>
                    </a:graphicData>
                  </a:graphic>
                </wp:inline>
              </w:drawing>
            </w:r>
            <w:r w:rsidR="00735DFB">
              <w:rPr>
                <w:rFonts w:asciiTheme="minorHAnsi" w:hAnsiTheme="minorHAnsi" w:cstheme="minorHAnsi"/>
              </w:rPr>
              <w:t xml:space="preserve">  </w:t>
            </w:r>
            <w:r w:rsidRPr="0040749B">
              <w:rPr>
                <w:rFonts w:cstheme="minorHAnsi"/>
                <w:noProof/>
              </w:rPr>
              <w:drawing>
                <wp:inline distT="0" distB="0" distL="0" distR="0" wp14:anchorId="3CB379F4" wp14:editId="4C5A4C99">
                  <wp:extent cx="886460" cy="346075"/>
                  <wp:effectExtent l="0" t="0" r="8890" b="0"/>
                  <wp:docPr id="1901684663" name="picture" descr="ti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684663" name="picture" descr="tier 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86460" cy="346075"/>
                          </a:xfrm>
                          <a:prstGeom prst="rect">
                            <a:avLst/>
                          </a:prstGeom>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tcPr>
          <w:p w14:paraId="143E5861" w14:textId="77777777" w:rsidR="00E71249" w:rsidRPr="0040749B" w:rsidRDefault="00E71249" w:rsidP="00496219">
            <w:pPr>
              <w:spacing w:before="120" w:after="160" w:line="259" w:lineRule="auto"/>
              <w:rPr>
                <w:rFonts w:asciiTheme="minorHAnsi" w:hAnsiTheme="minorHAnsi" w:cstheme="minorHAnsi"/>
              </w:rPr>
            </w:pPr>
            <w:r w:rsidRPr="0040749B">
              <w:rPr>
                <w:rFonts w:asciiTheme="minorHAnsi" w:hAnsiTheme="minorHAnsi" w:cstheme="minorHAnsi"/>
                <w:color w:val="000000"/>
                <w:lang w:eastAsia="en-AU"/>
              </w:rPr>
              <w:t>Department’s Data Exchange (DEX)</w:t>
            </w:r>
          </w:p>
        </w:tc>
      </w:tr>
      <w:tr w:rsidR="00E71249" w:rsidRPr="0040749B" w14:paraId="5CBCB40D" w14:textId="77777777" w:rsidTr="00496219">
        <w:trPr>
          <w:trHeight w:val="557"/>
        </w:trPr>
        <w:tc>
          <w:tcPr>
            <w:tcW w:w="2405" w:type="dxa"/>
            <w:tcBorders>
              <w:top w:val="single" w:sz="4" w:space="0" w:color="auto"/>
              <w:left w:val="single" w:sz="4" w:space="0" w:color="auto"/>
              <w:bottom w:val="single" w:sz="4" w:space="0" w:color="auto"/>
              <w:right w:val="single" w:sz="4" w:space="0" w:color="auto"/>
            </w:tcBorders>
            <w:hideMark/>
          </w:tcPr>
          <w:p w14:paraId="12F7211F" w14:textId="77777777" w:rsidR="00E71249" w:rsidRPr="0040749B" w:rsidRDefault="00E71249" w:rsidP="00496219">
            <w:pPr>
              <w:spacing w:before="120" w:after="160" w:line="259" w:lineRule="auto"/>
              <w:rPr>
                <w:rFonts w:asciiTheme="minorHAnsi" w:hAnsiTheme="minorHAnsi" w:cstheme="minorHAnsi"/>
              </w:rPr>
            </w:pPr>
            <w:r w:rsidRPr="0040749B">
              <w:rPr>
                <w:rFonts w:asciiTheme="minorHAnsi" w:hAnsiTheme="minorHAnsi" w:cstheme="minorHAnsi"/>
              </w:rPr>
              <w:t>Australia’s National Research Organisation for Women’s Safety (ANROWS)</w:t>
            </w:r>
          </w:p>
        </w:tc>
        <w:tc>
          <w:tcPr>
            <w:tcW w:w="3827" w:type="dxa"/>
            <w:tcBorders>
              <w:top w:val="single" w:sz="4" w:space="0" w:color="auto"/>
              <w:left w:val="single" w:sz="4" w:space="0" w:color="auto"/>
              <w:bottom w:val="single" w:sz="4" w:space="0" w:color="auto"/>
              <w:right w:val="single" w:sz="4" w:space="0" w:color="auto"/>
            </w:tcBorders>
          </w:tcPr>
          <w:p w14:paraId="2DBE5AAF" w14:textId="211155A1" w:rsidR="00E71249" w:rsidRPr="0040749B" w:rsidRDefault="00E71249" w:rsidP="00496219">
            <w:pPr>
              <w:spacing w:before="120" w:after="160" w:line="259" w:lineRule="auto"/>
              <w:rPr>
                <w:rFonts w:asciiTheme="minorHAnsi" w:hAnsiTheme="minorHAnsi" w:cstheme="minorHAnsi"/>
              </w:rPr>
            </w:pPr>
            <w:r w:rsidRPr="0040749B">
              <w:rPr>
                <w:rFonts w:cstheme="minorHAnsi"/>
                <w:noProof/>
              </w:rPr>
              <w:drawing>
                <wp:inline distT="0" distB="0" distL="0" distR="0" wp14:anchorId="3F3963F2" wp14:editId="17BC1701">
                  <wp:extent cx="1205357" cy="351909"/>
                  <wp:effectExtent l="0" t="0" r="0" b="0"/>
                  <wp:docPr id="708487194" name="picture" descr="terti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487194" name="picture" descr="tertiary sour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05357" cy="351909"/>
                          </a:xfrm>
                          <a:prstGeom prst="rect">
                            <a:avLst/>
                          </a:prstGeom>
                        </pic:spPr>
                      </pic:pic>
                    </a:graphicData>
                  </a:graphic>
                </wp:inline>
              </w:drawing>
            </w:r>
            <w:r w:rsidR="00735DFB">
              <w:rPr>
                <w:rFonts w:asciiTheme="minorHAnsi" w:hAnsiTheme="minorHAnsi" w:cstheme="minorHAnsi"/>
              </w:rPr>
              <w:t xml:space="preserve">  </w:t>
            </w:r>
            <w:r w:rsidRPr="0040749B">
              <w:rPr>
                <w:rFonts w:cstheme="minorHAnsi"/>
                <w:noProof/>
              </w:rPr>
              <w:drawing>
                <wp:inline distT="0" distB="0" distL="0" distR="0" wp14:anchorId="25CB3DE8" wp14:editId="0112BE22">
                  <wp:extent cx="886700" cy="346367"/>
                  <wp:effectExtent l="0" t="0" r="8890" b="0"/>
                  <wp:docPr id="166666264" name="picture" descr="tier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66264" name="picture" descr="tier 1&#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6700" cy="346367"/>
                          </a:xfrm>
                          <a:prstGeom prst="rect">
                            <a:avLst/>
                          </a:prstGeom>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tcPr>
          <w:p w14:paraId="7AA9BCCB" w14:textId="77777777" w:rsidR="00E71249" w:rsidRPr="0040749B" w:rsidRDefault="00E71249" w:rsidP="00496219">
            <w:pPr>
              <w:spacing w:before="120" w:after="160" w:line="259" w:lineRule="auto"/>
              <w:rPr>
                <w:rFonts w:asciiTheme="minorHAnsi" w:hAnsiTheme="minorHAnsi" w:cstheme="minorHAnsi"/>
              </w:rPr>
            </w:pPr>
            <w:r w:rsidRPr="0040749B">
              <w:rPr>
                <w:rFonts w:asciiTheme="minorHAnsi" w:eastAsia="Times New Roman" w:hAnsiTheme="minorHAnsi" w:cstheme="minorHAnsi"/>
              </w:rPr>
              <w:t>ANROWS’s technical, strateg</w:t>
            </w:r>
            <w:r w:rsidRPr="0040749B">
              <w:rPr>
                <w:rFonts w:asciiTheme="minorHAnsi" w:hAnsiTheme="minorHAnsi" w:cstheme="minorHAnsi"/>
              </w:rPr>
              <w:t xml:space="preserve">y </w:t>
            </w:r>
            <w:r w:rsidRPr="0040749B">
              <w:rPr>
                <w:rFonts w:asciiTheme="minorHAnsi" w:eastAsia="Times New Roman" w:hAnsiTheme="minorHAnsi" w:cstheme="minorHAnsi"/>
              </w:rPr>
              <w:t>and/or policy reports</w:t>
            </w:r>
          </w:p>
        </w:tc>
      </w:tr>
      <w:tr w:rsidR="00E71249" w:rsidRPr="0040749B" w14:paraId="2EE9D21A" w14:textId="77777777" w:rsidTr="00496219">
        <w:trPr>
          <w:trHeight w:val="557"/>
        </w:trPr>
        <w:tc>
          <w:tcPr>
            <w:tcW w:w="2405" w:type="dxa"/>
            <w:tcBorders>
              <w:top w:val="single" w:sz="4" w:space="0" w:color="auto"/>
              <w:left w:val="single" w:sz="4" w:space="0" w:color="auto"/>
              <w:bottom w:val="single" w:sz="4" w:space="0" w:color="auto"/>
              <w:right w:val="single" w:sz="4" w:space="0" w:color="auto"/>
            </w:tcBorders>
            <w:hideMark/>
          </w:tcPr>
          <w:p w14:paraId="4E543DC0" w14:textId="77777777" w:rsidR="00E71249" w:rsidRPr="0040749B" w:rsidRDefault="00E71249" w:rsidP="00496219">
            <w:pPr>
              <w:spacing w:before="120" w:after="160" w:line="259" w:lineRule="auto"/>
              <w:rPr>
                <w:rFonts w:asciiTheme="minorHAnsi" w:hAnsiTheme="minorHAnsi" w:cstheme="minorHAnsi"/>
              </w:rPr>
            </w:pPr>
            <w:r w:rsidRPr="0040749B">
              <w:rPr>
                <w:rFonts w:asciiTheme="minorHAnsi" w:hAnsiTheme="minorHAnsi" w:cstheme="minorHAnsi"/>
              </w:rPr>
              <w:t>Keeping Women Safe in their Homes</w:t>
            </w:r>
          </w:p>
        </w:tc>
        <w:tc>
          <w:tcPr>
            <w:tcW w:w="3827" w:type="dxa"/>
            <w:tcBorders>
              <w:top w:val="single" w:sz="4" w:space="0" w:color="auto"/>
              <w:left w:val="single" w:sz="4" w:space="0" w:color="auto"/>
              <w:bottom w:val="single" w:sz="4" w:space="0" w:color="auto"/>
              <w:right w:val="single" w:sz="4" w:space="0" w:color="auto"/>
            </w:tcBorders>
          </w:tcPr>
          <w:p w14:paraId="10D1BF3A" w14:textId="77777777" w:rsidR="00E71249" w:rsidRPr="0040749B" w:rsidRDefault="00E71249" w:rsidP="00496219">
            <w:pPr>
              <w:spacing w:before="120" w:after="160" w:line="259" w:lineRule="auto"/>
              <w:rPr>
                <w:rFonts w:asciiTheme="minorHAnsi" w:hAnsiTheme="minorHAnsi" w:cstheme="minorHAnsi"/>
              </w:rPr>
            </w:pPr>
            <w:r w:rsidRPr="0040749B">
              <w:rPr>
                <w:rFonts w:cstheme="minorHAnsi"/>
                <w:noProof/>
                <w:lang w:eastAsia="en-GB"/>
              </w:rPr>
              <w:drawing>
                <wp:anchor distT="0" distB="0" distL="114300" distR="114300" simplePos="0" relativeHeight="251658242" behindDoc="1" locked="0" layoutInCell="1" allowOverlap="1" wp14:anchorId="4714D174" wp14:editId="29AA5FBE">
                  <wp:simplePos x="0" y="0"/>
                  <wp:positionH relativeFrom="column">
                    <wp:posOffset>-1270</wp:posOffset>
                  </wp:positionH>
                  <wp:positionV relativeFrom="paragraph">
                    <wp:posOffset>85725</wp:posOffset>
                  </wp:positionV>
                  <wp:extent cx="1205357" cy="351909"/>
                  <wp:effectExtent l="0" t="0" r="0" b="0"/>
                  <wp:wrapTight wrapText="bothSides">
                    <wp:wrapPolygon edited="0">
                      <wp:start x="0" y="0"/>
                      <wp:lineTo x="0" y="19884"/>
                      <wp:lineTo x="21168" y="19884"/>
                      <wp:lineTo x="21168" y="0"/>
                      <wp:lineTo x="0" y="0"/>
                    </wp:wrapPolygon>
                  </wp:wrapTight>
                  <wp:docPr id="498339479" name="Picture 4" descr="'Terti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339479" name="Picture 4" descr="'Tertiary Sour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05357" cy="351909"/>
                          </a:xfrm>
                          <a:prstGeom prst="rect">
                            <a:avLst/>
                          </a:prstGeom>
                        </pic:spPr>
                      </pic:pic>
                    </a:graphicData>
                  </a:graphic>
                  <wp14:sizeRelH relativeFrom="page">
                    <wp14:pctWidth>0</wp14:pctWidth>
                  </wp14:sizeRelH>
                  <wp14:sizeRelV relativeFrom="page">
                    <wp14:pctHeight>0</wp14:pctHeight>
                  </wp14:sizeRelV>
                </wp:anchor>
              </w:drawing>
            </w:r>
            <w:r w:rsidRPr="0040749B">
              <w:rPr>
                <w:rFonts w:cstheme="minorHAnsi"/>
                <w:noProof/>
                <w:color w:val="000000"/>
              </w:rPr>
              <w:drawing>
                <wp:inline distT="0" distB="0" distL="0" distR="0" wp14:anchorId="0DE2CA57" wp14:editId="50792FF0">
                  <wp:extent cx="886700" cy="346367"/>
                  <wp:effectExtent l="0" t="0" r="8890" b="0"/>
                  <wp:docPr id="1588748357" name="Picture 6" descr="'Ti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748357" name="Picture 6" descr="'Tier 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86700" cy="346367"/>
                          </a:xfrm>
                          <a:prstGeom prst="rect">
                            <a:avLst/>
                          </a:prstGeom>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tcPr>
          <w:p w14:paraId="59A1CAB1" w14:textId="6607E86D" w:rsidR="00E71249" w:rsidRPr="0040749B" w:rsidRDefault="00E71249" w:rsidP="00496219">
            <w:pPr>
              <w:spacing w:before="120" w:after="160" w:line="259" w:lineRule="auto"/>
              <w:rPr>
                <w:rFonts w:asciiTheme="minorHAnsi" w:hAnsiTheme="minorHAnsi" w:cstheme="minorHAnsi"/>
              </w:rPr>
            </w:pPr>
            <w:r w:rsidRPr="0040749B">
              <w:rPr>
                <w:rFonts w:asciiTheme="minorHAnsi" w:hAnsiTheme="minorHAnsi" w:cstheme="minorHAnsi"/>
                <w:color w:val="000000"/>
                <w:lang w:eastAsia="en-AU"/>
              </w:rPr>
              <w:t>Department’s Data Exchange (DEX)</w:t>
            </w:r>
          </w:p>
        </w:tc>
      </w:tr>
      <w:tr w:rsidR="00E71249" w:rsidRPr="0040749B" w14:paraId="349B7BAF" w14:textId="77777777" w:rsidTr="00496219">
        <w:trPr>
          <w:trHeight w:val="557"/>
        </w:trPr>
        <w:tc>
          <w:tcPr>
            <w:tcW w:w="2405" w:type="dxa"/>
            <w:tcBorders>
              <w:top w:val="single" w:sz="4" w:space="0" w:color="auto"/>
              <w:left w:val="single" w:sz="4" w:space="0" w:color="auto"/>
              <w:bottom w:val="single" w:sz="4" w:space="0" w:color="auto"/>
              <w:right w:val="single" w:sz="4" w:space="0" w:color="auto"/>
            </w:tcBorders>
            <w:hideMark/>
          </w:tcPr>
          <w:p w14:paraId="5B2DF534" w14:textId="77777777" w:rsidR="00E71249" w:rsidRPr="0040749B" w:rsidRDefault="00E71249" w:rsidP="00496219">
            <w:pPr>
              <w:spacing w:before="120" w:after="160" w:line="259" w:lineRule="auto"/>
              <w:rPr>
                <w:rFonts w:asciiTheme="minorHAnsi" w:hAnsiTheme="minorHAnsi" w:cstheme="minorHAnsi"/>
              </w:rPr>
            </w:pPr>
            <w:r w:rsidRPr="0040749B">
              <w:rPr>
                <w:rFonts w:asciiTheme="minorHAnsi" w:hAnsiTheme="minorHAnsi" w:cstheme="minorHAnsi"/>
              </w:rPr>
              <w:t>Leaving Violence Program</w:t>
            </w:r>
          </w:p>
        </w:tc>
        <w:tc>
          <w:tcPr>
            <w:tcW w:w="3827" w:type="dxa"/>
            <w:tcBorders>
              <w:top w:val="single" w:sz="4" w:space="0" w:color="auto"/>
              <w:left w:val="single" w:sz="4" w:space="0" w:color="auto"/>
              <w:bottom w:val="single" w:sz="4" w:space="0" w:color="auto"/>
              <w:right w:val="single" w:sz="4" w:space="0" w:color="auto"/>
            </w:tcBorders>
          </w:tcPr>
          <w:p w14:paraId="0D24A9DB" w14:textId="77777777" w:rsidR="00E71249" w:rsidRPr="0040749B" w:rsidRDefault="00E71249" w:rsidP="00496219">
            <w:pPr>
              <w:spacing w:before="120" w:after="160" w:line="259" w:lineRule="auto"/>
              <w:rPr>
                <w:rFonts w:asciiTheme="minorHAnsi" w:hAnsiTheme="minorHAnsi" w:cstheme="minorHAnsi"/>
              </w:rPr>
            </w:pPr>
            <w:r w:rsidRPr="0040749B">
              <w:rPr>
                <w:rFonts w:cstheme="minorHAnsi"/>
                <w:noProof/>
                <w:lang w:eastAsia="en-GB"/>
              </w:rPr>
              <w:drawing>
                <wp:anchor distT="0" distB="0" distL="114300" distR="114300" simplePos="0" relativeHeight="251658241" behindDoc="1" locked="0" layoutInCell="1" allowOverlap="1" wp14:anchorId="5430FD34" wp14:editId="766E86C2">
                  <wp:simplePos x="0" y="0"/>
                  <wp:positionH relativeFrom="column">
                    <wp:posOffset>-3876</wp:posOffset>
                  </wp:positionH>
                  <wp:positionV relativeFrom="paragraph">
                    <wp:posOffset>65661</wp:posOffset>
                  </wp:positionV>
                  <wp:extent cx="1205357" cy="351909"/>
                  <wp:effectExtent l="0" t="0" r="0" b="0"/>
                  <wp:wrapTight wrapText="bothSides">
                    <wp:wrapPolygon edited="0">
                      <wp:start x="0" y="0"/>
                      <wp:lineTo x="0" y="19884"/>
                      <wp:lineTo x="21168" y="19884"/>
                      <wp:lineTo x="21168" y="0"/>
                      <wp:lineTo x="0" y="0"/>
                    </wp:wrapPolygon>
                  </wp:wrapTight>
                  <wp:docPr id="355571636" name="Picture 4" descr="'Terti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71636" name="Picture 4" descr="'Tertiary Sour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05357" cy="351909"/>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934BCA3" wp14:editId="47356BF1">
                  <wp:extent cx="885825" cy="342900"/>
                  <wp:effectExtent l="0" t="0" r="9525" b="0"/>
                  <wp:docPr id="1438914542" name="picture" descr="'Ti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410931" name="picture" descr="'Tier 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85825" cy="342900"/>
                          </a:xfrm>
                          <a:prstGeom prst="rect">
                            <a:avLst/>
                          </a:prstGeom>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tcPr>
          <w:p w14:paraId="5294E17E" w14:textId="77777777" w:rsidR="00E71249" w:rsidRPr="0040749B" w:rsidRDefault="00E71249" w:rsidP="00496219">
            <w:pPr>
              <w:spacing w:before="120" w:after="160" w:line="259" w:lineRule="auto"/>
              <w:rPr>
                <w:rFonts w:asciiTheme="minorHAnsi" w:hAnsiTheme="minorHAnsi" w:cstheme="minorHAnsi"/>
              </w:rPr>
            </w:pPr>
            <w:r w:rsidRPr="0040749B">
              <w:rPr>
                <w:rFonts w:asciiTheme="minorHAnsi" w:hAnsiTheme="minorHAnsi" w:cstheme="minorHAnsi"/>
                <w:color w:val="000000"/>
                <w:lang w:eastAsia="en-AU"/>
              </w:rPr>
              <w:t xml:space="preserve"> Service Provider Data </w:t>
            </w:r>
          </w:p>
        </w:tc>
      </w:tr>
      <w:tr w:rsidR="00E71249" w:rsidRPr="0040749B" w14:paraId="4AAB7001" w14:textId="77777777" w:rsidTr="00496219">
        <w:trPr>
          <w:trHeight w:val="557"/>
        </w:trPr>
        <w:tc>
          <w:tcPr>
            <w:tcW w:w="2405" w:type="dxa"/>
            <w:tcBorders>
              <w:top w:val="single" w:sz="4" w:space="0" w:color="auto"/>
              <w:left w:val="single" w:sz="4" w:space="0" w:color="auto"/>
              <w:bottom w:val="single" w:sz="4" w:space="0" w:color="auto"/>
              <w:right w:val="single" w:sz="4" w:space="0" w:color="auto"/>
            </w:tcBorders>
          </w:tcPr>
          <w:p w14:paraId="4BE4CB67" w14:textId="77777777" w:rsidR="00E71249" w:rsidRPr="0040749B" w:rsidRDefault="00E71249" w:rsidP="00496219">
            <w:pPr>
              <w:spacing w:before="120" w:after="160" w:line="259" w:lineRule="auto"/>
              <w:rPr>
                <w:rFonts w:asciiTheme="minorHAnsi" w:hAnsiTheme="minorHAnsi" w:cstheme="minorHAnsi"/>
              </w:rPr>
            </w:pPr>
            <w:r w:rsidRPr="0040749B">
              <w:rPr>
                <w:rFonts w:asciiTheme="minorHAnsi" w:hAnsiTheme="minorHAnsi" w:cstheme="minorHAnsi"/>
              </w:rPr>
              <w:t>Federation Funding Agreement</w:t>
            </w:r>
          </w:p>
        </w:tc>
        <w:tc>
          <w:tcPr>
            <w:tcW w:w="3827" w:type="dxa"/>
            <w:tcBorders>
              <w:top w:val="single" w:sz="4" w:space="0" w:color="auto"/>
              <w:left w:val="single" w:sz="4" w:space="0" w:color="auto"/>
              <w:bottom w:val="single" w:sz="4" w:space="0" w:color="auto"/>
              <w:right w:val="single" w:sz="4" w:space="0" w:color="auto"/>
            </w:tcBorders>
          </w:tcPr>
          <w:p w14:paraId="235C1EAA" w14:textId="395A35CD" w:rsidR="00E71249" w:rsidRPr="0040749B" w:rsidRDefault="00E71249" w:rsidP="00496219">
            <w:pPr>
              <w:spacing w:before="120" w:after="160" w:line="259" w:lineRule="auto"/>
              <w:rPr>
                <w:rFonts w:asciiTheme="minorHAnsi" w:hAnsiTheme="minorHAnsi" w:cstheme="minorHAnsi"/>
                <w:noProof/>
                <w:highlight w:val="yellow"/>
              </w:rPr>
            </w:pPr>
            <w:r w:rsidRPr="0040749B">
              <w:rPr>
                <w:rFonts w:cstheme="minorHAnsi"/>
                <w:noProof/>
              </w:rPr>
              <w:drawing>
                <wp:inline distT="0" distB="0" distL="0" distR="0" wp14:anchorId="677AD544" wp14:editId="6E546DF0">
                  <wp:extent cx="1205357" cy="351909"/>
                  <wp:effectExtent l="0" t="0" r="0" b="0"/>
                  <wp:docPr id="456628821" name="picture" descr="'Terti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628821" name="picture" descr="'Tertiary Sour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05357" cy="351909"/>
                          </a:xfrm>
                          <a:prstGeom prst="rect">
                            <a:avLst/>
                          </a:prstGeom>
                        </pic:spPr>
                      </pic:pic>
                    </a:graphicData>
                  </a:graphic>
                </wp:inline>
              </w:drawing>
            </w:r>
            <w:r w:rsidR="00735DFB">
              <w:rPr>
                <w:rFonts w:asciiTheme="minorHAnsi" w:hAnsiTheme="minorHAnsi" w:cstheme="minorHAnsi"/>
                <w:noProof/>
              </w:rPr>
              <w:t xml:space="preserve">  </w:t>
            </w:r>
            <w:r w:rsidRPr="0040749B">
              <w:rPr>
                <w:rFonts w:cstheme="minorHAnsi"/>
                <w:noProof/>
              </w:rPr>
              <w:drawing>
                <wp:inline distT="0" distB="0" distL="0" distR="0" wp14:anchorId="380A8108" wp14:editId="0604D8AA">
                  <wp:extent cx="886700" cy="346367"/>
                  <wp:effectExtent l="0" t="0" r="8890" b="0"/>
                  <wp:docPr id="784412576" name="picture" descr="'Ti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12576" name="picture" descr="'Tier 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86700" cy="346367"/>
                          </a:xfrm>
                          <a:prstGeom prst="rect">
                            <a:avLst/>
                          </a:prstGeom>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tcPr>
          <w:p w14:paraId="201116FB" w14:textId="77777777" w:rsidR="00E71249" w:rsidRPr="0040749B" w:rsidRDefault="00E71249" w:rsidP="00496219">
            <w:pPr>
              <w:spacing w:before="120" w:after="160" w:line="259" w:lineRule="auto"/>
              <w:rPr>
                <w:rFonts w:asciiTheme="minorHAnsi" w:hAnsiTheme="minorHAnsi" w:cstheme="minorHAnsi"/>
                <w:color w:val="000000"/>
                <w:highlight w:val="yellow"/>
                <w:lang w:eastAsia="en-AU"/>
              </w:rPr>
            </w:pPr>
            <w:r w:rsidRPr="0040749B">
              <w:rPr>
                <w:rFonts w:asciiTheme="minorHAnsi" w:hAnsiTheme="minorHAnsi" w:cstheme="minorHAnsi"/>
                <w:color w:val="000000"/>
              </w:rPr>
              <w:t xml:space="preserve">Executed FFA Schedule  </w:t>
            </w:r>
            <w:r w:rsidRPr="0040749B">
              <w:rPr>
                <w:rFonts w:asciiTheme="minorHAnsi" w:hAnsiTheme="minorHAnsi" w:cstheme="minorHAnsi"/>
                <w:color w:val="000000"/>
              </w:rPr>
              <w:br/>
              <w:t>DSS payment records</w:t>
            </w:r>
            <w:r w:rsidRPr="0040749B">
              <w:rPr>
                <w:rFonts w:asciiTheme="minorHAnsi" w:hAnsiTheme="minorHAnsi" w:cstheme="minorHAnsi"/>
                <w:color w:val="000000"/>
              </w:rPr>
              <w:br/>
              <w:t>State and territory project plans</w:t>
            </w:r>
            <w:r w:rsidRPr="0040749B">
              <w:rPr>
                <w:rFonts w:asciiTheme="minorHAnsi" w:hAnsiTheme="minorHAnsi" w:cstheme="minorHAnsi"/>
                <w:color w:val="000000"/>
                <w:highlight w:val="yellow"/>
                <w:lang w:eastAsia="en-AU"/>
              </w:rPr>
              <w:br/>
            </w:r>
            <w:r w:rsidRPr="0040749B">
              <w:rPr>
                <w:rFonts w:asciiTheme="minorHAnsi" w:hAnsiTheme="minorHAnsi" w:cstheme="minorHAnsi"/>
                <w:color w:val="000000"/>
              </w:rPr>
              <w:t>State and territory progress reports</w:t>
            </w:r>
          </w:p>
        </w:tc>
      </w:tr>
    </w:tbl>
    <w:p w14:paraId="1CE525EA" w14:textId="77777777" w:rsidR="00E71249" w:rsidRDefault="00E71249" w:rsidP="00E71249">
      <w:pPr>
        <w:spacing w:after="240"/>
        <w:rPr>
          <w:rFonts w:cstheme="minorHAnsi"/>
        </w:rPr>
      </w:pPr>
      <w:r>
        <w:rPr>
          <w:rFonts w:cstheme="minorHAnsi"/>
        </w:rPr>
        <w:br w:type="page"/>
      </w:r>
    </w:p>
    <w:p w14:paraId="1DEC3722" w14:textId="358C2556" w:rsidR="00E71249" w:rsidRPr="00DD6FA0" w:rsidRDefault="00E71249" w:rsidP="00DD6FA0">
      <w:pPr>
        <w:pStyle w:val="Heading3"/>
        <w:shd w:val="clear" w:color="auto" w:fill="005A70" w:themeFill="accent1"/>
        <w:rPr>
          <w:rFonts w:asciiTheme="minorHAnsi" w:hAnsiTheme="minorHAnsi" w:cstheme="minorHAnsi"/>
          <w:b/>
          <w:bCs w:val="0"/>
          <w:color w:val="FFFFFF" w:themeColor="background1"/>
          <w:sz w:val="22"/>
          <w:szCs w:val="22"/>
          <w:lang w:eastAsia="en-AU"/>
        </w:rPr>
      </w:pPr>
      <w:bookmarkStart w:id="137" w:name="_Toc201309098"/>
      <w:bookmarkStart w:id="138" w:name="_Toc201310794"/>
      <w:bookmarkStart w:id="139" w:name="_Toc238653304"/>
      <w:bookmarkEnd w:id="130"/>
      <w:r w:rsidRPr="00DD6FA0">
        <w:rPr>
          <w:rFonts w:asciiTheme="minorHAnsi" w:hAnsiTheme="minorHAnsi" w:cstheme="minorHAnsi"/>
          <w:b/>
          <w:bCs w:val="0"/>
          <w:color w:val="FFFFFF" w:themeColor="background1"/>
          <w:sz w:val="22"/>
          <w:szCs w:val="22"/>
          <w:lang w:eastAsia="en-AU"/>
        </w:rPr>
        <w:lastRenderedPageBreak/>
        <w:t>P</w:t>
      </w:r>
      <w:r w:rsidR="00A97D98" w:rsidRPr="00DD6FA0">
        <w:rPr>
          <w:rFonts w:asciiTheme="minorHAnsi" w:hAnsiTheme="minorHAnsi" w:cstheme="minorHAnsi"/>
          <w:b/>
          <w:bCs w:val="0"/>
          <w:color w:val="FFFFFF" w:themeColor="background1"/>
          <w:sz w:val="22"/>
          <w:szCs w:val="22"/>
          <w:lang w:eastAsia="en-AU"/>
        </w:rPr>
        <w:t>rogram</w:t>
      </w:r>
      <w:r w:rsidRPr="00DD6FA0">
        <w:rPr>
          <w:rFonts w:asciiTheme="minorHAnsi" w:hAnsiTheme="minorHAnsi" w:cstheme="minorHAnsi"/>
          <w:b/>
          <w:bCs w:val="0"/>
          <w:color w:val="FFFFFF" w:themeColor="background1"/>
          <w:sz w:val="22"/>
          <w:szCs w:val="22"/>
          <w:lang w:eastAsia="en-AU"/>
        </w:rPr>
        <w:t xml:space="preserve"> 2.1 </w:t>
      </w:r>
      <w:bookmarkEnd w:id="137"/>
      <w:bookmarkEnd w:id="138"/>
      <w:r w:rsidR="00A97D98" w:rsidRPr="00DD6FA0">
        <w:rPr>
          <w:rFonts w:asciiTheme="minorHAnsi" w:hAnsiTheme="minorHAnsi" w:cstheme="minorHAnsi"/>
          <w:b/>
          <w:bCs w:val="0"/>
          <w:color w:val="FFFFFF" w:themeColor="background1"/>
          <w:sz w:val="22"/>
          <w:szCs w:val="22"/>
          <w:lang w:eastAsia="en-AU"/>
        </w:rPr>
        <w:t>Families and Communities</w:t>
      </w:r>
      <w:bookmarkEnd w:id="139"/>
    </w:p>
    <w:p w14:paraId="0A0BE4E1" w14:textId="77777777" w:rsidR="00E71249" w:rsidRPr="00FD2362" w:rsidRDefault="00E71249" w:rsidP="00F41120">
      <w:pPr>
        <w:shd w:val="clear" w:color="auto" w:fill="005A70"/>
        <w:spacing w:before="120" w:after="160" w:line="256" w:lineRule="auto"/>
        <w:rPr>
          <w:rFonts w:eastAsia="Aptos" w:cstheme="minorHAnsi"/>
          <w:color w:val="FFFFFF"/>
          <w:kern w:val="2"/>
          <w:szCs w:val="22"/>
          <w:lang w:eastAsia="en-AU"/>
          <w14:ligatures w14:val="standardContextual"/>
        </w:rPr>
      </w:pPr>
      <w:r w:rsidRPr="00FD2362">
        <w:rPr>
          <w:rFonts w:eastAsia="Aptos" w:cstheme="minorHAnsi"/>
          <w:color w:val="FFFFFF"/>
          <w:kern w:val="2"/>
          <w:szCs w:val="22"/>
          <w:lang w:eastAsia="en-AU"/>
          <w14:ligatures w14:val="standardContextual"/>
        </w:rPr>
        <w:t>To strengthen relationships, support families, improve wellbeing of children and young people, reduce the cost of family breakdown, and strengthen family and community functioning.</w:t>
      </w:r>
    </w:p>
    <w:p w14:paraId="055830D5" w14:textId="77777777" w:rsidR="00E71249" w:rsidRPr="002A5B00" w:rsidRDefault="00E71249" w:rsidP="002A5B00">
      <w:pPr>
        <w:pStyle w:val="Heading4"/>
        <w:shd w:val="clear" w:color="auto" w:fill="B1E4E3" w:themeFill="accent3"/>
        <w:spacing w:before="60" w:after="60"/>
        <w:rPr>
          <w:color w:val="auto"/>
          <w:sz w:val="22"/>
          <w:szCs w:val="22"/>
        </w:rPr>
      </w:pPr>
      <w:r w:rsidRPr="002A5B00">
        <w:rPr>
          <w:color w:val="auto"/>
          <w:sz w:val="22"/>
          <w:szCs w:val="22"/>
        </w:rPr>
        <w:t>Key Activity — 2.1.5 Financial Wellbeing and Capability</w:t>
      </w:r>
    </w:p>
    <w:p w14:paraId="23560B7C" w14:textId="77777777" w:rsidR="00E71249" w:rsidRPr="00FD2362" w:rsidRDefault="00E71249" w:rsidP="00F41120">
      <w:pPr>
        <w:spacing w:before="120" w:after="160" w:line="280" w:lineRule="atLeast"/>
        <w:rPr>
          <w:rFonts w:cstheme="minorHAnsi"/>
          <w:szCs w:val="22"/>
          <w:lang w:eastAsia="en-AU"/>
        </w:rPr>
      </w:pPr>
      <w:bookmarkStart w:id="140" w:name="_Toc256000036"/>
      <w:r w:rsidRPr="00FD2362">
        <w:rPr>
          <w:rFonts w:cstheme="minorHAnsi"/>
          <w:szCs w:val="22"/>
          <w:lang w:eastAsia="en-AU"/>
        </w:rPr>
        <w:t>Financial Wellbeing and Capability (FWC) is a key activity of the Families and Communities Program. It aims to provide services and initiatives to support vulnerable individuals and families to navigate financial crises, manage financial stress and hardship, and to improve financial wellbeing for individuals and families.</w:t>
      </w:r>
    </w:p>
    <w:p w14:paraId="37035F0D" w14:textId="4F5E0480" w:rsidR="00E71249" w:rsidRPr="00FD2362" w:rsidRDefault="00E71249" w:rsidP="00F41120">
      <w:pPr>
        <w:suppressAutoHyphens/>
        <w:spacing w:before="120" w:after="160" w:line="257" w:lineRule="auto"/>
        <w:rPr>
          <w:rFonts w:cstheme="minorHAnsi"/>
          <w:szCs w:val="22"/>
          <w:lang w:eastAsia="en-AU"/>
        </w:rPr>
      </w:pPr>
      <w:r w:rsidRPr="00FD2362">
        <w:rPr>
          <w:rFonts w:cstheme="minorHAnsi"/>
          <w:szCs w:val="22"/>
          <w:lang w:eastAsia="en-AU"/>
        </w:rPr>
        <w:t xml:space="preserve">The </w:t>
      </w:r>
      <w:r w:rsidR="0054557F">
        <w:rPr>
          <w:rFonts w:cstheme="minorHAnsi"/>
          <w:szCs w:val="22"/>
          <w:lang w:eastAsia="en-AU"/>
        </w:rPr>
        <w:t>d</w:t>
      </w:r>
      <w:r w:rsidRPr="00FD2362">
        <w:rPr>
          <w:rFonts w:cstheme="minorHAnsi"/>
          <w:szCs w:val="22"/>
          <w:lang w:eastAsia="en-AU"/>
        </w:rPr>
        <w:t>epartment provides grants to FWC service providers to deliver financial crisis and material aid, including the provision of Emergency Relief and Food Relief (ER/FR).</w:t>
      </w:r>
    </w:p>
    <w:p w14:paraId="176248BF" w14:textId="77777777" w:rsidR="00E71249" w:rsidRPr="00FD2362" w:rsidRDefault="00E71249" w:rsidP="00F41120">
      <w:pPr>
        <w:pStyle w:val="ListParagraph"/>
        <w:spacing w:before="120" w:after="160"/>
        <w:ind w:left="714" w:hanging="357"/>
        <w:rPr>
          <w:lang w:eastAsia="en-AU"/>
        </w:rPr>
      </w:pPr>
      <w:r w:rsidRPr="00FD2362">
        <w:rPr>
          <w:lang w:eastAsia="en-AU"/>
        </w:rPr>
        <w:t>ER provides immediate financial and/or material support to people in financial crisis.</w:t>
      </w:r>
    </w:p>
    <w:p w14:paraId="308D84C1" w14:textId="77777777" w:rsidR="00E71249" w:rsidRPr="00FD2362" w:rsidRDefault="00E71249" w:rsidP="00F41120">
      <w:pPr>
        <w:pStyle w:val="ListParagraph"/>
        <w:spacing w:before="120" w:after="160"/>
        <w:ind w:left="714" w:hanging="357"/>
        <w:rPr>
          <w:lang w:eastAsia="en-AU"/>
        </w:rPr>
      </w:pPr>
      <w:r w:rsidRPr="00FD2362">
        <w:rPr>
          <w:lang w:eastAsia="en-AU"/>
        </w:rPr>
        <w:t>FR increases emergency relief organisations’ access to a cost-effective supply of food and material aid which are provided to people in need across Australia.</w:t>
      </w:r>
    </w:p>
    <w:p w14:paraId="402AB0E3" w14:textId="77777777" w:rsidR="00E71249" w:rsidRPr="00FD2362" w:rsidRDefault="00E71249" w:rsidP="00F41120">
      <w:pPr>
        <w:suppressAutoHyphens/>
        <w:spacing w:before="120" w:after="160" w:line="257" w:lineRule="auto"/>
        <w:rPr>
          <w:rFonts w:eastAsia="Aptos" w:cstheme="minorHAnsi"/>
          <w:color w:val="000000"/>
          <w:kern w:val="2"/>
          <w:szCs w:val="22"/>
          <w:lang w:eastAsia="en-AU"/>
          <w14:ligatures w14:val="standardContextual"/>
        </w:rPr>
      </w:pPr>
      <w:r w:rsidRPr="00FD2362">
        <w:rPr>
          <w:rFonts w:cstheme="minorHAnsi"/>
          <w:szCs w:val="22"/>
          <w:lang w:eastAsia="en-AU"/>
        </w:rPr>
        <w:t>Financial Counselling, Capability and Resilience provides financial counselling, financial literacy education, and access to financial services including microfinance products such as no-interest loans.</w:t>
      </w:r>
    </w:p>
    <w:p w14:paraId="40D0C6F6" w14:textId="77777777" w:rsidR="00E71249" w:rsidRPr="00FD2362" w:rsidRDefault="00E71249" w:rsidP="00F41120">
      <w:pPr>
        <w:pStyle w:val="ListParagraph"/>
        <w:spacing w:before="120" w:after="160"/>
        <w:ind w:left="714" w:hanging="357"/>
        <w:rPr>
          <w:lang w:eastAsia="en-AU"/>
        </w:rPr>
      </w:pPr>
      <w:r w:rsidRPr="00FD2362">
        <w:rPr>
          <w:lang w:eastAsia="en-AU"/>
        </w:rPr>
        <w:t>Commonwealth Financial Counselling Capability (CFCC) services helps people in financial difficulty to address their financial problems and make informed choices.</w:t>
      </w:r>
    </w:p>
    <w:p w14:paraId="246DA4AF" w14:textId="77777777" w:rsidR="00E71249" w:rsidRPr="00FD2362" w:rsidRDefault="00E71249" w:rsidP="00F41120">
      <w:pPr>
        <w:pStyle w:val="ListParagraph"/>
        <w:spacing w:before="120" w:after="160"/>
        <w:ind w:left="714" w:hanging="357"/>
        <w:rPr>
          <w:lang w:eastAsia="en-AU"/>
        </w:rPr>
      </w:pPr>
      <w:r w:rsidRPr="00FD2362">
        <w:rPr>
          <w:lang w:eastAsia="en-AU"/>
        </w:rPr>
        <w:t>Financial Capability services aim to help people build longer-term capability to budget and manage their money better.</w:t>
      </w:r>
    </w:p>
    <w:p w14:paraId="1D5394D5" w14:textId="77777777" w:rsidR="00E71249" w:rsidRPr="00FD2362" w:rsidRDefault="00E71249" w:rsidP="00F41120">
      <w:pPr>
        <w:pStyle w:val="ListParagraph"/>
        <w:spacing w:before="120" w:after="160"/>
        <w:ind w:left="714" w:hanging="357"/>
        <w:rPr>
          <w:rFonts w:eastAsia="Aptos"/>
          <w:kern w:val="2"/>
          <w:lang w:eastAsia="en-AU"/>
          <w14:ligatures w14:val="standardContextual"/>
        </w:rPr>
      </w:pPr>
      <w:r w:rsidRPr="00FD2362">
        <w:rPr>
          <w:lang w:eastAsia="en-AU"/>
        </w:rPr>
        <w:t>Financial Resilience offers a variety of financial services and products targeted at financially vulnerable people that help build self-reliance and provide access to financial products</w:t>
      </w:r>
      <w:r w:rsidRPr="00FD2362">
        <w:rPr>
          <w:rFonts w:eastAsia="Aptos"/>
          <w:kern w:val="2"/>
          <w:lang w:eastAsia="en-AU"/>
          <w14:ligatures w14:val="standardContextual"/>
        </w:rPr>
        <w:t>.</w:t>
      </w:r>
    </w:p>
    <w:p w14:paraId="2A817F41" w14:textId="6DABFC06" w:rsidR="00E71249" w:rsidRPr="00FD2362" w:rsidRDefault="00E71249" w:rsidP="00F41120">
      <w:pPr>
        <w:suppressAutoHyphens/>
        <w:spacing w:before="120" w:after="160" w:line="257" w:lineRule="auto"/>
        <w:rPr>
          <w:rFonts w:eastAsia="Aptos" w:cstheme="minorHAnsi"/>
          <w:color w:val="000000"/>
          <w:kern w:val="2"/>
          <w:szCs w:val="22"/>
          <w:lang w:eastAsia="en-AU"/>
          <w14:ligatures w14:val="standardContextual"/>
        </w:rPr>
      </w:pPr>
      <w:r w:rsidRPr="00FD2362">
        <w:rPr>
          <w:rFonts w:cstheme="minorHAnsi"/>
          <w:szCs w:val="22"/>
          <w:lang w:eastAsia="en-AU"/>
        </w:rPr>
        <w:t xml:space="preserve">The </w:t>
      </w:r>
      <w:r w:rsidR="0054557F">
        <w:rPr>
          <w:rFonts w:cstheme="minorHAnsi"/>
          <w:szCs w:val="22"/>
          <w:lang w:eastAsia="en-AU"/>
        </w:rPr>
        <w:t>d</w:t>
      </w:r>
      <w:r w:rsidRPr="00FD2362">
        <w:rPr>
          <w:rFonts w:cstheme="minorHAnsi"/>
          <w:szCs w:val="22"/>
          <w:lang w:eastAsia="en-AU"/>
        </w:rPr>
        <w:t>epartment is responsible for designing and implementing services and initiatives for FWC. The </w:t>
      </w:r>
      <w:r w:rsidR="0054557F">
        <w:rPr>
          <w:rFonts w:cstheme="minorHAnsi"/>
          <w:szCs w:val="22"/>
          <w:lang w:eastAsia="en-AU"/>
        </w:rPr>
        <w:t>d</w:t>
      </w:r>
      <w:r w:rsidRPr="00FD2362">
        <w:rPr>
          <w:rFonts w:cstheme="minorHAnsi"/>
          <w:szCs w:val="22"/>
          <w:lang w:eastAsia="en-AU"/>
        </w:rPr>
        <w:t>epartment’s role is to</w:t>
      </w:r>
      <w:r w:rsidRPr="00FD2362">
        <w:rPr>
          <w:rFonts w:eastAsia="Aptos" w:cstheme="minorHAnsi"/>
          <w:color w:val="000000"/>
          <w:kern w:val="2"/>
          <w:szCs w:val="22"/>
          <w:lang w:eastAsia="en-AU"/>
          <w14:ligatures w14:val="standardContextual"/>
        </w:rPr>
        <w:t>:</w:t>
      </w:r>
    </w:p>
    <w:p w14:paraId="44FBAC37" w14:textId="77777777" w:rsidR="00E71249" w:rsidRPr="00FD2362" w:rsidRDefault="00E71249" w:rsidP="00F41120">
      <w:pPr>
        <w:pStyle w:val="ListParagraph"/>
        <w:spacing w:before="120" w:after="160"/>
        <w:ind w:left="714" w:hanging="357"/>
        <w:rPr>
          <w:lang w:eastAsia="en-AU"/>
        </w:rPr>
      </w:pPr>
      <w:r w:rsidRPr="00FD2362">
        <w:rPr>
          <w:lang w:eastAsia="en-AU"/>
        </w:rPr>
        <w:t>design and implement policy</w:t>
      </w:r>
    </w:p>
    <w:p w14:paraId="060A9E63" w14:textId="77777777" w:rsidR="00E71249" w:rsidRPr="00FD2362" w:rsidRDefault="00E71249" w:rsidP="00F41120">
      <w:pPr>
        <w:pStyle w:val="ListParagraph"/>
        <w:spacing w:before="120" w:after="160"/>
        <w:ind w:left="714" w:hanging="357"/>
        <w:rPr>
          <w:lang w:eastAsia="en-AU"/>
        </w:rPr>
      </w:pPr>
      <w:r w:rsidRPr="00FD2362">
        <w:rPr>
          <w:lang w:eastAsia="en-AU"/>
        </w:rPr>
        <w:t>undertake research and evaluation</w:t>
      </w:r>
    </w:p>
    <w:p w14:paraId="606AFEB9" w14:textId="77777777" w:rsidR="00E71249" w:rsidRPr="00FD2362" w:rsidRDefault="00E71249" w:rsidP="00F41120">
      <w:pPr>
        <w:pStyle w:val="ListParagraph"/>
        <w:spacing w:before="120" w:after="160"/>
        <w:ind w:left="714" w:hanging="357"/>
        <w:rPr>
          <w:rFonts w:eastAsia="Aptos"/>
          <w:kern w:val="2"/>
          <w:lang w:eastAsia="en-AU"/>
          <w14:ligatures w14:val="standardContextual"/>
        </w:rPr>
      </w:pPr>
      <w:r w:rsidRPr="00FD2362">
        <w:rPr>
          <w:lang w:eastAsia="en-AU"/>
        </w:rPr>
        <w:t>design and manage grants to service providers</w:t>
      </w:r>
      <w:r w:rsidRPr="00FD2362">
        <w:rPr>
          <w:rFonts w:eastAsia="Aptos"/>
          <w:kern w:val="2"/>
          <w:lang w:eastAsia="en-AU"/>
          <w14:ligatures w14:val="standardContextual"/>
        </w:rPr>
        <w:t>.</w:t>
      </w:r>
    </w:p>
    <w:p w14:paraId="03BAF958" w14:textId="3D4C01CB" w:rsidR="00E71249" w:rsidRPr="00A97D98" w:rsidRDefault="00E71249" w:rsidP="00A97D98">
      <w:pPr>
        <w:pStyle w:val="Heading4"/>
        <w:rPr>
          <w:sz w:val="22"/>
          <w:szCs w:val="22"/>
        </w:rPr>
      </w:pPr>
      <w:bookmarkStart w:id="141" w:name="_Toc256000030"/>
      <w:bookmarkStart w:id="142" w:name="_Toc207287374"/>
      <w:r w:rsidRPr="00A97D98">
        <w:rPr>
          <w:sz w:val="22"/>
          <w:szCs w:val="22"/>
        </w:rPr>
        <w:t>Performance Measure</w:t>
      </w:r>
      <w:bookmarkEnd w:id="141"/>
      <w:bookmarkEnd w:id="142"/>
    </w:p>
    <w:p w14:paraId="36FC5B4B" w14:textId="77777777" w:rsidR="00E71249" w:rsidRPr="00FD2362" w:rsidRDefault="00E71249" w:rsidP="00F41120">
      <w:pPr>
        <w:suppressAutoHyphens/>
        <w:spacing w:before="120" w:after="160"/>
        <w:rPr>
          <w:rFonts w:cstheme="minorHAnsi"/>
          <w:szCs w:val="22"/>
          <w:lang w:eastAsia="en-AU"/>
        </w:rPr>
      </w:pPr>
      <w:r w:rsidRPr="00FD2362">
        <w:rPr>
          <w:rFonts w:cstheme="minorHAnsi"/>
          <w:szCs w:val="22"/>
          <w:lang w:eastAsia="en-AU"/>
        </w:rPr>
        <w:t>Extent to which individuals and families can navigate through financial crises, build financial resilience and reduce vulnerability to financial shock.</w:t>
      </w:r>
    </w:p>
    <w:tbl>
      <w:tblPr>
        <w:tblStyle w:val="TableGrid3931"/>
        <w:tblW w:w="4976" w:type="pct"/>
        <w:jc w:val="center"/>
        <w:tblLook w:val="04A0" w:firstRow="1" w:lastRow="0" w:firstColumn="1" w:lastColumn="0" w:noHBand="0" w:noVBand="1"/>
        <w:tblCaption w:val="Table 39 - Extent to which individuals and families can navigate through financial crises, build financial resilience and reduce vulnerability to financial shock."/>
        <w:tblDescription w:val="Target for the extent to which individuals and families can navigate through financial crises, build financial resilience and reduce vulnerability to financial shock."/>
      </w:tblPr>
      <w:tblGrid>
        <w:gridCol w:w="3899"/>
        <w:gridCol w:w="1562"/>
        <w:gridCol w:w="1562"/>
        <w:gridCol w:w="1562"/>
        <w:gridCol w:w="1560"/>
      </w:tblGrid>
      <w:tr w:rsidR="00E71249" w:rsidRPr="00FD2362" w14:paraId="22A2D140" w14:textId="77777777" w:rsidTr="00496219">
        <w:trPr>
          <w:cantSplit/>
          <w:trHeight w:val="356"/>
          <w:tblHeader/>
          <w:jc w:val="center"/>
        </w:trPr>
        <w:tc>
          <w:tcPr>
            <w:tcW w:w="1921" w:type="pct"/>
            <w:tcBorders>
              <w:top w:val="single" w:sz="4" w:space="0" w:color="auto"/>
              <w:left w:val="single" w:sz="4" w:space="0" w:color="auto"/>
              <w:bottom w:val="single" w:sz="4" w:space="0" w:color="auto"/>
              <w:right w:val="single" w:sz="6" w:space="0" w:color="auto"/>
            </w:tcBorders>
            <w:shd w:val="clear" w:color="auto" w:fill="D9D9D6"/>
            <w:vAlign w:val="center"/>
            <w:hideMark/>
          </w:tcPr>
          <w:p w14:paraId="0A471A2D" w14:textId="77777777" w:rsidR="00E71249" w:rsidRPr="00FD2362" w:rsidRDefault="00E71249" w:rsidP="00496219">
            <w:pPr>
              <w:spacing w:before="120" w:after="60" w:line="252" w:lineRule="auto"/>
              <w:rPr>
                <w:rFonts w:asciiTheme="minorHAnsi" w:hAnsiTheme="minorHAnsi" w:cstheme="minorHAnsi"/>
                <w:szCs w:val="22"/>
              </w:rPr>
            </w:pPr>
            <w:r w:rsidRPr="00FD2362">
              <w:rPr>
                <w:rFonts w:asciiTheme="minorHAnsi" w:hAnsiTheme="minorHAnsi" w:cstheme="minorHAnsi"/>
                <w:b/>
                <w:bCs/>
                <w:szCs w:val="22"/>
              </w:rPr>
              <w:t>Target</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hideMark/>
          </w:tcPr>
          <w:p w14:paraId="64C3E03A" w14:textId="77777777" w:rsidR="00E71249" w:rsidRPr="00FD2362" w:rsidRDefault="00E71249" w:rsidP="00496219">
            <w:pPr>
              <w:spacing w:before="120" w:after="60" w:line="252" w:lineRule="auto"/>
              <w:rPr>
                <w:rFonts w:asciiTheme="minorHAnsi" w:hAnsiTheme="minorHAnsi" w:cstheme="minorHAnsi"/>
                <w:szCs w:val="22"/>
              </w:rPr>
            </w:pPr>
            <w:r w:rsidRPr="00FD2362">
              <w:rPr>
                <w:rFonts w:asciiTheme="minorHAnsi" w:hAnsiTheme="minorHAnsi" w:cstheme="minorHAnsi"/>
                <w:b/>
                <w:szCs w:val="22"/>
              </w:rPr>
              <w:t>2026–27</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hideMark/>
          </w:tcPr>
          <w:p w14:paraId="497DED88" w14:textId="77777777" w:rsidR="00E71249" w:rsidRPr="00FD2362" w:rsidRDefault="00E71249" w:rsidP="00496219">
            <w:pPr>
              <w:spacing w:before="120" w:after="60" w:line="252" w:lineRule="auto"/>
              <w:rPr>
                <w:rFonts w:asciiTheme="minorHAnsi" w:hAnsiTheme="minorHAnsi" w:cstheme="minorHAnsi"/>
                <w:b/>
                <w:szCs w:val="22"/>
              </w:rPr>
            </w:pPr>
            <w:r w:rsidRPr="00FD2362">
              <w:rPr>
                <w:rFonts w:asciiTheme="minorHAnsi" w:hAnsiTheme="minorHAnsi" w:cstheme="minorHAnsi"/>
                <w:b/>
                <w:szCs w:val="22"/>
              </w:rPr>
              <w:t>2027–28</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hideMark/>
          </w:tcPr>
          <w:p w14:paraId="7F0E59C9" w14:textId="77777777" w:rsidR="00E71249" w:rsidRPr="00FD2362" w:rsidRDefault="00E71249" w:rsidP="00496219">
            <w:pPr>
              <w:spacing w:before="120" w:after="60" w:line="252" w:lineRule="auto"/>
              <w:rPr>
                <w:rFonts w:asciiTheme="minorHAnsi" w:hAnsiTheme="minorHAnsi" w:cstheme="minorHAnsi"/>
                <w:b/>
                <w:szCs w:val="22"/>
              </w:rPr>
            </w:pPr>
            <w:r w:rsidRPr="00FD2362">
              <w:rPr>
                <w:rFonts w:asciiTheme="minorHAnsi" w:hAnsiTheme="minorHAnsi" w:cstheme="minorHAnsi"/>
                <w:b/>
                <w:szCs w:val="22"/>
              </w:rPr>
              <w:t>2028–29</w:t>
            </w:r>
          </w:p>
        </w:tc>
        <w:tc>
          <w:tcPr>
            <w:tcW w:w="769" w:type="pct"/>
            <w:tcBorders>
              <w:top w:val="single" w:sz="4" w:space="0" w:color="auto"/>
              <w:left w:val="single" w:sz="6" w:space="0" w:color="auto"/>
              <w:bottom w:val="single" w:sz="4" w:space="0" w:color="auto"/>
              <w:right w:val="single" w:sz="4" w:space="0" w:color="auto"/>
            </w:tcBorders>
            <w:shd w:val="clear" w:color="auto" w:fill="D9D9D6"/>
            <w:vAlign w:val="center"/>
            <w:hideMark/>
          </w:tcPr>
          <w:p w14:paraId="64977CFD" w14:textId="77777777" w:rsidR="00E71249" w:rsidRPr="00FD2362" w:rsidRDefault="00E71249" w:rsidP="00496219">
            <w:pPr>
              <w:spacing w:before="120" w:after="60" w:line="252" w:lineRule="auto"/>
              <w:rPr>
                <w:rFonts w:asciiTheme="minorHAnsi" w:hAnsiTheme="minorHAnsi" w:cstheme="minorHAnsi"/>
                <w:b/>
                <w:szCs w:val="22"/>
              </w:rPr>
            </w:pPr>
            <w:r w:rsidRPr="00FD2362">
              <w:rPr>
                <w:rFonts w:asciiTheme="minorHAnsi" w:hAnsiTheme="minorHAnsi" w:cstheme="minorHAnsi"/>
                <w:b/>
                <w:szCs w:val="22"/>
              </w:rPr>
              <w:t>2029–30</w:t>
            </w:r>
          </w:p>
        </w:tc>
      </w:tr>
      <w:tr w:rsidR="00E71249" w:rsidRPr="00FD2362" w14:paraId="62E45515" w14:textId="77777777" w:rsidTr="00496219">
        <w:trPr>
          <w:cantSplit/>
          <w:trHeight w:val="356"/>
          <w:jc w:val="center"/>
        </w:trPr>
        <w:tc>
          <w:tcPr>
            <w:tcW w:w="1921" w:type="pct"/>
            <w:tcBorders>
              <w:top w:val="single" w:sz="4" w:space="0" w:color="auto"/>
              <w:left w:val="single" w:sz="4" w:space="0" w:color="auto"/>
              <w:bottom w:val="single" w:sz="4" w:space="0" w:color="auto"/>
              <w:right w:val="single" w:sz="4" w:space="0" w:color="auto"/>
            </w:tcBorders>
            <w:hideMark/>
          </w:tcPr>
          <w:p w14:paraId="5B4247D5" w14:textId="1F931E2E" w:rsidR="00E71249" w:rsidRPr="00FD2362" w:rsidRDefault="009E1B06" w:rsidP="00496219">
            <w:pPr>
              <w:spacing w:before="120" w:after="60" w:line="252" w:lineRule="auto"/>
              <w:rPr>
                <w:rFonts w:asciiTheme="minorHAnsi" w:hAnsiTheme="minorHAnsi" w:cstheme="minorHAnsi"/>
                <w:szCs w:val="22"/>
              </w:rPr>
            </w:pPr>
            <w:r>
              <w:rPr>
                <w:rFonts w:cstheme="minorHAnsi"/>
                <w:noProof/>
                <w:szCs w:val="22"/>
              </w:rPr>
              <mc:AlternateContent>
                <mc:Choice Requires="wps">
                  <w:drawing>
                    <wp:anchor distT="0" distB="0" distL="114300" distR="114300" simplePos="0" relativeHeight="251674632" behindDoc="0" locked="0" layoutInCell="1" allowOverlap="1" wp14:anchorId="026B90A4" wp14:editId="28C0D8CF">
                      <wp:simplePos x="0" y="0"/>
                      <wp:positionH relativeFrom="column">
                        <wp:posOffset>417</wp:posOffset>
                      </wp:positionH>
                      <wp:positionV relativeFrom="paragraph">
                        <wp:posOffset>132364</wp:posOffset>
                      </wp:positionV>
                      <wp:extent cx="45719" cy="88711"/>
                      <wp:effectExtent l="0" t="0" r="12065" b="26035"/>
                      <wp:wrapNone/>
                      <wp:docPr id="576672508" name="Diamond 19" descr="The diamond symbol represents Performance measures that may be impacted by external factors."/>
                      <wp:cNvGraphicFramePr/>
                      <a:graphic xmlns:a="http://schemas.openxmlformats.org/drawingml/2006/main">
                        <a:graphicData uri="http://schemas.microsoft.com/office/word/2010/wordprocessingShape">
                          <wps:wsp>
                            <wps:cNvSpPr/>
                            <wps:spPr>
                              <a:xfrm>
                                <a:off x="0" y="0"/>
                                <a:ext cx="45719" cy="88711"/>
                              </a:xfrm>
                              <a:prstGeom prst="diamond">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1A3714" id="Diamond 19" o:spid="_x0000_s1026" type="#_x0000_t4" alt="The diamond symbol represents Performance measures that may be impacted by external factors." style="position:absolute;margin-left:.05pt;margin-top:10.4pt;width:3.6pt;height:7pt;z-index:251674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" fillcolor="black [3213]" strokecolor="#000d10 [484]" strokeweight=".73403mm"/>
                  </w:pict>
                </mc:Fallback>
              </mc:AlternateContent>
            </w:r>
            <w:r w:rsidR="00E71249" w:rsidRPr="00FD2362">
              <w:rPr>
                <w:rFonts w:asciiTheme="minorHAnsi" w:hAnsiTheme="minorHAnsi" w:cstheme="minorHAnsi"/>
                <w:szCs w:val="22"/>
              </w:rPr>
              <w:t xml:space="preserve"> </w:t>
            </w:r>
            <w:r w:rsidR="005A2AFD">
              <w:rPr>
                <w:rFonts w:asciiTheme="minorHAnsi" w:hAnsiTheme="minorHAnsi" w:cstheme="minorHAnsi"/>
                <w:szCs w:val="22"/>
              </w:rPr>
              <w:t xml:space="preserve"> </w:t>
            </w:r>
            <w:r w:rsidR="00E71249" w:rsidRPr="00FD2362">
              <w:rPr>
                <w:rFonts w:asciiTheme="minorHAnsi" w:hAnsiTheme="minorHAnsi" w:cstheme="minorHAnsi"/>
                <w:szCs w:val="22"/>
              </w:rPr>
              <w:t>2.1.5-1A</w:t>
            </w:r>
            <w:r w:rsidR="00E71249" w:rsidRPr="00087716">
              <w:rPr>
                <w:rFonts w:asciiTheme="minorHAnsi" w:hAnsiTheme="minorHAnsi" w:cstheme="minorHAnsi"/>
                <w:szCs w:val="22"/>
              </w:rPr>
              <w:t xml:space="preserve"> – </w:t>
            </w:r>
            <w:r w:rsidR="00E71249" w:rsidRPr="00FD2362">
              <w:rPr>
                <w:rFonts w:asciiTheme="minorHAnsi" w:hAnsiTheme="minorHAnsi" w:cstheme="minorHAnsi"/>
                <w:szCs w:val="22"/>
              </w:rPr>
              <w:t>1</w:t>
            </w:r>
            <w:r w:rsidR="00E71249" w:rsidRPr="00FD2362">
              <w:rPr>
                <w:rFonts w:asciiTheme="minorHAnsi" w:eastAsia="Calibri" w:hAnsiTheme="minorHAnsi" w:cstheme="minorHAnsi"/>
                <w:szCs w:val="22"/>
              </w:rPr>
              <w:t>0% or less of people with multiple requests for Emergency Relief.</w:t>
            </w:r>
          </w:p>
        </w:tc>
        <w:tc>
          <w:tcPr>
            <w:tcW w:w="770" w:type="pct"/>
            <w:tcBorders>
              <w:top w:val="single" w:sz="4" w:space="0" w:color="auto"/>
              <w:left w:val="single" w:sz="4" w:space="0" w:color="auto"/>
              <w:bottom w:val="single" w:sz="4" w:space="0" w:color="auto"/>
              <w:right w:val="single" w:sz="4" w:space="0" w:color="auto"/>
            </w:tcBorders>
            <w:hideMark/>
          </w:tcPr>
          <w:p w14:paraId="18CAB071" w14:textId="77777777" w:rsidR="00E71249" w:rsidRPr="00FD2362" w:rsidRDefault="00E71249" w:rsidP="00496219">
            <w:pPr>
              <w:spacing w:before="120" w:after="60" w:line="252" w:lineRule="auto"/>
              <w:rPr>
                <w:rFonts w:asciiTheme="minorHAnsi" w:hAnsiTheme="minorHAnsi" w:cstheme="minorHAnsi"/>
                <w:szCs w:val="22"/>
              </w:rPr>
            </w:pPr>
            <w:r w:rsidRPr="00FD2362">
              <w:rPr>
                <w:rFonts w:asciiTheme="minorHAnsi" w:hAnsiTheme="minorHAnsi" w:cstheme="minorHAnsi"/>
                <w:szCs w:val="22"/>
              </w:rPr>
              <w:t>≤10%</w:t>
            </w:r>
          </w:p>
        </w:tc>
        <w:tc>
          <w:tcPr>
            <w:tcW w:w="770" w:type="pct"/>
            <w:tcBorders>
              <w:top w:val="single" w:sz="4" w:space="0" w:color="auto"/>
              <w:left w:val="single" w:sz="4" w:space="0" w:color="auto"/>
              <w:bottom w:val="single" w:sz="4" w:space="0" w:color="auto"/>
              <w:right w:val="single" w:sz="4" w:space="0" w:color="auto"/>
            </w:tcBorders>
            <w:hideMark/>
          </w:tcPr>
          <w:p w14:paraId="32DF8E68" w14:textId="77777777" w:rsidR="00E71249" w:rsidRPr="00FD2362" w:rsidRDefault="00E71249" w:rsidP="00496219">
            <w:pPr>
              <w:spacing w:before="120" w:after="60" w:line="252" w:lineRule="auto"/>
              <w:rPr>
                <w:rFonts w:asciiTheme="minorHAnsi" w:hAnsiTheme="minorHAnsi" w:cstheme="minorHAnsi"/>
                <w:szCs w:val="22"/>
              </w:rPr>
            </w:pPr>
            <w:r w:rsidRPr="00FD2362">
              <w:rPr>
                <w:rFonts w:asciiTheme="minorHAnsi" w:hAnsiTheme="minorHAnsi" w:cstheme="minorHAnsi"/>
                <w:szCs w:val="22"/>
              </w:rPr>
              <w:t>≤10%</w:t>
            </w:r>
          </w:p>
        </w:tc>
        <w:tc>
          <w:tcPr>
            <w:tcW w:w="770" w:type="pct"/>
            <w:tcBorders>
              <w:top w:val="single" w:sz="4" w:space="0" w:color="auto"/>
              <w:left w:val="single" w:sz="4" w:space="0" w:color="auto"/>
              <w:bottom w:val="single" w:sz="4" w:space="0" w:color="auto"/>
              <w:right w:val="single" w:sz="4" w:space="0" w:color="auto"/>
            </w:tcBorders>
            <w:hideMark/>
          </w:tcPr>
          <w:p w14:paraId="4566FDD4" w14:textId="77777777" w:rsidR="00E71249" w:rsidRPr="00FD2362" w:rsidRDefault="00E71249" w:rsidP="00496219">
            <w:pPr>
              <w:spacing w:before="120" w:after="60" w:line="252" w:lineRule="auto"/>
              <w:rPr>
                <w:rFonts w:asciiTheme="minorHAnsi" w:hAnsiTheme="minorHAnsi" w:cstheme="minorHAnsi"/>
                <w:szCs w:val="22"/>
              </w:rPr>
            </w:pPr>
            <w:r w:rsidRPr="00FD2362">
              <w:rPr>
                <w:rFonts w:asciiTheme="minorHAnsi" w:hAnsiTheme="minorHAnsi" w:cstheme="minorHAnsi"/>
                <w:szCs w:val="22"/>
              </w:rPr>
              <w:t>≤10%</w:t>
            </w:r>
          </w:p>
        </w:tc>
        <w:tc>
          <w:tcPr>
            <w:tcW w:w="769" w:type="pct"/>
            <w:tcBorders>
              <w:top w:val="single" w:sz="4" w:space="0" w:color="auto"/>
              <w:left w:val="single" w:sz="4" w:space="0" w:color="auto"/>
              <w:bottom w:val="single" w:sz="4" w:space="0" w:color="auto"/>
              <w:right w:val="single" w:sz="4" w:space="0" w:color="auto"/>
            </w:tcBorders>
            <w:hideMark/>
          </w:tcPr>
          <w:p w14:paraId="1B2483E3" w14:textId="77777777" w:rsidR="00E71249" w:rsidRPr="00FD2362" w:rsidRDefault="00E71249" w:rsidP="00496219">
            <w:pPr>
              <w:spacing w:before="120" w:after="60" w:line="252" w:lineRule="auto"/>
              <w:rPr>
                <w:rFonts w:asciiTheme="minorHAnsi" w:hAnsiTheme="minorHAnsi" w:cstheme="minorHAnsi"/>
                <w:szCs w:val="22"/>
              </w:rPr>
            </w:pPr>
            <w:r w:rsidRPr="00FD2362">
              <w:rPr>
                <w:rFonts w:asciiTheme="minorHAnsi" w:hAnsiTheme="minorHAnsi" w:cstheme="minorHAnsi"/>
                <w:szCs w:val="22"/>
              </w:rPr>
              <w:t>≤10%</w:t>
            </w:r>
          </w:p>
        </w:tc>
      </w:tr>
      <w:tr w:rsidR="00E71249" w:rsidRPr="00FD2362" w14:paraId="41AFD48A" w14:textId="77777777" w:rsidTr="00496219">
        <w:trPr>
          <w:cantSplit/>
          <w:trHeight w:val="983"/>
          <w:jc w:val="center"/>
        </w:trPr>
        <w:tc>
          <w:tcPr>
            <w:tcW w:w="1921" w:type="pct"/>
            <w:tcBorders>
              <w:top w:val="single" w:sz="4" w:space="0" w:color="auto"/>
              <w:left w:val="single" w:sz="4" w:space="0" w:color="auto"/>
              <w:bottom w:val="single" w:sz="4" w:space="0" w:color="auto"/>
              <w:right w:val="single" w:sz="4" w:space="0" w:color="auto"/>
            </w:tcBorders>
          </w:tcPr>
          <w:p w14:paraId="6CA0FA9E" w14:textId="69F98587" w:rsidR="00E71249" w:rsidRPr="00FD2362" w:rsidRDefault="009E1B06" w:rsidP="00496219">
            <w:pPr>
              <w:spacing w:before="120" w:after="60" w:line="252" w:lineRule="auto"/>
              <w:rPr>
                <w:rFonts w:asciiTheme="minorHAnsi" w:hAnsiTheme="minorHAnsi" w:cstheme="minorHAnsi"/>
                <w:szCs w:val="22"/>
              </w:rPr>
            </w:pPr>
            <w:r>
              <w:rPr>
                <w:rFonts w:cstheme="minorHAnsi"/>
                <w:noProof/>
                <w:szCs w:val="22"/>
              </w:rPr>
              <mc:AlternateContent>
                <mc:Choice Requires="wps">
                  <w:drawing>
                    <wp:anchor distT="0" distB="0" distL="114300" distR="114300" simplePos="0" relativeHeight="251675656" behindDoc="0" locked="0" layoutInCell="1" allowOverlap="1" wp14:anchorId="44503FAA" wp14:editId="77C7082B">
                      <wp:simplePos x="0" y="0"/>
                      <wp:positionH relativeFrom="column">
                        <wp:posOffset>-13231</wp:posOffset>
                      </wp:positionH>
                      <wp:positionV relativeFrom="paragraph">
                        <wp:posOffset>122299</wp:posOffset>
                      </wp:positionV>
                      <wp:extent cx="45719" cy="95534"/>
                      <wp:effectExtent l="0" t="0" r="12065" b="19050"/>
                      <wp:wrapNone/>
                      <wp:docPr id="249080973" name="Diamond 20" descr="The diamond symbol represents Performance measures that may be impacted by external factors."/>
                      <wp:cNvGraphicFramePr/>
                      <a:graphic xmlns:a="http://schemas.openxmlformats.org/drawingml/2006/main">
                        <a:graphicData uri="http://schemas.microsoft.com/office/word/2010/wordprocessingShape">
                          <wps:wsp>
                            <wps:cNvSpPr/>
                            <wps:spPr>
                              <a:xfrm>
                                <a:off x="0" y="0"/>
                                <a:ext cx="45719" cy="95534"/>
                              </a:xfrm>
                              <a:prstGeom prst="diamond">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B1AAB9" id="Diamond 20" o:spid="_x0000_s1026" type="#_x0000_t4" alt="The diamond symbol represents Performance measures that may be impacted by external factors." style="position:absolute;margin-left:-1.05pt;margin-top:9.65pt;width:3.6pt;height:7.5pt;z-index:251675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" fillcolor="black [3213]" strokecolor="#000d10 [484]" strokeweight=".73403mm"/>
                  </w:pict>
                </mc:Fallback>
              </mc:AlternateContent>
            </w:r>
            <w:r w:rsidR="00E71249" w:rsidRPr="00FD2362">
              <w:rPr>
                <w:rFonts w:asciiTheme="minorHAnsi" w:hAnsiTheme="minorHAnsi" w:cstheme="minorHAnsi"/>
                <w:szCs w:val="22"/>
              </w:rPr>
              <w:t xml:space="preserve"> </w:t>
            </w:r>
            <w:r w:rsidR="005A2AFD">
              <w:rPr>
                <w:rFonts w:asciiTheme="minorHAnsi" w:hAnsiTheme="minorHAnsi" w:cstheme="minorHAnsi"/>
                <w:szCs w:val="22"/>
              </w:rPr>
              <w:t xml:space="preserve"> </w:t>
            </w:r>
            <w:r w:rsidR="00E71249" w:rsidRPr="00FD2362">
              <w:rPr>
                <w:rFonts w:asciiTheme="minorHAnsi" w:hAnsiTheme="minorHAnsi" w:cstheme="minorHAnsi"/>
                <w:szCs w:val="22"/>
              </w:rPr>
              <w:t>2.1.5-1B</w:t>
            </w:r>
            <w:r w:rsidR="00E71249" w:rsidRPr="00087716">
              <w:rPr>
                <w:rFonts w:asciiTheme="minorHAnsi" w:hAnsiTheme="minorHAnsi" w:cstheme="minorHAnsi"/>
                <w:szCs w:val="22"/>
              </w:rPr>
              <w:t xml:space="preserve"> – </w:t>
            </w:r>
            <w:r w:rsidR="00E71249" w:rsidRPr="00FD2362">
              <w:rPr>
                <w:rFonts w:asciiTheme="minorHAnsi" w:hAnsiTheme="minorHAnsi" w:cstheme="minorHAnsi"/>
                <w:szCs w:val="22"/>
              </w:rPr>
              <w:t>At least 80</w:t>
            </w:r>
            <w:r w:rsidR="00E71249">
              <w:rPr>
                <w:rFonts w:asciiTheme="minorHAnsi" w:hAnsiTheme="minorHAnsi" w:cstheme="minorHAnsi"/>
                <w:szCs w:val="22"/>
              </w:rPr>
              <w:t>%</w:t>
            </w:r>
            <w:r w:rsidR="00E71249" w:rsidRPr="00FD2362">
              <w:rPr>
                <w:rFonts w:asciiTheme="minorHAnsi" w:hAnsiTheme="minorHAnsi" w:cstheme="minorHAnsi"/>
                <w:szCs w:val="22"/>
              </w:rPr>
              <w:t xml:space="preserve"> of assessed clients record stabilisation or improvement in their financial resilience and/or material wellbeing and </w:t>
            </w:r>
            <w:proofErr w:type="gramStart"/>
            <w:r w:rsidR="00E71249" w:rsidRPr="00FD2362">
              <w:rPr>
                <w:rFonts w:asciiTheme="minorHAnsi" w:hAnsiTheme="minorHAnsi" w:cstheme="minorHAnsi"/>
                <w:szCs w:val="22"/>
              </w:rPr>
              <w:t>basic necessities</w:t>
            </w:r>
            <w:proofErr w:type="gramEnd"/>
            <w:r w:rsidR="00E71249" w:rsidRPr="00FD2362">
              <w:rPr>
                <w:rFonts w:asciiTheme="minorHAnsi" w:hAnsiTheme="minorHAnsi" w:cstheme="minorHAnsi"/>
                <w:szCs w:val="22"/>
              </w:rPr>
              <w:t xml:space="preserve"> during their assistance period.</w:t>
            </w:r>
          </w:p>
        </w:tc>
        <w:tc>
          <w:tcPr>
            <w:tcW w:w="770" w:type="pct"/>
            <w:tcBorders>
              <w:top w:val="single" w:sz="4" w:space="0" w:color="auto"/>
              <w:left w:val="single" w:sz="4" w:space="0" w:color="auto"/>
              <w:bottom w:val="single" w:sz="4" w:space="0" w:color="auto"/>
              <w:right w:val="single" w:sz="4" w:space="0" w:color="auto"/>
            </w:tcBorders>
          </w:tcPr>
          <w:p w14:paraId="76BB6021" w14:textId="77777777" w:rsidR="00E71249" w:rsidRPr="00FD2362" w:rsidRDefault="00E71249" w:rsidP="00496219">
            <w:pPr>
              <w:spacing w:before="120" w:after="60" w:line="252" w:lineRule="auto"/>
              <w:rPr>
                <w:rFonts w:asciiTheme="minorHAnsi" w:hAnsiTheme="minorHAnsi" w:cstheme="minorHAnsi"/>
                <w:szCs w:val="22"/>
              </w:rPr>
            </w:pPr>
            <w:r w:rsidRPr="00FD2362">
              <w:rPr>
                <w:rFonts w:asciiTheme="minorHAnsi" w:hAnsiTheme="minorHAnsi" w:cstheme="minorHAnsi"/>
                <w:szCs w:val="22"/>
              </w:rPr>
              <w:t>≥80%</w:t>
            </w:r>
          </w:p>
        </w:tc>
        <w:tc>
          <w:tcPr>
            <w:tcW w:w="770" w:type="pct"/>
            <w:tcBorders>
              <w:top w:val="single" w:sz="4" w:space="0" w:color="auto"/>
              <w:left w:val="single" w:sz="4" w:space="0" w:color="auto"/>
              <w:bottom w:val="single" w:sz="4" w:space="0" w:color="auto"/>
              <w:right w:val="single" w:sz="4" w:space="0" w:color="auto"/>
            </w:tcBorders>
          </w:tcPr>
          <w:p w14:paraId="0D63BF03" w14:textId="77777777" w:rsidR="00E71249" w:rsidRPr="00FD2362" w:rsidRDefault="00E71249" w:rsidP="00496219">
            <w:pPr>
              <w:spacing w:before="120" w:after="60" w:line="252" w:lineRule="auto"/>
              <w:rPr>
                <w:rFonts w:asciiTheme="minorHAnsi" w:hAnsiTheme="minorHAnsi" w:cstheme="minorHAnsi"/>
                <w:szCs w:val="22"/>
              </w:rPr>
            </w:pPr>
            <w:r w:rsidRPr="00FD2362">
              <w:rPr>
                <w:rFonts w:asciiTheme="minorHAnsi" w:hAnsiTheme="minorHAnsi" w:cstheme="minorHAnsi"/>
                <w:szCs w:val="22"/>
              </w:rPr>
              <w:t>≥80%</w:t>
            </w:r>
          </w:p>
        </w:tc>
        <w:tc>
          <w:tcPr>
            <w:tcW w:w="770" w:type="pct"/>
            <w:tcBorders>
              <w:top w:val="single" w:sz="4" w:space="0" w:color="auto"/>
              <w:left w:val="single" w:sz="4" w:space="0" w:color="auto"/>
              <w:bottom w:val="single" w:sz="4" w:space="0" w:color="auto"/>
              <w:right w:val="single" w:sz="4" w:space="0" w:color="auto"/>
            </w:tcBorders>
          </w:tcPr>
          <w:p w14:paraId="46A394A8" w14:textId="77777777" w:rsidR="00E71249" w:rsidRPr="00FD2362" w:rsidRDefault="00E71249" w:rsidP="00496219">
            <w:pPr>
              <w:spacing w:before="120" w:after="60" w:line="252" w:lineRule="auto"/>
              <w:rPr>
                <w:rFonts w:asciiTheme="minorHAnsi" w:hAnsiTheme="minorHAnsi" w:cstheme="minorHAnsi"/>
                <w:szCs w:val="22"/>
              </w:rPr>
            </w:pPr>
            <w:r w:rsidRPr="00FD2362">
              <w:rPr>
                <w:rFonts w:asciiTheme="minorHAnsi" w:hAnsiTheme="minorHAnsi" w:cstheme="minorHAnsi"/>
                <w:szCs w:val="22"/>
              </w:rPr>
              <w:t>≥80%</w:t>
            </w:r>
          </w:p>
        </w:tc>
        <w:tc>
          <w:tcPr>
            <w:tcW w:w="769" w:type="pct"/>
            <w:tcBorders>
              <w:top w:val="single" w:sz="4" w:space="0" w:color="auto"/>
              <w:left w:val="single" w:sz="4" w:space="0" w:color="auto"/>
              <w:bottom w:val="single" w:sz="4" w:space="0" w:color="auto"/>
              <w:right w:val="single" w:sz="4" w:space="0" w:color="auto"/>
            </w:tcBorders>
          </w:tcPr>
          <w:p w14:paraId="0C8ABE36" w14:textId="77777777" w:rsidR="00E71249" w:rsidRPr="00FD2362" w:rsidRDefault="00E71249" w:rsidP="00496219">
            <w:pPr>
              <w:spacing w:before="120" w:after="60" w:line="252" w:lineRule="auto"/>
              <w:rPr>
                <w:rFonts w:asciiTheme="minorHAnsi" w:hAnsiTheme="minorHAnsi" w:cstheme="minorHAnsi"/>
                <w:szCs w:val="22"/>
              </w:rPr>
            </w:pPr>
            <w:r w:rsidRPr="00FD2362">
              <w:rPr>
                <w:rFonts w:asciiTheme="minorHAnsi" w:hAnsiTheme="minorHAnsi" w:cstheme="minorHAnsi"/>
                <w:szCs w:val="22"/>
              </w:rPr>
              <w:t>≥80%</w:t>
            </w:r>
          </w:p>
        </w:tc>
      </w:tr>
    </w:tbl>
    <w:p w14:paraId="11799172" w14:textId="77777777" w:rsidR="00E71249" w:rsidRPr="00FD2362" w:rsidRDefault="00E71249" w:rsidP="00E71249">
      <w:pPr>
        <w:suppressAutoHyphens/>
        <w:spacing w:before="120" w:after="120"/>
        <w:rPr>
          <w:rFonts w:cstheme="minorHAnsi"/>
          <w:color w:val="000000"/>
          <w:szCs w:val="22"/>
          <w:lang w:eastAsia="en-AU"/>
        </w:rPr>
      </w:pPr>
    </w:p>
    <w:p w14:paraId="7FCD77AF" w14:textId="77777777" w:rsidR="00E71249" w:rsidRPr="00FD2362" w:rsidRDefault="00E71249" w:rsidP="00A97D98">
      <w:pPr>
        <w:pStyle w:val="CPCustom3"/>
        <w:rPr>
          <w:lang w:eastAsia="en-AU"/>
        </w:rPr>
      </w:pPr>
      <w:r w:rsidRPr="00FD2362">
        <w:rPr>
          <w:lang w:eastAsia="en-AU"/>
        </w:rPr>
        <w:lastRenderedPageBreak/>
        <w:t>Rationale</w:t>
      </w:r>
    </w:p>
    <w:p w14:paraId="08757A66" w14:textId="77777777" w:rsidR="00E71249" w:rsidRPr="00FD2362" w:rsidRDefault="00E71249" w:rsidP="00F41120">
      <w:pPr>
        <w:suppressAutoHyphens/>
        <w:spacing w:before="120" w:after="160" w:line="256" w:lineRule="auto"/>
        <w:rPr>
          <w:rFonts w:cstheme="minorHAnsi"/>
          <w:szCs w:val="22"/>
          <w:lang w:eastAsia="en-AU"/>
        </w:rPr>
      </w:pPr>
      <w:r w:rsidRPr="00FD2362">
        <w:rPr>
          <w:rFonts w:cstheme="minorHAnsi"/>
          <w:szCs w:val="22"/>
          <w:lang w:eastAsia="en-AU"/>
        </w:rPr>
        <w:t xml:space="preserve">This measure demonstrates the </w:t>
      </w:r>
      <w:r w:rsidRPr="00FD2362">
        <w:rPr>
          <w:rFonts w:cstheme="minorHAnsi"/>
          <w:b/>
          <w:bCs/>
          <w:szCs w:val="22"/>
          <w:lang w:eastAsia="en-AU"/>
        </w:rPr>
        <w:t>effectiveness</w:t>
      </w:r>
      <w:r w:rsidRPr="00FD2362">
        <w:rPr>
          <w:rFonts w:cstheme="minorHAnsi"/>
          <w:szCs w:val="22"/>
          <w:lang w:eastAsia="en-AU"/>
        </w:rPr>
        <w:t xml:space="preserve"> of FWC in achieving the objective of the key activity: to support vulnerable individuals and families to navigate financial crises, address financial stress and hardship, and increase financial literacy for individuals and families.</w:t>
      </w:r>
    </w:p>
    <w:p w14:paraId="1DE55E6B" w14:textId="77777777" w:rsidR="00E71249" w:rsidRPr="00FD2362" w:rsidRDefault="00E71249" w:rsidP="00F41120">
      <w:pPr>
        <w:pStyle w:val="ListParagraph"/>
        <w:spacing w:before="120" w:after="160"/>
        <w:rPr>
          <w:lang w:eastAsia="en-AU"/>
        </w:rPr>
      </w:pPr>
      <w:r w:rsidRPr="00FD2362">
        <w:rPr>
          <w:lang w:eastAsia="en-AU"/>
        </w:rPr>
        <w:t xml:space="preserve">Targeting 10% or less of people with multiple requests for ER demonstrates the effectiveness of the key activity by showing people who have experienced financial crisis (i.e. require ER) have reduced their reliance on ER </w:t>
      </w:r>
      <w:proofErr w:type="gramStart"/>
      <w:r w:rsidRPr="00FD2362">
        <w:rPr>
          <w:lang w:eastAsia="en-AU"/>
        </w:rPr>
        <w:t>as a result of</w:t>
      </w:r>
      <w:proofErr w:type="gramEnd"/>
      <w:r w:rsidRPr="00FD2362">
        <w:rPr>
          <w:lang w:eastAsia="en-AU"/>
        </w:rPr>
        <w:t xml:space="preserve"> being more financially resilient and navigating through financial crisis.</w:t>
      </w:r>
    </w:p>
    <w:p w14:paraId="0363EDAA" w14:textId="77777777" w:rsidR="00E71249" w:rsidRPr="00FD2362" w:rsidRDefault="00E71249" w:rsidP="00F41120">
      <w:pPr>
        <w:pStyle w:val="ListParagraph"/>
        <w:spacing w:before="120" w:after="160"/>
        <w:rPr>
          <w:lang w:eastAsia="en-AU"/>
        </w:rPr>
      </w:pPr>
      <w:r w:rsidRPr="00FD2362">
        <w:rPr>
          <w:lang w:eastAsia="en-AU"/>
        </w:rPr>
        <w:t>Targeting at least 80% of people who report an improvement or stabilisation in their financial wellbeing following engagement with a funded service demonstrates the effectiveness of the key activity by showing improvements and/or stabilisation in ‘financial wellbeing’ of services provided to clients as they navigate life transitions and/or financial stress or crisis.</w:t>
      </w:r>
    </w:p>
    <w:p w14:paraId="2BA14E7A" w14:textId="77777777" w:rsidR="00E71249" w:rsidRPr="00FD2362" w:rsidRDefault="00E71249" w:rsidP="00A97D98">
      <w:pPr>
        <w:pStyle w:val="CPCustom3"/>
        <w:rPr>
          <w:lang w:eastAsia="en-AU"/>
        </w:rPr>
      </w:pPr>
      <w:r w:rsidRPr="00FD2362">
        <w:rPr>
          <w:lang w:eastAsia="en-AU"/>
        </w:rPr>
        <w:t>Methodology</w:t>
      </w:r>
    </w:p>
    <w:p w14:paraId="664C6F3E" w14:textId="77777777" w:rsidR="00E71249" w:rsidRPr="00FD2362" w:rsidRDefault="00E71249" w:rsidP="00F41120">
      <w:pPr>
        <w:spacing w:before="120" w:after="160" w:line="257" w:lineRule="auto"/>
        <w:rPr>
          <w:rFonts w:eastAsia="Aptos" w:cstheme="minorHAnsi"/>
          <w:kern w:val="2"/>
          <w:szCs w:val="22"/>
          <w:lang w:eastAsia="en-AU"/>
          <w14:ligatures w14:val="standardContextual"/>
        </w:rPr>
      </w:pPr>
      <w:r w:rsidRPr="00FD2362">
        <w:rPr>
          <w:rFonts w:cstheme="minorHAnsi"/>
          <w:szCs w:val="22"/>
          <w:lang w:eastAsia="en-AU"/>
        </w:rPr>
        <w:t>Target 1A - The percentage for ER is based on the cohort of clients that had at least five sessions of ER on different days within a 90-day period in the current reporting year. The data source used for this calculation is the Department of Social Services Data Exchange using Statistical Linkage Key matching of de-identified clients</w:t>
      </w:r>
      <w:r w:rsidRPr="00FD2362">
        <w:rPr>
          <w:rFonts w:eastAsia="Aptos" w:cstheme="minorHAnsi"/>
          <w:kern w:val="2"/>
          <w:szCs w:val="22"/>
          <w:lang w:eastAsia="en-AU"/>
          <w14:ligatures w14:val="standardContextual"/>
        </w:rPr>
        <w:t>.</w:t>
      </w:r>
    </w:p>
    <w:p w14:paraId="1D547DF5" w14:textId="77777777" w:rsidR="00E71249" w:rsidRPr="00FD2362" w:rsidRDefault="00E71249" w:rsidP="00F41120">
      <w:pPr>
        <w:spacing w:before="120" w:after="160" w:line="257" w:lineRule="auto"/>
        <w:rPr>
          <w:rFonts w:cstheme="minorHAnsi"/>
          <w:szCs w:val="22"/>
          <w:lang w:eastAsia="en-AU"/>
        </w:rPr>
      </w:pPr>
      <w:r w:rsidRPr="00FD2362">
        <w:rPr>
          <w:rFonts w:cstheme="minorHAnsi"/>
          <w:szCs w:val="22"/>
          <w:lang w:eastAsia="en-AU"/>
        </w:rPr>
        <w:t>Target 1B - The percentage for financial wellbeing is based on improved and/or stabilised financial wellbeing measured as a positive and/or neutral change in financial wellbeing circumstances during the assistance period as compared to initial circumstances, recorded on the five-point Data Exchange Standard Client/Community Outcome Reporting Circumstances domains. The relevant domains used in this measure are Financial Resilience and Material Wellbeing and Basic Necessities.</w:t>
      </w:r>
    </w:p>
    <w:p w14:paraId="4D70F113" w14:textId="77777777" w:rsidR="00E71249" w:rsidRPr="00FD2362" w:rsidRDefault="00E71249" w:rsidP="00A97D98">
      <w:pPr>
        <w:pStyle w:val="CPCustom3"/>
        <w:rPr>
          <w:lang w:eastAsia="en-AU"/>
        </w:rPr>
      </w:pPr>
      <w:r w:rsidRPr="00FD2362">
        <w:rPr>
          <w:lang w:eastAsia="en-AU"/>
        </w:rPr>
        <w:t>Data Categorisation</w:t>
      </w:r>
    </w:p>
    <w:tbl>
      <w:tblPr>
        <w:tblStyle w:val="Numericaltable17"/>
        <w:tblpPr w:leftFromText="180" w:rightFromText="180" w:vertAnchor="text" w:horzAnchor="margin" w:tblpY="11"/>
        <w:tblW w:w="10201" w:type="dxa"/>
        <w:tblLook w:val="04A0" w:firstRow="1" w:lastRow="0" w:firstColumn="1" w:lastColumn="0" w:noHBand="0" w:noVBand="1"/>
        <w:tblCaption w:val="Table 40 - Categorisation of data source"/>
        <w:tblDescription w:val="Categorisation of data source"/>
      </w:tblPr>
      <w:tblGrid>
        <w:gridCol w:w="3823"/>
        <w:gridCol w:w="6378"/>
      </w:tblGrid>
      <w:tr w:rsidR="00E71249" w:rsidRPr="00FD2362" w14:paraId="27BA3519" w14:textId="77777777" w:rsidTr="00496219">
        <w:trPr>
          <w:trHeight w:val="558"/>
          <w:tblHeader/>
        </w:trPr>
        <w:tc>
          <w:tcPr>
            <w:tcW w:w="3823" w:type="dxa"/>
            <w:shd w:val="clear" w:color="auto" w:fill="215868"/>
          </w:tcPr>
          <w:p w14:paraId="00DD5447" w14:textId="77777777" w:rsidR="00E71249" w:rsidRPr="00FD2362" w:rsidRDefault="00E71249" w:rsidP="00496219">
            <w:pPr>
              <w:suppressAutoHyphens/>
              <w:spacing w:before="120" w:after="120"/>
              <w:rPr>
                <w:rFonts w:asciiTheme="minorHAnsi" w:hAnsiTheme="minorHAnsi" w:cstheme="minorHAnsi"/>
                <w:b/>
                <w:bCs/>
                <w:color w:val="FFFFFF"/>
                <w:szCs w:val="22"/>
              </w:rPr>
            </w:pPr>
            <w:r w:rsidRPr="00FD2362">
              <w:rPr>
                <w:rFonts w:asciiTheme="minorHAnsi" w:hAnsiTheme="minorHAnsi" w:cstheme="minorHAnsi"/>
                <w:b/>
                <w:bCs/>
                <w:color w:val="FFFFFF"/>
                <w:szCs w:val="22"/>
              </w:rPr>
              <w:t xml:space="preserve">Categorisation of data source </w:t>
            </w:r>
          </w:p>
        </w:tc>
        <w:tc>
          <w:tcPr>
            <w:tcW w:w="6378" w:type="dxa"/>
            <w:shd w:val="clear" w:color="auto" w:fill="215868"/>
          </w:tcPr>
          <w:p w14:paraId="45F6CA43" w14:textId="77777777" w:rsidR="00E71249" w:rsidRPr="00FD2362" w:rsidRDefault="00E71249" w:rsidP="00496219">
            <w:pPr>
              <w:suppressAutoHyphens/>
              <w:spacing w:before="120" w:after="120"/>
              <w:rPr>
                <w:rFonts w:asciiTheme="minorHAnsi" w:hAnsiTheme="minorHAnsi" w:cstheme="minorHAnsi"/>
                <w:b/>
                <w:bCs/>
                <w:color w:val="FFFFFF"/>
                <w:szCs w:val="22"/>
              </w:rPr>
            </w:pPr>
            <w:r w:rsidRPr="00FD2362">
              <w:rPr>
                <w:rFonts w:asciiTheme="minorHAnsi" w:hAnsiTheme="minorHAnsi" w:cstheme="minorHAnsi"/>
                <w:b/>
                <w:bCs/>
                <w:color w:val="FFFFFF"/>
                <w:szCs w:val="22"/>
              </w:rPr>
              <w:t xml:space="preserve">Data source </w:t>
            </w:r>
          </w:p>
        </w:tc>
      </w:tr>
      <w:tr w:rsidR="00E71249" w:rsidRPr="00FD2362" w14:paraId="1BAC658B" w14:textId="77777777" w:rsidTr="00496219">
        <w:trPr>
          <w:trHeight w:val="558"/>
        </w:trPr>
        <w:tc>
          <w:tcPr>
            <w:tcW w:w="3823" w:type="dxa"/>
          </w:tcPr>
          <w:p w14:paraId="2D93CD56" w14:textId="4CBA7677" w:rsidR="00E71249" w:rsidRPr="00FD2362" w:rsidRDefault="00E71249" w:rsidP="00496219">
            <w:pPr>
              <w:suppressAutoHyphens/>
              <w:spacing w:before="120" w:after="120"/>
              <w:rPr>
                <w:rFonts w:asciiTheme="minorHAnsi" w:hAnsiTheme="minorHAnsi" w:cstheme="minorHAnsi"/>
                <w:color w:val="000000"/>
                <w:szCs w:val="22"/>
              </w:rPr>
            </w:pPr>
            <w:r w:rsidRPr="00FD2362">
              <w:rPr>
                <w:rFonts w:cstheme="minorHAnsi"/>
                <w:noProof/>
                <w:szCs w:val="22"/>
              </w:rPr>
              <w:drawing>
                <wp:inline distT="0" distB="0" distL="0" distR="0" wp14:anchorId="02F8B38D" wp14:editId="1A0CC7C5">
                  <wp:extent cx="1205357" cy="351909"/>
                  <wp:effectExtent l="0" t="0" r="0" b="0"/>
                  <wp:docPr id="1755477257" name="picture" descr="'Terti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477257" name="picture" descr="'Tertiary Sour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05357" cy="351909"/>
                          </a:xfrm>
                          <a:prstGeom prst="rect">
                            <a:avLst/>
                          </a:prstGeom>
                        </pic:spPr>
                      </pic:pic>
                    </a:graphicData>
                  </a:graphic>
                </wp:inline>
              </w:drawing>
            </w:r>
            <w:r w:rsidR="007E4EC0">
              <w:rPr>
                <w:rFonts w:asciiTheme="minorHAnsi" w:hAnsiTheme="minorHAnsi" w:cstheme="minorHAnsi"/>
                <w:color w:val="000000"/>
                <w:szCs w:val="22"/>
              </w:rPr>
              <w:t xml:space="preserve"> </w:t>
            </w:r>
            <w:r w:rsidRPr="00FD2362">
              <w:rPr>
                <w:rFonts w:cstheme="minorHAnsi"/>
                <w:noProof/>
                <w:szCs w:val="22"/>
              </w:rPr>
              <w:drawing>
                <wp:inline distT="0" distB="0" distL="0" distR="0" wp14:anchorId="77589619" wp14:editId="1C834382">
                  <wp:extent cx="886700" cy="346367"/>
                  <wp:effectExtent l="0" t="0" r="8890" b="0"/>
                  <wp:docPr id="1757917531" name="picture" descr="'Ti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917531" name="picture" descr="'Tier 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86700" cy="346367"/>
                          </a:xfrm>
                          <a:prstGeom prst="rect">
                            <a:avLst/>
                          </a:prstGeom>
                        </pic:spPr>
                      </pic:pic>
                    </a:graphicData>
                  </a:graphic>
                </wp:inline>
              </w:drawing>
            </w:r>
          </w:p>
        </w:tc>
        <w:tc>
          <w:tcPr>
            <w:tcW w:w="6378" w:type="dxa"/>
          </w:tcPr>
          <w:p w14:paraId="1A391A23" w14:textId="586C7BC8" w:rsidR="00E71249" w:rsidRPr="00FD2362" w:rsidRDefault="00E71249" w:rsidP="00496219">
            <w:pPr>
              <w:suppressAutoHyphens/>
              <w:spacing w:before="120" w:after="120"/>
              <w:rPr>
                <w:rFonts w:asciiTheme="minorHAnsi" w:hAnsiTheme="minorHAnsi" w:cstheme="minorHAnsi"/>
                <w:color w:val="000000"/>
                <w:szCs w:val="22"/>
              </w:rPr>
            </w:pPr>
            <w:r w:rsidRPr="00FD2362">
              <w:rPr>
                <w:rFonts w:asciiTheme="minorHAnsi" w:hAnsiTheme="minorHAnsi" w:cstheme="minorHAnsi"/>
                <w:color w:val="000000"/>
                <w:szCs w:val="22"/>
                <w:lang w:eastAsia="en-AU"/>
              </w:rPr>
              <w:t>Department’s Data Exchange (DEX)</w:t>
            </w:r>
          </w:p>
        </w:tc>
      </w:tr>
    </w:tbl>
    <w:p w14:paraId="3FC03B25" w14:textId="77777777" w:rsidR="00E71249" w:rsidRPr="00FD2362" w:rsidRDefault="00E71249" w:rsidP="00A97D98">
      <w:pPr>
        <w:pStyle w:val="CPCustom3"/>
        <w:rPr>
          <w:lang w:eastAsia="en-AU"/>
        </w:rPr>
      </w:pPr>
      <w:r w:rsidRPr="00FD2362">
        <w:rPr>
          <w:lang w:eastAsia="en-AU"/>
        </w:rPr>
        <w:t>Supporting Information</w:t>
      </w:r>
    </w:p>
    <w:p w14:paraId="4CA9D661" w14:textId="77777777" w:rsidR="00E71249" w:rsidRPr="00FD2362" w:rsidRDefault="00E71249" w:rsidP="00F41120">
      <w:pPr>
        <w:pStyle w:val="ListParagraph"/>
        <w:spacing w:before="120" w:after="160"/>
        <w:ind w:left="714" w:hanging="357"/>
        <w:rPr>
          <w:lang w:eastAsia="en-AU"/>
        </w:rPr>
      </w:pPr>
      <w:r w:rsidRPr="00FD2362">
        <w:rPr>
          <w:lang w:eastAsia="en-AU"/>
        </w:rPr>
        <w:t>Administered outlays</w:t>
      </w:r>
    </w:p>
    <w:p w14:paraId="2A921C35" w14:textId="77777777" w:rsidR="00E71249" w:rsidRPr="00FD2362" w:rsidRDefault="00E71249" w:rsidP="00F41120">
      <w:pPr>
        <w:pStyle w:val="ListParagraph"/>
        <w:spacing w:before="120" w:after="160"/>
        <w:ind w:left="714" w:hanging="357"/>
        <w:rPr>
          <w:lang w:eastAsia="en-AU"/>
        </w:rPr>
      </w:pPr>
      <w:r w:rsidRPr="00FD2362">
        <w:rPr>
          <w:lang w:eastAsia="en-AU"/>
        </w:rPr>
        <w:t>Number of individuals assisted</w:t>
      </w:r>
    </w:p>
    <w:p w14:paraId="4250F658" w14:textId="77777777" w:rsidR="00E71249" w:rsidRDefault="00E71249" w:rsidP="00F41120">
      <w:pPr>
        <w:pStyle w:val="ListParagraph"/>
        <w:spacing w:before="120" w:after="160"/>
        <w:ind w:left="714" w:hanging="357"/>
        <w:rPr>
          <w:lang w:eastAsia="en-AU"/>
        </w:rPr>
      </w:pPr>
      <w:r w:rsidRPr="00FD2362">
        <w:rPr>
          <w:lang w:eastAsia="en-AU"/>
        </w:rPr>
        <w:t>Number of organisations contracted or receiving grant funding to deliver services</w:t>
      </w:r>
      <w:r>
        <w:rPr>
          <w:lang w:eastAsia="en-AU"/>
        </w:rPr>
        <w:t>.</w:t>
      </w:r>
    </w:p>
    <w:p w14:paraId="370766AF" w14:textId="77777777" w:rsidR="00E71249" w:rsidRPr="00763C4F" w:rsidRDefault="00E71249" w:rsidP="00E71249">
      <w:pPr>
        <w:spacing w:before="120" w:after="0" w:line="22" w:lineRule="atLeast"/>
        <w:rPr>
          <w:rFonts w:cstheme="minorHAnsi"/>
          <w:szCs w:val="22"/>
          <w:lang w:eastAsia="en-AU"/>
        </w:rPr>
      </w:pPr>
    </w:p>
    <w:p w14:paraId="31FB23D0" w14:textId="77777777" w:rsidR="00E71249" w:rsidRDefault="00E71249" w:rsidP="00E71249">
      <w:pPr>
        <w:spacing w:after="240"/>
        <w:rPr>
          <w:rFonts w:cstheme="minorHAnsi"/>
          <w:b/>
          <w:color w:val="FFFFFF" w:themeColor="background1"/>
          <w:szCs w:val="22"/>
          <w:lang w:eastAsia="en-AU"/>
        </w:rPr>
      </w:pPr>
    </w:p>
    <w:p w14:paraId="0A99AD0B" w14:textId="75AC25A3" w:rsidR="00E71249" w:rsidRPr="00DD6FA0" w:rsidRDefault="00E71249" w:rsidP="00DD6FA0">
      <w:pPr>
        <w:pStyle w:val="Heading3"/>
        <w:shd w:val="clear" w:color="auto" w:fill="005A70" w:themeFill="accent1"/>
        <w:rPr>
          <w:rFonts w:asciiTheme="minorHAnsi" w:hAnsiTheme="minorHAnsi" w:cstheme="minorHAnsi"/>
          <w:b/>
          <w:bCs w:val="0"/>
          <w:color w:val="FFFFFF" w:themeColor="background1"/>
          <w:sz w:val="22"/>
          <w:szCs w:val="22"/>
          <w:lang w:eastAsia="en-AU"/>
        </w:rPr>
      </w:pPr>
      <w:bookmarkStart w:id="143" w:name="_Toc238653305"/>
      <w:r w:rsidRPr="00DD6FA0">
        <w:rPr>
          <w:rFonts w:asciiTheme="minorHAnsi" w:hAnsiTheme="minorHAnsi" w:cstheme="minorHAnsi"/>
          <w:b/>
          <w:bCs w:val="0"/>
          <w:color w:val="FFFFFF" w:themeColor="background1"/>
          <w:sz w:val="22"/>
          <w:szCs w:val="22"/>
          <w:lang w:eastAsia="en-AU"/>
        </w:rPr>
        <w:t>P</w:t>
      </w:r>
      <w:r w:rsidR="00A97D98" w:rsidRPr="00DD6FA0">
        <w:rPr>
          <w:rFonts w:asciiTheme="minorHAnsi" w:hAnsiTheme="minorHAnsi" w:cstheme="minorHAnsi"/>
          <w:b/>
          <w:bCs w:val="0"/>
          <w:color w:val="FFFFFF" w:themeColor="background1"/>
          <w:sz w:val="22"/>
          <w:szCs w:val="22"/>
          <w:lang w:eastAsia="en-AU"/>
        </w:rPr>
        <w:t>rogram</w:t>
      </w:r>
      <w:r w:rsidRPr="00DD6FA0">
        <w:rPr>
          <w:rFonts w:asciiTheme="minorHAnsi" w:hAnsiTheme="minorHAnsi" w:cstheme="minorHAnsi"/>
          <w:b/>
          <w:bCs w:val="0"/>
          <w:color w:val="FFFFFF" w:themeColor="background1"/>
          <w:sz w:val="22"/>
          <w:szCs w:val="22"/>
          <w:lang w:eastAsia="en-AU"/>
        </w:rPr>
        <w:t xml:space="preserve"> 2.1 </w:t>
      </w:r>
      <w:bookmarkEnd w:id="140"/>
      <w:r w:rsidR="00A97D98" w:rsidRPr="00DD6FA0">
        <w:rPr>
          <w:rFonts w:asciiTheme="minorHAnsi" w:hAnsiTheme="minorHAnsi" w:cstheme="minorHAnsi"/>
          <w:b/>
          <w:bCs w:val="0"/>
          <w:color w:val="FFFFFF" w:themeColor="background1"/>
          <w:sz w:val="22"/>
          <w:szCs w:val="22"/>
          <w:lang w:eastAsia="en-AU"/>
        </w:rPr>
        <w:t>Families and Communities</w:t>
      </w:r>
      <w:bookmarkEnd w:id="143"/>
    </w:p>
    <w:p w14:paraId="4490479A" w14:textId="77777777" w:rsidR="00E71249" w:rsidRPr="00763C4F" w:rsidRDefault="00E71249" w:rsidP="00E71249">
      <w:pPr>
        <w:shd w:val="clear" w:color="auto" w:fill="005A70"/>
        <w:spacing w:before="120" w:line="256" w:lineRule="auto"/>
        <w:rPr>
          <w:rFonts w:cstheme="minorHAnsi"/>
          <w:bCs/>
          <w:color w:val="FFFFFF" w:themeColor="background1"/>
          <w:szCs w:val="22"/>
          <w:lang w:eastAsia="en-AU"/>
        </w:rPr>
      </w:pPr>
      <w:r w:rsidRPr="00763C4F">
        <w:rPr>
          <w:rFonts w:cstheme="minorHAnsi"/>
          <w:bCs/>
          <w:color w:val="FFFFFF" w:themeColor="background1"/>
          <w:szCs w:val="22"/>
          <w:lang w:eastAsia="en-AU"/>
        </w:rPr>
        <w:t>To strengthen relationships, support families, improve wellbeing of children and young people, reduce the cost of family breakdown, and strengthen family and community functioning.</w:t>
      </w:r>
    </w:p>
    <w:p w14:paraId="6E17B928" w14:textId="77777777" w:rsidR="00E71249" w:rsidRPr="002A5B00" w:rsidRDefault="00E71249" w:rsidP="002A5B00">
      <w:pPr>
        <w:pStyle w:val="Heading4"/>
        <w:shd w:val="clear" w:color="auto" w:fill="B1E4E3" w:themeFill="accent3"/>
        <w:spacing w:before="60" w:after="60"/>
        <w:rPr>
          <w:color w:val="auto"/>
          <w:sz w:val="22"/>
          <w:szCs w:val="22"/>
        </w:rPr>
      </w:pPr>
      <w:r w:rsidRPr="002A5B00">
        <w:rPr>
          <w:color w:val="auto"/>
          <w:sz w:val="22"/>
          <w:szCs w:val="22"/>
        </w:rPr>
        <w:t>Key Activity — 2.1.7 National Redress Scheme for Institutional Child Sexual Abuse</w:t>
      </w:r>
      <w:r w:rsidRPr="002A5B00">
        <w:rPr>
          <w:color w:val="auto"/>
          <w:sz w:val="22"/>
          <w:szCs w:val="22"/>
        </w:rPr>
        <w:tab/>
      </w:r>
      <w:r w:rsidRPr="002A5B00">
        <w:rPr>
          <w:color w:val="auto"/>
          <w:sz w:val="22"/>
          <w:szCs w:val="22"/>
        </w:rPr>
        <w:tab/>
      </w:r>
    </w:p>
    <w:p w14:paraId="1F27280C" w14:textId="77777777" w:rsidR="00E71249" w:rsidRPr="00763C4F" w:rsidRDefault="00E71249" w:rsidP="00F41120">
      <w:pPr>
        <w:suppressAutoHyphens/>
        <w:spacing w:before="120" w:after="160" w:line="256" w:lineRule="auto"/>
        <w:rPr>
          <w:rFonts w:cstheme="minorHAnsi"/>
          <w:szCs w:val="22"/>
          <w:lang w:eastAsia="en-AU"/>
        </w:rPr>
      </w:pPr>
      <w:bookmarkStart w:id="144" w:name="_Toc77593307"/>
      <w:bookmarkStart w:id="145" w:name="_Toc111026129"/>
      <w:bookmarkStart w:id="146" w:name="_Toc172099805"/>
      <w:bookmarkStart w:id="147" w:name="_Toc175906061"/>
      <w:bookmarkStart w:id="148" w:name="_Toc201309099"/>
      <w:bookmarkStart w:id="149" w:name="_Toc201310795"/>
      <w:r w:rsidRPr="00763C4F">
        <w:rPr>
          <w:rFonts w:cstheme="minorHAnsi"/>
          <w:szCs w:val="22"/>
          <w:lang w:eastAsia="en-AU"/>
        </w:rPr>
        <w:t>The National Redress Scheme for Institutional Child Sexual Abuse (the Scheme) is a key activity of the Families and Communities program. The Scheme provides support to people who have experienced institutional child sexual abuse. The Scheme:</w:t>
      </w:r>
    </w:p>
    <w:p w14:paraId="3C381938" w14:textId="77777777" w:rsidR="00E71249" w:rsidRPr="00763C4F" w:rsidRDefault="00E71249" w:rsidP="00F41120">
      <w:pPr>
        <w:pStyle w:val="ListParagraph"/>
        <w:spacing w:before="120" w:after="160"/>
        <w:rPr>
          <w:lang w:eastAsia="en-AU"/>
        </w:rPr>
      </w:pPr>
      <w:r w:rsidRPr="00763C4F">
        <w:rPr>
          <w:lang w:eastAsia="en-AU"/>
        </w:rPr>
        <w:t>acknowledges that many children were sexually abused in Australian institutions</w:t>
      </w:r>
    </w:p>
    <w:p w14:paraId="4F2C5069" w14:textId="77777777" w:rsidR="00E71249" w:rsidRPr="00763C4F" w:rsidRDefault="00E71249" w:rsidP="00F41120">
      <w:pPr>
        <w:pStyle w:val="ListParagraph"/>
        <w:spacing w:before="120" w:after="160"/>
        <w:rPr>
          <w:lang w:eastAsia="en-AU"/>
        </w:rPr>
      </w:pPr>
      <w:r w:rsidRPr="00763C4F">
        <w:rPr>
          <w:lang w:eastAsia="en-AU"/>
        </w:rPr>
        <w:lastRenderedPageBreak/>
        <w:t>recognises the harm caused by this abuse</w:t>
      </w:r>
    </w:p>
    <w:p w14:paraId="7215A887" w14:textId="77777777" w:rsidR="00E71249" w:rsidRPr="00763C4F" w:rsidRDefault="00E71249" w:rsidP="00F41120">
      <w:pPr>
        <w:pStyle w:val="ListParagraph"/>
        <w:spacing w:before="120" w:after="160"/>
        <w:rPr>
          <w:lang w:eastAsia="en-AU"/>
        </w:rPr>
      </w:pPr>
      <w:r w:rsidRPr="00763C4F">
        <w:rPr>
          <w:lang w:eastAsia="en-AU"/>
        </w:rPr>
        <w:t>holds institutions accountable for this abuse</w:t>
      </w:r>
    </w:p>
    <w:p w14:paraId="43EF41D2" w14:textId="77777777" w:rsidR="00E71249" w:rsidRPr="00763C4F" w:rsidRDefault="00E71249" w:rsidP="00F41120">
      <w:pPr>
        <w:pStyle w:val="ListParagraph"/>
        <w:spacing w:before="120" w:after="160"/>
        <w:rPr>
          <w:lang w:eastAsia="en-AU"/>
        </w:rPr>
      </w:pPr>
      <w:r w:rsidRPr="00763C4F">
        <w:rPr>
          <w:lang w:eastAsia="en-AU"/>
        </w:rPr>
        <w:t>helps people who have experienced institutional child sexual abuse gain access to counselling and psychological services, a direct personal response, and a monetary payment.</w:t>
      </w:r>
    </w:p>
    <w:p w14:paraId="4CBCFC04" w14:textId="77777777" w:rsidR="00E71249" w:rsidRPr="00763C4F" w:rsidRDefault="00E71249" w:rsidP="00F41120">
      <w:pPr>
        <w:suppressAutoHyphens/>
        <w:spacing w:before="120" w:after="160" w:line="257" w:lineRule="auto"/>
        <w:rPr>
          <w:rFonts w:cstheme="minorHAnsi"/>
          <w:szCs w:val="22"/>
          <w:lang w:eastAsia="en-AU"/>
        </w:rPr>
      </w:pPr>
      <w:r w:rsidRPr="00763C4F">
        <w:rPr>
          <w:rFonts w:cstheme="minorHAnsi"/>
          <w:szCs w:val="22"/>
          <w:lang w:eastAsia="en-AU"/>
        </w:rPr>
        <w:t>The Scheme has been developed with the needs of survivors at its core. The Scheme provides support to people through free access to Redress Support Services and independent legal support. Eligible people will be able to access the 3 components of redress: counselling; a redress payment; and a direct personal response from an institution (e.g. an apology).</w:t>
      </w:r>
    </w:p>
    <w:p w14:paraId="091D006B" w14:textId="77777777" w:rsidR="00E71249" w:rsidRPr="00763C4F" w:rsidRDefault="00E71249" w:rsidP="00F41120">
      <w:pPr>
        <w:spacing w:before="120" w:after="160"/>
        <w:rPr>
          <w:rFonts w:cstheme="minorHAnsi"/>
          <w:szCs w:val="22"/>
          <w:lang w:eastAsia="en-AU"/>
        </w:rPr>
      </w:pPr>
      <w:r w:rsidRPr="00763C4F">
        <w:rPr>
          <w:rFonts w:cstheme="minorHAnsi"/>
          <w:b/>
          <w:bCs/>
          <w:szCs w:val="22"/>
          <w:lang w:eastAsia="en-AU"/>
        </w:rPr>
        <w:t>The department</w:t>
      </w:r>
      <w:r w:rsidRPr="00763C4F">
        <w:rPr>
          <w:rFonts w:cstheme="minorHAnsi"/>
          <w:szCs w:val="22"/>
          <w:lang w:eastAsia="en-AU"/>
        </w:rPr>
        <w:t xml:space="preserve"> is responsible for:</w:t>
      </w:r>
    </w:p>
    <w:p w14:paraId="38A5CFFB" w14:textId="77777777" w:rsidR="00E71249" w:rsidRPr="00763C4F" w:rsidRDefault="00E71249" w:rsidP="00F41120">
      <w:pPr>
        <w:pStyle w:val="ListParagraph"/>
        <w:spacing w:before="120" w:after="160"/>
        <w:ind w:hanging="357"/>
        <w:rPr>
          <w:lang w:eastAsia="en-AU"/>
        </w:rPr>
      </w:pPr>
      <w:r w:rsidRPr="00763C4F">
        <w:rPr>
          <w:lang w:eastAsia="en-AU"/>
        </w:rPr>
        <w:t>policy, guidelines, eligibility criteria, and legislation for the activity</w:t>
      </w:r>
    </w:p>
    <w:p w14:paraId="4C28921F" w14:textId="77777777" w:rsidR="00E71249" w:rsidRPr="00763C4F" w:rsidRDefault="00E71249" w:rsidP="00F41120">
      <w:pPr>
        <w:pStyle w:val="ListParagraph"/>
        <w:spacing w:before="120" w:after="160"/>
        <w:ind w:hanging="357"/>
        <w:rPr>
          <w:lang w:eastAsia="en-AU"/>
        </w:rPr>
      </w:pPr>
      <w:r w:rsidRPr="00763C4F">
        <w:rPr>
          <w:lang w:eastAsia="en-AU"/>
        </w:rPr>
        <w:t>processing and managing applications:</w:t>
      </w:r>
    </w:p>
    <w:p w14:paraId="4B7A831B" w14:textId="77777777" w:rsidR="00E71249" w:rsidRPr="00763C4F" w:rsidRDefault="00E71249" w:rsidP="006778D7">
      <w:pPr>
        <w:pStyle w:val="ListParagraph"/>
        <w:numPr>
          <w:ilvl w:val="1"/>
          <w:numId w:val="31"/>
        </w:numPr>
        <w:spacing w:before="120" w:after="160"/>
        <w:ind w:hanging="357"/>
        <w:rPr>
          <w:lang w:eastAsia="en-AU"/>
        </w:rPr>
      </w:pPr>
      <w:r w:rsidRPr="00763C4F">
        <w:rPr>
          <w:lang w:eastAsia="en-AU"/>
        </w:rPr>
        <w:t>considering applications; deciding if an applicant can access redress, and which redress the institution(s) needs to make to the applicant</w:t>
      </w:r>
    </w:p>
    <w:p w14:paraId="36048677" w14:textId="77777777" w:rsidR="00E71249" w:rsidRPr="00763C4F" w:rsidRDefault="00E71249" w:rsidP="006778D7">
      <w:pPr>
        <w:pStyle w:val="ListParagraph"/>
        <w:numPr>
          <w:ilvl w:val="1"/>
          <w:numId w:val="31"/>
        </w:numPr>
        <w:spacing w:before="120" w:after="160"/>
        <w:ind w:hanging="357"/>
        <w:rPr>
          <w:lang w:eastAsia="en-AU"/>
        </w:rPr>
      </w:pPr>
      <w:r w:rsidRPr="00763C4F">
        <w:rPr>
          <w:lang w:eastAsia="en-AU"/>
        </w:rPr>
        <w:t>asking the relevant institution(s) for information</w:t>
      </w:r>
    </w:p>
    <w:p w14:paraId="66A74D08" w14:textId="77777777" w:rsidR="00E71249" w:rsidRPr="00763C4F" w:rsidRDefault="00E71249" w:rsidP="006778D7">
      <w:pPr>
        <w:pStyle w:val="ListParagraph"/>
        <w:numPr>
          <w:ilvl w:val="1"/>
          <w:numId w:val="31"/>
        </w:numPr>
        <w:spacing w:before="120" w:after="160"/>
        <w:ind w:hanging="357"/>
        <w:rPr>
          <w:lang w:eastAsia="en-AU"/>
        </w:rPr>
      </w:pPr>
      <w:r w:rsidRPr="00763C4F">
        <w:rPr>
          <w:lang w:eastAsia="en-AU"/>
        </w:rPr>
        <w:t>communicating with the applicant, including requesting more information and about the outcome of the application (an offer of redress).</w:t>
      </w:r>
    </w:p>
    <w:p w14:paraId="3B4328E3" w14:textId="77777777" w:rsidR="00E71249" w:rsidRPr="00763C4F" w:rsidRDefault="00E71249" w:rsidP="00F41120">
      <w:pPr>
        <w:pStyle w:val="ListParagraph"/>
        <w:spacing w:before="120" w:after="160"/>
        <w:ind w:hanging="357"/>
        <w:rPr>
          <w:lang w:eastAsia="en-AU"/>
        </w:rPr>
      </w:pPr>
      <w:r w:rsidRPr="00763C4F">
        <w:rPr>
          <w:lang w:eastAsia="en-AU"/>
        </w:rPr>
        <w:t>providing free access to Redress Support Services and redress-specific financial counselling support</w:t>
      </w:r>
    </w:p>
    <w:p w14:paraId="1A846568" w14:textId="77777777" w:rsidR="00E71249" w:rsidRPr="00763C4F" w:rsidRDefault="00E71249" w:rsidP="00F41120">
      <w:pPr>
        <w:pStyle w:val="ListParagraph"/>
        <w:spacing w:before="120" w:after="160"/>
        <w:ind w:hanging="357"/>
        <w:rPr>
          <w:lang w:eastAsia="en-AU"/>
        </w:rPr>
      </w:pPr>
      <w:r w:rsidRPr="00763C4F">
        <w:rPr>
          <w:lang w:eastAsia="en-AU"/>
        </w:rPr>
        <w:t>working with institutions to join the Scheme</w:t>
      </w:r>
    </w:p>
    <w:p w14:paraId="6433118F" w14:textId="77777777" w:rsidR="00E71249" w:rsidRPr="00763C4F" w:rsidRDefault="00E71249" w:rsidP="00F41120">
      <w:pPr>
        <w:pStyle w:val="ListParagraph"/>
        <w:spacing w:before="120" w:after="160"/>
        <w:ind w:hanging="357"/>
        <w:rPr>
          <w:lang w:eastAsia="en-AU"/>
        </w:rPr>
      </w:pPr>
      <w:r w:rsidRPr="00763C4F">
        <w:rPr>
          <w:lang w:eastAsia="en-AU"/>
        </w:rPr>
        <w:t>publicly identifying institutions that decline to join the Scheme.</w:t>
      </w:r>
    </w:p>
    <w:p w14:paraId="16357F6E" w14:textId="77777777" w:rsidR="00E71249" w:rsidRPr="00763C4F" w:rsidRDefault="00E71249" w:rsidP="00E71249">
      <w:pPr>
        <w:spacing w:before="120"/>
        <w:rPr>
          <w:rFonts w:cstheme="minorHAnsi"/>
          <w:szCs w:val="22"/>
          <w:lang w:eastAsia="en-AU"/>
        </w:rPr>
      </w:pPr>
      <w:r w:rsidRPr="00763C4F">
        <w:rPr>
          <w:rFonts w:cstheme="minorHAnsi"/>
          <w:b/>
          <w:bCs/>
          <w:szCs w:val="22"/>
          <w:lang w:eastAsia="en-AU"/>
        </w:rPr>
        <w:t>The institutions</w:t>
      </w:r>
      <w:r w:rsidRPr="00763C4F">
        <w:rPr>
          <w:rFonts w:cstheme="minorHAnsi"/>
          <w:szCs w:val="22"/>
          <w:lang w:eastAsia="en-AU"/>
        </w:rPr>
        <w:t xml:space="preserve"> are responsible for:</w:t>
      </w:r>
    </w:p>
    <w:p w14:paraId="1D6668B1" w14:textId="77777777" w:rsidR="00E71249" w:rsidRPr="00763C4F" w:rsidRDefault="00E71249" w:rsidP="00F41120">
      <w:pPr>
        <w:pStyle w:val="ListParagraph"/>
        <w:spacing w:before="120" w:after="160"/>
        <w:rPr>
          <w:lang w:eastAsia="en-AU"/>
        </w:rPr>
      </w:pPr>
      <w:r w:rsidRPr="00763C4F">
        <w:rPr>
          <w:lang w:eastAsia="en-AU"/>
        </w:rPr>
        <w:t>joining the Scheme</w:t>
      </w:r>
    </w:p>
    <w:p w14:paraId="7CCB1DF2" w14:textId="79F064AB" w:rsidR="00E71249" w:rsidRPr="00763C4F" w:rsidRDefault="00E71249" w:rsidP="00F41120">
      <w:pPr>
        <w:pStyle w:val="ListParagraph"/>
        <w:spacing w:before="120" w:after="160"/>
        <w:rPr>
          <w:lang w:eastAsia="en-AU"/>
        </w:rPr>
      </w:pPr>
      <w:r w:rsidRPr="00763C4F">
        <w:rPr>
          <w:lang w:eastAsia="en-AU"/>
        </w:rPr>
        <w:t xml:space="preserve">providing information to the </w:t>
      </w:r>
      <w:r w:rsidR="0054557F">
        <w:rPr>
          <w:lang w:eastAsia="en-AU"/>
        </w:rPr>
        <w:t>d</w:t>
      </w:r>
      <w:r w:rsidRPr="00763C4F">
        <w:rPr>
          <w:lang w:eastAsia="en-AU"/>
        </w:rPr>
        <w:t>epartment about relevant applicants</w:t>
      </w:r>
    </w:p>
    <w:p w14:paraId="1748D057" w14:textId="77777777" w:rsidR="00E71249" w:rsidRPr="00763C4F" w:rsidRDefault="00E71249" w:rsidP="00F41120">
      <w:pPr>
        <w:pStyle w:val="ListParagraph"/>
        <w:spacing w:before="120" w:after="160"/>
        <w:rPr>
          <w:lang w:eastAsia="en-AU"/>
        </w:rPr>
      </w:pPr>
      <w:r w:rsidRPr="00763C4F">
        <w:rPr>
          <w:lang w:eastAsia="en-AU"/>
        </w:rPr>
        <w:t>when required, providing redress to people who experienced child sexual abuse while in the care of their institution (counselling, a redress payment and a direct personal response from an institution).</w:t>
      </w:r>
    </w:p>
    <w:p w14:paraId="5F6D6428" w14:textId="77777777" w:rsidR="00E71249" w:rsidRPr="00763C4F" w:rsidRDefault="00E71249" w:rsidP="00F41120">
      <w:pPr>
        <w:spacing w:before="120" w:after="160"/>
        <w:ind w:left="720" w:hanging="720"/>
        <w:rPr>
          <w:rFonts w:cstheme="minorHAnsi"/>
          <w:szCs w:val="22"/>
          <w:lang w:eastAsia="en-AU"/>
        </w:rPr>
      </w:pPr>
      <w:r w:rsidRPr="00763C4F">
        <w:rPr>
          <w:rFonts w:cstheme="minorHAnsi"/>
          <w:szCs w:val="22"/>
          <w:lang w:eastAsia="en-AU"/>
        </w:rPr>
        <w:t xml:space="preserve">The role of </w:t>
      </w:r>
      <w:r w:rsidRPr="00763C4F">
        <w:rPr>
          <w:rFonts w:cstheme="minorHAnsi"/>
          <w:b/>
          <w:bCs/>
          <w:szCs w:val="22"/>
          <w:lang w:eastAsia="en-AU"/>
        </w:rPr>
        <w:t>the applicant</w:t>
      </w:r>
      <w:r w:rsidRPr="00763C4F">
        <w:rPr>
          <w:rFonts w:cstheme="minorHAnsi"/>
          <w:szCs w:val="22"/>
          <w:lang w:eastAsia="en-AU"/>
        </w:rPr>
        <w:t xml:space="preserve"> is to:</w:t>
      </w:r>
    </w:p>
    <w:p w14:paraId="02A84879" w14:textId="77777777" w:rsidR="00E71249" w:rsidRPr="00763C4F" w:rsidRDefault="00E71249" w:rsidP="00F41120">
      <w:pPr>
        <w:pStyle w:val="ListParagraph"/>
        <w:spacing w:before="120" w:after="160"/>
        <w:rPr>
          <w:lang w:eastAsia="en-AU"/>
        </w:rPr>
      </w:pPr>
      <w:r w:rsidRPr="00763C4F">
        <w:rPr>
          <w:lang w:eastAsia="en-AU"/>
        </w:rPr>
        <w:t xml:space="preserve">complete and </w:t>
      </w:r>
      <w:proofErr w:type="gramStart"/>
      <w:r w:rsidRPr="00763C4F">
        <w:rPr>
          <w:lang w:eastAsia="en-AU"/>
        </w:rPr>
        <w:t>submit an application</w:t>
      </w:r>
      <w:proofErr w:type="gramEnd"/>
      <w:r w:rsidRPr="00763C4F">
        <w:rPr>
          <w:lang w:eastAsia="en-AU"/>
        </w:rPr>
        <w:t xml:space="preserve"> form</w:t>
      </w:r>
    </w:p>
    <w:p w14:paraId="0CF0F9B1" w14:textId="77777777" w:rsidR="00E71249" w:rsidRPr="00763C4F" w:rsidRDefault="00E71249" w:rsidP="00F41120">
      <w:pPr>
        <w:pStyle w:val="ListParagraph"/>
        <w:spacing w:before="120" w:after="160"/>
        <w:rPr>
          <w:lang w:eastAsia="en-AU"/>
        </w:rPr>
      </w:pPr>
      <w:r w:rsidRPr="00763C4F">
        <w:rPr>
          <w:lang w:eastAsia="en-AU"/>
        </w:rPr>
        <w:t>provide true and correct information</w:t>
      </w:r>
    </w:p>
    <w:p w14:paraId="13A7A378" w14:textId="77777777" w:rsidR="00E71249" w:rsidRPr="00763C4F" w:rsidRDefault="00E71249" w:rsidP="00F41120">
      <w:pPr>
        <w:pStyle w:val="ListParagraph"/>
        <w:spacing w:before="120" w:after="160"/>
        <w:rPr>
          <w:lang w:eastAsia="en-AU"/>
        </w:rPr>
      </w:pPr>
      <w:r w:rsidRPr="00763C4F">
        <w:rPr>
          <w:lang w:eastAsia="en-AU"/>
        </w:rPr>
        <w:t>provide extra information when requested from the department</w:t>
      </w:r>
    </w:p>
    <w:p w14:paraId="2136E47D" w14:textId="77777777" w:rsidR="00E71249" w:rsidRPr="00763C4F" w:rsidRDefault="00E71249" w:rsidP="00F41120">
      <w:pPr>
        <w:pStyle w:val="ListParagraph"/>
        <w:spacing w:before="120" w:after="160"/>
        <w:rPr>
          <w:lang w:eastAsia="en-AU"/>
        </w:rPr>
      </w:pPr>
      <w:r w:rsidRPr="00763C4F">
        <w:rPr>
          <w:lang w:eastAsia="en-AU"/>
        </w:rPr>
        <w:t>accept, decline or ask for a review of an offer of redress.</w:t>
      </w:r>
    </w:p>
    <w:p w14:paraId="51E858F4" w14:textId="40B4FCE8" w:rsidR="00E71249" w:rsidRPr="00A97D98" w:rsidRDefault="00E71249" w:rsidP="00A97D98">
      <w:pPr>
        <w:pStyle w:val="Heading4"/>
        <w:rPr>
          <w:sz w:val="22"/>
          <w:szCs w:val="22"/>
        </w:rPr>
      </w:pPr>
      <w:bookmarkStart w:id="150" w:name="_Toc232417452"/>
      <w:r w:rsidRPr="00A97D98">
        <w:rPr>
          <w:sz w:val="22"/>
          <w:szCs w:val="22"/>
        </w:rPr>
        <w:t>Performance Measure</w:t>
      </w:r>
      <w:bookmarkEnd w:id="150"/>
    </w:p>
    <w:p w14:paraId="59A95A0D" w14:textId="77777777" w:rsidR="00E71249" w:rsidRPr="00763C4F" w:rsidRDefault="00E71249" w:rsidP="00E71249">
      <w:pPr>
        <w:spacing w:before="120" w:line="257" w:lineRule="auto"/>
        <w:rPr>
          <w:rFonts w:cstheme="minorHAnsi"/>
          <w:szCs w:val="22"/>
          <w:lang w:eastAsia="en-AU"/>
        </w:rPr>
      </w:pPr>
      <w:r w:rsidRPr="00763C4F">
        <w:rPr>
          <w:rFonts w:cstheme="minorHAnsi"/>
          <w:szCs w:val="22"/>
          <w:lang w:eastAsia="en-AU"/>
        </w:rPr>
        <w:t>2.1.7-1 Ensure quality and timely decisions are made on applications to the Scheme.</w:t>
      </w:r>
    </w:p>
    <w:tbl>
      <w:tblPr>
        <w:tblStyle w:val="TableGrid394"/>
        <w:tblW w:w="10201" w:type="dxa"/>
        <w:tblLook w:val="04A0" w:firstRow="1" w:lastRow="0" w:firstColumn="1" w:lastColumn="0" w:noHBand="0" w:noVBand="1"/>
        <w:tblCaption w:val="Table 41 - 2.1.7-1 performance measure and target"/>
        <w:tblDescription w:val="Table outlines the quality and timeliness of redress scheme decisions across  2023-24, 2024-25, 2025-26, 2026-27"/>
      </w:tblPr>
      <w:tblGrid>
        <w:gridCol w:w="4106"/>
        <w:gridCol w:w="1523"/>
        <w:gridCol w:w="1524"/>
        <w:gridCol w:w="1524"/>
        <w:gridCol w:w="1524"/>
      </w:tblGrid>
      <w:tr w:rsidR="00E71249" w:rsidRPr="00763C4F" w14:paraId="48DD4655" w14:textId="77777777" w:rsidTr="00496219">
        <w:trPr>
          <w:cantSplit/>
          <w:trHeight w:val="326"/>
          <w:tblHeader/>
        </w:trPr>
        <w:tc>
          <w:tcPr>
            <w:tcW w:w="4106" w:type="dxa"/>
            <w:tcBorders>
              <w:top w:val="single" w:sz="4" w:space="0" w:color="auto"/>
              <w:left w:val="single" w:sz="4" w:space="0" w:color="auto"/>
              <w:bottom w:val="single" w:sz="4" w:space="0" w:color="auto"/>
              <w:right w:val="single" w:sz="4" w:space="0" w:color="auto"/>
            </w:tcBorders>
            <w:shd w:val="clear" w:color="auto" w:fill="D9D9D6"/>
            <w:vAlign w:val="center"/>
            <w:hideMark/>
          </w:tcPr>
          <w:p w14:paraId="50F078F1" w14:textId="77777777" w:rsidR="00E71249" w:rsidRPr="00763C4F" w:rsidRDefault="00E71249" w:rsidP="00496219">
            <w:pPr>
              <w:spacing w:before="120" w:after="120"/>
              <w:rPr>
                <w:rFonts w:asciiTheme="minorHAnsi" w:hAnsiTheme="minorHAnsi" w:cstheme="minorHAnsi"/>
                <w:szCs w:val="22"/>
              </w:rPr>
            </w:pPr>
            <w:r w:rsidRPr="00763C4F">
              <w:rPr>
                <w:rFonts w:asciiTheme="minorHAnsi" w:hAnsiTheme="minorHAnsi" w:cstheme="minorHAnsi"/>
                <w:b/>
                <w:bCs/>
                <w:szCs w:val="22"/>
              </w:rPr>
              <w:t>Target</w:t>
            </w:r>
          </w:p>
        </w:tc>
        <w:tc>
          <w:tcPr>
            <w:tcW w:w="1523" w:type="dxa"/>
            <w:tcBorders>
              <w:top w:val="single" w:sz="4" w:space="0" w:color="auto"/>
              <w:left w:val="single" w:sz="4" w:space="0" w:color="auto"/>
              <w:bottom w:val="single" w:sz="4" w:space="0" w:color="auto"/>
              <w:right w:val="single" w:sz="4" w:space="0" w:color="auto"/>
            </w:tcBorders>
            <w:shd w:val="clear" w:color="auto" w:fill="D9D9D6"/>
            <w:hideMark/>
          </w:tcPr>
          <w:p w14:paraId="345C95AF" w14:textId="77777777" w:rsidR="00E71249" w:rsidRPr="00763C4F" w:rsidRDefault="00E71249" w:rsidP="00496219">
            <w:pPr>
              <w:spacing w:before="120" w:after="120"/>
              <w:rPr>
                <w:rFonts w:asciiTheme="minorHAnsi" w:hAnsiTheme="minorHAnsi" w:cstheme="minorHAnsi"/>
                <w:szCs w:val="22"/>
              </w:rPr>
            </w:pPr>
            <w:r w:rsidRPr="00763C4F">
              <w:rPr>
                <w:rFonts w:asciiTheme="minorHAnsi" w:hAnsiTheme="minorHAnsi" w:cstheme="minorHAnsi"/>
                <w:b/>
                <w:szCs w:val="22"/>
              </w:rPr>
              <w:t>2026–27</w:t>
            </w:r>
          </w:p>
        </w:tc>
        <w:tc>
          <w:tcPr>
            <w:tcW w:w="1524" w:type="dxa"/>
            <w:tcBorders>
              <w:top w:val="single" w:sz="4" w:space="0" w:color="auto"/>
              <w:left w:val="single" w:sz="4" w:space="0" w:color="auto"/>
              <w:bottom w:val="single" w:sz="4" w:space="0" w:color="auto"/>
              <w:right w:val="single" w:sz="4" w:space="0" w:color="auto"/>
            </w:tcBorders>
            <w:shd w:val="clear" w:color="auto" w:fill="D9D9D6"/>
            <w:hideMark/>
          </w:tcPr>
          <w:p w14:paraId="5EE73623" w14:textId="77777777" w:rsidR="00E71249" w:rsidRPr="00763C4F" w:rsidRDefault="00E71249" w:rsidP="00496219">
            <w:pPr>
              <w:spacing w:before="120" w:after="120"/>
              <w:rPr>
                <w:rFonts w:asciiTheme="minorHAnsi" w:hAnsiTheme="minorHAnsi" w:cstheme="minorHAnsi"/>
                <w:b/>
                <w:szCs w:val="22"/>
              </w:rPr>
            </w:pPr>
            <w:r w:rsidRPr="00763C4F">
              <w:rPr>
                <w:rFonts w:asciiTheme="minorHAnsi" w:hAnsiTheme="minorHAnsi" w:cstheme="minorHAnsi"/>
                <w:b/>
                <w:szCs w:val="22"/>
              </w:rPr>
              <w:t>2027–28</w:t>
            </w:r>
          </w:p>
        </w:tc>
        <w:tc>
          <w:tcPr>
            <w:tcW w:w="1524" w:type="dxa"/>
            <w:tcBorders>
              <w:top w:val="single" w:sz="4" w:space="0" w:color="auto"/>
              <w:left w:val="single" w:sz="4" w:space="0" w:color="auto"/>
              <w:bottom w:val="single" w:sz="4" w:space="0" w:color="auto"/>
              <w:right w:val="single" w:sz="4" w:space="0" w:color="auto"/>
            </w:tcBorders>
            <w:shd w:val="clear" w:color="auto" w:fill="D9D9D6"/>
            <w:hideMark/>
          </w:tcPr>
          <w:p w14:paraId="6714B534" w14:textId="77777777" w:rsidR="00E71249" w:rsidRPr="00763C4F" w:rsidRDefault="00E71249" w:rsidP="00496219">
            <w:pPr>
              <w:spacing w:before="120" w:after="120"/>
              <w:rPr>
                <w:rFonts w:asciiTheme="minorHAnsi" w:hAnsiTheme="minorHAnsi" w:cstheme="minorHAnsi"/>
                <w:b/>
                <w:szCs w:val="22"/>
              </w:rPr>
            </w:pPr>
            <w:r w:rsidRPr="00763C4F">
              <w:rPr>
                <w:rFonts w:asciiTheme="minorHAnsi" w:hAnsiTheme="minorHAnsi" w:cstheme="minorHAnsi"/>
                <w:b/>
                <w:szCs w:val="22"/>
              </w:rPr>
              <w:t>2028–29</w:t>
            </w:r>
          </w:p>
        </w:tc>
        <w:tc>
          <w:tcPr>
            <w:tcW w:w="1524" w:type="dxa"/>
            <w:tcBorders>
              <w:top w:val="single" w:sz="4" w:space="0" w:color="auto"/>
              <w:left w:val="single" w:sz="4" w:space="0" w:color="auto"/>
              <w:bottom w:val="single" w:sz="4" w:space="0" w:color="auto"/>
              <w:right w:val="single" w:sz="4" w:space="0" w:color="auto"/>
            </w:tcBorders>
            <w:shd w:val="clear" w:color="auto" w:fill="D9D9D6"/>
            <w:hideMark/>
          </w:tcPr>
          <w:p w14:paraId="20787997" w14:textId="77777777" w:rsidR="00E71249" w:rsidRPr="00763C4F" w:rsidRDefault="00E71249" w:rsidP="00496219">
            <w:pPr>
              <w:spacing w:before="120" w:after="120"/>
              <w:rPr>
                <w:rFonts w:asciiTheme="minorHAnsi" w:hAnsiTheme="minorHAnsi" w:cstheme="minorHAnsi"/>
                <w:b/>
                <w:szCs w:val="22"/>
              </w:rPr>
            </w:pPr>
            <w:r w:rsidRPr="00763C4F">
              <w:rPr>
                <w:rFonts w:asciiTheme="minorHAnsi" w:hAnsiTheme="minorHAnsi" w:cstheme="minorHAnsi"/>
                <w:b/>
                <w:szCs w:val="22"/>
              </w:rPr>
              <w:t>2029–30</w:t>
            </w:r>
          </w:p>
        </w:tc>
      </w:tr>
      <w:tr w:rsidR="00E71249" w:rsidRPr="00763C4F" w14:paraId="323B8B92" w14:textId="77777777" w:rsidTr="00496219">
        <w:trPr>
          <w:cantSplit/>
          <w:trHeight w:val="356"/>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E018B9"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t>2.1.7-1A</w:t>
            </w:r>
            <w:r w:rsidRPr="00087716">
              <w:rPr>
                <w:rFonts w:asciiTheme="minorHAnsi" w:hAnsiTheme="minorHAnsi" w:cstheme="minorHAnsi"/>
                <w:szCs w:val="22"/>
              </w:rPr>
              <w:t xml:space="preserve"> – </w:t>
            </w:r>
            <w:r w:rsidRPr="00763C4F">
              <w:rPr>
                <w:rFonts w:asciiTheme="minorHAnsi" w:hAnsiTheme="minorHAnsi" w:cstheme="minorHAnsi"/>
                <w:noProof/>
                <w:szCs w:val="22"/>
              </w:rPr>
              <w:t>The Scheme will notify at least 25% of survivors about an outcome within 6 months of the date that all required information is received.</w:t>
            </w:r>
          </w:p>
        </w:tc>
        <w:tc>
          <w:tcPr>
            <w:tcW w:w="1523" w:type="dxa"/>
            <w:tcBorders>
              <w:top w:val="single" w:sz="4" w:space="0" w:color="auto"/>
              <w:left w:val="single" w:sz="4" w:space="0" w:color="auto"/>
              <w:bottom w:val="single" w:sz="4" w:space="0" w:color="auto"/>
              <w:right w:val="single" w:sz="4" w:space="0" w:color="auto"/>
            </w:tcBorders>
            <w:hideMark/>
          </w:tcPr>
          <w:p w14:paraId="0F2155FD"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t>≥25%</w:t>
            </w:r>
          </w:p>
        </w:tc>
        <w:tc>
          <w:tcPr>
            <w:tcW w:w="1524" w:type="dxa"/>
            <w:tcBorders>
              <w:top w:val="single" w:sz="4" w:space="0" w:color="auto"/>
              <w:left w:val="single" w:sz="4" w:space="0" w:color="auto"/>
              <w:bottom w:val="single" w:sz="4" w:space="0" w:color="auto"/>
              <w:right w:val="single" w:sz="4" w:space="0" w:color="auto"/>
            </w:tcBorders>
            <w:hideMark/>
          </w:tcPr>
          <w:p w14:paraId="0CEC8A3A"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t>≥25%</w:t>
            </w:r>
          </w:p>
        </w:tc>
        <w:tc>
          <w:tcPr>
            <w:tcW w:w="1524" w:type="dxa"/>
            <w:tcBorders>
              <w:top w:val="single" w:sz="4" w:space="0" w:color="auto"/>
              <w:left w:val="single" w:sz="4" w:space="0" w:color="auto"/>
              <w:bottom w:val="single" w:sz="4" w:space="0" w:color="auto"/>
              <w:right w:val="single" w:sz="4" w:space="0" w:color="auto"/>
            </w:tcBorders>
            <w:hideMark/>
          </w:tcPr>
          <w:p w14:paraId="697F9933"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t>N/A</w:t>
            </w:r>
          </w:p>
        </w:tc>
        <w:tc>
          <w:tcPr>
            <w:tcW w:w="1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253A54"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t>N/A</w:t>
            </w:r>
          </w:p>
        </w:tc>
      </w:tr>
      <w:tr w:rsidR="00E71249" w:rsidRPr="00763C4F" w14:paraId="4DCC0621" w14:textId="77777777" w:rsidTr="00496219">
        <w:trPr>
          <w:cantSplit/>
          <w:trHeight w:val="1350"/>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Pr>
          <w:p w14:paraId="31663ED3"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lastRenderedPageBreak/>
              <w:t>2.1.7-1B</w:t>
            </w:r>
            <w:r w:rsidRPr="00087716">
              <w:rPr>
                <w:rFonts w:asciiTheme="minorHAnsi" w:hAnsiTheme="minorHAnsi" w:cstheme="minorHAnsi"/>
                <w:szCs w:val="22"/>
              </w:rPr>
              <w:t xml:space="preserve"> – </w:t>
            </w:r>
            <w:r w:rsidRPr="00763C4F">
              <w:rPr>
                <w:rFonts w:asciiTheme="minorHAnsi" w:hAnsiTheme="minorHAnsi" w:cstheme="minorHAnsi"/>
                <w:noProof/>
                <w:szCs w:val="22"/>
              </w:rPr>
              <w:t>The Scheme will notify at least 50% of survivors about an outcome within 9 months of the date that all required information is received.</w:t>
            </w:r>
          </w:p>
        </w:tc>
        <w:tc>
          <w:tcPr>
            <w:tcW w:w="1523" w:type="dxa"/>
            <w:tcBorders>
              <w:top w:val="single" w:sz="4" w:space="0" w:color="auto"/>
              <w:left w:val="single" w:sz="4" w:space="0" w:color="auto"/>
              <w:bottom w:val="single" w:sz="4" w:space="0" w:color="auto"/>
              <w:right w:val="single" w:sz="4" w:space="0" w:color="auto"/>
            </w:tcBorders>
          </w:tcPr>
          <w:p w14:paraId="3A84F5E0"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t>≥50%</w:t>
            </w:r>
          </w:p>
        </w:tc>
        <w:tc>
          <w:tcPr>
            <w:tcW w:w="1524" w:type="dxa"/>
            <w:tcBorders>
              <w:top w:val="single" w:sz="4" w:space="0" w:color="auto"/>
              <w:left w:val="single" w:sz="4" w:space="0" w:color="auto"/>
              <w:bottom w:val="single" w:sz="4" w:space="0" w:color="auto"/>
              <w:right w:val="single" w:sz="4" w:space="0" w:color="auto"/>
            </w:tcBorders>
          </w:tcPr>
          <w:p w14:paraId="19D96852"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t>≥50%</w:t>
            </w:r>
          </w:p>
        </w:tc>
        <w:tc>
          <w:tcPr>
            <w:tcW w:w="1524" w:type="dxa"/>
            <w:tcBorders>
              <w:top w:val="single" w:sz="4" w:space="0" w:color="auto"/>
              <w:left w:val="single" w:sz="4" w:space="0" w:color="auto"/>
              <w:bottom w:val="single" w:sz="4" w:space="0" w:color="auto"/>
              <w:right w:val="single" w:sz="4" w:space="0" w:color="auto"/>
            </w:tcBorders>
          </w:tcPr>
          <w:p w14:paraId="4483D261"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t>N/A</w:t>
            </w:r>
          </w:p>
        </w:tc>
        <w:tc>
          <w:tcPr>
            <w:tcW w:w="1524" w:type="dxa"/>
            <w:tcBorders>
              <w:top w:val="single" w:sz="4" w:space="0" w:color="auto"/>
              <w:left w:val="single" w:sz="4" w:space="0" w:color="auto"/>
              <w:bottom w:val="single" w:sz="4" w:space="0" w:color="auto"/>
              <w:right w:val="single" w:sz="4" w:space="0" w:color="auto"/>
            </w:tcBorders>
            <w:shd w:val="clear" w:color="auto" w:fill="FFFFFF" w:themeFill="background1"/>
          </w:tcPr>
          <w:p w14:paraId="102A9CBF"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t>N/A</w:t>
            </w:r>
          </w:p>
        </w:tc>
      </w:tr>
      <w:tr w:rsidR="00E71249" w:rsidRPr="00763C4F" w14:paraId="2B804AD0" w14:textId="77777777" w:rsidTr="00496219">
        <w:trPr>
          <w:cantSplit/>
          <w:trHeight w:val="356"/>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Pr>
          <w:p w14:paraId="2714096A"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t>2.1.7-1C</w:t>
            </w:r>
            <w:r w:rsidRPr="00087716">
              <w:rPr>
                <w:rFonts w:asciiTheme="minorHAnsi" w:hAnsiTheme="minorHAnsi" w:cstheme="minorHAnsi"/>
                <w:szCs w:val="22"/>
              </w:rPr>
              <w:t xml:space="preserve"> – </w:t>
            </w:r>
            <w:r w:rsidRPr="00763C4F">
              <w:rPr>
                <w:rFonts w:asciiTheme="minorHAnsi" w:hAnsiTheme="minorHAnsi" w:cstheme="minorHAnsi"/>
                <w:noProof/>
                <w:szCs w:val="22"/>
              </w:rPr>
              <w:t>The Scheme will notify at least 75% of survivors about an outcome within 12 months of the date that all required information is received.</w:t>
            </w:r>
          </w:p>
        </w:tc>
        <w:tc>
          <w:tcPr>
            <w:tcW w:w="1523" w:type="dxa"/>
            <w:tcBorders>
              <w:top w:val="single" w:sz="4" w:space="0" w:color="auto"/>
              <w:left w:val="single" w:sz="4" w:space="0" w:color="auto"/>
              <w:bottom w:val="single" w:sz="4" w:space="0" w:color="auto"/>
              <w:right w:val="single" w:sz="4" w:space="0" w:color="auto"/>
            </w:tcBorders>
          </w:tcPr>
          <w:p w14:paraId="46B9F0CA"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t>≥75%</w:t>
            </w:r>
          </w:p>
        </w:tc>
        <w:tc>
          <w:tcPr>
            <w:tcW w:w="1524" w:type="dxa"/>
            <w:tcBorders>
              <w:top w:val="single" w:sz="4" w:space="0" w:color="auto"/>
              <w:left w:val="single" w:sz="4" w:space="0" w:color="auto"/>
              <w:bottom w:val="single" w:sz="4" w:space="0" w:color="auto"/>
              <w:right w:val="single" w:sz="4" w:space="0" w:color="auto"/>
            </w:tcBorders>
          </w:tcPr>
          <w:p w14:paraId="66574195"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t>≥75%</w:t>
            </w:r>
          </w:p>
        </w:tc>
        <w:tc>
          <w:tcPr>
            <w:tcW w:w="1524" w:type="dxa"/>
            <w:tcBorders>
              <w:top w:val="single" w:sz="4" w:space="0" w:color="auto"/>
              <w:left w:val="single" w:sz="4" w:space="0" w:color="auto"/>
              <w:bottom w:val="single" w:sz="4" w:space="0" w:color="auto"/>
              <w:right w:val="single" w:sz="4" w:space="0" w:color="auto"/>
            </w:tcBorders>
          </w:tcPr>
          <w:p w14:paraId="3C7BE6EB"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t>N/A</w:t>
            </w:r>
          </w:p>
        </w:tc>
        <w:tc>
          <w:tcPr>
            <w:tcW w:w="1524" w:type="dxa"/>
            <w:tcBorders>
              <w:top w:val="single" w:sz="4" w:space="0" w:color="auto"/>
              <w:left w:val="single" w:sz="4" w:space="0" w:color="auto"/>
              <w:bottom w:val="single" w:sz="4" w:space="0" w:color="auto"/>
              <w:right w:val="single" w:sz="4" w:space="0" w:color="auto"/>
            </w:tcBorders>
            <w:shd w:val="clear" w:color="auto" w:fill="FFFFFF" w:themeFill="background1"/>
          </w:tcPr>
          <w:p w14:paraId="78568D86"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t>N/A</w:t>
            </w:r>
          </w:p>
        </w:tc>
      </w:tr>
      <w:tr w:rsidR="00E71249" w:rsidRPr="00763C4F" w14:paraId="1A1EA334" w14:textId="77777777" w:rsidTr="00496219">
        <w:trPr>
          <w:cantSplit/>
          <w:trHeight w:val="356"/>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C2CE39"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t>2.1.7-1D</w:t>
            </w:r>
            <w:r w:rsidRPr="00087716">
              <w:rPr>
                <w:rFonts w:asciiTheme="minorHAnsi" w:hAnsiTheme="minorHAnsi" w:cstheme="minorHAnsi"/>
                <w:szCs w:val="22"/>
              </w:rPr>
              <w:t xml:space="preserve"> – </w:t>
            </w:r>
            <w:r w:rsidRPr="00763C4F">
              <w:rPr>
                <w:rFonts w:asciiTheme="minorHAnsi" w:hAnsiTheme="minorHAnsi" w:cstheme="minorHAnsi"/>
                <w:noProof/>
                <w:szCs w:val="22"/>
              </w:rPr>
              <w:t>The Scheme will maintain quality decision-making, with at least 95% of initial determinations reflecting the final outcome.</w:t>
            </w:r>
          </w:p>
        </w:tc>
        <w:tc>
          <w:tcPr>
            <w:tcW w:w="1523" w:type="dxa"/>
            <w:tcBorders>
              <w:top w:val="single" w:sz="4" w:space="0" w:color="auto"/>
              <w:left w:val="single" w:sz="4" w:space="0" w:color="auto"/>
              <w:bottom w:val="single" w:sz="4" w:space="0" w:color="auto"/>
              <w:right w:val="single" w:sz="4" w:space="0" w:color="auto"/>
            </w:tcBorders>
            <w:hideMark/>
          </w:tcPr>
          <w:p w14:paraId="136E578C"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t>≥95%</w:t>
            </w:r>
          </w:p>
        </w:tc>
        <w:tc>
          <w:tcPr>
            <w:tcW w:w="1524" w:type="dxa"/>
            <w:tcBorders>
              <w:top w:val="single" w:sz="4" w:space="0" w:color="auto"/>
              <w:left w:val="single" w:sz="4" w:space="0" w:color="auto"/>
              <w:bottom w:val="single" w:sz="4" w:space="0" w:color="auto"/>
              <w:right w:val="single" w:sz="4" w:space="0" w:color="auto"/>
            </w:tcBorders>
            <w:hideMark/>
          </w:tcPr>
          <w:p w14:paraId="0B214CA3"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t>≥95%</w:t>
            </w:r>
          </w:p>
        </w:tc>
        <w:tc>
          <w:tcPr>
            <w:tcW w:w="1524" w:type="dxa"/>
            <w:tcBorders>
              <w:top w:val="single" w:sz="4" w:space="0" w:color="auto"/>
              <w:left w:val="single" w:sz="4" w:space="0" w:color="auto"/>
              <w:bottom w:val="single" w:sz="4" w:space="0" w:color="auto"/>
              <w:right w:val="single" w:sz="4" w:space="0" w:color="auto"/>
            </w:tcBorders>
            <w:hideMark/>
          </w:tcPr>
          <w:p w14:paraId="1785B43A"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t>N/A</w:t>
            </w:r>
          </w:p>
        </w:tc>
        <w:tc>
          <w:tcPr>
            <w:tcW w:w="1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5FD295"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t>N/A</w:t>
            </w:r>
          </w:p>
        </w:tc>
      </w:tr>
    </w:tbl>
    <w:p w14:paraId="2467CC26" w14:textId="77777777" w:rsidR="00E71249" w:rsidRPr="00763C4F" w:rsidRDefault="00E71249" w:rsidP="00A97D98">
      <w:pPr>
        <w:pStyle w:val="CPCustom3"/>
        <w:rPr>
          <w:lang w:eastAsia="en-AU"/>
        </w:rPr>
      </w:pPr>
      <w:r w:rsidRPr="00763C4F">
        <w:rPr>
          <w:lang w:eastAsia="en-AU"/>
        </w:rPr>
        <w:t>Rationale</w:t>
      </w:r>
    </w:p>
    <w:p w14:paraId="3D0F8181" w14:textId="77777777" w:rsidR="00E71249" w:rsidRPr="00763C4F" w:rsidRDefault="00E71249" w:rsidP="00F41120">
      <w:pPr>
        <w:suppressAutoHyphens/>
        <w:spacing w:before="120" w:after="160" w:line="257" w:lineRule="auto"/>
        <w:rPr>
          <w:rFonts w:cstheme="minorHAnsi"/>
          <w:color w:val="000000" w:themeColor="text1"/>
          <w:szCs w:val="22"/>
          <w:lang w:eastAsia="en-AU"/>
        </w:rPr>
      </w:pPr>
      <w:r w:rsidRPr="00763C4F">
        <w:rPr>
          <w:rFonts w:cstheme="minorHAnsi"/>
          <w:szCs w:val="22"/>
          <w:lang w:eastAsia="en-AU"/>
        </w:rPr>
        <w:t xml:space="preserve">Measuring the quality and timely finalisation of the Scheme applications and offers made to survivors aims to demonstrate the department has efficiently processed and managed applications. This is a </w:t>
      </w:r>
      <w:r w:rsidRPr="00763C4F">
        <w:rPr>
          <w:rFonts w:cstheme="minorHAnsi"/>
          <w:b/>
          <w:bCs/>
          <w:szCs w:val="22"/>
          <w:lang w:eastAsia="en-AU"/>
        </w:rPr>
        <w:t>proxy measure of efficiency</w:t>
      </w:r>
      <w:r w:rsidRPr="00763C4F">
        <w:rPr>
          <w:rFonts w:cstheme="minorHAnsi"/>
          <w:szCs w:val="22"/>
          <w:lang w:eastAsia="en-AU"/>
        </w:rPr>
        <w:t xml:space="preserve"> that demonstrates achievement of a key output of the Scheme key activity: the department has called or sent the applicant a letter about the outcome of their application. Further, the proportion of initial determinations that reflect the final outcome indicates the quality of decision making – that the details in the application have been fully considered in the determination made, and, where a further review of a decision is requested, the review does not lead to the original decision being overturned in more than a small number of instances</w:t>
      </w:r>
      <w:r w:rsidRPr="00763C4F">
        <w:rPr>
          <w:rFonts w:cstheme="minorHAnsi"/>
          <w:color w:val="000000" w:themeColor="text1"/>
          <w:szCs w:val="22"/>
          <w:lang w:eastAsia="en-AU"/>
        </w:rPr>
        <w:t>.</w:t>
      </w:r>
    </w:p>
    <w:p w14:paraId="16E81871" w14:textId="77777777" w:rsidR="00E71249" w:rsidRPr="00763C4F" w:rsidRDefault="00E71249" w:rsidP="00F41120">
      <w:pPr>
        <w:suppressAutoHyphens/>
        <w:spacing w:before="120" w:after="160" w:line="256" w:lineRule="auto"/>
        <w:rPr>
          <w:rFonts w:cstheme="minorHAnsi"/>
          <w:szCs w:val="22"/>
          <w:lang w:eastAsia="en-AU"/>
        </w:rPr>
      </w:pPr>
      <w:r w:rsidRPr="00763C4F">
        <w:rPr>
          <w:rFonts w:cstheme="minorHAnsi"/>
          <w:szCs w:val="22"/>
          <w:lang w:eastAsia="en-AU"/>
        </w:rPr>
        <w:t xml:space="preserve">Targeting a proportion (25%, 50% or 75%) of applications that name institutions that participate in the Scheme have a decision communicated to the applicant within a specified time period (6, 9 or 12 months) of all required information being received by the Scheme demonstrates </w:t>
      </w:r>
      <w:r w:rsidRPr="00763C4F">
        <w:rPr>
          <w:rFonts w:cstheme="minorHAnsi"/>
          <w:b/>
          <w:bCs/>
          <w:szCs w:val="22"/>
          <w:lang w:eastAsia="en-AU"/>
        </w:rPr>
        <w:t>proxy efficiency</w:t>
      </w:r>
      <w:r w:rsidRPr="00763C4F">
        <w:rPr>
          <w:rFonts w:cstheme="minorHAnsi"/>
          <w:szCs w:val="22"/>
          <w:lang w:eastAsia="en-AU"/>
        </w:rPr>
        <w:t xml:space="preserve"> of the key activity by showing applications are processed within a reasonable timeframe, and is reflective of the complexity of the assessment process, available resources to process applications, and institutions that have joined the Scheme.</w:t>
      </w:r>
    </w:p>
    <w:p w14:paraId="60FE7413" w14:textId="77777777" w:rsidR="00E71249" w:rsidRPr="00763C4F" w:rsidRDefault="00E71249" w:rsidP="00A97D98">
      <w:pPr>
        <w:pStyle w:val="CPCustom3"/>
        <w:rPr>
          <w:lang w:eastAsia="en-AU"/>
        </w:rPr>
      </w:pPr>
      <w:r w:rsidRPr="00763C4F">
        <w:rPr>
          <w:lang w:eastAsia="en-AU"/>
        </w:rPr>
        <w:t>Methodology</w:t>
      </w:r>
    </w:p>
    <w:p w14:paraId="1CB7F29E" w14:textId="77777777" w:rsidR="00E71249" w:rsidRPr="00763C4F" w:rsidRDefault="00E71249" w:rsidP="00F41120">
      <w:pPr>
        <w:spacing w:before="120" w:after="160" w:line="257" w:lineRule="auto"/>
        <w:rPr>
          <w:rFonts w:cstheme="minorHAnsi"/>
          <w:szCs w:val="22"/>
          <w:lang w:eastAsia="en-AU"/>
        </w:rPr>
      </w:pPr>
      <w:r w:rsidRPr="00763C4F">
        <w:rPr>
          <w:rFonts w:cstheme="minorHAnsi"/>
          <w:b/>
          <w:bCs/>
          <w:szCs w:val="22"/>
          <w:lang w:eastAsia="en-AU"/>
        </w:rPr>
        <w:t>2.1.7-1A -</w:t>
      </w:r>
      <w:r w:rsidRPr="00763C4F">
        <w:rPr>
          <w:rFonts w:cstheme="minorHAnsi"/>
          <w:szCs w:val="22"/>
          <w:lang w:eastAsia="en-AU"/>
        </w:rPr>
        <w:t xml:space="preserve"> The percentage of applications that progress with at least one named institution participating in the Scheme and are advised of their redress outcome within 6 months of all required information being received, as a proportion of all applicants who are advised of their redress outcome.</w:t>
      </w:r>
    </w:p>
    <w:p w14:paraId="57E35896" w14:textId="77777777" w:rsidR="00E71249" w:rsidRPr="00763C4F" w:rsidRDefault="00E71249" w:rsidP="00F41120">
      <w:pPr>
        <w:spacing w:before="120" w:after="160" w:line="257" w:lineRule="auto"/>
        <w:rPr>
          <w:rFonts w:cstheme="minorHAnsi"/>
          <w:szCs w:val="22"/>
          <w:lang w:eastAsia="en-AU"/>
        </w:rPr>
      </w:pPr>
      <w:r w:rsidRPr="00763C4F">
        <w:rPr>
          <w:rFonts w:cstheme="minorHAnsi"/>
          <w:b/>
          <w:bCs/>
          <w:szCs w:val="22"/>
          <w:lang w:eastAsia="en-AU"/>
        </w:rPr>
        <w:t>2.1.7-1B -</w:t>
      </w:r>
      <w:r w:rsidRPr="00763C4F">
        <w:rPr>
          <w:rFonts w:cstheme="minorHAnsi"/>
          <w:szCs w:val="22"/>
          <w:lang w:eastAsia="en-AU"/>
        </w:rPr>
        <w:t xml:space="preserve"> The percentage of applications that progress with at least one named institution participating in the Scheme and are advised of their redress outcome within 9 months of all required information being received, as a proportion of all applicants who are advised of their redress outcome.</w:t>
      </w:r>
    </w:p>
    <w:p w14:paraId="47CA4D61" w14:textId="77777777" w:rsidR="00E71249" w:rsidRPr="00763C4F" w:rsidRDefault="00E71249" w:rsidP="00F41120">
      <w:pPr>
        <w:spacing w:before="120" w:after="160" w:line="257" w:lineRule="auto"/>
        <w:rPr>
          <w:rFonts w:cstheme="minorHAnsi"/>
          <w:szCs w:val="22"/>
          <w:lang w:eastAsia="en-AU"/>
        </w:rPr>
      </w:pPr>
      <w:r w:rsidRPr="00763C4F">
        <w:rPr>
          <w:rFonts w:cstheme="minorHAnsi"/>
          <w:b/>
          <w:bCs/>
          <w:szCs w:val="22"/>
          <w:lang w:eastAsia="en-AU"/>
        </w:rPr>
        <w:t>2.1.7-1C -</w:t>
      </w:r>
      <w:r w:rsidRPr="00763C4F">
        <w:rPr>
          <w:rFonts w:cstheme="minorHAnsi"/>
          <w:szCs w:val="22"/>
          <w:lang w:eastAsia="en-AU"/>
        </w:rPr>
        <w:t xml:space="preserve"> The percentage of applications that progress with at least one named institution participating in the Scheme and are advised of their redress outcome within 12 months of all required information being received, as a proportion of all applicants who are advised of their redress outcome.</w:t>
      </w:r>
    </w:p>
    <w:p w14:paraId="370768BE" w14:textId="77777777" w:rsidR="00E71249" w:rsidRPr="00763C4F" w:rsidRDefault="00E71249" w:rsidP="00F41120">
      <w:pPr>
        <w:autoSpaceDE w:val="0"/>
        <w:autoSpaceDN w:val="0"/>
        <w:adjustRightInd w:val="0"/>
        <w:spacing w:before="120" w:after="160" w:line="252" w:lineRule="auto"/>
        <w:rPr>
          <w:rFonts w:cstheme="minorHAnsi"/>
          <w:szCs w:val="22"/>
          <w:lang w:eastAsia="en-AU"/>
        </w:rPr>
      </w:pPr>
      <w:r w:rsidRPr="00763C4F">
        <w:rPr>
          <w:rFonts w:cstheme="minorHAnsi"/>
          <w:b/>
          <w:bCs/>
          <w:szCs w:val="22"/>
          <w:lang w:eastAsia="en-AU"/>
        </w:rPr>
        <w:lastRenderedPageBreak/>
        <w:t>2.1.7-1D -</w:t>
      </w:r>
      <w:r w:rsidRPr="00763C4F">
        <w:rPr>
          <w:rFonts w:cstheme="minorHAnsi"/>
          <w:szCs w:val="22"/>
          <w:lang w:eastAsia="en-AU"/>
        </w:rPr>
        <w:t xml:space="preserve"> The percentage of completed applications where the initial outcome was accepted or where a review was requested and the initial outcome was upheld, as a proportion of all applications completed after the initial outcome was advised.</w:t>
      </w:r>
    </w:p>
    <w:p w14:paraId="324A0715" w14:textId="734D7581" w:rsidR="00E71249" w:rsidRPr="00A97D98" w:rsidRDefault="00E71249" w:rsidP="00A97D98">
      <w:pPr>
        <w:pStyle w:val="Heading4"/>
        <w:rPr>
          <w:sz w:val="22"/>
          <w:szCs w:val="22"/>
        </w:rPr>
      </w:pPr>
      <w:bookmarkStart w:id="151" w:name="_Toc232417453"/>
      <w:r w:rsidRPr="00A97D98">
        <w:rPr>
          <w:sz w:val="22"/>
          <w:szCs w:val="22"/>
        </w:rPr>
        <w:t>Performance Measure</w:t>
      </w:r>
      <w:bookmarkEnd w:id="151"/>
    </w:p>
    <w:p w14:paraId="5CFE8419" w14:textId="77777777" w:rsidR="00E71249" w:rsidRPr="00763C4F" w:rsidRDefault="00E71249" w:rsidP="00F41120">
      <w:pPr>
        <w:spacing w:before="120" w:after="160" w:line="257" w:lineRule="auto"/>
        <w:rPr>
          <w:rFonts w:cstheme="minorHAnsi"/>
          <w:szCs w:val="22"/>
          <w:lang w:eastAsia="en-AU"/>
        </w:rPr>
      </w:pPr>
      <w:r w:rsidRPr="00763C4F">
        <w:rPr>
          <w:rFonts w:cstheme="minorHAnsi"/>
          <w:szCs w:val="22"/>
          <w:lang w:eastAsia="en-AU"/>
        </w:rPr>
        <w:t>2.1.7-2 Maximise institution participation with the Scheme.</w:t>
      </w:r>
    </w:p>
    <w:tbl>
      <w:tblPr>
        <w:tblStyle w:val="TableGrid394"/>
        <w:tblW w:w="5000" w:type="pct"/>
        <w:tblLook w:val="04A0" w:firstRow="1" w:lastRow="0" w:firstColumn="1" w:lastColumn="0" w:noHBand="0" w:noVBand="1"/>
        <w:tblCaption w:val="Table 42 - 2.1.7-1 performance measure and target"/>
        <w:tblDescription w:val="Table outlines the targeted Scheme engagement across 2023-24, 2024-25 and 2025-26, 2026-27"/>
      </w:tblPr>
      <w:tblGrid>
        <w:gridCol w:w="4106"/>
        <w:gridCol w:w="1521"/>
        <w:gridCol w:w="1523"/>
        <w:gridCol w:w="1523"/>
        <w:gridCol w:w="1521"/>
      </w:tblGrid>
      <w:tr w:rsidR="00E71249" w:rsidRPr="00763C4F" w14:paraId="43A440D6" w14:textId="77777777" w:rsidTr="00496219">
        <w:trPr>
          <w:cantSplit/>
          <w:trHeight w:val="356"/>
          <w:tblHeader/>
        </w:trPr>
        <w:tc>
          <w:tcPr>
            <w:tcW w:w="2014" w:type="pct"/>
            <w:tcBorders>
              <w:top w:val="single" w:sz="4" w:space="0" w:color="auto"/>
              <w:left w:val="single" w:sz="4" w:space="0" w:color="auto"/>
              <w:bottom w:val="single" w:sz="4" w:space="0" w:color="auto"/>
              <w:right w:val="single" w:sz="4" w:space="0" w:color="auto"/>
            </w:tcBorders>
            <w:shd w:val="clear" w:color="auto" w:fill="D9D9D6"/>
            <w:hideMark/>
          </w:tcPr>
          <w:p w14:paraId="2B1E9A43" w14:textId="77777777" w:rsidR="00E71249" w:rsidRPr="00763C4F" w:rsidRDefault="00E71249" w:rsidP="00496219">
            <w:pPr>
              <w:spacing w:before="120" w:after="120"/>
              <w:rPr>
                <w:rFonts w:asciiTheme="minorHAnsi" w:hAnsiTheme="minorHAnsi" w:cstheme="minorHAnsi"/>
                <w:szCs w:val="22"/>
              </w:rPr>
            </w:pPr>
            <w:r w:rsidRPr="00763C4F">
              <w:rPr>
                <w:rFonts w:asciiTheme="minorHAnsi" w:hAnsiTheme="minorHAnsi" w:cstheme="minorHAnsi"/>
                <w:b/>
                <w:szCs w:val="22"/>
              </w:rPr>
              <w:t>Target</w:t>
            </w:r>
          </w:p>
        </w:tc>
        <w:tc>
          <w:tcPr>
            <w:tcW w:w="746" w:type="pct"/>
            <w:tcBorders>
              <w:top w:val="single" w:sz="4" w:space="0" w:color="auto"/>
              <w:left w:val="single" w:sz="4" w:space="0" w:color="auto"/>
              <w:bottom w:val="single" w:sz="4" w:space="0" w:color="auto"/>
              <w:right w:val="single" w:sz="4" w:space="0" w:color="auto"/>
            </w:tcBorders>
            <w:shd w:val="clear" w:color="auto" w:fill="D9D9D6"/>
          </w:tcPr>
          <w:p w14:paraId="5010B463" w14:textId="77777777" w:rsidR="00E71249" w:rsidRPr="00763C4F" w:rsidRDefault="00E71249" w:rsidP="00496219">
            <w:pPr>
              <w:spacing w:before="120" w:after="120"/>
              <w:rPr>
                <w:rFonts w:asciiTheme="minorHAnsi" w:hAnsiTheme="minorHAnsi" w:cstheme="minorHAnsi"/>
                <w:szCs w:val="22"/>
              </w:rPr>
            </w:pPr>
            <w:r w:rsidRPr="00763C4F">
              <w:rPr>
                <w:rFonts w:asciiTheme="minorHAnsi" w:hAnsiTheme="minorHAnsi" w:cstheme="minorHAnsi"/>
                <w:b/>
                <w:szCs w:val="22"/>
              </w:rPr>
              <w:t>2026–27</w:t>
            </w:r>
          </w:p>
        </w:tc>
        <w:tc>
          <w:tcPr>
            <w:tcW w:w="747" w:type="pct"/>
            <w:tcBorders>
              <w:top w:val="single" w:sz="4" w:space="0" w:color="auto"/>
              <w:left w:val="single" w:sz="4" w:space="0" w:color="auto"/>
              <w:bottom w:val="single" w:sz="4" w:space="0" w:color="auto"/>
              <w:right w:val="single" w:sz="4" w:space="0" w:color="auto"/>
            </w:tcBorders>
            <w:shd w:val="clear" w:color="auto" w:fill="D9D9D6"/>
          </w:tcPr>
          <w:p w14:paraId="2BE50EB6" w14:textId="77777777" w:rsidR="00E71249" w:rsidRPr="00763C4F" w:rsidRDefault="00E71249" w:rsidP="00496219">
            <w:pPr>
              <w:spacing w:before="120" w:after="120"/>
              <w:rPr>
                <w:rFonts w:asciiTheme="minorHAnsi" w:hAnsiTheme="minorHAnsi" w:cstheme="minorHAnsi"/>
                <w:b/>
                <w:szCs w:val="22"/>
              </w:rPr>
            </w:pPr>
            <w:r w:rsidRPr="00763C4F">
              <w:rPr>
                <w:rFonts w:asciiTheme="minorHAnsi" w:hAnsiTheme="minorHAnsi" w:cstheme="minorHAnsi"/>
                <w:b/>
                <w:szCs w:val="22"/>
              </w:rPr>
              <w:t>2027–28</w:t>
            </w:r>
          </w:p>
        </w:tc>
        <w:tc>
          <w:tcPr>
            <w:tcW w:w="747" w:type="pct"/>
            <w:tcBorders>
              <w:top w:val="single" w:sz="4" w:space="0" w:color="auto"/>
              <w:left w:val="single" w:sz="4" w:space="0" w:color="auto"/>
              <w:bottom w:val="single" w:sz="4" w:space="0" w:color="auto"/>
              <w:right w:val="single" w:sz="4" w:space="0" w:color="auto"/>
            </w:tcBorders>
            <w:shd w:val="clear" w:color="auto" w:fill="D9D9D6"/>
          </w:tcPr>
          <w:p w14:paraId="0D72204E" w14:textId="77777777" w:rsidR="00E71249" w:rsidRPr="00763C4F" w:rsidRDefault="00E71249" w:rsidP="00496219">
            <w:pPr>
              <w:spacing w:before="120" w:after="120"/>
              <w:rPr>
                <w:rFonts w:asciiTheme="minorHAnsi" w:hAnsiTheme="minorHAnsi" w:cstheme="minorHAnsi"/>
                <w:b/>
                <w:szCs w:val="22"/>
              </w:rPr>
            </w:pPr>
            <w:r w:rsidRPr="00763C4F">
              <w:rPr>
                <w:rFonts w:asciiTheme="minorHAnsi" w:hAnsiTheme="minorHAnsi" w:cstheme="minorHAnsi"/>
                <w:b/>
                <w:szCs w:val="22"/>
              </w:rPr>
              <w:t>2028–29</w:t>
            </w:r>
          </w:p>
        </w:tc>
        <w:tc>
          <w:tcPr>
            <w:tcW w:w="746" w:type="pct"/>
            <w:tcBorders>
              <w:top w:val="single" w:sz="4" w:space="0" w:color="auto"/>
              <w:left w:val="single" w:sz="4" w:space="0" w:color="auto"/>
              <w:bottom w:val="single" w:sz="4" w:space="0" w:color="auto"/>
              <w:right w:val="single" w:sz="4" w:space="0" w:color="auto"/>
            </w:tcBorders>
            <w:shd w:val="clear" w:color="auto" w:fill="D9D9D6"/>
          </w:tcPr>
          <w:p w14:paraId="6E4E0F0C" w14:textId="77777777" w:rsidR="00E71249" w:rsidRPr="00763C4F" w:rsidRDefault="00E71249" w:rsidP="00496219">
            <w:pPr>
              <w:spacing w:before="120" w:after="120"/>
              <w:rPr>
                <w:rFonts w:asciiTheme="minorHAnsi" w:hAnsiTheme="minorHAnsi" w:cstheme="minorHAnsi"/>
                <w:b/>
                <w:szCs w:val="22"/>
              </w:rPr>
            </w:pPr>
            <w:r w:rsidRPr="00763C4F">
              <w:rPr>
                <w:rFonts w:asciiTheme="minorHAnsi" w:hAnsiTheme="minorHAnsi" w:cstheme="minorHAnsi"/>
                <w:b/>
                <w:szCs w:val="22"/>
              </w:rPr>
              <w:t>2029–30</w:t>
            </w:r>
          </w:p>
        </w:tc>
      </w:tr>
      <w:tr w:rsidR="00E71249" w:rsidRPr="00763C4F" w14:paraId="2CB2FFEF" w14:textId="77777777" w:rsidTr="00496219">
        <w:trPr>
          <w:cantSplit/>
          <w:trHeight w:val="356"/>
        </w:trPr>
        <w:tc>
          <w:tcPr>
            <w:tcW w:w="201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F5826CA"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t>2.1.7-2A</w:t>
            </w:r>
            <w:r w:rsidRPr="00087716">
              <w:rPr>
                <w:rFonts w:asciiTheme="minorHAnsi" w:hAnsiTheme="minorHAnsi" w:cstheme="minorHAnsi"/>
                <w:szCs w:val="22"/>
              </w:rPr>
              <w:t xml:space="preserve"> – </w:t>
            </w:r>
            <w:r w:rsidRPr="00763C4F">
              <w:rPr>
                <w:rFonts w:asciiTheme="minorHAnsi" w:hAnsiTheme="minorHAnsi" w:cstheme="minorHAnsi"/>
                <w:noProof/>
                <w:szCs w:val="22"/>
              </w:rPr>
              <w:t>The Scheme will engage and maintain participation, with institutions on</w:t>
            </w:r>
            <w:r w:rsidRPr="00763C4F">
              <w:rPr>
                <w:rFonts w:asciiTheme="minorHAnsi" w:hAnsiTheme="minorHAnsi" w:cstheme="minorHAnsi"/>
                <w:noProof/>
                <w:szCs w:val="22"/>
              </w:rPr>
              <w:noBreakHyphen/>
              <w:t>board to cover at least 95% of applications in progress.</w:t>
            </w:r>
          </w:p>
        </w:tc>
        <w:tc>
          <w:tcPr>
            <w:tcW w:w="746" w:type="pct"/>
            <w:tcBorders>
              <w:top w:val="single" w:sz="4" w:space="0" w:color="auto"/>
              <w:left w:val="single" w:sz="4" w:space="0" w:color="auto"/>
              <w:bottom w:val="single" w:sz="4" w:space="0" w:color="auto"/>
              <w:right w:val="single" w:sz="4" w:space="0" w:color="auto"/>
            </w:tcBorders>
          </w:tcPr>
          <w:p w14:paraId="43D4CD14"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t>≥ 95%</w:t>
            </w:r>
          </w:p>
        </w:tc>
        <w:tc>
          <w:tcPr>
            <w:tcW w:w="747" w:type="pct"/>
            <w:tcBorders>
              <w:top w:val="single" w:sz="4" w:space="0" w:color="auto"/>
              <w:left w:val="single" w:sz="4" w:space="0" w:color="auto"/>
              <w:bottom w:val="single" w:sz="4" w:space="0" w:color="auto"/>
              <w:right w:val="single" w:sz="4" w:space="0" w:color="auto"/>
            </w:tcBorders>
          </w:tcPr>
          <w:p w14:paraId="55CC4CDC"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t>≥ 95%</w:t>
            </w:r>
          </w:p>
        </w:tc>
        <w:tc>
          <w:tcPr>
            <w:tcW w:w="747" w:type="pct"/>
            <w:tcBorders>
              <w:top w:val="single" w:sz="4" w:space="0" w:color="auto"/>
              <w:left w:val="single" w:sz="4" w:space="0" w:color="auto"/>
              <w:bottom w:val="single" w:sz="4" w:space="0" w:color="auto"/>
              <w:right w:val="single" w:sz="4" w:space="0" w:color="auto"/>
            </w:tcBorders>
          </w:tcPr>
          <w:p w14:paraId="19AD7089"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t>N/A</w:t>
            </w:r>
          </w:p>
        </w:tc>
        <w:tc>
          <w:tcPr>
            <w:tcW w:w="746" w:type="pct"/>
            <w:tcBorders>
              <w:top w:val="single" w:sz="4" w:space="0" w:color="auto"/>
              <w:left w:val="single" w:sz="4" w:space="0" w:color="auto"/>
              <w:bottom w:val="single" w:sz="4" w:space="0" w:color="auto"/>
              <w:right w:val="single" w:sz="4" w:space="0" w:color="auto"/>
            </w:tcBorders>
            <w:shd w:val="clear" w:color="auto" w:fill="FFFFFF" w:themeFill="background1"/>
          </w:tcPr>
          <w:p w14:paraId="2DC2FEBA" w14:textId="77777777" w:rsidR="00E71249" w:rsidRPr="00763C4F" w:rsidRDefault="00E71249" w:rsidP="00496219">
            <w:pPr>
              <w:spacing w:before="120" w:after="60" w:line="252" w:lineRule="auto"/>
              <w:rPr>
                <w:rFonts w:asciiTheme="minorHAnsi" w:hAnsiTheme="minorHAnsi" w:cstheme="minorHAnsi"/>
                <w:noProof/>
                <w:szCs w:val="22"/>
              </w:rPr>
            </w:pPr>
            <w:r w:rsidRPr="00763C4F">
              <w:rPr>
                <w:rFonts w:asciiTheme="minorHAnsi" w:hAnsiTheme="minorHAnsi" w:cstheme="minorHAnsi"/>
                <w:noProof/>
                <w:szCs w:val="22"/>
              </w:rPr>
              <w:t>N/A</w:t>
            </w:r>
          </w:p>
        </w:tc>
      </w:tr>
    </w:tbl>
    <w:p w14:paraId="6A114FE9" w14:textId="77777777" w:rsidR="00E71249" w:rsidRPr="00763C4F" w:rsidRDefault="00E71249" w:rsidP="00A97D98">
      <w:pPr>
        <w:pStyle w:val="CPCustom3"/>
        <w:rPr>
          <w:lang w:eastAsia="en-AU"/>
        </w:rPr>
      </w:pPr>
      <w:r w:rsidRPr="00763C4F">
        <w:rPr>
          <w:lang w:eastAsia="en-AU"/>
        </w:rPr>
        <w:t>Rationale</w:t>
      </w:r>
    </w:p>
    <w:p w14:paraId="3533808D" w14:textId="77777777" w:rsidR="00E71249" w:rsidRPr="00763C4F" w:rsidRDefault="00E71249" w:rsidP="00F41120">
      <w:pPr>
        <w:suppressAutoHyphens/>
        <w:spacing w:before="120" w:after="160" w:line="256" w:lineRule="auto"/>
        <w:rPr>
          <w:rFonts w:cstheme="minorHAnsi"/>
          <w:color w:val="000000" w:themeColor="text1"/>
          <w:szCs w:val="22"/>
          <w:lang w:eastAsia="en-AU"/>
        </w:rPr>
      </w:pPr>
      <w:r w:rsidRPr="00763C4F">
        <w:rPr>
          <w:rFonts w:cstheme="minorHAnsi"/>
          <w:color w:val="000000" w:themeColor="text1"/>
          <w:szCs w:val="22"/>
          <w:lang w:eastAsia="en-AU"/>
        </w:rPr>
        <w:t xml:space="preserve">Measuring </w:t>
      </w:r>
      <w:r w:rsidRPr="00763C4F">
        <w:rPr>
          <w:rFonts w:cstheme="minorHAnsi"/>
          <w:iCs/>
          <w:color w:val="000000" w:themeColor="text1"/>
          <w:szCs w:val="22"/>
          <w:lang w:eastAsia="en-AU"/>
        </w:rPr>
        <w:t>maximising institutional participation with the Scheme</w:t>
      </w:r>
      <w:r w:rsidRPr="00763C4F">
        <w:rPr>
          <w:rFonts w:cstheme="minorHAnsi"/>
          <w:color w:val="000000" w:themeColor="text1"/>
          <w:szCs w:val="22"/>
          <w:lang w:eastAsia="en-AU"/>
        </w:rPr>
        <w:t xml:space="preserve"> aims to demonstrate that the department </w:t>
      </w:r>
      <w:r w:rsidRPr="00763C4F">
        <w:rPr>
          <w:rFonts w:cstheme="minorHAnsi"/>
          <w:b/>
          <w:bCs/>
          <w:color w:val="000000" w:themeColor="text1"/>
          <w:szCs w:val="22"/>
          <w:lang w:eastAsia="en-AU"/>
        </w:rPr>
        <w:t>effectively</w:t>
      </w:r>
      <w:r w:rsidRPr="00763C4F">
        <w:rPr>
          <w:rFonts w:cstheme="minorHAnsi"/>
          <w:color w:val="000000" w:themeColor="text1"/>
          <w:szCs w:val="22"/>
          <w:lang w:eastAsia="en-AU"/>
        </w:rPr>
        <w:t xml:space="preserve"> worked with institutions to join the Scheme. This measure demonstrates achievement of a key </w:t>
      </w:r>
      <w:r w:rsidRPr="00763C4F">
        <w:rPr>
          <w:rFonts w:cstheme="minorHAnsi"/>
          <w:b/>
          <w:bCs/>
          <w:color w:val="000000" w:themeColor="text1"/>
          <w:szCs w:val="22"/>
          <w:lang w:eastAsia="en-AU"/>
        </w:rPr>
        <w:t>output</w:t>
      </w:r>
      <w:r w:rsidRPr="00763C4F">
        <w:rPr>
          <w:rFonts w:cstheme="minorHAnsi"/>
          <w:color w:val="000000" w:themeColor="text1"/>
          <w:szCs w:val="22"/>
          <w:lang w:eastAsia="en-AU"/>
        </w:rPr>
        <w:t xml:space="preserve"> of the National Redress Scheme key activity: </w:t>
      </w:r>
      <w:r w:rsidRPr="00763C4F">
        <w:rPr>
          <w:rFonts w:cstheme="minorHAnsi"/>
          <w:iCs/>
          <w:color w:val="000000" w:themeColor="text1"/>
          <w:szCs w:val="22"/>
          <w:lang w:eastAsia="en-AU"/>
        </w:rPr>
        <w:t>institutions have joined the Scheme and provide redress</w:t>
      </w:r>
      <w:r w:rsidRPr="00763C4F">
        <w:rPr>
          <w:rFonts w:cstheme="minorHAnsi"/>
          <w:color w:val="000000" w:themeColor="text1"/>
          <w:szCs w:val="22"/>
          <w:lang w:eastAsia="en-AU"/>
        </w:rPr>
        <w:t>.</w:t>
      </w:r>
    </w:p>
    <w:p w14:paraId="13D77213" w14:textId="77777777" w:rsidR="00E71249" w:rsidRPr="00763C4F" w:rsidRDefault="00E71249" w:rsidP="00F41120">
      <w:pPr>
        <w:suppressAutoHyphens/>
        <w:spacing w:before="120" w:after="160" w:line="257" w:lineRule="auto"/>
        <w:rPr>
          <w:rFonts w:cstheme="minorHAnsi"/>
          <w:szCs w:val="22"/>
          <w:lang w:eastAsia="en-AU"/>
        </w:rPr>
      </w:pPr>
      <w:r w:rsidRPr="00763C4F">
        <w:rPr>
          <w:rFonts w:cstheme="minorHAnsi"/>
          <w:szCs w:val="22"/>
          <w:lang w:eastAsia="en-AU"/>
        </w:rPr>
        <w:t xml:space="preserve">Targeting engagement and maintenance of participation of institutions, with institutions </w:t>
      </w:r>
      <w:proofErr w:type="gramStart"/>
      <w:r w:rsidRPr="00763C4F">
        <w:rPr>
          <w:rFonts w:cstheme="minorHAnsi"/>
          <w:szCs w:val="22"/>
          <w:lang w:eastAsia="en-AU"/>
        </w:rPr>
        <w:t>on-board</w:t>
      </w:r>
      <w:proofErr w:type="gramEnd"/>
      <w:r w:rsidRPr="00763C4F">
        <w:rPr>
          <w:rFonts w:cstheme="minorHAnsi"/>
          <w:szCs w:val="22"/>
          <w:lang w:eastAsia="en-AU"/>
        </w:rPr>
        <w:t xml:space="preserve"> to cover 95% of applications in progress demonstrates achievement of a key output of the key activity, by showing a significant percentage of people who have experienced institutional child sexual abuse are supported by the institutions who have joined the Scheme and are providing redress.</w:t>
      </w:r>
    </w:p>
    <w:p w14:paraId="4B3FF601" w14:textId="77777777" w:rsidR="00E71249" w:rsidRPr="00763C4F" w:rsidRDefault="00E71249" w:rsidP="00A97D98">
      <w:pPr>
        <w:pStyle w:val="CPCustom3"/>
        <w:rPr>
          <w:lang w:eastAsia="en-AU"/>
        </w:rPr>
      </w:pPr>
      <w:r w:rsidRPr="00763C4F">
        <w:rPr>
          <w:lang w:eastAsia="en-AU"/>
        </w:rPr>
        <w:t>Methodology</w:t>
      </w:r>
    </w:p>
    <w:p w14:paraId="6FCD598E" w14:textId="77777777" w:rsidR="00E71249" w:rsidRPr="00763C4F" w:rsidRDefault="00E71249" w:rsidP="00F41120">
      <w:pPr>
        <w:spacing w:before="120" w:after="160"/>
        <w:rPr>
          <w:rFonts w:cstheme="minorHAnsi"/>
          <w:szCs w:val="22"/>
          <w:lang w:eastAsia="en-AU"/>
        </w:rPr>
      </w:pPr>
      <w:r w:rsidRPr="00763C4F">
        <w:rPr>
          <w:rFonts w:cstheme="minorHAnsi"/>
          <w:szCs w:val="22"/>
          <w:lang w:eastAsia="en-AU"/>
        </w:rPr>
        <w:t xml:space="preserve">Percentage of applications on hand where </w:t>
      </w:r>
      <w:proofErr w:type="gramStart"/>
      <w:r w:rsidRPr="00763C4F">
        <w:rPr>
          <w:rFonts w:cstheme="minorHAnsi"/>
          <w:szCs w:val="22"/>
          <w:lang w:eastAsia="en-AU"/>
        </w:rPr>
        <w:t>all of</w:t>
      </w:r>
      <w:proofErr w:type="gramEnd"/>
      <w:r w:rsidRPr="00763C4F">
        <w:rPr>
          <w:rFonts w:cstheme="minorHAnsi"/>
          <w:szCs w:val="22"/>
          <w:lang w:eastAsia="en-AU"/>
        </w:rPr>
        <w:t xml:space="preserve"> the named institution(s) are participating in the Scheme, or an applicant has chosen to progress with only some of the named institution(s) are participating in the Scheme.</w:t>
      </w:r>
    </w:p>
    <w:p w14:paraId="33F18A95" w14:textId="77777777" w:rsidR="00E71249" w:rsidRPr="00A97D98" w:rsidRDefault="00E71249" w:rsidP="00A97D98">
      <w:pPr>
        <w:pStyle w:val="Heading4"/>
        <w:rPr>
          <w:sz w:val="22"/>
          <w:szCs w:val="22"/>
        </w:rPr>
      </w:pPr>
      <w:bookmarkStart w:id="152" w:name="_Toc232417454"/>
      <w:r w:rsidRPr="00A97D98">
        <w:rPr>
          <w:sz w:val="22"/>
          <w:szCs w:val="22"/>
        </w:rPr>
        <w:t>Performance Measure</w:t>
      </w:r>
      <w:bookmarkEnd w:id="152"/>
    </w:p>
    <w:p w14:paraId="545E427B" w14:textId="77777777" w:rsidR="00E71249" w:rsidRPr="00763C4F" w:rsidRDefault="00E71249" w:rsidP="00E71249">
      <w:pPr>
        <w:spacing w:before="120" w:after="120"/>
        <w:rPr>
          <w:rFonts w:cstheme="minorHAnsi"/>
          <w:szCs w:val="22"/>
          <w:lang w:eastAsia="en-AU"/>
        </w:rPr>
      </w:pPr>
      <w:r w:rsidRPr="00763C4F">
        <w:rPr>
          <w:rFonts w:cstheme="minorHAnsi"/>
          <w:szCs w:val="22"/>
          <w:lang w:eastAsia="en-AU"/>
        </w:rPr>
        <w:t>2.1.7-3 Provide survivors a redress payment.</w:t>
      </w:r>
      <w:r w:rsidRPr="00763C4F">
        <w:rPr>
          <w:rFonts w:cstheme="minorHAnsi"/>
          <w:szCs w:val="22"/>
          <w:lang w:eastAsia="en-AU"/>
        </w:rPr>
        <w:tab/>
      </w:r>
    </w:p>
    <w:tbl>
      <w:tblPr>
        <w:tblStyle w:val="TableGrid394"/>
        <w:tblW w:w="5000" w:type="pct"/>
        <w:tblLook w:val="04A0" w:firstRow="1" w:lastRow="0" w:firstColumn="1" w:lastColumn="0" w:noHBand="0" w:noVBand="1"/>
        <w:tblCaption w:val="Table 43 - 2.1.7-3 performance measure and target"/>
        <w:tblDescription w:val="Table outlines the targeted Redress payment percentages across 2023-24, 2024-25, 2025-26 AND 2026-27"/>
      </w:tblPr>
      <w:tblGrid>
        <w:gridCol w:w="4106"/>
        <w:gridCol w:w="1521"/>
        <w:gridCol w:w="1523"/>
        <w:gridCol w:w="1523"/>
        <w:gridCol w:w="1521"/>
      </w:tblGrid>
      <w:tr w:rsidR="00E71249" w:rsidRPr="00763C4F" w14:paraId="2B433BAA" w14:textId="77777777" w:rsidTr="00496219">
        <w:trPr>
          <w:cantSplit/>
          <w:trHeight w:val="356"/>
          <w:tblHeader/>
        </w:trPr>
        <w:tc>
          <w:tcPr>
            <w:tcW w:w="2014" w:type="pct"/>
            <w:tcBorders>
              <w:top w:val="single" w:sz="4" w:space="0" w:color="auto"/>
              <w:left w:val="single" w:sz="4" w:space="0" w:color="auto"/>
              <w:bottom w:val="single" w:sz="4" w:space="0" w:color="auto"/>
              <w:right w:val="single" w:sz="4" w:space="0" w:color="auto"/>
            </w:tcBorders>
            <w:shd w:val="clear" w:color="auto" w:fill="D9D9D6"/>
            <w:hideMark/>
          </w:tcPr>
          <w:p w14:paraId="3F29460B" w14:textId="77777777" w:rsidR="00E71249" w:rsidRPr="00763C4F" w:rsidRDefault="00E71249" w:rsidP="00496219">
            <w:pPr>
              <w:spacing w:before="120" w:after="120"/>
              <w:rPr>
                <w:rFonts w:asciiTheme="minorHAnsi" w:hAnsiTheme="minorHAnsi" w:cstheme="minorHAnsi"/>
                <w:szCs w:val="22"/>
              </w:rPr>
            </w:pPr>
            <w:r w:rsidRPr="00763C4F">
              <w:rPr>
                <w:rFonts w:asciiTheme="minorHAnsi" w:hAnsiTheme="minorHAnsi" w:cstheme="minorHAnsi"/>
                <w:b/>
                <w:szCs w:val="22"/>
              </w:rPr>
              <w:t>Target</w:t>
            </w:r>
          </w:p>
        </w:tc>
        <w:tc>
          <w:tcPr>
            <w:tcW w:w="746" w:type="pct"/>
            <w:tcBorders>
              <w:top w:val="single" w:sz="4" w:space="0" w:color="auto"/>
              <w:left w:val="single" w:sz="4" w:space="0" w:color="auto"/>
              <w:bottom w:val="single" w:sz="4" w:space="0" w:color="auto"/>
              <w:right w:val="single" w:sz="4" w:space="0" w:color="auto"/>
            </w:tcBorders>
            <w:shd w:val="clear" w:color="auto" w:fill="D9D9D6"/>
          </w:tcPr>
          <w:p w14:paraId="2D70FA46" w14:textId="77777777" w:rsidR="00E71249" w:rsidRPr="00763C4F" w:rsidRDefault="00E71249" w:rsidP="00496219">
            <w:pPr>
              <w:spacing w:before="120" w:after="120"/>
              <w:rPr>
                <w:rFonts w:asciiTheme="minorHAnsi" w:hAnsiTheme="minorHAnsi" w:cstheme="minorHAnsi"/>
                <w:szCs w:val="22"/>
              </w:rPr>
            </w:pPr>
            <w:r w:rsidRPr="00763C4F">
              <w:rPr>
                <w:rFonts w:asciiTheme="minorHAnsi" w:hAnsiTheme="minorHAnsi" w:cstheme="minorHAnsi"/>
                <w:b/>
                <w:szCs w:val="22"/>
              </w:rPr>
              <w:t>2026–27</w:t>
            </w:r>
          </w:p>
        </w:tc>
        <w:tc>
          <w:tcPr>
            <w:tcW w:w="747" w:type="pct"/>
            <w:tcBorders>
              <w:top w:val="single" w:sz="4" w:space="0" w:color="auto"/>
              <w:left w:val="single" w:sz="4" w:space="0" w:color="auto"/>
              <w:bottom w:val="single" w:sz="4" w:space="0" w:color="auto"/>
              <w:right w:val="single" w:sz="4" w:space="0" w:color="auto"/>
            </w:tcBorders>
            <w:shd w:val="clear" w:color="auto" w:fill="D9D9D6"/>
            <w:hideMark/>
          </w:tcPr>
          <w:p w14:paraId="623E26F2" w14:textId="77777777" w:rsidR="00E71249" w:rsidRPr="00763C4F" w:rsidRDefault="00E71249" w:rsidP="00496219">
            <w:pPr>
              <w:spacing w:before="120" w:after="120"/>
              <w:rPr>
                <w:rFonts w:asciiTheme="minorHAnsi" w:hAnsiTheme="minorHAnsi" w:cstheme="minorHAnsi"/>
                <w:b/>
                <w:szCs w:val="22"/>
              </w:rPr>
            </w:pPr>
            <w:r w:rsidRPr="00763C4F">
              <w:rPr>
                <w:rFonts w:asciiTheme="minorHAnsi" w:hAnsiTheme="minorHAnsi" w:cstheme="minorHAnsi"/>
                <w:b/>
                <w:szCs w:val="22"/>
              </w:rPr>
              <w:t>2027–28</w:t>
            </w:r>
          </w:p>
        </w:tc>
        <w:tc>
          <w:tcPr>
            <w:tcW w:w="747" w:type="pct"/>
            <w:tcBorders>
              <w:top w:val="single" w:sz="4" w:space="0" w:color="auto"/>
              <w:left w:val="single" w:sz="4" w:space="0" w:color="auto"/>
              <w:bottom w:val="single" w:sz="4" w:space="0" w:color="auto"/>
              <w:right w:val="single" w:sz="4" w:space="0" w:color="auto"/>
            </w:tcBorders>
            <w:shd w:val="clear" w:color="auto" w:fill="D9D9D6"/>
            <w:hideMark/>
          </w:tcPr>
          <w:p w14:paraId="0568F1C0" w14:textId="77777777" w:rsidR="00E71249" w:rsidRPr="00763C4F" w:rsidRDefault="00E71249" w:rsidP="00496219">
            <w:pPr>
              <w:spacing w:before="120" w:after="120"/>
              <w:rPr>
                <w:rFonts w:asciiTheme="minorHAnsi" w:hAnsiTheme="minorHAnsi" w:cstheme="minorHAnsi"/>
                <w:b/>
                <w:szCs w:val="22"/>
              </w:rPr>
            </w:pPr>
            <w:r w:rsidRPr="00763C4F">
              <w:rPr>
                <w:rFonts w:asciiTheme="minorHAnsi" w:hAnsiTheme="minorHAnsi" w:cstheme="minorHAnsi"/>
                <w:b/>
                <w:szCs w:val="22"/>
              </w:rPr>
              <w:t>2028–29</w:t>
            </w:r>
          </w:p>
        </w:tc>
        <w:tc>
          <w:tcPr>
            <w:tcW w:w="747" w:type="pct"/>
            <w:tcBorders>
              <w:top w:val="single" w:sz="4" w:space="0" w:color="auto"/>
              <w:left w:val="single" w:sz="4" w:space="0" w:color="auto"/>
              <w:bottom w:val="single" w:sz="4" w:space="0" w:color="auto"/>
              <w:right w:val="single" w:sz="4" w:space="0" w:color="auto"/>
            </w:tcBorders>
            <w:shd w:val="clear" w:color="auto" w:fill="D9D9D6"/>
            <w:hideMark/>
          </w:tcPr>
          <w:p w14:paraId="260F1271" w14:textId="77777777" w:rsidR="00E71249" w:rsidRPr="00763C4F" w:rsidRDefault="00E71249" w:rsidP="00496219">
            <w:pPr>
              <w:spacing w:before="120" w:after="120"/>
              <w:rPr>
                <w:rFonts w:asciiTheme="minorHAnsi" w:hAnsiTheme="minorHAnsi" w:cstheme="minorHAnsi"/>
                <w:b/>
                <w:szCs w:val="22"/>
              </w:rPr>
            </w:pPr>
            <w:r w:rsidRPr="00763C4F">
              <w:rPr>
                <w:rFonts w:asciiTheme="minorHAnsi" w:hAnsiTheme="minorHAnsi" w:cstheme="minorHAnsi"/>
                <w:b/>
                <w:szCs w:val="22"/>
              </w:rPr>
              <w:t>2029–30</w:t>
            </w:r>
          </w:p>
        </w:tc>
      </w:tr>
      <w:tr w:rsidR="00E71249" w:rsidRPr="00763C4F" w14:paraId="4E12B0A1" w14:textId="77777777" w:rsidTr="00496219">
        <w:trPr>
          <w:cantSplit/>
          <w:trHeight w:val="356"/>
        </w:trPr>
        <w:tc>
          <w:tcPr>
            <w:tcW w:w="201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D54AE97" w14:textId="77777777" w:rsidR="00E71249" w:rsidRPr="00763C4F" w:rsidRDefault="00E71249" w:rsidP="00496219">
            <w:pPr>
              <w:spacing w:before="120" w:after="120"/>
              <w:rPr>
                <w:rFonts w:asciiTheme="minorHAnsi" w:eastAsia="Calibri" w:hAnsiTheme="minorHAnsi" w:cstheme="minorHAnsi"/>
                <w:szCs w:val="22"/>
                <w:bdr w:val="none" w:sz="0" w:space="0" w:color="auto" w:frame="1"/>
              </w:rPr>
            </w:pPr>
            <w:r w:rsidRPr="00763C4F">
              <w:rPr>
                <w:rFonts w:asciiTheme="minorHAnsi" w:hAnsiTheme="minorHAnsi" w:cstheme="minorHAnsi"/>
                <w:iCs/>
                <w:szCs w:val="22"/>
              </w:rPr>
              <w:t>2.1.7-3A</w:t>
            </w:r>
            <w:r w:rsidRPr="00087716">
              <w:rPr>
                <w:rFonts w:asciiTheme="minorHAnsi" w:hAnsiTheme="minorHAnsi" w:cstheme="minorHAnsi"/>
                <w:szCs w:val="22"/>
              </w:rPr>
              <w:t xml:space="preserve"> – </w:t>
            </w:r>
            <w:r w:rsidRPr="00763C4F">
              <w:rPr>
                <w:rFonts w:asciiTheme="minorHAnsi" w:hAnsiTheme="minorHAnsi" w:cstheme="minorHAnsi"/>
                <w:iCs/>
                <w:szCs w:val="22"/>
                <w:lang w:eastAsia="en-GB"/>
              </w:rPr>
              <w:t>The Scheme will issue at least 80% of eligible survivors an advance payment within 7 days of receiving acceptance documentation.</w:t>
            </w:r>
          </w:p>
        </w:tc>
        <w:tc>
          <w:tcPr>
            <w:tcW w:w="746" w:type="pct"/>
            <w:tcBorders>
              <w:top w:val="single" w:sz="4" w:space="0" w:color="auto"/>
              <w:left w:val="single" w:sz="4" w:space="0" w:color="auto"/>
              <w:bottom w:val="single" w:sz="4" w:space="0" w:color="auto"/>
              <w:right w:val="single" w:sz="4" w:space="0" w:color="auto"/>
            </w:tcBorders>
          </w:tcPr>
          <w:p w14:paraId="44BABBC9" w14:textId="77777777" w:rsidR="00E71249" w:rsidRPr="00763C4F" w:rsidRDefault="00E71249" w:rsidP="00496219">
            <w:pPr>
              <w:spacing w:before="120" w:after="120"/>
              <w:rPr>
                <w:rFonts w:asciiTheme="minorHAnsi" w:hAnsiTheme="minorHAnsi" w:cstheme="minorHAnsi"/>
                <w:szCs w:val="22"/>
              </w:rPr>
            </w:pPr>
            <w:r w:rsidRPr="00763C4F">
              <w:rPr>
                <w:rFonts w:asciiTheme="minorHAnsi" w:hAnsiTheme="minorHAnsi" w:cstheme="minorHAnsi"/>
                <w:szCs w:val="22"/>
                <w:lang w:eastAsia="en-GB"/>
              </w:rPr>
              <w:t>≥ 80%</w:t>
            </w:r>
          </w:p>
        </w:tc>
        <w:tc>
          <w:tcPr>
            <w:tcW w:w="747" w:type="pct"/>
            <w:tcBorders>
              <w:top w:val="single" w:sz="4" w:space="0" w:color="auto"/>
              <w:left w:val="single" w:sz="4" w:space="0" w:color="auto"/>
              <w:bottom w:val="single" w:sz="4" w:space="0" w:color="auto"/>
              <w:right w:val="single" w:sz="4" w:space="0" w:color="auto"/>
            </w:tcBorders>
            <w:hideMark/>
          </w:tcPr>
          <w:p w14:paraId="4AC2DB32" w14:textId="77777777" w:rsidR="00E71249" w:rsidRPr="00763C4F" w:rsidRDefault="00E71249" w:rsidP="00496219">
            <w:pPr>
              <w:spacing w:before="120" w:after="120"/>
              <w:rPr>
                <w:rFonts w:asciiTheme="minorHAnsi" w:hAnsiTheme="minorHAnsi" w:cstheme="minorHAnsi"/>
                <w:szCs w:val="22"/>
              </w:rPr>
            </w:pPr>
            <w:r w:rsidRPr="00763C4F">
              <w:rPr>
                <w:rFonts w:asciiTheme="minorHAnsi" w:hAnsiTheme="minorHAnsi" w:cstheme="minorHAnsi"/>
                <w:szCs w:val="22"/>
                <w:lang w:eastAsia="en-GB"/>
              </w:rPr>
              <w:t>≥ 80%</w:t>
            </w:r>
          </w:p>
        </w:tc>
        <w:tc>
          <w:tcPr>
            <w:tcW w:w="747" w:type="pct"/>
            <w:tcBorders>
              <w:top w:val="single" w:sz="4" w:space="0" w:color="auto"/>
              <w:left w:val="single" w:sz="4" w:space="0" w:color="auto"/>
              <w:bottom w:val="single" w:sz="4" w:space="0" w:color="auto"/>
              <w:right w:val="single" w:sz="4" w:space="0" w:color="auto"/>
            </w:tcBorders>
            <w:hideMark/>
          </w:tcPr>
          <w:p w14:paraId="305FEA73" w14:textId="77777777" w:rsidR="00E71249" w:rsidRPr="00763C4F" w:rsidRDefault="00E71249" w:rsidP="00496219">
            <w:pPr>
              <w:spacing w:before="120" w:after="120"/>
              <w:rPr>
                <w:rFonts w:asciiTheme="minorHAnsi" w:hAnsiTheme="minorHAnsi" w:cstheme="minorHAnsi"/>
                <w:szCs w:val="22"/>
              </w:rPr>
            </w:pPr>
            <w:r w:rsidRPr="00763C4F">
              <w:rPr>
                <w:rFonts w:asciiTheme="minorHAnsi" w:hAnsiTheme="minorHAnsi" w:cstheme="minorHAnsi"/>
                <w:szCs w:val="22"/>
                <w:lang w:eastAsia="en-GB"/>
              </w:rPr>
              <w:t>N/A</w:t>
            </w: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B21D15" w14:textId="77777777" w:rsidR="00E71249" w:rsidRPr="00763C4F" w:rsidRDefault="00E71249" w:rsidP="00496219">
            <w:pPr>
              <w:spacing w:before="120" w:after="120"/>
              <w:rPr>
                <w:rFonts w:asciiTheme="minorHAnsi" w:hAnsiTheme="minorHAnsi" w:cstheme="minorHAnsi"/>
                <w:szCs w:val="22"/>
              </w:rPr>
            </w:pPr>
            <w:r w:rsidRPr="00763C4F">
              <w:rPr>
                <w:rFonts w:asciiTheme="minorHAnsi" w:hAnsiTheme="minorHAnsi" w:cstheme="minorHAnsi"/>
                <w:szCs w:val="22"/>
                <w:lang w:eastAsia="en-GB"/>
              </w:rPr>
              <w:t>N/A</w:t>
            </w:r>
          </w:p>
        </w:tc>
      </w:tr>
      <w:tr w:rsidR="00E71249" w:rsidRPr="00763C4F" w14:paraId="144E2EC2" w14:textId="77777777" w:rsidTr="00496219">
        <w:trPr>
          <w:cantSplit/>
          <w:trHeight w:val="356"/>
        </w:trPr>
        <w:tc>
          <w:tcPr>
            <w:tcW w:w="201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E0EEFF3" w14:textId="77777777" w:rsidR="00E71249" w:rsidRPr="00763C4F" w:rsidRDefault="00E71249" w:rsidP="00496219">
            <w:pPr>
              <w:spacing w:before="120" w:after="120"/>
              <w:rPr>
                <w:rFonts w:asciiTheme="minorHAnsi" w:hAnsiTheme="minorHAnsi" w:cstheme="minorHAnsi"/>
                <w:iCs/>
                <w:szCs w:val="22"/>
              </w:rPr>
            </w:pPr>
            <w:r w:rsidRPr="00763C4F">
              <w:rPr>
                <w:rFonts w:asciiTheme="minorHAnsi" w:hAnsiTheme="minorHAnsi" w:cstheme="minorHAnsi"/>
                <w:iCs/>
                <w:szCs w:val="22"/>
              </w:rPr>
              <w:t>2.1.7-3B</w:t>
            </w:r>
            <w:r w:rsidRPr="00087716">
              <w:rPr>
                <w:rFonts w:asciiTheme="minorHAnsi" w:hAnsiTheme="minorHAnsi" w:cstheme="minorHAnsi"/>
                <w:szCs w:val="22"/>
              </w:rPr>
              <w:t xml:space="preserve"> – </w:t>
            </w:r>
            <w:r w:rsidRPr="00763C4F">
              <w:rPr>
                <w:rFonts w:asciiTheme="minorHAnsi" w:hAnsiTheme="minorHAnsi" w:cstheme="minorHAnsi"/>
                <w:iCs/>
                <w:szCs w:val="22"/>
              </w:rPr>
              <w:t>The Scheme will issue at least 80% of survivors a redress payment within 14 days of receiving acceptance documentation.</w:t>
            </w:r>
          </w:p>
        </w:tc>
        <w:tc>
          <w:tcPr>
            <w:tcW w:w="746" w:type="pct"/>
            <w:tcBorders>
              <w:top w:val="single" w:sz="4" w:space="0" w:color="auto"/>
              <w:left w:val="single" w:sz="4" w:space="0" w:color="auto"/>
              <w:bottom w:val="single" w:sz="4" w:space="0" w:color="auto"/>
              <w:right w:val="single" w:sz="4" w:space="0" w:color="auto"/>
            </w:tcBorders>
          </w:tcPr>
          <w:p w14:paraId="5E18007D" w14:textId="77777777" w:rsidR="00E71249" w:rsidRPr="00763C4F" w:rsidRDefault="00E71249" w:rsidP="00496219">
            <w:pPr>
              <w:spacing w:before="120" w:after="120"/>
              <w:rPr>
                <w:rFonts w:asciiTheme="minorHAnsi" w:hAnsiTheme="minorHAnsi" w:cstheme="minorHAnsi"/>
                <w:szCs w:val="22"/>
                <w:lang w:eastAsia="en-GB"/>
              </w:rPr>
            </w:pPr>
            <w:r w:rsidRPr="00763C4F">
              <w:rPr>
                <w:rFonts w:asciiTheme="minorHAnsi" w:hAnsiTheme="minorHAnsi" w:cstheme="minorHAnsi"/>
                <w:szCs w:val="22"/>
                <w:lang w:eastAsia="en-GB"/>
              </w:rPr>
              <w:t>≥ 80%</w:t>
            </w:r>
          </w:p>
        </w:tc>
        <w:tc>
          <w:tcPr>
            <w:tcW w:w="747" w:type="pct"/>
            <w:tcBorders>
              <w:top w:val="single" w:sz="4" w:space="0" w:color="auto"/>
              <w:left w:val="single" w:sz="4" w:space="0" w:color="auto"/>
              <w:bottom w:val="single" w:sz="4" w:space="0" w:color="auto"/>
              <w:right w:val="single" w:sz="4" w:space="0" w:color="auto"/>
            </w:tcBorders>
            <w:hideMark/>
          </w:tcPr>
          <w:p w14:paraId="59D792A0" w14:textId="77777777" w:rsidR="00E71249" w:rsidRPr="00763C4F" w:rsidRDefault="00E71249" w:rsidP="00496219">
            <w:pPr>
              <w:spacing w:before="120" w:after="120"/>
              <w:rPr>
                <w:rFonts w:asciiTheme="minorHAnsi" w:hAnsiTheme="minorHAnsi" w:cstheme="minorHAnsi"/>
                <w:szCs w:val="22"/>
                <w:lang w:eastAsia="en-GB"/>
              </w:rPr>
            </w:pPr>
            <w:r w:rsidRPr="00763C4F">
              <w:rPr>
                <w:rFonts w:asciiTheme="minorHAnsi" w:hAnsiTheme="minorHAnsi" w:cstheme="minorHAnsi"/>
                <w:szCs w:val="22"/>
                <w:lang w:eastAsia="en-GB"/>
              </w:rPr>
              <w:t>≥ 80%</w:t>
            </w:r>
          </w:p>
        </w:tc>
        <w:tc>
          <w:tcPr>
            <w:tcW w:w="747" w:type="pct"/>
            <w:tcBorders>
              <w:top w:val="single" w:sz="4" w:space="0" w:color="auto"/>
              <w:left w:val="single" w:sz="4" w:space="0" w:color="auto"/>
              <w:bottom w:val="single" w:sz="4" w:space="0" w:color="auto"/>
              <w:right w:val="single" w:sz="4" w:space="0" w:color="auto"/>
            </w:tcBorders>
            <w:hideMark/>
          </w:tcPr>
          <w:p w14:paraId="3E20EE73" w14:textId="77777777" w:rsidR="00E71249" w:rsidRPr="00763C4F" w:rsidRDefault="00E71249" w:rsidP="00496219">
            <w:pPr>
              <w:spacing w:before="120" w:after="120"/>
              <w:rPr>
                <w:rFonts w:asciiTheme="minorHAnsi" w:hAnsiTheme="minorHAnsi" w:cstheme="minorHAnsi"/>
                <w:szCs w:val="22"/>
                <w:lang w:eastAsia="en-GB"/>
              </w:rPr>
            </w:pPr>
            <w:r w:rsidRPr="00763C4F">
              <w:rPr>
                <w:rFonts w:asciiTheme="minorHAnsi" w:hAnsiTheme="minorHAnsi" w:cstheme="minorHAnsi"/>
                <w:szCs w:val="22"/>
                <w:lang w:eastAsia="en-GB"/>
              </w:rPr>
              <w:t>N/A</w:t>
            </w: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06881F4" w14:textId="77777777" w:rsidR="00E71249" w:rsidRPr="00763C4F" w:rsidRDefault="00E71249" w:rsidP="00496219">
            <w:pPr>
              <w:spacing w:before="120" w:after="120"/>
              <w:rPr>
                <w:rFonts w:asciiTheme="minorHAnsi" w:hAnsiTheme="minorHAnsi" w:cstheme="minorHAnsi"/>
                <w:szCs w:val="22"/>
              </w:rPr>
            </w:pPr>
            <w:r w:rsidRPr="00763C4F">
              <w:rPr>
                <w:rFonts w:asciiTheme="minorHAnsi" w:hAnsiTheme="minorHAnsi" w:cstheme="minorHAnsi"/>
                <w:szCs w:val="22"/>
                <w:lang w:eastAsia="en-GB"/>
              </w:rPr>
              <w:t>N/A</w:t>
            </w:r>
          </w:p>
        </w:tc>
      </w:tr>
    </w:tbl>
    <w:p w14:paraId="6984B858" w14:textId="77777777" w:rsidR="00BD7EF5" w:rsidRDefault="00BD7EF5">
      <w:pPr>
        <w:spacing w:after="240"/>
        <w:rPr>
          <w:rFonts w:cstheme="minorHAnsi"/>
          <w:b/>
          <w:szCs w:val="22"/>
          <w:lang w:eastAsia="en-AU"/>
        </w:rPr>
      </w:pPr>
      <w:r>
        <w:rPr>
          <w:rFonts w:cstheme="minorHAnsi"/>
          <w:b/>
          <w:szCs w:val="22"/>
          <w:lang w:eastAsia="en-AU"/>
        </w:rPr>
        <w:br w:type="page"/>
      </w:r>
    </w:p>
    <w:p w14:paraId="16647609" w14:textId="77433CE9" w:rsidR="00E71249" w:rsidRPr="00763C4F" w:rsidRDefault="00E71249" w:rsidP="00A97D98">
      <w:pPr>
        <w:pStyle w:val="CPCustom3"/>
        <w:rPr>
          <w:lang w:eastAsia="en-AU"/>
        </w:rPr>
      </w:pPr>
      <w:r w:rsidRPr="00763C4F">
        <w:rPr>
          <w:lang w:eastAsia="en-AU"/>
        </w:rPr>
        <w:lastRenderedPageBreak/>
        <w:t>Rationale</w:t>
      </w:r>
    </w:p>
    <w:p w14:paraId="2710FB88" w14:textId="77777777" w:rsidR="00E71249" w:rsidRPr="00763C4F" w:rsidRDefault="00E71249" w:rsidP="007C7998">
      <w:pPr>
        <w:suppressAutoHyphens/>
        <w:spacing w:before="120" w:after="160" w:line="257" w:lineRule="auto"/>
        <w:rPr>
          <w:rFonts w:cstheme="minorHAnsi"/>
          <w:szCs w:val="22"/>
          <w:lang w:eastAsia="en-AU"/>
        </w:rPr>
      </w:pPr>
      <w:r w:rsidRPr="00763C4F">
        <w:rPr>
          <w:rFonts w:cstheme="minorHAnsi"/>
          <w:szCs w:val="22"/>
          <w:lang w:eastAsia="en-AU"/>
        </w:rPr>
        <w:t xml:space="preserve">Measuring issuing </w:t>
      </w:r>
      <w:proofErr w:type="gramStart"/>
      <w:r w:rsidRPr="00763C4F">
        <w:rPr>
          <w:rFonts w:cstheme="minorHAnsi"/>
          <w:szCs w:val="22"/>
          <w:lang w:eastAsia="en-AU"/>
        </w:rPr>
        <w:t>survivors</w:t>
      </w:r>
      <w:proofErr w:type="gramEnd"/>
      <w:r w:rsidRPr="00763C4F">
        <w:rPr>
          <w:rFonts w:cstheme="minorHAnsi"/>
          <w:szCs w:val="22"/>
          <w:lang w:eastAsia="en-AU"/>
        </w:rPr>
        <w:t xml:space="preserve"> a redress payment within 7 days (advance payments) or 14 days (redress payments) of receiving acceptance documentation aims to demonstrate the department </w:t>
      </w:r>
      <w:r w:rsidRPr="00763C4F">
        <w:rPr>
          <w:rFonts w:cstheme="minorHAnsi"/>
          <w:b/>
          <w:bCs/>
          <w:szCs w:val="22"/>
          <w:lang w:eastAsia="en-AU"/>
        </w:rPr>
        <w:t>effectively</w:t>
      </w:r>
      <w:r w:rsidRPr="00763C4F">
        <w:rPr>
          <w:rFonts w:cstheme="minorHAnsi"/>
          <w:szCs w:val="22"/>
          <w:lang w:eastAsia="en-AU"/>
        </w:rPr>
        <w:t xml:space="preserve"> administers the Scheme. This measure demonstrates achievement of a key output of the Scheme key activity: people who have experienced institutional child sexual abuse gain access to counselling and psychological services, a direct personal response and a monetary payment.</w:t>
      </w:r>
    </w:p>
    <w:p w14:paraId="518E5617" w14:textId="1652E2F1" w:rsidR="00E71249" w:rsidRPr="00763C4F" w:rsidRDefault="00E71249" w:rsidP="007C7998">
      <w:pPr>
        <w:spacing w:before="120" w:after="160" w:line="256" w:lineRule="auto"/>
        <w:rPr>
          <w:rFonts w:cstheme="minorHAnsi"/>
          <w:szCs w:val="22"/>
          <w:lang w:eastAsia="en-AU"/>
        </w:rPr>
      </w:pPr>
      <w:r w:rsidRPr="00763C4F">
        <w:rPr>
          <w:rFonts w:cstheme="minorHAnsi"/>
          <w:szCs w:val="22"/>
          <w:lang w:eastAsia="en-AU"/>
        </w:rPr>
        <w:t xml:space="preserve">Of the three redress outputs (payment, counselling and apology), the payment is the only output delivered by the </w:t>
      </w:r>
      <w:r w:rsidR="0054557F">
        <w:rPr>
          <w:rFonts w:cstheme="minorHAnsi"/>
          <w:szCs w:val="22"/>
          <w:lang w:eastAsia="en-AU"/>
        </w:rPr>
        <w:t>d</w:t>
      </w:r>
      <w:r w:rsidRPr="00763C4F">
        <w:rPr>
          <w:rFonts w:cstheme="minorHAnsi"/>
          <w:szCs w:val="22"/>
          <w:lang w:eastAsia="en-AU"/>
        </w:rPr>
        <w:t>epartment. The other 2 are delivered by (mostly) state and territory governments and institutions.</w:t>
      </w:r>
    </w:p>
    <w:p w14:paraId="5C898759" w14:textId="77777777" w:rsidR="00E71249" w:rsidRPr="00763C4F" w:rsidRDefault="00E71249" w:rsidP="007C7998">
      <w:pPr>
        <w:suppressAutoHyphens/>
        <w:spacing w:before="120" w:after="160" w:line="257" w:lineRule="auto"/>
        <w:rPr>
          <w:rFonts w:cstheme="minorHAnsi"/>
          <w:szCs w:val="22"/>
          <w:lang w:eastAsia="en-AU"/>
        </w:rPr>
      </w:pPr>
      <w:r w:rsidRPr="00763C4F">
        <w:rPr>
          <w:rFonts w:cstheme="minorHAnsi"/>
          <w:szCs w:val="22"/>
          <w:lang w:eastAsia="en-AU"/>
        </w:rPr>
        <w:t>Targeting providing survivors an advance payment or a redress payment demonstrates achievement of a key output of the Scheme.</w:t>
      </w:r>
    </w:p>
    <w:p w14:paraId="231A36C1" w14:textId="77777777" w:rsidR="00E71249" w:rsidRPr="00763C4F" w:rsidRDefault="00E71249" w:rsidP="007C7998">
      <w:pPr>
        <w:suppressAutoHyphens/>
        <w:spacing w:before="120" w:after="160" w:line="257" w:lineRule="auto"/>
        <w:rPr>
          <w:rFonts w:cstheme="minorHAnsi"/>
          <w:szCs w:val="22"/>
          <w:lang w:eastAsia="en-AU"/>
        </w:rPr>
      </w:pPr>
      <w:r w:rsidRPr="00763C4F">
        <w:rPr>
          <w:rFonts w:cstheme="minorHAnsi"/>
          <w:szCs w:val="22"/>
          <w:lang w:eastAsia="en-AU"/>
        </w:rPr>
        <w:t>Advance payments are made to survivors with exceptional circumstances. The shorter timeframe for advance payments reflects the importance placed by the Scheme on making these payments available to survivors.</w:t>
      </w:r>
    </w:p>
    <w:p w14:paraId="3FB34049" w14:textId="77777777" w:rsidR="00E71249" w:rsidRPr="00763C4F" w:rsidRDefault="00E71249" w:rsidP="00A97D98">
      <w:pPr>
        <w:pStyle w:val="CPCustom3"/>
        <w:rPr>
          <w:lang w:eastAsia="en-AU"/>
        </w:rPr>
      </w:pPr>
      <w:r w:rsidRPr="00763C4F">
        <w:rPr>
          <w:lang w:eastAsia="en-AU"/>
        </w:rPr>
        <w:t>Methodology</w:t>
      </w:r>
    </w:p>
    <w:p w14:paraId="5AB616DF" w14:textId="77777777" w:rsidR="00E71249" w:rsidRPr="00763C4F" w:rsidRDefault="00E71249" w:rsidP="007C7998">
      <w:pPr>
        <w:spacing w:before="120" w:after="160" w:line="256" w:lineRule="auto"/>
        <w:rPr>
          <w:rFonts w:cstheme="minorHAnsi"/>
          <w:szCs w:val="22"/>
          <w:lang w:eastAsia="en-AU"/>
        </w:rPr>
      </w:pPr>
      <w:r w:rsidRPr="00763C4F">
        <w:rPr>
          <w:rFonts w:cstheme="minorHAnsi"/>
          <w:b/>
          <w:bCs/>
          <w:szCs w:val="22"/>
          <w:lang w:eastAsia="en-AU"/>
        </w:rPr>
        <w:t>2.1.7-3A</w:t>
      </w:r>
      <w:r w:rsidRPr="00763C4F">
        <w:rPr>
          <w:rFonts w:cstheme="minorHAnsi"/>
          <w:szCs w:val="22"/>
          <w:lang w:eastAsia="en-AU"/>
        </w:rPr>
        <w:t xml:space="preserve"> - Percentage of survivors who accept an offer of an advance payment and receive the payment within 7 days, as a proportion of all eligible survivors who have received the advance payment.</w:t>
      </w:r>
    </w:p>
    <w:p w14:paraId="16984780" w14:textId="77777777" w:rsidR="00E71249" w:rsidRPr="00763C4F" w:rsidRDefault="00E71249" w:rsidP="007C7998">
      <w:pPr>
        <w:autoSpaceDE w:val="0"/>
        <w:autoSpaceDN w:val="0"/>
        <w:adjustRightInd w:val="0"/>
        <w:spacing w:before="120" w:after="160" w:line="252" w:lineRule="auto"/>
        <w:rPr>
          <w:rFonts w:cstheme="minorHAnsi"/>
          <w:szCs w:val="22"/>
          <w:lang w:eastAsia="en-AU"/>
        </w:rPr>
      </w:pPr>
      <w:r w:rsidRPr="00763C4F">
        <w:rPr>
          <w:rFonts w:cstheme="minorHAnsi"/>
          <w:b/>
          <w:bCs/>
          <w:szCs w:val="22"/>
          <w:lang w:eastAsia="en-AU"/>
        </w:rPr>
        <w:t>2.1.7-3B</w:t>
      </w:r>
      <w:r w:rsidRPr="00763C4F">
        <w:rPr>
          <w:rFonts w:cstheme="minorHAnsi"/>
          <w:szCs w:val="22"/>
          <w:lang w:eastAsia="en-AU"/>
        </w:rPr>
        <w:t xml:space="preserve"> - Percentage of survivors who receive the monetary component of redress within 14 days of the Scheme receiving acceptance of the offer, as a proportion of all applicants with completed redress payments.</w:t>
      </w:r>
    </w:p>
    <w:p w14:paraId="6AFBAED9" w14:textId="77777777" w:rsidR="00E71249" w:rsidRPr="00763C4F" w:rsidRDefault="00E71249" w:rsidP="00A97D98">
      <w:pPr>
        <w:pStyle w:val="CPCustom3"/>
        <w:rPr>
          <w:lang w:eastAsia="en-AU"/>
        </w:rPr>
      </w:pPr>
      <w:r w:rsidRPr="00763C4F">
        <w:rPr>
          <w:lang w:eastAsia="en-AU"/>
        </w:rPr>
        <w:t>Data Categorisation</w:t>
      </w:r>
    </w:p>
    <w:tbl>
      <w:tblPr>
        <w:tblStyle w:val="TableGrid41"/>
        <w:tblpPr w:leftFromText="180" w:rightFromText="180" w:vertAnchor="text" w:horzAnchor="margin" w:tblpY="11"/>
        <w:tblW w:w="10201" w:type="dxa"/>
        <w:tblLook w:val="04A0" w:firstRow="1" w:lastRow="0" w:firstColumn="1" w:lastColumn="0" w:noHBand="0" w:noVBand="1"/>
        <w:tblCaption w:val="Table 44 - Categorisation of data source"/>
        <w:tblDescription w:val="Categorisation of data source"/>
      </w:tblPr>
      <w:tblGrid>
        <w:gridCol w:w="3681"/>
        <w:gridCol w:w="6520"/>
      </w:tblGrid>
      <w:tr w:rsidR="00E71249" w:rsidRPr="00763C4F" w14:paraId="28BFA16D" w14:textId="77777777" w:rsidTr="00496219">
        <w:trPr>
          <w:trHeight w:val="563"/>
          <w:tblHeader/>
        </w:trPr>
        <w:tc>
          <w:tcPr>
            <w:tcW w:w="3681" w:type="dxa"/>
            <w:tcBorders>
              <w:top w:val="single" w:sz="4" w:space="0" w:color="auto"/>
              <w:left w:val="single" w:sz="4" w:space="0" w:color="auto"/>
              <w:bottom w:val="single" w:sz="4" w:space="0" w:color="auto"/>
              <w:right w:val="single" w:sz="4" w:space="0" w:color="auto"/>
            </w:tcBorders>
            <w:shd w:val="clear" w:color="auto" w:fill="215868"/>
            <w:vAlign w:val="center"/>
            <w:hideMark/>
          </w:tcPr>
          <w:p w14:paraId="546FA142" w14:textId="77777777" w:rsidR="00E71249" w:rsidRPr="00763C4F" w:rsidRDefault="00E71249" w:rsidP="00496219">
            <w:pPr>
              <w:suppressAutoHyphens/>
              <w:spacing w:before="120" w:after="120"/>
              <w:rPr>
                <w:rFonts w:asciiTheme="minorHAnsi" w:hAnsiTheme="minorHAnsi" w:cstheme="minorHAnsi"/>
                <w:b/>
                <w:bCs/>
                <w:color w:val="FFFFFF" w:themeColor="background1"/>
                <w:szCs w:val="22"/>
              </w:rPr>
            </w:pPr>
            <w:r w:rsidRPr="00763C4F">
              <w:rPr>
                <w:rFonts w:asciiTheme="minorHAnsi" w:hAnsiTheme="minorHAnsi" w:cstheme="minorHAnsi"/>
                <w:b/>
                <w:bCs/>
                <w:color w:val="FFFFFF" w:themeColor="background1"/>
                <w:szCs w:val="22"/>
              </w:rPr>
              <w:t>Categorisation of data source</w:t>
            </w:r>
          </w:p>
        </w:tc>
        <w:tc>
          <w:tcPr>
            <w:tcW w:w="6520" w:type="dxa"/>
            <w:tcBorders>
              <w:top w:val="single" w:sz="4" w:space="0" w:color="auto"/>
              <w:left w:val="single" w:sz="4" w:space="0" w:color="auto"/>
              <w:bottom w:val="single" w:sz="4" w:space="0" w:color="auto"/>
              <w:right w:val="single" w:sz="4" w:space="0" w:color="auto"/>
            </w:tcBorders>
            <w:shd w:val="clear" w:color="auto" w:fill="215868"/>
            <w:hideMark/>
          </w:tcPr>
          <w:p w14:paraId="598A4681" w14:textId="77777777" w:rsidR="00E71249" w:rsidRPr="00763C4F" w:rsidRDefault="00E71249" w:rsidP="00496219">
            <w:pPr>
              <w:suppressAutoHyphens/>
              <w:spacing w:before="120" w:after="120"/>
              <w:rPr>
                <w:rFonts w:asciiTheme="minorHAnsi" w:hAnsiTheme="minorHAnsi" w:cstheme="minorHAnsi"/>
                <w:b/>
                <w:bCs/>
                <w:color w:val="FFFFFF" w:themeColor="background1"/>
                <w:szCs w:val="22"/>
              </w:rPr>
            </w:pPr>
            <w:r w:rsidRPr="00763C4F">
              <w:rPr>
                <w:rFonts w:asciiTheme="minorHAnsi" w:hAnsiTheme="minorHAnsi" w:cstheme="minorHAnsi"/>
                <w:b/>
                <w:bCs/>
                <w:color w:val="FFFFFF" w:themeColor="background1"/>
                <w:szCs w:val="22"/>
              </w:rPr>
              <w:t xml:space="preserve">Data source </w:t>
            </w:r>
          </w:p>
        </w:tc>
      </w:tr>
      <w:tr w:rsidR="00E71249" w:rsidRPr="00763C4F" w14:paraId="3C7BA7E4" w14:textId="77777777" w:rsidTr="00496219">
        <w:trPr>
          <w:trHeight w:val="563"/>
        </w:trPr>
        <w:tc>
          <w:tcPr>
            <w:tcW w:w="3681" w:type="dxa"/>
            <w:tcBorders>
              <w:top w:val="single" w:sz="4" w:space="0" w:color="auto"/>
              <w:left w:val="single" w:sz="4" w:space="0" w:color="auto"/>
              <w:bottom w:val="single" w:sz="4" w:space="0" w:color="auto"/>
              <w:right w:val="single" w:sz="4" w:space="0" w:color="auto"/>
            </w:tcBorders>
            <w:vAlign w:val="center"/>
            <w:hideMark/>
          </w:tcPr>
          <w:p w14:paraId="5AA08EEA" w14:textId="1E9E8EED" w:rsidR="00E71249" w:rsidRPr="00763C4F" w:rsidRDefault="00E71249" w:rsidP="00496219">
            <w:pPr>
              <w:suppressAutoHyphens/>
              <w:spacing w:before="120" w:after="120"/>
              <w:rPr>
                <w:rFonts w:asciiTheme="minorHAnsi" w:hAnsiTheme="minorHAnsi" w:cstheme="minorHAnsi"/>
                <w:color w:val="000000" w:themeColor="text1"/>
                <w:szCs w:val="22"/>
              </w:rPr>
            </w:pPr>
            <w:r w:rsidRPr="00763C4F">
              <w:rPr>
                <w:rFonts w:cstheme="minorHAnsi"/>
                <w:noProof/>
                <w:szCs w:val="22"/>
              </w:rPr>
              <w:drawing>
                <wp:inline distT="0" distB="0" distL="0" distR="0" wp14:anchorId="72C1809B" wp14:editId="046FA4DC">
                  <wp:extent cx="1209675" cy="352425"/>
                  <wp:effectExtent l="0" t="0" r="9525" b="9525"/>
                  <wp:docPr id="676879024" name="picture" descr="Second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749430" name="picture" descr="Secondary sour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9675" cy="352425"/>
                          </a:xfrm>
                          <a:prstGeom prst="rect">
                            <a:avLst/>
                          </a:prstGeom>
                        </pic:spPr>
                      </pic:pic>
                    </a:graphicData>
                  </a:graphic>
                </wp:inline>
              </w:drawing>
            </w:r>
            <w:r w:rsidR="007E4EC0">
              <w:rPr>
                <w:rFonts w:asciiTheme="minorHAnsi" w:hAnsiTheme="minorHAnsi" w:cstheme="minorHAnsi"/>
                <w:color w:val="000000" w:themeColor="text1"/>
                <w:szCs w:val="22"/>
              </w:rPr>
              <w:t xml:space="preserve"> </w:t>
            </w:r>
            <w:r w:rsidRPr="00763C4F">
              <w:rPr>
                <w:rFonts w:cstheme="minorHAnsi"/>
                <w:noProof/>
                <w:szCs w:val="22"/>
              </w:rPr>
              <w:drawing>
                <wp:inline distT="0" distB="0" distL="0" distR="0" wp14:anchorId="4A144AC9" wp14:editId="0785EA13">
                  <wp:extent cx="885825" cy="342900"/>
                  <wp:effectExtent l="0" t="0" r="9525" b="0"/>
                  <wp:docPr id="1954009829" name="picture" descr="Ti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242997" name="picture" descr="Tier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5825" cy="342900"/>
                          </a:xfrm>
                          <a:prstGeom prst="rect">
                            <a:avLst/>
                          </a:prstGeom>
                        </pic:spPr>
                      </pic:pic>
                    </a:graphicData>
                  </a:graphic>
                </wp:inline>
              </w:drawing>
            </w:r>
          </w:p>
        </w:tc>
        <w:tc>
          <w:tcPr>
            <w:tcW w:w="6520" w:type="dxa"/>
            <w:tcBorders>
              <w:top w:val="single" w:sz="4" w:space="0" w:color="auto"/>
              <w:left w:val="single" w:sz="4" w:space="0" w:color="auto"/>
              <w:bottom w:val="single" w:sz="4" w:space="0" w:color="auto"/>
              <w:right w:val="single" w:sz="4" w:space="0" w:color="auto"/>
            </w:tcBorders>
            <w:hideMark/>
          </w:tcPr>
          <w:p w14:paraId="5C978950" w14:textId="77777777" w:rsidR="00E71249" w:rsidRPr="00763C4F" w:rsidRDefault="00E71249" w:rsidP="00496219">
            <w:pPr>
              <w:suppressAutoHyphens/>
              <w:spacing w:before="120" w:after="120"/>
              <w:rPr>
                <w:rFonts w:asciiTheme="minorHAnsi" w:hAnsiTheme="minorHAnsi" w:cstheme="minorHAnsi"/>
                <w:color w:val="000000" w:themeColor="text1"/>
                <w:szCs w:val="22"/>
              </w:rPr>
            </w:pPr>
            <w:r w:rsidRPr="00763C4F">
              <w:rPr>
                <w:rFonts w:asciiTheme="minorHAnsi" w:eastAsiaTheme="minorHAnsi" w:hAnsiTheme="minorHAnsi" w:cstheme="minorHAnsi"/>
                <w:szCs w:val="22"/>
                <w:lang w:eastAsia="en-AU"/>
              </w:rPr>
              <w:t>Services Australia Enterprise Data Warehouse</w:t>
            </w:r>
          </w:p>
        </w:tc>
      </w:tr>
      <w:tr w:rsidR="00E71249" w:rsidRPr="00763C4F" w14:paraId="797ADFA0" w14:textId="77777777" w:rsidTr="00496219">
        <w:trPr>
          <w:trHeight w:val="563"/>
        </w:trPr>
        <w:tc>
          <w:tcPr>
            <w:tcW w:w="3681" w:type="dxa"/>
            <w:tcBorders>
              <w:top w:val="single" w:sz="4" w:space="0" w:color="auto"/>
              <w:left w:val="single" w:sz="4" w:space="0" w:color="auto"/>
              <w:bottom w:val="single" w:sz="4" w:space="0" w:color="auto"/>
              <w:right w:val="single" w:sz="4" w:space="0" w:color="auto"/>
            </w:tcBorders>
            <w:vAlign w:val="center"/>
            <w:hideMark/>
          </w:tcPr>
          <w:p w14:paraId="6EE4A9E5" w14:textId="5E754671" w:rsidR="00E71249" w:rsidRPr="00763C4F" w:rsidRDefault="00E71249" w:rsidP="00496219">
            <w:pPr>
              <w:suppressAutoHyphens/>
              <w:spacing w:before="120" w:after="120"/>
              <w:rPr>
                <w:rFonts w:asciiTheme="minorHAnsi" w:hAnsiTheme="minorHAnsi" w:cstheme="minorHAnsi"/>
                <w:color w:val="000000" w:themeColor="text1"/>
                <w:szCs w:val="22"/>
              </w:rPr>
            </w:pPr>
            <w:r w:rsidRPr="00763C4F">
              <w:rPr>
                <w:rFonts w:cstheme="minorHAnsi"/>
                <w:noProof/>
                <w:szCs w:val="22"/>
              </w:rPr>
              <w:drawing>
                <wp:inline distT="0" distB="0" distL="0" distR="0" wp14:anchorId="37718157" wp14:editId="187BC76A">
                  <wp:extent cx="1219200" cy="352425"/>
                  <wp:effectExtent l="0" t="0" r="0" b="9525"/>
                  <wp:docPr id="1138413124" name="picture" descr="primary sour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908713" name="picture" descr="primary source&#1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19200" cy="352425"/>
                          </a:xfrm>
                          <a:prstGeom prst="rect">
                            <a:avLst/>
                          </a:prstGeom>
                        </pic:spPr>
                      </pic:pic>
                    </a:graphicData>
                  </a:graphic>
                </wp:inline>
              </w:drawing>
            </w:r>
            <w:r w:rsidR="007E4EC0">
              <w:rPr>
                <w:rFonts w:asciiTheme="minorHAnsi" w:hAnsiTheme="minorHAnsi" w:cstheme="minorHAnsi"/>
                <w:color w:val="000000" w:themeColor="text1"/>
                <w:szCs w:val="22"/>
              </w:rPr>
              <w:t xml:space="preserve"> </w:t>
            </w:r>
            <w:r w:rsidRPr="00763C4F">
              <w:rPr>
                <w:rFonts w:cstheme="minorHAnsi"/>
                <w:noProof/>
                <w:szCs w:val="22"/>
              </w:rPr>
              <w:drawing>
                <wp:inline distT="0" distB="0" distL="0" distR="0" wp14:anchorId="5F9DFB0F" wp14:editId="4AB54837">
                  <wp:extent cx="885825" cy="342900"/>
                  <wp:effectExtent l="0" t="0" r="9525" b="0"/>
                  <wp:docPr id="1758696721" name="picture" descr="ti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060285" name="picture" descr="tier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5825" cy="342900"/>
                          </a:xfrm>
                          <a:prstGeom prst="rect">
                            <a:avLst/>
                          </a:prstGeom>
                        </pic:spPr>
                      </pic:pic>
                    </a:graphicData>
                  </a:graphic>
                </wp:inline>
              </w:drawing>
            </w:r>
          </w:p>
        </w:tc>
        <w:tc>
          <w:tcPr>
            <w:tcW w:w="6520" w:type="dxa"/>
            <w:tcBorders>
              <w:top w:val="single" w:sz="4" w:space="0" w:color="auto"/>
              <w:left w:val="single" w:sz="4" w:space="0" w:color="auto"/>
              <w:bottom w:val="single" w:sz="4" w:space="0" w:color="auto"/>
              <w:right w:val="single" w:sz="4" w:space="0" w:color="auto"/>
            </w:tcBorders>
            <w:hideMark/>
          </w:tcPr>
          <w:p w14:paraId="5556AEC0" w14:textId="77777777" w:rsidR="00E71249" w:rsidRPr="00763C4F" w:rsidRDefault="00E71249" w:rsidP="00496219">
            <w:pPr>
              <w:suppressAutoHyphens/>
              <w:spacing w:before="120" w:after="120"/>
              <w:rPr>
                <w:rFonts w:asciiTheme="minorHAnsi" w:hAnsiTheme="minorHAnsi" w:cstheme="minorHAnsi"/>
                <w:color w:val="000000" w:themeColor="text1"/>
                <w:szCs w:val="22"/>
              </w:rPr>
            </w:pPr>
            <w:r w:rsidRPr="00763C4F">
              <w:rPr>
                <w:rFonts w:asciiTheme="minorHAnsi" w:eastAsiaTheme="minorHAnsi" w:hAnsiTheme="minorHAnsi" w:cstheme="minorHAnsi"/>
                <w:szCs w:val="22"/>
                <w:lang w:eastAsia="en-AU"/>
              </w:rPr>
              <w:t>Department’s Administrative data</w:t>
            </w:r>
            <w:r w:rsidRPr="00763C4F">
              <w:rPr>
                <w:rFonts w:asciiTheme="minorHAnsi" w:hAnsiTheme="minorHAnsi" w:cstheme="minorHAnsi"/>
                <w:color w:val="000000" w:themeColor="text1"/>
                <w:szCs w:val="22"/>
              </w:rPr>
              <w:t xml:space="preserve"> </w:t>
            </w:r>
          </w:p>
        </w:tc>
      </w:tr>
      <w:tr w:rsidR="00E71249" w:rsidRPr="00763C4F" w14:paraId="05D85ACD" w14:textId="77777777" w:rsidTr="00496219">
        <w:trPr>
          <w:trHeight w:val="563"/>
        </w:trPr>
        <w:tc>
          <w:tcPr>
            <w:tcW w:w="3681" w:type="dxa"/>
            <w:tcBorders>
              <w:top w:val="single" w:sz="4" w:space="0" w:color="auto"/>
              <w:left w:val="single" w:sz="4" w:space="0" w:color="auto"/>
              <w:bottom w:val="single" w:sz="4" w:space="0" w:color="auto"/>
              <w:right w:val="single" w:sz="4" w:space="0" w:color="auto"/>
            </w:tcBorders>
            <w:vAlign w:val="center"/>
            <w:hideMark/>
          </w:tcPr>
          <w:p w14:paraId="79E20232" w14:textId="4095362A" w:rsidR="00E71249" w:rsidRPr="00763C4F" w:rsidRDefault="00E71249" w:rsidP="00496219">
            <w:pPr>
              <w:suppressAutoHyphens/>
              <w:spacing w:before="120" w:after="120"/>
              <w:rPr>
                <w:rFonts w:asciiTheme="minorHAnsi" w:hAnsiTheme="minorHAnsi" w:cstheme="minorHAnsi"/>
                <w:color w:val="000000" w:themeColor="text1"/>
                <w:szCs w:val="22"/>
              </w:rPr>
            </w:pPr>
            <w:r w:rsidRPr="00763C4F">
              <w:rPr>
                <w:rFonts w:cstheme="minorHAnsi"/>
                <w:noProof/>
                <w:szCs w:val="22"/>
              </w:rPr>
              <w:drawing>
                <wp:inline distT="0" distB="0" distL="0" distR="0" wp14:anchorId="27A030B0" wp14:editId="47788716">
                  <wp:extent cx="1219200" cy="352425"/>
                  <wp:effectExtent l="0" t="0" r="0" b="9525"/>
                  <wp:docPr id="601999938" name="picture" descr="primary sour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602582" name="picture" descr="primary source&#1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19200" cy="352425"/>
                          </a:xfrm>
                          <a:prstGeom prst="rect">
                            <a:avLst/>
                          </a:prstGeom>
                        </pic:spPr>
                      </pic:pic>
                    </a:graphicData>
                  </a:graphic>
                </wp:inline>
              </w:drawing>
            </w:r>
            <w:r w:rsidR="007E4EC0">
              <w:rPr>
                <w:rFonts w:asciiTheme="minorHAnsi" w:hAnsiTheme="minorHAnsi" w:cstheme="minorHAnsi"/>
                <w:color w:val="000000" w:themeColor="text1"/>
                <w:szCs w:val="22"/>
              </w:rPr>
              <w:t xml:space="preserve"> </w:t>
            </w:r>
            <w:r w:rsidRPr="00763C4F">
              <w:rPr>
                <w:rFonts w:cstheme="minorHAnsi"/>
                <w:noProof/>
                <w:szCs w:val="22"/>
              </w:rPr>
              <w:drawing>
                <wp:inline distT="0" distB="0" distL="0" distR="0" wp14:anchorId="75E324D7" wp14:editId="260941BF">
                  <wp:extent cx="885825" cy="342900"/>
                  <wp:effectExtent l="0" t="0" r="9525" b="0"/>
                  <wp:docPr id="923256573" name="picture" descr="ti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332942" name="picture" descr="tier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5825" cy="342900"/>
                          </a:xfrm>
                          <a:prstGeom prst="rect">
                            <a:avLst/>
                          </a:prstGeom>
                        </pic:spPr>
                      </pic:pic>
                    </a:graphicData>
                  </a:graphic>
                </wp:inline>
              </w:drawing>
            </w:r>
          </w:p>
        </w:tc>
        <w:tc>
          <w:tcPr>
            <w:tcW w:w="6520" w:type="dxa"/>
            <w:tcBorders>
              <w:top w:val="single" w:sz="4" w:space="0" w:color="auto"/>
              <w:left w:val="single" w:sz="4" w:space="0" w:color="auto"/>
              <w:bottom w:val="single" w:sz="4" w:space="0" w:color="auto"/>
              <w:right w:val="single" w:sz="4" w:space="0" w:color="auto"/>
            </w:tcBorders>
            <w:hideMark/>
          </w:tcPr>
          <w:p w14:paraId="6E7B28C7" w14:textId="77777777" w:rsidR="00E71249" w:rsidRPr="00763C4F" w:rsidRDefault="00E71249" w:rsidP="00496219">
            <w:pPr>
              <w:suppressAutoHyphens/>
              <w:spacing w:before="120" w:after="120"/>
              <w:rPr>
                <w:rFonts w:asciiTheme="minorHAnsi" w:eastAsiaTheme="minorHAnsi" w:hAnsiTheme="minorHAnsi" w:cstheme="minorHAnsi"/>
                <w:szCs w:val="22"/>
                <w:lang w:eastAsia="en-AU"/>
              </w:rPr>
            </w:pPr>
            <w:r w:rsidRPr="00763C4F">
              <w:rPr>
                <w:rFonts w:asciiTheme="minorHAnsi" w:eastAsiaTheme="minorHAnsi" w:hAnsiTheme="minorHAnsi" w:cstheme="minorHAnsi"/>
                <w:szCs w:val="22"/>
                <w:lang w:eastAsia="en-AU"/>
              </w:rPr>
              <w:t>Institutions Customer Relationships Management System (SIEBEL)</w:t>
            </w:r>
          </w:p>
        </w:tc>
      </w:tr>
    </w:tbl>
    <w:p w14:paraId="58200B5D" w14:textId="77777777" w:rsidR="00E71249" w:rsidRPr="00763C4F" w:rsidRDefault="00E71249" w:rsidP="00A97D98">
      <w:pPr>
        <w:pStyle w:val="CPCustom3"/>
        <w:rPr>
          <w:lang w:eastAsia="en-AU"/>
        </w:rPr>
      </w:pPr>
      <w:r w:rsidRPr="00763C4F">
        <w:rPr>
          <w:lang w:eastAsia="en-AU"/>
        </w:rPr>
        <w:t>Supporting Information</w:t>
      </w:r>
    </w:p>
    <w:p w14:paraId="6060E505" w14:textId="77777777" w:rsidR="00E71249" w:rsidRPr="00763C4F" w:rsidRDefault="00E71249" w:rsidP="007C7998">
      <w:pPr>
        <w:pStyle w:val="ListParagraph"/>
        <w:spacing w:before="120" w:after="160"/>
        <w:ind w:left="714" w:hanging="357"/>
        <w:rPr>
          <w:lang w:eastAsia="en-AU"/>
        </w:rPr>
      </w:pPr>
      <w:r w:rsidRPr="00763C4F">
        <w:rPr>
          <w:lang w:eastAsia="en-AU"/>
        </w:rPr>
        <w:t>Administered outlays</w:t>
      </w:r>
    </w:p>
    <w:p w14:paraId="003EE2C9" w14:textId="77777777" w:rsidR="00E71249" w:rsidRPr="00763C4F" w:rsidRDefault="00E71249" w:rsidP="007C7998">
      <w:pPr>
        <w:pStyle w:val="ListParagraph"/>
        <w:spacing w:before="120" w:after="160"/>
        <w:ind w:left="714" w:hanging="357"/>
        <w:rPr>
          <w:lang w:eastAsia="en-AU"/>
        </w:rPr>
      </w:pPr>
      <w:r w:rsidRPr="00763C4F">
        <w:rPr>
          <w:lang w:eastAsia="en-AU"/>
        </w:rPr>
        <w:t xml:space="preserve">Number of Scheme applications received </w:t>
      </w:r>
    </w:p>
    <w:p w14:paraId="078EF710" w14:textId="77777777" w:rsidR="00E71249" w:rsidRPr="00597F68" w:rsidRDefault="00E71249" w:rsidP="007C7998">
      <w:pPr>
        <w:pStyle w:val="ListParagraph"/>
        <w:spacing w:before="120" w:after="160"/>
        <w:ind w:left="714" w:hanging="357"/>
        <w:rPr>
          <w:lang w:eastAsia="en-AU"/>
        </w:rPr>
      </w:pPr>
      <w:r w:rsidRPr="00763C4F">
        <w:rPr>
          <w:lang w:eastAsia="en-AU"/>
        </w:rPr>
        <w:t>Number of institutions that have joined the Scheme</w:t>
      </w:r>
    </w:p>
    <w:p w14:paraId="12A8E394" w14:textId="77777777" w:rsidR="00E71249" w:rsidRDefault="00E71249" w:rsidP="00E71249">
      <w:pPr>
        <w:spacing w:after="240"/>
        <w:rPr>
          <w:rFonts w:cstheme="minorHAnsi"/>
          <w:highlight w:val="yellow"/>
          <w:lang w:eastAsia="en-AU"/>
        </w:rPr>
      </w:pPr>
      <w:r>
        <w:rPr>
          <w:rFonts w:cstheme="minorHAnsi"/>
          <w:highlight w:val="yellow"/>
          <w:lang w:eastAsia="en-AU"/>
        </w:rPr>
        <w:br w:type="page"/>
      </w:r>
    </w:p>
    <w:p w14:paraId="742F608C" w14:textId="2AEE8005" w:rsidR="00E71249" w:rsidRPr="00DD6FA0" w:rsidRDefault="00A97D98" w:rsidP="00DD6FA0">
      <w:pPr>
        <w:pStyle w:val="Heading3"/>
        <w:shd w:val="clear" w:color="auto" w:fill="005A70" w:themeFill="accent1"/>
        <w:rPr>
          <w:rFonts w:asciiTheme="minorHAnsi" w:hAnsiTheme="minorHAnsi" w:cstheme="minorHAnsi"/>
          <w:b/>
          <w:bCs w:val="0"/>
          <w:color w:val="FFFFFF" w:themeColor="background1"/>
          <w:sz w:val="22"/>
          <w:szCs w:val="22"/>
          <w:lang w:eastAsia="en-AU"/>
        </w:rPr>
      </w:pPr>
      <w:bookmarkStart w:id="153" w:name="_Toc201309102"/>
      <w:bookmarkStart w:id="154" w:name="_Toc201310798"/>
      <w:bookmarkStart w:id="155" w:name="_Toc238653306"/>
      <w:bookmarkEnd w:id="144"/>
      <w:bookmarkEnd w:id="145"/>
      <w:bookmarkEnd w:id="146"/>
      <w:bookmarkEnd w:id="147"/>
      <w:bookmarkEnd w:id="148"/>
      <w:bookmarkEnd w:id="149"/>
      <w:r w:rsidRPr="00DD6FA0">
        <w:rPr>
          <w:rFonts w:asciiTheme="minorHAnsi" w:hAnsiTheme="minorHAnsi" w:cstheme="minorHAnsi"/>
          <w:b/>
          <w:bCs w:val="0"/>
          <w:color w:val="FFFFFF" w:themeColor="background1"/>
          <w:sz w:val="22"/>
          <w:szCs w:val="22"/>
          <w:lang w:eastAsia="en-AU"/>
        </w:rPr>
        <w:lastRenderedPageBreak/>
        <w:t>Cross Outcome</w:t>
      </w:r>
      <w:r w:rsidR="00E71249" w:rsidRPr="00DD6FA0">
        <w:rPr>
          <w:rFonts w:asciiTheme="minorHAnsi" w:hAnsiTheme="minorHAnsi" w:cstheme="minorHAnsi"/>
          <w:b/>
          <w:bCs w:val="0"/>
          <w:color w:val="FFFFFF" w:themeColor="background1"/>
          <w:sz w:val="22"/>
          <w:szCs w:val="22"/>
          <w:lang w:eastAsia="en-AU"/>
        </w:rPr>
        <w:t xml:space="preserve"> </w:t>
      </w:r>
      <w:r w:rsidRPr="00DD6FA0">
        <w:rPr>
          <w:rFonts w:asciiTheme="minorHAnsi" w:hAnsiTheme="minorHAnsi" w:cstheme="minorHAnsi"/>
          <w:b/>
          <w:bCs w:val="0"/>
          <w:color w:val="FFFFFF" w:themeColor="background1"/>
          <w:sz w:val="22"/>
          <w:szCs w:val="22"/>
          <w:lang w:eastAsia="en-AU"/>
        </w:rPr>
        <w:t>–</w:t>
      </w:r>
      <w:r w:rsidR="00E71249" w:rsidRPr="00DD6FA0">
        <w:rPr>
          <w:rFonts w:asciiTheme="minorHAnsi" w:hAnsiTheme="minorHAnsi" w:cstheme="minorHAnsi"/>
          <w:b/>
          <w:bCs w:val="0"/>
          <w:color w:val="FFFFFF" w:themeColor="background1"/>
          <w:sz w:val="22"/>
          <w:szCs w:val="22"/>
          <w:lang w:eastAsia="en-AU"/>
        </w:rPr>
        <w:t xml:space="preserve"> </w:t>
      </w:r>
      <w:bookmarkEnd w:id="153"/>
      <w:bookmarkEnd w:id="154"/>
      <w:r w:rsidRPr="00DD6FA0">
        <w:rPr>
          <w:rFonts w:asciiTheme="minorHAnsi" w:hAnsiTheme="minorHAnsi" w:cstheme="minorHAnsi"/>
          <w:b/>
          <w:bCs w:val="0"/>
          <w:color w:val="FFFFFF" w:themeColor="background1"/>
          <w:sz w:val="22"/>
          <w:szCs w:val="22"/>
          <w:lang w:eastAsia="en-AU"/>
        </w:rPr>
        <w:t>Cross Program Support</w:t>
      </w:r>
      <w:bookmarkEnd w:id="155"/>
    </w:p>
    <w:p w14:paraId="5897C9DD" w14:textId="77777777" w:rsidR="00E71249" w:rsidRPr="002A5B00" w:rsidRDefault="00E71249" w:rsidP="002A5B00">
      <w:pPr>
        <w:pStyle w:val="Heading4"/>
        <w:shd w:val="clear" w:color="auto" w:fill="B1E4E3" w:themeFill="accent3"/>
        <w:spacing w:before="60" w:after="60"/>
        <w:rPr>
          <w:color w:val="auto"/>
          <w:sz w:val="22"/>
          <w:szCs w:val="22"/>
        </w:rPr>
      </w:pPr>
      <w:r w:rsidRPr="002A5B00">
        <w:rPr>
          <w:color w:val="auto"/>
          <w:sz w:val="22"/>
          <w:szCs w:val="22"/>
        </w:rPr>
        <w:t>Key Activity — Advice and Support to Ministers</w:t>
      </w:r>
    </w:p>
    <w:p w14:paraId="52281434" w14:textId="77777777" w:rsidR="00E71249" w:rsidRPr="00597F68" w:rsidRDefault="00E71249" w:rsidP="007C7998">
      <w:pPr>
        <w:spacing w:before="120" w:after="160"/>
        <w:rPr>
          <w:rFonts w:eastAsia="Times New Roman" w:cstheme="minorHAnsi"/>
          <w:szCs w:val="22"/>
          <w:lang w:eastAsia="en-AU"/>
        </w:rPr>
      </w:pPr>
      <w:r w:rsidRPr="00597F68">
        <w:rPr>
          <w:rFonts w:eastAsia="Times New Roman" w:cstheme="minorHAnsi"/>
          <w:szCs w:val="22"/>
          <w:lang w:eastAsia="en-AU"/>
        </w:rPr>
        <w:t>Advice and support to Ministers is a key activity of Program Support for Outcomes 1 – 2 and aims to support programs across all outcomes to ensure that Ministers and Assistant Ministers are provided with timely advice and support from the department.</w:t>
      </w:r>
    </w:p>
    <w:p w14:paraId="669BDE76" w14:textId="25B603C9" w:rsidR="00E71249" w:rsidRPr="00A97D98" w:rsidRDefault="00E71249" w:rsidP="00A97D98">
      <w:pPr>
        <w:pStyle w:val="Heading4"/>
        <w:rPr>
          <w:sz w:val="22"/>
          <w:szCs w:val="22"/>
        </w:rPr>
      </w:pPr>
      <w:bookmarkStart w:id="156" w:name="_Toc207287377"/>
      <w:r w:rsidRPr="00A97D98">
        <w:rPr>
          <w:sz w:val="22"/>
          <w:szCs w:val="22"/>
        </w:rPr>
        <w:t>Performance Measure</w:t>
      </w:r>
      <w:bookmarkEnd w:id="156"/>
    </w:p>
    <w:p w14:paraId="04B25154" w14:textId="77777777" w:rsidR="00E71249" w:rsidRPr="00597F68" w:rsidRDefault="00E71249" w:rsidP="007C7998">
      <w:pPr>
        <w:spacing w:before="120" w:after="160"/>
        <w:rPr>
          <w:rFonts w:eastAsia="Times New Roman" w:cstheme="minorHAnsi"/>
          <w:szCs w:val="22"/>
          <w:lang w:eastAsia="en-AU"/>
        </w:rPr>
      </w:pPr>
      <w:r w:rsidRPr="00597F68">
        <w:rPr>
          <w:rFonts w:eastAsia="Times New Roman" w:cstheme="minorHAnsi"/>
          <w:szCs w:val="22"/>
          <w:lang w:eastAsia="en-AU"/>
        </w:rPr>
        <w:t>CO1-1 Timeliness of advice and support provided to Portfolio Ministers and Assistant Ministers by the department across the 2 outcomes.</w:t>
      </w:r>
    </w:p>
    <w:tbl>
      <w:tblPr>
        <w:tblStyle w:val="TableGrid396"/>
        <w:tblW w:w="4976" w:type="pct"/>
        <w:jc w:val="center"/>
        <w:tblLook w:val="04A0" w:firstRow="1" w:lastRow="0" w:firstColumn="1" w:lastColumn="0" w:noHBand="0" w:noVBand="1"/>
        <w:tblCaption w:val="Table 45 - CO1-1A At least 95% of ministerial briefs and correspondence across the 3 outcomes are provided on time."/>
        <w:tblDescription w:val="Target for CO1-1A At least 95% of ministerial briefs and correspondence across the 3 outcomes are provided on time."/>
      </w:tblPr>
      <w:tblGrid>
        <w:gridCol w:w="3905"/>
        <w:gridCol w:w="1562"/>
        <w:gridCol w:w="1562"/>
        <w:gridCol w:w="1562"/>
        <w:gridCol w:w="1554"/>
      </w:tblGrid>
      <w:tr w:rsidR="00E71249" w:rsidRPr="00597F68" w14:paraId="6335430F" w14:textId="77777777" w:rsidTr="00496219">
        <w:trPr>
          <w:cantSplit/>
          <w:trHeight w:val="356"/>
          <w:tblHeader/>
          <w:jc w:val="center"/>
        </w:trPr>
        <w:tc>
          <w:tcPr>
            <w:tcW w:w="1924" w:type="pct"/>
            <w:tcBorders>
              <w:top w:val="single" w:sz="4" w:space="0" w:color="auto"/>
              <w:bottom w:val="single" w:sz="4" w:space="0" w:color="auto"/>
              <w:right w:val="single" w:sz="6" w:space="0" w:color="auto"/>
            </w:tcBorders>
            <w:shd w:val="clear" w:color="auto" w:fill="D9D9D6"/>
            <w:vAlign w:val="center"/>
          </w:tcPr>
          <w:p w14:paraId="47E6ABAD" w14:textId="77777777" w:rsidR="00E71249" w:rsidRPr="00597F68" w:rsidRDefault="00E71249" w:rsidP="00496219">
            <w:pPr>
              <w:spacing w:before="120" w:after="60" w:line="252" w:lineRule="auto"/>
              <w:rPr>
                <w:rFonts w:asciiTheme="minorHAnsi" w:hAnsiTheme="minorHAnsi" w:cstheme="minorHAnsi"/>
                <w:szCs w:val="22"/>
              </w:rPr>
            </w:pPr>
            <w:r w:rsidRPr="00597F68">
              <w:rPr>
                <w:rFonts w:asciiTheme="minorHAnsi" w:hAnsiTheme="minorHAnsi" w:cstheme="minorHAnsi"/>
                <w:b/>
                <w:bCs/>
                <w:szCs w:val="22"/>
              </w:rPr>
              <w:t>Target</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tcPr>
          <w:p w14:paraId="7754F378" w14:textId="77777777" w:rsidR="00E71249" w:rsidRPr="00597F68" w:rsidRDefault="00E71249" w:rsidP="00496219">
            <w:pPr>
              <w:spacing w:before="120" w:after="60" w:line="252" w:lineRule="auto"/>
              <w:rPr>
                <w:rFonts w:asciiTheme="minorHAnsi" w:hAnsiTheme="minorHAnsi" w:cstheme="minorHAnsi"/>
                <w:szCs w:val="22"/>
              </w:rPr>
            </w:pPr>
            <w:r w:rsidRPr="00597F68">
              <w:rPr>
                <w:rFonts w:asciiTheme="minorHAnsi" w:hAnsiTheme="minorHAnsi" w:cstheme="minorHAnsi"/>
                <w:b/>
                <w:szCs w:val="22"/>
              </w:rPr>
              <w:t>2026–27</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tcPr>
          <w:p w14:paraId="110D4AD1" w14:textId="77777777" w:rsidR="00E71249" w:rsidRPr="00597F68" w:rsidRDefault="00E71249" w:rsidP="00496219">
            <w:pPr>
              <w:spacing w:before="120" w:after="60" w:line="252" w:lineRule="auto"/>
              <w:rPr>
                <w:rFonts w:asciiTheme="minorHAnsi" w:hAnsiTheme="minorHAnsi" w:cstheme="minorHAnsi"/>
                <w:szCs w:val="22"/>
              </w:rPr>
            </w:pPr>
            <w:r w:rsidRPr="00597F68">
              <w:rPr>
                <w:rFonts w:asciiTheme="minorHAnsi" w:hAnsiTheme="minorHAnsi" w:cstheme="minorHAnsi"/>
                <w:b/>
                <w:szCs w:val="22"/>
              </w:rPr>
              <w:t>2027–28</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tcPr>
          <w:p w14:paraId="45FBF018" w14:textId="77777777" w:rsidR="00E71249" w:rsidRPr="00597F68" w:rsidRDefault="00E71249" w:rsidP="00496219">
            <w:pPr>
              <w:spacing w:before="120" w:after="60" w:line="252" w:lineRule="auto"/>
              <w:rPr>
                <w:rFonts w:asciiTheme="minorHAnsi" w:hAnsiTheme="minorHAnsi" w:cstheme="minorHAnsi"/>
                <w:szCs w:val="22"/>
              </w:rPr>
            </w:pPr>
            <w:r w:rsidRPr="00597F68">
              <w:rPr>
                <w:rFonts w:asciiTheme="minorHAnsi" w:hAnsiTheme="minorHAnsi" w:cstheme="minorHAnsi"/>
                <w:b/>
                <w:szCs w:val="22"/>
              </w:rPr>
              <w:t>2028–29</w:t>
            </w:r>
          </w:p>
        </w:tc>
        <w:tc>
          <w:tcPr>
            <w:tcW w:w="767" w:type="pct"/>
            <w:tcBorders>
              <w:top w:val="single" w:sz="4" w:space="0" w:color="auto"/>
              <w:left w:val="single" w:sz="6" w:space="0" w:color="auto"/>
              <w:bottom w:val="single" w:sz="4" w:space="0" w:color="auto"/>
              <w:right w:val="single" w:sz="4" w:space="0" w:color="auto"/>
            </w:tcBorders>
            <w:shd w:val="clear" w:color="auto" w:fill="D9D9D6"/>
            <w:vAlign w:val="center"/>
          </w:tcPr>
          <w:p w14:paraId="6D369D16" w14:textId="77777777" w:rsidR="00E71249" w:rsidRPr="00597F68" w:rsidRDefault="00E71249" w:rsidP="00496219">
            <w:pPr>
              <w:spacing w:before="120" w:after="60" w:line="252" w:lineRule="auto"/>
              <w:rPr>
                <w:rFonts w:asciiTheme="minorHAnsi" w:hAnsiTheme="minorHAnsi" w:cstheme="minorHAnsi"/>
                <w:szCs w:val="22"/>
              </w:rPr>
            </w:pPr>
            <w:r w:rsidRPr="00597F68">
              <w:rPr>
                <w:rFonts w:asciiTheme="minorHAnsi" w:hAnsiTheme="minorHAnsi" w:cstheme="minorHAnsi"/>
                <w:b/>
                <w:szCs w:val="22"/>
              </w:rPr>
              <w:t>2029–30</w:t>
            </w:r>
          </w:p>
        </w:tc>
      </w:tr>
      <w:tr w:rsidR="00E71249" w:rsidRPr="00597F68" w14:paraId="3B0397A8" w14:textId="77777777" w:rsidTr="00496219">
        <w:trPr>
          <w:cantSplit/>
          <w:trHeight w:val="356"/>
          <w:jc w:val="center"/>
        </w:trPr>
        <w:tc>
          <w:tcPr>
            <w:tcW w:w="1924" w:type="pct"/>
            <w:tcBorders>
              <w:top w:val="single" w:sz="4" w:space="0" w:color="auto"/>
              <w:bottom w:val="single" w:sz="4" w:space="0" w:color="auto"/>
            </w:tcBorders>
          </w:tcPr>
          <w:p w14:paraId="0D5A9036" w14:textId="77777777" w:rsidR="00E71249" w:rsidRPr="00597F68" w:rsidRDefault="00E71249" w:rsidP="00496219">
            <w:pPr>
              <w:spacing w:before="120" w:after="60" w:line="252" w:lineRule="auto"/>
              <w:rPr>
                <w:rFonts w:asciiTheme="minorHAnsi" w:hAnsiTheme="minorHAnsi" w:cstheme="minorHAnsi"/>
                <w:szCs w:val="22"/>
              </w:rPr>
            </w:pPr>
            <w:r w:rsidRPr="00597F68">
              <w:rPr>
                <w:rFonts w:asciiTheme="minorHAnsi" w:hAnsiTheme="minorHAnsi" w:cstheme="minorHAnsi"/>
                <w:szCs w:val="22"/>
              </w:rPr>
              <w:t>CO1-1A – At least 95% of ministerial briefs and correspondence across the 2 outcomes are provided on time.</w:t>
            </w:r>
          </w:p>
        </w:tc>
        <w:tc>
          <w:tcPr>
            <w:tcW w:w="770" w:type="pct"/>
            <w:tcBorders>
              <w:top w:val="single" w:sz="4" w:space="0" w:color="auto"/>
              <w:bottom w:val="single" w:sz="4" w:space="0" w:color="auto"/>
            </w:tcBorders>
          </w:tcPr>
          <w:p w14:paraId="665B2176" w14:textId="77777777" w:rsidR="00E71249" w:rsidRPr="00597F68" w:rsidRDefault="00E71249" w:rsidP="00496219">
            <w:pPr>
              <w:spacing w:before="120" w:after="60" w:line="252" w:lineRule="auto"/>
              <w:rPr>
                <w:rFonts w:asciiTheme="minorHAnsi" w:hAnsiTheme="minorHAnsi" w:cstheme="minorHAnsi"/>
                <w:szCs w:val="22"/>
              </w:rPr>
            </w:pPr>
            <w:r w:rsidRPr="00597F68">
              <w:rPr>
                <w:rFonts w:asciiTheme="minorHAnsi" w:hAnsiTheme="minorHAnsi" w:cstheme="minorHAnsi"/>
                <w:szCs w:val="22"/>
              </w:rPr>
              <w:t>≥ 95%</w:t>
            </w:r>
          </w:p>
        </w:tc>
        <w:tc>
          <w:tcPr>
            <w:tcW w:w="770" w:type="pct"/>
            <w:tcBorders>
              <w:top w:val="single" w:sz="4" w:space="0" w:color="auto"/>
              <w:bottom w:val="single" w:sz="4" w:space="0" w:color="auto"/>
            </w:tcBorders>
          </w:tcPr>
          <w:p w14:paraId="511F8E66" w14:textId="77777777" w:rsidR="00E71249" w:rsidRPr="00597F68" w:rsidRDefault="00E71249" w:rsidP="00496219">
            <w:pPr>
              <w:spacing w:before="120" w:after="60" w:line="252" w:lineRule="auto"/>
              <w:rPr>
                <w:rFonts w:asciiTheme="minorHAnsi" w:hAnsiTheme="minorHAnsi" w:cstheme="minorHAnsi"/>
                <w:szCs w:val="22"/>
              </w:rPr>
            </w:pPr>
            <w:r w:rsidRPr="00597F68">
              <w:rPr>
                <w:rFonts w:asciiTheme="minorHAnsi" w:hAnsiTheme="minorHAnsi" w:cstheme="minorHAnsi"/>
                <w:szCs w:val="22"/>
              </w:rPr>
              <w:t>≥ 95%</w:t>
            </w:r>
          </w:p>
        </w:tc>
        <w:tc>
          <w:tcPr>
            <w:tcW w:w="770" w:type="pct"/>
            <w:tcBorders>
              <w:top w:val="single" w:sz="4" w:space="0" w:color="auto"/>
              <w:bottom w:val="single" w:sz="4" w:space="0" w:color="auto"/>
            </w:tcBorders>
          </w:tcPr>
          <w:p w14:paraId="42A6B36D" w14:textId="77777777" w:rsidR="00E71249" w:rsidRPr="00597F68" w:rsidRDefault="00E71249" w:rsidP="00496219">
            <w:pPr>
              <w:spacing w:before="120" w:after="60" w:line="252" w:lineRule="auto"/>
              <w:rPr>
                <w:rFonts w:asciiTheme="minorHAnsi" w:hAnsiTheme="minorHAnsi" w:cstheme="minorHAnsi"/>
                <w:szCs w:val="22"/>
              </w:rPr>
            </w:pPr>
            <w:r w:rsidRPr="00597F68">
              <w:rPr>
                <w:rFonts w:asciiTheme="minorHAnsi" w:hAnsiTheme="minorHAnsi" w:cstheme="minorHAnsi"/>
                <w:szCs w:val="22"/>
              </w:rPr>
              <w:t>≥ 95%</w:t>
            </w:r>
          </w:p>
        </w:tc>
        <w:tc>
          <w:tcPr>
            <w:tcW w:w="767" w:type="pct"/>
            <w:tcBorders>
              <w:top w:val="single" w:sz="4" w:space="0" w:color="auto"/>
              <w:bottom w:val="single" w:sz="4" w:space="0" w:color="auto"/>
            </w:tcBorders>
          </w:tcPr>
          <w:p w14:paraId="103E244F" w14:textId="77777777" w:rsidR="00E71249" w:rsidRPr="00597F68" w:rsidRDefault="00E71249" w:rsidP="00496219">
            <w:pPr>
              <w:spacing w:before="120" w:after="60" w:line="252" w:lineRule="auto"/>
              <w:rPr>
                <w:rFonts w:asciiTheme="minorHAnsi" w:hAnsiTheme="minorHAnsi" w:cstheme="minorHAnsi"/>
                <w:szCs w:val="22"/>
              </w:rPr>
            </w:pPr>
            <w:r w:rsidRPr="00597F68">
              <w:rPr>
                <w:rFonts w:asciiTheme="minorHAnsi" w:hAnsiTheme="minorHAnsi" w:cstheme="minorHAnsi"/>
                <w:szCs w:val="22"/>
              </w:rPr>
              <w:t>≥ 95%</w:t>
            </w:r>
          </w:p>
        </w:tc>
      </w:tr>
    </w:tbl>
    <w:p w14:paraId="13DDE146" w14:textId="77777777" w:rsidR="00E71249" w:rsidRPr="00597F68" w:rsidRDefault="00E71249" w:rsidP="00A97D98">
      <w:pPr>
        <w:pStyle w:val="CPCustom3"/>
        <w:rPr>
          <w:lang w:eastAsia="en-AU"/>
        </w:rPr>
      </w:pPr>
      <w:r w:rsidRPr="00597F68">
        <w:rPr>
          <w:lang w:eastAsia="en-AU"/>
        </w:rPr>
        <w:t>Rationale</w:t>
      </w:r>
    </w:p>
    <w:p w14:paraId="4217FAB8" w14:textId="77777777" w:rsidR="00E71249" w:rsidRPr="00597F68" w:rsidRDefault="00E71249" w:rsidP="007C7998">
      <w:pPr>
        <w:spacing w:before="120" w:after="160"/>
        <w:rPr>
          <w:rFonts w:eastAsia="Times New Roman" w:cstheme="minorHAnsi"/>
          <w:szCs w:val="22"/>
          <w:lang w:eastAsia="en-AU"/>
        </w:rPr>
      </w:pPr>
      <w:r w:rsidRPr="00597F68">
        <w:rPr>
          <w:rFonts w:eastAsia="Times New Roman" w:cstheme="minorHAnsi"/>
          <w:szCs w:val="22"/>
          <w:lang w:eastAsia="en-AU"/>
        </w:rPr>
        <w:t xml:space="preserve">Measuring timeliness of advice and support provided to Portfolio Ministers and Assistant Ministers aims to demonstrate timely advice and support </w:t>
      </w:r>
      <w:proofErr w:type="gramStart"/>
      <w:r w:rsidRPr="00597F68">
        <w:rPr>
          <w:rFonts w:eastAsia="Times New Roman" w:cstheme="minorHAnsi"/>
          <w:szCs w:val="22"/>
          <w:lang w:eastAsia="en-AU"/>
        </w:rPr>
        <w:t>in order to</w:t>
      </w:r>
      <w:proofErr w:type="gramEnd"/>
      <w:r w:rsidRPr="00597F68">
        <w:rPr>
          <w:rFonts w:eastAsia="Times New Roman" w:cstheme="minorHAnsi"/>
          <w:szCs w:val="22"/>
          <w:lang w:eastAsia="en-AU"/>
        </w:rPr>
        <w:t xml:space="preserve"> allow Ministers and Assistant Ministers to make decisions that support the department to achieve its objectives. This measure demonstrates the </w:t>
      </w:r>
      <w:r w:rsidRPr="00597F68">
        <w:rPr>
          <w:rFonts w:eastAsia="Times New Roman" w:cstheme="minorHAnsi"/>
          <w:b/>
          <w:bCs/>
          <w:szCs w:val="22"/>
          <w:lang w:eastAsia="en-AU"/>
        </w:rPr>
        <w:t>efficiency</w:t>
      </w:r>
      <w:r w:rsidRPr="00597F68">
        <w:rPr>
          <w:rFonts w:eastAsia="Times New Roman" w:cstheme="minorHAnsi"/>
          <w:szCs w:val="22"/>
          <w:lang w:eastAsia="en-AU"/>
        </w:rPr>
        <w:t xml:space="preserve"> of the Program Support in achieving the key activity: Timely advice and support to Ministers and Assistant Ministers.</w:t>
      </w:r>
    </w:p>
    <w:p w14:paraId="2CFA38D7" w14:textId="77777777" w:rsidR="00E71249" w:rsidRPr="00597F68" w:rsidRDefault="00E71249" w:rsidP="00A97D98">
      <w:pPr>
        <w:pStyle w:val="CPCustom3"/>
        <w:rPr>
          <w:lang w:eastAsia="en-AU"/>
        </w:rPr>
      </w:pPr>
      <w:r w:rsidRPr="00597F68">
        <w:rPr>
          <w:lang w:eastAsia="en-AU"/>
        </w:rPr>
        <w:t>Methodology</w:t>
      </w:r>
    </w:p>
    <w:p w14:paraId="16635B56" w14:textId="77777777" w:rsidR="00E71249" w:rsidRPr="00597F68" w:rsidRDefault="00E71249" w:rsidP="007C7998">
      <w:pPr>
        <w:spacing w:before="120" w:after="160"/>
        <w:rPr>
          <w:rFonts w:eastAsia="Times New Roman" w:cstheme="minorHAnsi"/>
          <w:szCs w:val="22"/>
          <w:lang w:eastAsia="en-AU"/>
        </w:rPr>
      </w:pPr>
      <w:r w:rsidRPr="00597F68">
        <w:rPr>
          <w:rFonts w:eastAsia="Times New Roman" w:cstheme="minorHAnsi"/>
          <w:szCs w:val="22"/>
          <w:lang w:eastAsia="en-AU"/>
        </w:rPr>
        <w:t>A report generated within the record keeping system, filtering records not relevant to the evaluation of the performance measure. The number of records provided on time is represented as the percentage of records provided to the relevant Ministers’ Office on or before the associated due date.</w:t>
      </w:r>
    </w:p>
    <w:p w14:paraId="7CB3B3CD" w14:textId="77777777" w:rsidR="00E71249" w:rsidRPr="00A97D98" w:rsidRDefault="00E71249" w:rsidP="00A97D98">
      <w:pPr>
        <w:pStyle w:val="CPCustom3"/>
      </w:pPr>
      <w:r w:rsidRPr="00A97D98">
        <w:t>Data Categorisation</w:t>
      </w:r>
    </w:p>
    <w:tbl>
      <w:tblPr>
        <w:tblStyle w:val="Numericaltable18"/>
        <w:tblpPr w:leftFromText="180" w:rightFromText="180" w:vertAnchor="text" w:horzAnchor="margin" w:tblpY="11"/>
        <w:tblW w:w="10201" w:type="dxa"/>
        <w:tblLook w:val="04A0" w:firstRow="1" w:lastRow="0" w:firstColumn="1" w:lastColumn="0" w:noHBand="0" w:noVBand="1"/>
        <w:tblCaption w:val="Table 46 - Categorisation of data source"/>
        <w:tblDescription w:val="Categorisation of data source"/>
      </w:tblPr>
      <w:tblGrid>
        <w:gridCol w:w="3823"/>
        <w:gridCol w:w="6378"/>
      </w:tblGrid>
      <w:tr w:rsidR="00E71249" w:rsidRPr="00597F68" w14:paraId="41DFDE0E" w14:textId="77777777" w:rsidTr="00496219">
        <w:trPr>
          <w:trHeight w:val="558"/>
          <w:tblHeader/>
        </w:trPr>
        <w:tc>
          <w:tcPr>
            <w:tcW w:w="3823" w:type="dxa"/>
            <w:shd w:val="clear" w:color="auto" w:fill="215868"/>
          </w:tcPr>
          <w:p w14:paraId="1505BD35" w14:textId="77777777" w:rsidR="00E71249" w:rsidRPr="00597F68" w:rsidRDefault="00E71249" w:rsidP="00496219">
            <w:pPr>
              <w:suppressAutoHyphens/>
              <w:spacing w:before="120" w:after="120"/>
              <w:rPr>
                <w:rFonts w:asciiTheme="minorHAnsi" w:hAnsiTheme="minorHAnsi" w:cstheme="minorHAnsi"/>
                <w:b/>
                <w:bCs/>
                <w:color w:val="FFFFFF"/>
                <w:szCs w:val="22"/>
              </w:rPr>
            </w:pPr>
            <w:r w:rsidRPr="00597F68">
              <w:rPr>
                <w:rFonts w:asciiTheme="minorHAnsi" w:hAnsiTheme="minorHAnsi" w:cstheme="minorHAnsi"/>
                <w:b/>
                <w:bCs/>
                <w:color w:val="FFFFFF"/>
                <w:szCs w:val="22"/>
              </w:rPr>
              <w:t xml:space="preserve">Categorisation of data source </w:t>
            </w:r>
          </w:p>
        </w:tc>
        <w:tc>
          <w:tcPr>
            <w:tcW w:w="6378" w:type="dxa"/>
            <w:shd w:val="clear" w:color="auto" w:fill="215868"/>
          </w:tcPr>
          <w:p w14:paraId="183845F1" w14:textId="77777777" w:rsidR="00E71249" w:rsidRPr="00597F68" w:rsidRDefault="00E71249" w:rsidP="00496219">
            <w:pPr>
              <w:suppressAutoHyphens/>
              <w:spacing w:before="120" w:after="120"/>
              <w:rPr>
                <w:rFonts w:asciiTheme="minorHAnsi" w:hAnsiTheme="minorHAnsi" w:cstheme="minorHAnsi"/>
                <w:b/>
                <w:bCs/>
                <w:color w:val="FFFFFF"/>
                <w:szCs w:val="22"/>
              </w:rPr>
            </w:pPr>
            <w:r w:rsidRPr="00597F68">
              <w:rPr>
                <w:rFonts w:asciiTheme="minorHAnsi" w:hAnsiTheme="minorHAnsi" w:cstheme="minorHAnsi"/>
                <w:b/>
                <w:bCs/>
                <w:color w:val="FFFFFF"/>
                <w:szCs w:val="22"/>
              </w:rPr>
              <w:t xml:space="preserve">Data source </w:t>
            </w:r>
          </w:p>
        </w:tc>
      </w:tr>
      <w:tr w:rsidR="00E71249" w:rsidRPr="00597F68" w14:paraId="791A82FD" w14:textId="77777777" w:rsidTr="00496219">
        <w:trPr>
          <w:trHeight w:val="558"/>
        </w:trPr>
        <w:tc>
          <w:tcPr>
            <w:tcW w:w="3823" w:type="dxa"/>
            <w:vAlign w:val="center"/>
          </w:tcPr>
          <w:p w14:paraId="44569F12" w14:textId="2D2486B2" w:rsidR="00E71249" w:rsidRPr="00597F68" w:rsidRDefault="00E71249" w:rsidP="00496219">
            <w:pPr>
              <w:suppressAutoHyphens/>
              <w:spacing w:before="120" w:after="120"/>
              <w:rPr>
                <w:rFonts w:asciiTheme="minorHAnsi" w:hAnsiTheme="minorHAnsi" w:cstheme="minorHAnsi"/>
                <w:color w:val="000000"/>
                <w:szCs w:val="22"/>
              </w:rPr>
            </w:pPr>
            <w:r w:rsidRPr="00597F68">
              <w:rPr>
                <w:rFonts w:cstheme="minorHAnsi"/>
                <w:noProof/>
                <w:szCs w:val="22"/>
              </w:rPr>
              <w:drawing>
                <wp:inline distT="0" distB="0" distL="0" distR="0" wp14:anchorId="4C2BF6C1" wp14:editId="4DA6370F">
                  <wp:extent cx="1216441" cy="351909"/>
                  <wp:effectExtent l="0" t="0" r="3175" b="0"/>
                  <wp:docPr id="1080347308" name="picture" descr="primary sour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347308" name="picture" descr="primary source&#1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16441" cy="351909"/>
                          </a:xfrm>
                          <a:prstGeom prst="rect">
                            <a:avLst/>
                          </a:prstGeom>
                        </pic:spPr>
                      </pic:pic>
                    </a:graphicData>
                  </a:graphic>
                </wp:inline>
              </w:drawing>
            </w:r>
            <w:r w:rsidR="007E4EC0">
              <w:rPr>
                <w:rFonts w:asciiTheme="minorHAnsi" w:hAnsiTheme="minorHAnsi" w:cstheme="minorHAnsi"/>
                <w:color w:val="000000"/>
                <w:szCs w:val="22"/>
              </w:rPr>
              <w:t xml:space="preserve"> </w:t>
            </w:r>
            <w:r w:rsidRPr="00597F68">
              <w:rPr>
                <w:rFonts w:cstheme="minorHAnsi"/>
                <w:noProof/>
                <w:szCs w:val="22"/>
              </w:rPr>
              <w:drawing>
                <wp:inline distT="0" distB="0" distL="0" distR="0" wp14:anchorId="7C9B1855" wp14:editId="65016592">
                  <wp:extent cx="886700" cy="346367"/>
                  <wp:effectExtent l="0" t="0" r="8890" b="0"/>
                  <wp:docPr id="282099515" name="picture" descr="tier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99515" name="picture" descr="tier 1&#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6700" cy="346367"/>
                          </a:xfrm>
                          <a:prstGeom prst="rect">
                            <a:avLst/>
                          </a:prstGeom>
                        </pic:spPr>
                      </pic:pic>
                    </a:graphicData>
                  </a:graphic>
                </wp:inline>
              </w:drawing>
            </w:r>
          </w:p>
        </w:tc>
        <w:tc>
          <w:tcPr>
            <w:tcW w:w="6378" w:type="dxa"/>
          </w:tcPr>
          <w:p w14:paraId="4A21432A" w14:textId="77777777" w:rsidR="00E71249" w:rsidRPr="00597F68" w:rsidRDefault="00E71249" w:rsidP="00496219">
            <w:pPr>
              <w:suppressAutoHyphens/>
              <w:spacing w:before="120" w:after="120"/>
              <w:rPr>
                <w:rFonts w:asciiTheme="minorHAnsi" w:hAnsiTheme="minorHAnsi" w:cstheme="minorHAnsi"/>
                <w:color w:val="000000"/>
                <w:szCs w:val="22"/>
              </w:rPr>
            </w:pPr>
            <w:r w:rsidRPr="00597F68">
              <w:rPr>
                <w:rFonts w:asciiTheme="minorHAnsi" w:eastAsiaTheme="minorHAnsi" w:hAnsiTheme="minorHAnsi" w:cstheme="minorHAnsi"/>
                <w:szCs w:val="22"/>
                <w:lang w:eastAsia="en-AU"/>
              </w:rPr>
              <w:t>The department’s Parliamentary Document Management System (PDMS).</w:t>
            </w:r>
          </w:p>
        </w:tc>
      </w:tr>
    </w:tbl>
    <w:p w14:paraId="092010DC" w14:textId="77777777" w:rsidR="00E71249" w:rsidRPr="00597F68" w:rsidRDefault="00E71249" w:rsidP="00E71249">
      <w:pPr>
        <w:spacing w:before="120"/>
        <w:rPr>
          <w:rFonts w:cstheme="minorHAnsi"/>
          <w:b/>
          <w:color w:val="FFFFFF"/>
          <w:szCs w:val="22"/>
          <w:lang w:eastAsia="en-AU"/>
        </w:rPr>
      </w:pPr>
    </w:p>
    <w:p w14:paraId="2E337F98" w14:textId="77777777" w:rsidR="00E71249" w:rsidRPr="00597F68" w:rsidRDefault="00E71249" w:rsidP="00E71249">
      <w:pPr>
        <w:spacing w:before="120" w:after="240"/>
        <w:rPr>
          <w:rFonts w:cstheme="minorHAnsi"/>
          <w:b/>
          <w:color w:val="FFFFFF"/>
          <w:szCs w:val="22"/>
          <w:lang w:eastAsia="en-AU"/>
        </w:rPr>
      </w:pPr>
      <w:r w:rsidRPr="00597F68">
        <w:rPr>
          <w:rFonts w:cstheme="minorHAnsi"/>
          <w:b/>
          <w:color w:val="FFFFFF"/>
          <w:szCs w:val="22"/>
          <w:lang w:eastAsia="en-AU"/>
        </w:rPr>
        <w:br w:type="page"/>
      </w:r>
    </w:p>
    <w:p w14:paraId="08B2C27D" w14:textId="2CE56E39" w:rsidR="00E71249" w:rsidRPr="00DD6FA0" w:rsidRDefault="00A97D98" w:rsidP="00DD6FA0">
      <w:pPr>
        <w:pStyle w:val="Heading3"/>
        <w:shd w:val="clear" w:color="auto" w:fill="005A70" w:themeFill="accent1"/>
        <w:rPr>
          <w:rFonts w:asciiTheme="minorHAnsi" w:hAnsiTheme="minorHAnsi" w:cstheme="minorHAnsi"/>
          <w:b/>
          <w:bCs w:val="0"/>
          <w:color w:val="FFFFFF" w:themeColor="background1"/>
          <w:sz w:val="22"/>
          <w:szCs w:val="22"/>
          <w:lang w:eastAsia="en-AU"/>
        </w:rPr>
      </w:pPr>
      <w:bookmarkStart w:id="157" w:name="_Toc201309103"/>
      <w:bookmarkStart w:id="158" w:name="_Toc201310799"/>
      <w:bookmarkStart w:id="159" w:name="_Toc238653307"/>
      <w:r w:rsidRPr="00DD6FA0">
        <w:rPr>
          <w:rFonts w:asciiTheme="minorHAnsi" w:hAnsiTheme="minorHAnsi" w:cstheme="minorHAnsi"/>
          <w:b/>
          <w:bCs w:val="0"/>
          <w:color w:val="FFFFFF" w:themeColor="background1"/>
          <w:sz w:val="22"/>
          <w:szCs w:val="22"/>
          <w:lang w:eastAsia="en-AU"/>
        </w:rPr>
        <w:lastRenderedPageBreak/>
        <w:t>Cross Outcome</w:t>
      </w:r>
      <w:r w:rsidR="00E71249" w:rsidRPr="00DD6FA0">
        <w:rPr>
          <w:rFonts w:asciiTheme="minorHAnsi" w:hAnsiTheme="minorHAnsi" w:cstheme="minorHAnsi"/>
          <w:b/>
          <w:bCs w:val="0"/>
          <w:color w:val="FFFFFF" w:themeColor="background1"/>
          <w:sz w:val="22"/>
          <w:szCs w:val="22"/>
          <w:lang w:eastAsia="en-AU"/>
        </w:rPr>
        <w:t xml:space="preserve"> </w:t>
      </w:r>
      <w:r w:rsidRPr="00DD6FA0">
        <w:rPr>
          <w:rFonts w:asciiTheme="minorHAnsi" w:hAnsiTheme="minorHAnsi" w:cstheme="minorHAnsi"/>
          <w:b/>
          <w:bCs w:val="0"/>
          <w:color w:val="FFFFFF" w:themeColor="background1"/>
          <w:sz w:val="22"/>
          <w:szCs w:val="22"/>
          <w:lang w:eastAsia="en-AU"/>
        </w:rPr>
        <w:t>–</w:t>
      </w:r>
      <w:r w:rsidR="00E71249" w:rsidRPr="00DD6FA0">
        <w:rPr>
          <w:rFonts w:asciiTheme="minorHAnsi" w:hAnsiTheme="minorHAnsi" w:cstheme="minorHAnsi"/>
          <w:b/>
          <w:bCs w:val="0"/>
          <w:color w:val="FFFFFF" w:themeColor="background1"/>
          <w:sz w:val="22"/>
          <w:szCs w:val="22"/>
          <w:lang w:eastAsia="en-AU"/>
        </w:rPr>
        <w:t xml:space="preserve"> </w:t>
      </w:r>
      <w:bookmarkEnd w:id="157"/>
      <w:bookmarkEnd w:id="158"/>
      <w:r w:rsidRPr="00DD6FA0">
        <w:rPr>
          <w:rFonts w:asciiTheme="minorHAnsi" w:hAnsiTheme="minorHAnsi" w:cstheme="minorHAnsi"/>
          <w:b/>
          <w:bCs w:val="0"/>
          <w:color w:val="FFFFFF" w:themeColor="background1"/>
          <w:sz w:val="22"/>
          <w:szCs w:val="22"/>
          <w:lang w:eastAsia="en-AU"/>
        </w:rPr>
        <w:t>Grants Administration</w:t>
      </w:r>
      <w:bookmarkEnd w:id="159"/>
    </w:p>
    <w:p w14:paraId="4CDBE7D6" w14:textId="77777777" w:rsidR="00E71249" w:rsidRPr="002A5B00" w:rsidRDefault="00E71249" w:rsidP="002A5B00">
      <w:pPr>
        <w:pStyle w:val="Heading4"/>
        <w:shd w:val="clear" w:color="auto" w:fill="B1E4E3" w:themeFill="accent3"/>
        <w:spacing w:before="60" w:after="60"/>
        <w:rPr>
          <w:color w:val="auto"/>
          <w:sz w:val="22"/>
          <w:szCs w:val="22"/>
        </w:rPr>
      </w:pPr>
      <w:r w:rsidRPr="002A5B00">
        <w:rPr>
          <w:color w:val="auto"/>
          <w:sz w:val="22"/>
          <w:szCs w:val="22"/>
        </w:rPr>
        <w:t>Key Activity — Community Grants Hub</w:t>
      </w:r>
    </w:p>
    <w:p w14:paraId="2B59DFF3" w14:textId="77777777" w:rsidR="00E71249" w:rsidRPr="00597F68" w:rsidRDefault="00E71249" w:rsidP="007C7998">
      <w:pPr>
        <w:spacing w:before="120" w:after="160"/>
        <w:rPr>
          <w:rFonts w:eastAsia="Times New Roman" w:cstheme="minorHAnsi"/>
          <w:szCs w:val="22"/>
          <w:lang w:eastAsia="en-AU"/>
        </w:rPr>
      </w:pPr>
      <w:r w:rsidRPr="00597F68">
        <w:rPr>
          <w:rFonts w:eastAsia="Times New Roman" w:cstheme="minorHAnsi"/>
          <w:szCs w:val="22"/>
          <w:lang w:eastAsia="en-AU"/>
        </w:rPr>
        <w:t>Improving customer experience is a key activity of the Community Grants Hub (the Hub). Through the application of person-centred design principles, the Hub places the needs of people and families at the centre of grants administration.</w:t>
      </w:r>
    </w:p>
    <w:p w14:paraId="31F133A3" w14:textId="04D903E8" w:rsidR="00E71249" w:rsidRPr="00597F68" w:rsidRDefault="00E71249" w:rsidP="007C7998">
      <w:pPr>
        <w:tabs>
          <w:tab w:val="left" w:pos="2190"/>
        </w:tabs>
        <w:spacing w:before="120" w:after="160"/>
        <w:rPr>
          <w:rFonts w:eastAsia="Times New Roman" w:cstheme="minorHAnsi"/>
          <w:szCs w:val="22"/>
          <w:lang w:eastAsia="en-AU"/>
        </w:rPr>
      </w:pPr>
      <w:r w:rsidRPr="00597F68">
        <w:rPr>
          <w:rFonts w:eastAsia="Times New Roman" w:cstheme="minorHAnsi"/>
          <w:szCs w:val="22"/>
          <w:lang w:eastAsia="en-AU"/>
        </w:rPr>
        <w:t xml:space="preserve">The Hub is responsible for delivering a positive grant experience through the entire grant lifecycle, from the initial application process through to the ongoing management of the grant agreements, supported by the </w:t>
      </w:r>
      <w:r w:rsidR="0054557F">
        <w:rPr>
          <w:rFonts w:eastAsia="Times New Roman" w:cstheme="minorHAnsi"/>
          <w:szCs w:val="22"/>
          <w:lang w:eastAsia="en-AU"/>
        </w:rPr>
        <w:t>d</w:t>
      </w:r>
      <w:r w:rsidRPr="00597F68">
        <w:rPr>
          <w:rFonts w:eastAsia="Times New Roman" w:cstheme="minorHAnsi"/>
          <w:szCs w:val="22"/>
          <w:lang w:eastAsia="en-AU"/>
        </w:rPr>
        <w:t>epartment’s geographically dispersed network of Funding Arrangement Managers.</w:t>
      </w:r>
    </w:p>
    <w:p w14:paraId="0D56BD33" w14:textId="581F58A4" w:rsidR="00E71249" w:rsidRPr="00A97D98" w:rsidRDefault="00E71249" w:rsidP="00A97D98">
      <w:pPr>
        <w:pStyle w:val="Heading4"/>
        <w:rPr>
          <w:sz w:val="22"/>
          <w:szCs w:val="22"/>
        </w:rPr>
      </w:pPr>
      <w:bookmarkStart w:id="160" w:name="_Toc256000023"/>
      <w:r w:rsidRPr="00A97D98">
        <w:rPr>
          <w:sz w:val="22"/>
          <w:szCs w:val="22"/>
        </w:rPr>
        <w:t>Performance Measure</w:t>
      </w:r>
      <w:bookmarkEnd w:id="160"/>
    </w:p>
    <w:p w14:paraId="53A4FDDB" w14:textId="4A339412" w:rsidR="00E71249" w:rsidRPr="00597F68" w:rsidRDefault="00E71249" w:rsidP="007C7998">
      <w:pPr>
        <w:suppressAutoHyphens/>
        <w:spacing w:before="120" w:after="160"/>
        <w:rPr>
          <w:rFonts w:eastAsia="Times New Roman" w:cstheme="minorHAnsi"/>
          <w:szCs w:val="22"/>
          <w:lang w:eastAsia="en-AU"/>
        </w:rPr>
      </w:pPr>
      <w:r w:rsidRPr="00597F68">
        <w:rPr>
          <w:rFonts w:eastAsia="Times New Roman" w:cstheme="minorHAnsi"/>
          <w:szCs w:val="22"/>
          <w:lang w:eastAsia="en-AU"/>
        </w:rPr>
        <w:t xml:space="preserve">CO-2 </w:t>
      </w:r>
      <w:r w:rsidR="00CF6566" w:rsidRPr="00CF6566">
        <w:rPr>
          <w:rFonts w:eastAsia="Times New Roman" w:cstheme="minorHAnsi"/>
          <w:szCs w:val="22"/>
          <w:lang w:eastAsia="en-AU"/>
        </w:rPr>
        <w:t>Survey respondents (grant applicants and recipients) satisfied with their experience of the Community Grants Hub.</w:t>
      </w:r>
    </w:p>
    <w:tbl>
      <w:tblPr>
        <w:tblStyle w:val="TableGrid39"/>
        <w:tblW w:w="4976" w:type="pct"/>
        <w:jc w:val="center"/>
        <w:tblLook w:val="04A0" w:firstRow="1" w:lastRow="0" w:firstColumn="1" w:lastColumn="0" w:noHBand="0" w:noVBand="1"/>
        <w:tblCaption w:val="Table 47 - C0-2A Proportion of grant applicants and recipients satisfied with their Hub grant experience"/>
        <w:tblDescription w:val="Target for C0-2A Proportion of grant applicants and recipients satisfied with their Hub grant experience"/>
      </w:tblPr>
      <w:tblGrid>
        <w:gridCol w:w="3899"/>
        <w:gridCol w:w="1562"/>
        <w:gridCol w:w="1562"/>
        <w:gridCol w:w="1562"/>
        <w:gridCol w:w="1560"/>
      </w:tblGrid>
      <w:tr w:rsidR="00E71249" w:rsidRPr="00597F68" w14:paraId="0CE2876D" w14:textId="77777777" w:rsidTr="00496219">
        <w:trPr>
          <w:cantSplit/>
          <w:trHeight w:val="356"/>
          <w:tblHeader/>
          <w:jc w:val="center"/>
        </w:trPr>
        <w:tc>
          <w:tcPr>
            <w:tcW w:w="1921" w:type="pct"/>
            <w:tcBorders>
              <w:top w:val="single" w:sz="4" w:space="0" w:color="auto"/>
              <w:bottom w:val="single" w:sz="4" w:space="0" w:color="auto"/>
              <w:right w:val="single" w:sz="6" w:space="0" w:color="auto"/>
            </w:tcBorders>
            <w:shd w:val="clear" w:color="auto" w:fill="D9D9D6"/>
            <w:vAlign w:val="center"/>
          </w:tcPr>
          <w:p w14:paraId="7BAB9A77" w14:textId="77777777" w:rsidR="00E71249" w:rsidRPr="00597F68" w:rsidRDefault="00E71249" w:rsidP="00496219">
            <w:pPr>
              <w:spacing w:before="120" w:after="60" w:line="252" w:lineRule="auto"/>
              <w:rPr>
                <w:rFonts w:asciiTheme="minorHAnsi" w:hAnsiTheme="minorHAnsi" w:cstheme="minorHAnsi"/>
                <w:szCs w:val="22"/>
              </w:rPr>
            </w:pPr>
            <w:r w:rsidRPr="00597F68">
              <w:rPr>
                <w:rFonts w:asciiTheme="minorHAnsi" w:hAnsiTheme="minorHAnsi" w:cstheme="minorHAnsi"/>
                <w:b/>
                <w:bCs/>
                <w:szCs w:val="22"/>
              </w:rPr>
              <w:t>Target</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tcPr>
          <w:p w14:paraId="0151B441" w14:textId="77777777" w:rsidR="00E71249" w:rsidRPr="00597F68" w:rsidRDefault="00E71249" w:rsidP="00496219">
            <w:pPr>
              <w:spacing w:before="120" w:after="60" w:line="252" w:lineRule="auto"/>
              <w:rPr>
                <w:rFonts w:asciiTheme="minorHAnsi" w:hAnsiTheme="minorHAnsi" w:cstheme="minorHAnsi"/>
                <w:szCs w:val="22"/>
              </w:rPr>
            </w:pPr>
            <w:r w:rsidRPr="00597F68">
              <w:rPr>
                <w:rFonts w:asciiTheme="minorHAnsi" w:hAnsiTheme="minorHAnsi" w:cstheme="minorHAnsi"/>
                <w:b/>
                <w:szCs w:val="22"/>
              </w:rPr>
              <w:t>2026–27</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tcPr>
          <w:p w14:paraId="367CE02E" w14:textId="77777777" w:rsidR="00E71249" w:rsidRPr="00597F68" w:rsidRDefault="00E71249" w:rsidP="00496219">
            <w:pPr>
              <w:spacing w:before="120" w:after="60" w:line="252" w:lineRule="auto"/>
              <w:rPr>
                <w:rFonts w:asciiTheme="minorHAnsi" w:hAnsiTheme="minorHAnsi" w:cstheme="minorHAnsi"/>
                <w:b/>
                <w:szCs w:val="22"/>
              </w:rPr>
            </w:pPr>
            <w:r w:rsidRPr="00597F68">
              <w:rPr>
                <w:rFonts w:asciiTheme="minorHAnsi" w:hAnsiTheme="minorHAnsi" w:cstheme="minorHAnsi"/>
                <w:b/>
                <w:szCs w:val="22"/>
              </w:rPr>
              <w:t>2027–28</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tcPr>
          <w:p w14:paraId="6FB111E3" w14:textId="77777777" w:rsidR="00E71249" w:rsidRPr="00597F68" w:rsidRDefault="00E71249" w:rsidP="00496219">
            <w:pPr>
              <w:spacing w:before="120" w:after="60" w:line="252" w:lineRule="auto"/>
              <w:rPr>
                <w:rFonts w:asciiTheme="minorHAnsi" w:hAnsiTheme="minorHAnsi" w:cstheme="minorHAnsi"/>
                <w:b/>
                <w:szCs w:val="22"/>
              </w:rPr>
            </w:pPr>
            <w:r w:rsidRPr="00597F68">
              <w:rPr>
                <w:rFonts w:asciiTheme="minorHAnsi" w:hAnsiTheme="minorHAnsi" w:cstheme="minorHAnsi"/>
                <w:b/>
                <w:szCs w:val="22"/>
              </w:rPr>
              <w:t>2028–29</w:t>
            </w:r>
          </w:p>
        </w:tc>
        <w:tc>
          <w:tcPr>
            <w:tcW w:w="769" w:type="pct"/>
            <w:tcBorders>
              <w:top w:val="single" w:sz="4" w:space="0" w:color="auto"/>
              <w:left w:val="single" w:sz="6" w:space="0" w:color="auto"/>
              <w:bottom w:val="single" w:sz="4" w:space="0" w:color="auto"/>
              <w:right w:val="single" w:sz="4" w:space="0" w:color="auto"/>
            </w:tcBorders>
            <w:shd w:val="clear" w:color="auto" w:fill="D9D9D6"/>
            <w:vAlign w:val="center"/>
          </w:tcPr>
          <w:p w14:paraId="77081A36" w14:textId="77777777" w:rsidR="00E71249" w:rsidRPr="00597F68" w:rsidRDefault="00E71249" w:rsidP="00496219">
            <w:pPr>
              <w:spacing w:before="120" w:after="60" w:line="252" w:lineRule="auto"/>
              <w:rPr>
                <w:rFonts w:asciiTheme="minorHAnsi" w:hAnsiTheme="minorHAnsi" w:cstheme="minorHAnsi"/>
                <w:b/>
                <w:szCs w:val="22"/>
              </w:rPr>
            </w:pPr>
            <w:r w:rsidRPr="00597F68">
              <w:rPr>
                <w:rFonts w:asciiTheme="minorHAnsi" w:hAnsiTheme="minorHAnsi" w:cstheme="minorHAnsi"/>
                <w:b/>
                <w:szCs w:val="22"/>
              </w:rPr>
              <w:t>2029–30</w:t>
            </w:r>
          </w:p>
        </w:tc>
      </w:tr>
      <w:tr w:rsidR="00E71249" w:rsidRPr="00597F68" w14:paraId="55D55BB7" w14:textId="77777777" w:rsidTr="00496219">
        <w:trPr>
          <w:cantSplit/>
          <w:trHeight w:val="356"/>
          <w:jc w:val="center"/>
        </w:trPr>
        <w:tc>
          <w:tcPr>
            <w:tcW w:w="1921" w:type="pct"/>
            <w:tcBorders>
              <w:top w:val="single" w:sz="4" w:space="0" w:color="auto"/>
              <w:bottom w:val="single" w:sz="4" w:space="0" w:color="auto"/>
            </w:tcBorders>
          </w:tcPr>
          <w:p w14:paraId="6972132C" w14:textId="77777777" w:rsidR="00E71249" w:rsidRPr="00597F68" w:rsidRDefault="00E71249" w:rsidP="00496219">
            <w:pPr>
              <w:spacing w:before="120" w:after="60" w:line="252" w:lineRule="auto"/>
              <w:rPr>
                <w:rFonts w:asciiTheme="minorHAnsi" w:hAnsiTheme="minorHAnsi" w:cstheme="minorHAnsi"/>
                <w:szCs w:val="22"/>
              </w:rPr>
            </w:pPr>
            <w:r w:rsidRPr="00597F68">
              <w:rPr>
                <w:rFonts w:asciiTheme="minorHAnsi" w:hAnsiTheme="minorHAnsi" w:cstheme="minorHAnsi"/>
                <w:szCs w:val="22"/>
              </w:rPr>
              <w:t>CO-2A – Grant applicant and recipient experience is 70% positive or above.</w:t>
            </w:r>
          </w:p>
        </w:tc>
        <w:tc>
          <w:tcPr>
            <w:tcW w:w="770" w:type="pct"/>
            <w:tcBorders>
              <w:top w:val="single" w:sz="4" w:space="0" w:color="auto"/>
              <w:bottom w:val="single" w:sz="4" w:space="0" w:color="auto"/>
            </w:tcBorders>
          </w:tcPr>
          <w:p w14:paraId="58567020" w14:textId="77777777" w:rsidR="00E71249" w:rsidRPr="00597F68" w:rsidRDefault="00E71249" w:rsidP="00496219">
            <w:pPr>
              <w:spacing w:before="120" w:after="60" w:line="252" w:lineRule="auto"/>
              <w:rPr>
                <w:rFonts w:asciiTheme="minorHAnsi" w:hAnsiTheme="minorHAnsi" w:cstheme="minorHAnsi"/>
                <w:szCs w:val="22"/>
              </w:rPr>
            </w:pPr>
            <w:r w:rsidRPr="00597F68">
              <w:rPr>
                <w:rFonts w:asciiTheme="minorHAnsi" w:hAnsiTheme="minorHAnsi" w:cstheme="minorHAnsi"/>
                <w:szCs w:val="22"/>
                <w:u w:val="single"/>
                <w:lang w:eastAsia="en-GB"/>
              </w:rPr>
              <w:t>&gt;</w:t>
            </w:r>
            <w:r w:rsidRPr="00597F68">
              <w:rPr>
                <w:rFonts w:asciiTheme="minorHAnsi" w:hAnsiTheme="minorHAnsi" w:cstheme="minorHAnsi"/>
                <w:szCs w:val="22"/>
                <w:lang w:eastAsia="en-GB"/>
              </w:rPr>
              <w:t xml:space="preserve"> 70%</w:t>
            </w:r>
          </w:p>
        </w:tc>
        <w:tc>
          <w:tcPr>
            <w:tcW w:w="770" w:type="pct"/>
            <w:tcBorders>
              <w:top w:val="single" w:sz="4" w:space="0" w:color="auto"/>
              <w:bottom w:val="single" w:sz="4" w:space="0" w:color="auto"/>
            </w:tcBorders>
          </w:tcPr>
          <w:p w14:paraId="0718601C" w14:textId="77777777" w:rsidR="00E71249" w:rsidRPr="00597F68" w:rsidRDefault="00E71249" w:rsidP="00496219">
            <w:pPr>
              <w:spacing w:before="120" w:after="60" w:line="252" w:lineRule="auto"/>
              <w:rPr>
                <w:rFonts w:asciiTheme="minorHAnsi" w:hAnsiTheme="minorHAnsi" w:cstheme="minorHAnsi"/>
                <w:szCs w:val="22"/>
              </w:rPr>
            </w:pPr>
            <w:r w:rsidRPr="00597F68">
              <w:rPr>
                <w:rFonts w:asciiTheme="minorHAnsi" w:hAnsiTheme="minorHAnsi" w:cstheme="minorHAnsi"/>
                <w:szCs w:val="22"/>
                <w:u w:val="single"/>
                <w:lang w:eastAsia="en-GB"/>
              </w:rPr>
              <w:t>&gt;</w:t>
            </w:r>
            <w:r w:rsidRPr="00597F68">
              <w:rPr>
                <w:rFonts w:asciiTheme="minorHAnsi" w:hAnsiTheme="minorHAnsi" w:cstheme="minorHAnsi"/>
                <w:szCs w:val="22"/>
                <w:lang w:eastAsia="en-GB"/>
              </w:rPr>
              <w:t xml:space="preserve"> 70%</w:t>
            </w:r>
          </w:p>
        </w:tc>
        <w:tc>
          <w:tcPr>
            <w:tcW w:w="770" w:type="pct"/>
            <w:tcBorders>
              <w:top w:val="single" w:sz="4" w:space="0" w:color="auto"/>
              <w:bottom w:val="single" w:sz="4" w:space="0" w:color="auto"/>
            </w:tcBorders>
          </w:tcPr>
          <w:p w14:paraId="4D2BB58A" w14:textId="77777777" w:rsidR="00E71249" w:rsidRPr="00597F68" w:rsidRDefault="00E71249" w:rsidP="00496219">
            <w:pPr>
              <w:spacing w:before="120" w:after="60" w:line="252" w:lineRule="auto"/>
              <w:rPr>
                <w:rFonts w:asciiTheme="minorHAnsi" w:hAnsiTheme="minorHAnsi" w:cstheme="minorHAnsi"/>
                <w:szCs w:val="22"/>
              </w:rPr>
            </w:pPr>
            <w:r w:rsidRPr="00597F68">
              <w:rPr>
                <w:rFonts w:asciiTheme="minorHAnsi" w:hAnsiTheme="minorHAnsi" w:cstheme="minorHAnsi"/>
                <w:szCs w:val="22"/>
                <w:u w:val="single"/>
                <w:lang w:eastAsia="en-GB"/>
              </w:rPr>
              <w:t>&gt;</w:t>
            </w:r>
            <w:r w:rsidRPr="00597F68">
              <w:rPr>
                <w:rFonts w:asciiTheme="minorHAnsi" w:hAnsiTheme="minorHAnsi" w:cstheme="minorHAnsi"/>
                <w:szCs w:val="22"/>
                <w:lang w:eastAsia="en-GB"/>
              </w:rPr>
              <w:t xml:space="preserve"> 70%</w:t>
            </w:r>
          </w:p>
        </w:tc>
        <w:tc>
          <w:tcPr>
            <w:tcW w:w="769" w:type="pct"/>
            <w:tcBorders>
              <w:top w:val="single" w:sz="4" w:space="0" w:color="auto"/>
              <w:bottom w:val="single" w:sz="4" w:space="0" w:color="auto"/>
            </w:tcBorders>
          </w:tcPr>
          <w:p w14:paraId="20E03EC9" w14:textId="77777777" w:rsidR="00E71249" w:rsidRPr="00597F68" w:rsidRDefault="00E71249" w:rsidP="00496219">
            <w:pPr>
              <w:spacing w:before="120" w:after="60" w:line="252" w:lineRule="auto"/>
              <w:rPr>
                <w:rFonts w:asciiTheme="minorHAnsi" w:hAnsiTheme="minorHAnsi" w:cstheme="minorHAnsi"/>
                <w:szCs w:val="22"/>
              </w:rPr>
            </w:pPr>
            <w:r w:rsidRPr="00597F68">
              <w:rPr>
                <w:rFonts w:asciiTheme="minorHAnsi" w:hAnsiTheme="minorHAnsi" w:cstheme="minorHAnsi"/>
                <w:szCs w:val="22"/>
                <w:u w:val="single"/>
                <w:lang w:eastAsia="en-GB"/>
              </w:rPr>
              <w:t>&gt;</w:t>
            </w:r>
            <w:r w:rsidRPr="00597F68">
              <w:rPr>
                <w:rFonts w:asciiTheme="minorHAnsi" w:hAnsiTheme="minorHAnsi" w:cstheme="minorHAnsi"/>
                <w:szCs w:val="22"/>
                <w:lang w:eastAsia="en-GB"/>
              </w:rPr>
              <w:t xml:space="preserve"> 70%</w:t>
            </w:r>
          </w:p>
        </w:tc>
      </w:tr>
    </w:tbl>
    <w:p w14:paraId="752C6C3F" w14:textId="77777777" w:rsidR="00E71249" w:rsidRPr="00597F68" w:rsidRDefault="00E71249" w:rsidP="00A97D98">
      <w:pPr>
        <w:pStyle w:val="CPCustom3"/>
        <w:rPr>
          <w:lang w:eastAsia="en-AU"/>
        </w:rPr>
      </w:pPr>
      <w:r w:rsidRPr="00597F68">
        <w:rPr>
          <w:lang w:eastAsia="en-AU"/>
        </w:rPr>
        <w:t>Rationale</w:t>
      </w:r>
    </w:p>
    <w:p w14:paraId="444194E3" w14:textId="77777777" w:rsidR="00E71249" w:rsidRPr="00597F68" w:rsidRDefault="00E71249" w:rsidP="007C7998">
      <w:pPr>
        <w:spacing w:before="120" w:after="160"/>
        <w:rPr>
          <w:rFonts w:eastAsia="Times New Roman" w:cstheme="minorHAnsi"/>
          <w:szCs w:val="22"/>
          <w:lang w:eastAsia="en-AU"/>
        </w:rPr>
      </w:pPr>
      <w:r w:rsidRPr="00597F68">
        <w:rPr>
          <w:rFonts w:eastAsia="Times New Roman" w:cstheme="minorHAnsi"/>
          <w:szCs w:val="22"/>
          <w:lang w:eastAsia="en-AU"/>
        </w:rPr>
        <w:t>The Hub was established to streamline and standardise grants administration by mandating grants delivery through centralised grants hubs. A key benefit of this approach is an improved user experience for grant applicants and recipients. By understanding and measuring the experience of grant applicants and recipients, the Hub can better target investment to reduce barriers and administrative costs for the community sector in accessing and managing Commonwealth grants.</w:t>
      </w:r>
    </w:p>
    <w:p w14:paraId="22F9A6CD" w14:textId="77777777" w:rsidR="00E71249" w:rsidRPr="00597F68" w:rsidRDefault="00E71249" w:rsidP="007C7998">
      <w:pPr>
        <w:suppressAutoHyphens/>
        <w:spacing w:before="120" w:after="160"/>
        <w:rPr>
          <w:rFonts w:eastAsia="Times New Roman" w:cstheme="minorHAnsi"/>
          <w:szCs w:val="22"/>
          <w:lang w:eastAsia="en-AU"/>
        </w:rPr>
      </w:pPr>
      <w:r w:rsidRPr="00597F68">
        <w:rPr>
          <w:rFonts w:eastAsia="Times New Roman" w:cstheme="minorHAnsi"/>
          <w:szCs w:val="22"/>
          <w:lang w:eastAsia="en-AU"/>
        </w:rPr>
        <w:t>The 70</w:t>
      </w:r>
      <w:r>
        <w:rPr>
          <w:rFonts w:eastAsia="Times New Roman" w:cstheme="minorHAnsi"/>
          <w:szCs w:val="22"/>
          <w:lang w:eastAsia="en-AU"/>
        </w:rPr>
        <w:t xml:space="preserve">% </w:t>
      </w:r>
      <w:r w:rsidRPr="00597F68">
        <w:rPr>
          <w:rFonts w:eastAsia="Times New Roman" w:cstheme="minorHAnsi"/>
          <w:szCs w:val="22"/>
          <w:lang w:eastAsia="en-AU"/>
        </w:rPr>
        <w:t xml:space="preserve">target demonstrates the </w:t>
      </w:r>
      <w:r w:rsidRPr="00597F68">
        <w:rPr>
          <w:rFonts w:eastAsia="Times New Roman" w:cstheme="minorHAnsi"/>
          <w:b/>
          <w:bCs/>
          <w:szCs w:val="22"/>
          <w:lang w:eastAsia="en-AU"/>
        </w:rPr>
        <w:t>effectiveness</w:t>
      </w:r>
      <w:r w:rsidRPr="00597F68">
        <w:rPr>
          <w:rFonts w:eastAsia="Times New Roman" w:cstheme="minorHAnsi"/>
          <w:szCs w:val="22"/>
          <w:lang w:eastAsia="en-AU"/>
        </w:rPr>
        <w:t xml:space="preserve"> of the key activity by confirming that </w:t>
      </w:r>
      <w:proofErr w:type="gramStart"/>
      <w:r w:rsidRPr="00597F68">
        <w:rPr>
          <w:rFonts w:eastAsia="Times New Roman" w:cstheme="minorHAnsi"/>
          <w:szCs w:val="22"/>
          <w:lang w:eastAsia="en-AU"/>
        </w:rPr>
        <w:t>the majority of</w:t>
      </w:r>
      <w:proofErr w:type="gramEnd"/>
      <w:r w:rsidRPr="00597F68">
        <w:rPr>
          <w:rFonts w:eastAsia="Times New Roman" w:cstheme="minorHAnsi"/>
          <w:szCs w:val="22"/>
          <w:lang w:eastAsia="en-AU"/>
        </w:rPr>
        <w:t xml:space="preserve"> stakeholders interacting with the Hub have a positive experience, highlighting the benefits of a consistent grant experience.</w:t>
      </w:r>
    </w:p>
    <w:p w14:paraId="5E80D43F" w14:textId="77777777" w:rsidR="00E71249" w:rsidRPr="00597F68" w:rsidRDefault="00E71249" w:rsidP="00A97D98">
      <w:pPr>
        <w:pStyle w:val="CPCustom3"/>
        <w:rPr>
          <w:lang w:eastAsia="en-AU"/>
        </w:rPr>
      </w:pPr>
      <w:r w:rsidRPr="00597F68">
        <w:rPr>
          <w:lang w:eastAsia="en-AU"/>
        </w:rPr>
        <w:t>Methodology</w:t>
      </w:r>
    </w:p>
    <w:p w14:paraId="0F5B638F" w14:textId="77777777" w:rsidR="00E71249" w:rsidRPr="00597F68" w:rsidRDefault="00E71249" w:rsidP="007C7998">
      <w:pPr>
        <w:spacing w:before="120" w:after="160"/>
        <w:rPr>
          <w:rFonts w:eastAsia="Times New Roman" w:cstheme="minorHAnsi"/>
          <w:szCs w:val="22"/>
          <w:lang w:eastAsia="en-AU"/>
        </w:rPr>
      </w:pPr>
      <w:r w:rsidRPr="00597F68">
        <w:rPr>
          <w:rFonts w:eastAsia="Times New Roman" w:cstheme="minorHAnsi"/>
          <w:szCs w:val="22"/>
          <w:lang w:eastAsia="en-AU"/>
        </w:rPr>
        <w:t xml:space="preserve">The Hub customer satisfaction survey captures the experiences of grant applicants and recipients across key interaction points and stages of the </w:t>
      </w:r>
      <w:proofErr w:type="gramStart"/>
      <w:r w:rsidRPr="00597F68">
        <w:rPr>
          <w:rFonts w:eastAsia="Times New Roman" w:cstheme="minorHAnsi"/>
          <w:szCs w:val="22"/>
          <w:lang w:eastAsia="en-AU"/>
        </w:rPr>
        <w:t>grants</w:t>
      </w:r>
      <w:proofErr w:type="gramEnd"/>
      <w:r w:rsidRPr="00597F68">
        <w:rPr>
          <w:rFonts w:eastAsia="Times New Roman" w:cstheme="minorHAnsi"/>
          <w:szCs w:val="22"/>
          <w:lang w:eastAsia="en-AU"/>
        </w:rPr>
        <w:t xml:space="preserve"> lifecycle during the reporting period. The survey adopts a census approach, inviting both successful and unsuccessful grant applicants, as well as grant recipients to participate. The survey captures their experiences with interaction channels including the Helpdesk, point of service engagements and ongoing interactions with Funding Arrangement Managers. Customer experience data is collected through a structured survey and disaggregated by interaction channel, user cohort and phase of the grant process. </w:t>
      </w:r>
    </w:p>
    <w:p w14:paraId="4007234A" w14:textId="77777777" w:rsidR="00E71249" w:rsidRPr="00597F68" w:rsidRDefault="00E71249" w:rsidP="00A97D98">
      <w:pPr>
        <w:pStyle w:val="CPCustom3"/>
        <w:rPr>
          <w:lang w:eastAsia="en-AU"/>
        </w:rPr>
      </w:pPr>
      <w:r w:rsidRPr="00597F68">
        <w:rPr>
          <w:lang w:eastAsia="en-AU"/>
        </w:rPr>
        <w:t xml:space="preserve">Data Categorisation </w:t>
      </w:r>
    </w:p>
    <w:tbl>
      <w:tblPr>
        <w:tblStyle w:val="Numericaltable13"/>
        <w:tblpPr w:leftFromText="180" w:rightFromText="180" w:vertAnchor="text" w:horzAnchor="margin" w:tblpY="11"/>
        <w:tblW w:w="10201" w:type="dxa"/>
        <w:tblLook w:val="04A0" w:firstRow="1" w:lastRow="0" w:firstColumn="1" w:lastColumn="0" w:noHBand="0" w:noVBand="1"/>
        <w:tblCaption w:val="Table 48 - Categorisation of data source"/>
        <w:tblDescription w:val="Categorisation of data source"/>
      </w:tblPr>
      <w:tblGrid>
        <w:gridCol w:w="3823"/>
        <w:gridCol w:w="6378"/>
      </w:tblGrid>
      <w:tr w:rsidR="00E71249" w:rsidRPr="00597F68" w14:paraId="3D764B48" w14:textId="77777777" w:rsidTr="00496219">
        <w:trPr>
          <w:trHeight w:val="558"/>
          <w:tblHeader/>
        </w:trPr>
        <w:tc>
          <w:tcPr>
            <w:tcW w:w="3823" w:type="dxa"/>
            <w:shd w:val="clear" w:color="auto" w:fill="215868"/>
          </w:tcPr>
          <w:p w14:paraId="6CE1AC84" w14:textId="77777777" w:rsidR="00E71249" w:rsidRPr="00597F68" w:rsidRDefault="00E71249" w:rsidP="00496219">
            <w:pPr>
              <w:suppressAutoHyphens/>
              <w:spacing w:before="120" w:after="120"/>
              <w:rPr>
                <w:rFonts w:asciiTheme="minorHAnsi" w:hAnsiTheme="minorHAnsi" w:cstheme="minorHAnsi"/>
                <w:b/>
                <w:bCs/>
                <w:color w:val="FFFFFF"/>
                <w:szCs w:val="22"/>
              </w:rPr>
            </w:pPr>
            <w:r w:rsidRPr="00597F68">
              <w:rPr>
                <w:rFonts w:asciiTheme="minorHAnsi" w:hAnsiTheme="minorHAnsi" w:cstheme="minorHAnsi"/>
                <w:b/>
                <w:bCs/>
                <w:color w:val="FFFFFF"/>
                <w:szCs w:val="22"/>
              </w:rPr>
              <w:t xml:space="preserve">Categorisation of data source </w:t>
            </w:r>
          </w:p>
        </w:tc>
        <w:tc>
          <w:tcPr>
            <w:tcW w:w="6378" w:type="dxa"/>
            <w:shd w:val="clear" w:color="auto" w:fill="215868"/>
          </w:tcPr>
          <w:p w14:paraId="28A42D9B" w14:textId="77777777" w:rsidR="00E71249" w:rsidRPr="00597F68" w:rsidRDefault="00E71249" w:rsidP="00496219">
            <w:pPr>
              <w:suppressAutoHyphens/>
              <w:spacing w:before="120" w:after="120"/>
              <w:rPr>
                <w:rFonts w:asciiTheme="minorHAnsi" w:hAnsiTheme="minorHAnsi" w:cstheme="minorHAnsi"/>
                <w:b/>
                <w:bCs/>
                <w:color w:val="FFFFFF"/>
                <w:szCs w:val="22"/>
              </w:rPr>
            </w:pPr>
            <w:r w:rsidRPr="00597F68">
              <w:rPr>
                <w:rFonts w:asciiTheme="minorHAnsi" w:hAnsiTheme="minorHAnsi" w:cstheme="minorHAnsi"/>
                <w:b/>
                <w:bCs/>
                <w:color w:val="FFFFFF"/>
                <w:szCs w:val="22"/>
              </w:rPr>
              <w:t xml:space="preserve">Data source </w:t>
            </w:r>
          </w:p>
        </w:tc>
      </w:tr>
      <w:tr w:rsidR="00E71249" w:rsidRPr="00597F68" w14:paraId="7A5771C3" w14:textId="77777777" w:rsidTr="00496219">
        <w:trPr>
          <w:trHeight w:val="558"/>
        </w:trPr>
        <w:tc>
          <w:tcPr>
            <w:tcW w:w="3823" w:type="dxa"/>
          </w:tcPr>
          <w:p w14:paraId="7E32D6EE" w14:textId="3E71A8EC" w:rsidR="00E71249" w:rsidRPr="00597F68" w:rsidRDefault="00E71249" w:rsidP="00496219">
            <w:pPr>
              <w:suppressAutoHyphens/>
              <w:spacing w:before="120" w:after="120"/>
              <w:rPr>
                <w:rFonts w:asciiTheme="minorHAnsi" w:hAnsiTheme="minorHAnsi" w:cstheme="minorHAnsi"/>
                <w:color w:val="000000"/>
                <w:szCs w:val="22"/>
              </w:rPr>
            </w:pPr>
            <w:r w:rsidRPr="00597F68">
              <w:rPr>
                <w:rFonts w:cstheme="minorHAnsi"/>
                <w:noProof/>
                <w:szCs w:val="22"/>
              </w:rPr>
              <w:drawing>
                <wp:inline distT="0" distB="0" distL="0" distR="0" wp14:anchorId="01A27313" wp14:editId="50255BFF">
                  <wp:extent cx="1216441" cy="351909"/>
                  <wp:effectExtent l="0" t="0" r="3175" b="0"/>
                  <wp:docPr id="588602710" name="picture" descr=" 'Prim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55007" name="picture" descr=" 'Primary Sour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16441" cy="351909"/>
                          </a:xfrm>
                          <a:prstGeom prst="rect">
                            <a:avLst/>
                          </a:prstGeom>
                        </pic:spPr>
                      </pic:pic>
                    </a:graphicData>
                  </a:graphic>
                </wp:inline>
              </w:drawing>
            </w:r>
            <w:r w:rsidR="00C84BF1">
              <w:rPr>
                <w:rFonts w:asciiTheme="minorHAnsi" w:hAnsiTheme="minorHAnsi" w:cstheme="minorHAnsi"/>
                <w:color w:val="000000"/>
                <w:szCs w:val="22"/>
              </w:rPr>
              <w:t xml:space="preserve"> </w:t>
            </w:r>
            <w:r w:rsidRPr="00597F68">
              <w:rPr>
                <w:rFonts w:cstheme="minorHAnsi"/>
                <w:noProof/>
                <w:szCs w:val="22"/>
              </w:rPr>
              <w:drawing>
                <wp:inline distT="0" distB="0" distL="0" distR="0" wp14:anchorId="4447130A" wp14:editId="75B23DEC">
                  <wp:extent cx="886700" cy="346367"/>
                  <wp:effectExtent l="0" t="0" r="8890" b="0"/>
                  <wp:docPr id="812130171" name="picture" descr="'Ti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2981" name="picture" descr="'Tier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6700" cy="346367"/>
                          </a:xfrm>
                          <a:prstGeom prst="rect">
                            <a:avLst/>
                          </a:prstGeom>
                        </pic:spPr>
                      </pic:pic>
                    </a:graphicData>
                  </a:graphic>
                </wp:inline>
              </w:drawing>
            </w:r>
          </w:p>
        </w:tc>
        <w:tc>
          <w:tcPr>
            <w:tcW w:w="6378" w:type="dxa"/>
          </w:tcPr>
          <w:p w14:paraId="7F6C5720" w14:textId="77777777" w:rsidR="00E71249" w:rsidRPr="00597F68" w:rsidRDefault="00E71249" w:rsidP="00496219">
            <w:pPr>
              <w:suppressAutoHyphens/>
              <w:spacing w:before="120" w:after="120"/>
              <w:rPr>
                <w:rFonts w:asciiTheme="minorHAnsi" w:hAnsiTheme="minorHAnsi" w:cstheme="minorHAnsi"/>
                <w:color w:val="000000"/>
                <w:szCs w:val="22"/>
              </w:rPr>
            </w:pPr>
            <w:r w:rsidRPr="00597F68">
              <w:rPr>
                <w:rFonts w:asciiTheme="minorHAnsi" w:hAnsiTheme="minorHAnsi" w:cstheme="minorHAnsi"/>
                <w:color w:val="000000"/>
                <w:szCs w:val="22"/>
              </w:rPr>
              <w:t>Department of Social Services survey of grant stakeholders.</w:t>
            </w:r>
          </w:p>
        </w:tc>
      </w:tr>
    </w:tbl>
    <w:p w14:paraId="0A88B364" w14:textId="77777777" w:rsidR="007C7998" w:rsidRDefault="007C7998">
      <w:pPr>
        <w:spacing w:after="240"/>
        <w:rPr>
          <w:rFonts w:cstheme="minorHAnsi"/>
          <w:b/>
          <w:color w:val="FFFFFF"/>
          <w:szCs w:val="22"/>
          <w:lang w:eastAsia="en-AU"/>
        </w:rPr>
      </w:pPr>
      <w:r>
        <w:rPr>
          <w:rFonts w:cstheme="minorHAnsi"/>
          <w:b/>
          <w:color w:val="FFFFFF"/>
          <w:szCs w:val="22"/>
          <w:lang w:eastAsia="en-AU"/>
        </w:rPr>
        <w:br w:type="page"/>
      </w:r>
    </w:p>
    <w:p w14:paraId="2BB61150" w14:textId="0C7F0978" w:rsidR="00E71249" w:rsidRPr="00DD6FA0" w:rsidRDefault="00E71249" w:rsidP="00DD6FA0">
      <w:pPr>
        <w:pStyle w:val="Heading3"/>
        <w:shd w:val="clear" w:color="auto" w:fill="005A70" w:themeFill="accent1"/>
        <w:rPr>
          <w:rFonts w:asciiTheme="minorHAnsi" w:hAnsiTheme="minorHAnsi" w:cstheme="minorHAnsi"/>
          <w:b/>
          <w:bCs w:val="0"/>
          <w:color w:val="FFFFFF" w:themeColor="background1"/>
          <w:sz w:val="22"/>
          <w:szCs w:val="22"/>
          <w:lang w:eastAsia="en-AU"/>
        </w:rPr>
      </w:pPr>
      <w:bookmarkStart w:id="161" w:name="_Toc238653308"/>
      <w:r w:rsidRPr="00DD6FA0">
        <w:rPr>
          <w:rFonts w:asciiTheme="minorHAnsi" w:hAnsiTheme="minorHAnsi" w:cstheme="minorHAnsi"/>
          <w:b/>
          <w:bCs w:val="0"/>
          <w:color w:val="FFFFFF" w:themeColor="background1"/>
          <w:sz w:val="22"/>
          <w:szCs w:val="22"/>
          <w:lang w:eastAsia="en-AU"/>
        </w:rPr>
        <w:lastRenderedPageBreak/>
        <w:t>P</w:t>
      </w:r>
      <w:r w:rsidR="00A97D98" w:rsidRPr="00DD6FA0">
        <w:rPr>
          <w:rFonts w:asciiTheme="minorHAnsi" w:hAnsiTheme="minorHAnsi" w:cstheme="minorHAnsi"/>
          <w:b/>
          <w:bCs w:val="0"/>
          <w:color w:val="FFFFFF" w:themeColor="background1"/>
          <w:sz w:val="22"/>
          <w:szCs w:val="22"/>
          <w:lang w:eastAsia="en-AU"/>
        </w:rPr>
        <w:t>rogram</w:t>
      </w:r>
      <w:r w:rsidRPr="00DD6FA0">
        <w:rPr>
          <w:rFonts w:asciiTheme="minorHAnsi" w:hAnsiTheme="minorHAnsi" w:cstheme="minorHAnsi"/>
          <w:b/>
          <w:bCs w:val="0"/>
          <w:color w:val="FFFFFF" w:themeColor="background1"/>
          <w:sz w:val="22"/>
          <w:szCs w:val="22"/>
          <w:lang w:eastAsia="en-AU"/>
        </w:rPr>
        <w:t xml:space="preserve"> </w:t>
      </w:r>
      <w:r w:rsidR="00A97D98" w:rsidRPr="00DD6FA0">
        <w:rPr>
          <w:rFonts w:asciiTheme="minorHAnsi" w:hAnsiTheme="minorHAnsi" w:cstheme="minorHAnsi"/>
          <w:b/>
          <w:bCs w:val="0"/>
          <w:color w:val="FFFFFF" w:themeColor="background1"/>
          <w:sz w:val="22"/>
          <w:szCs w:val="22"/>
          <w:lang w:eastAsia="en-AU"/>
        </w:rPr>
        <w:t>–</w:t>
      </w:r>
      <w:r w:rsidRPr="00DD6FA0">
        <w:rPr>
          <w:rFonts w:asciiTheme="minorHAnsi" w:hAnsiTheme="minorHAnsi" w:cstheme="minorHAnsi"/>
          <w:b/>
          <w:bCs w:val="0"/>
          <w:color w:val="FFFFFF" w:themeColor="background1"/>
          <w:sz w:val="22"/>
          <w:szCs w:val="22"/>
          <w:lang w:eastAsia="en-AU"/>
        </w:rPr>
        <w:t xml:space="preserve"> </w:t>
      </w:r>
      <w:r w:rsidR="00A97D98" w:rsidRPr="00DD6FA0">
        <w:rPr>
          <w:rFonts w:asciiTheme="minorHAnsi" w:hAnsiTheme="minorHAnsi" w:cstheme="minorHAnsi"/>
          <w:b/>
          <w:bCs w:val="0"/>
          <w:color w:val="FFFFFF" w:themeColor="background1"/>
          <w:sz w:val="22"/>
          <w:szCs w:val="22"/>
          <w:lang w:eastAsia="en-AU"/>
        </w:rPr>
        <w:t>Cross Program Support</w:t>
      </w:r>
      <w:bookmarkEnd w:id="161"/>
    </w:p>
    <w:p w14:paraId="094CC1E6" w14:textId="77777777" w:rsidR="00055E06" w:rsidRPr="002A5B00" w:rsidRDefault="00055E06" w:rsidP="002A5B00">
      <w:pPr>
        <w:pStyle w:val="Heading4"/>
        <w:shd w:val="clear" w:color="auto" w:fill="B1E4E3" w:themeFill="accent3"/>
        <w:spacing w:before="60" w:after="60"/>
        <w:rPr>
          <w:color w:val="auto"/>
          <w:sz w:val="22"/>
          <w:szCs w:val="22"/>
        </w:rPr>
      </w:pPr>
      <w:r w:rsidRPr="002A5B00">
        <w:rPr>
          <w:color w:val="auto"/>
          <w:sz w:val="22"/>
          <w:szCs w:val="22"/>
        </w:rPr>
        <w:t>Key Activity — Stronger Communities – place-based work in 18 communities</w:t>
      </w:r>
    </w:p>
    <w:p w14:paraId="60B742A2" w14:textId="77777777" w:rsidR="00055E06" w:rsidRPr="00B24D87" w:rsidRDefault="00055E06" w:rsidP="007C7998">
      <w:pPr>
        <w:tabs>
          <w:tab w:val="left" w:pos="2190"/>
        </w:tabs>
        <w:spacing w:before="120" w:after="160"/>
        <w:rPr>
          <w:rFonts w:cstheme="minorHAnsi"/>
          <w:lang w:eastAsia="en-AU"/>
        </w:rPr>
      </w:pPr>
      <w:r w:rsidRPr="00B24D87">
        <w:rPr>
          <w:rFonts w:cstheme="minorHAnsi"/>
          <w:lang w:eastAsia="en-AU"/>
        </w:rPr>
        <w:t xml:space="preserve">Targeting disadvantage is a </w:t>
      </w:r>
      <w:r>
        <w:rPr>
          <w:rFonts w:cstheme="minorHAnsi"/>
          <w:lang w:eastAsia="en-AU"/>
        </w:rPr>
        <w:t>cross outcome key activity</w:t>
      </w:r>
      <w:r w:rsidRPr="00B24D87">
        <w:rPr>
          <w:rFonts w:cstheme="minorHAnsi"/>
          <w:lang w:eastAsia="en-AU"/>
        </w:rPr>
        <w:t xml:space="preserve"> and</w:t>
      </w:r>
      <w:r>
        <w:rPr>
          <w:rFonts w:cstheme="minorHAnsi"/>
          <w:lang w:eastAsia="en-AU"/>
        </w:rPr>
        <w:t xml:space="preserve"> the department’s place-based work</w:t>
      </w:r>
      <w:r w:rsidRPr="00B24D87">
        <w:rPr>
          <w:rFonts w:cstheme="minorHAnsi"/>
          <w:lang w:eastAsia="en-AU"/>
        </w:rPr>
        <w:t xml:space="preserve"> aims to</w:t>
      </w:r>
      <w:r>
        <w:rPr>
          <w:rFonts w:cstheme="minorHAnsi"/>
          <w:lang w:eastAsia="en-AU"/>
        </w:rPr>
        <w:t xml:space="preserve"> </w:t>
      </w:r>
      <w:r w:rsidRPr="00D12B2D">
        <w:rPr>
          <w:lang w:eastAsia="en-AU"/>
        </w:rPr>
        <w:t>break cycles of disadvantage by delivering place-based solutions in 18 communities</w:t>
      </w:r>
      <w:r>
        <w:rPr>
          <w:lang w:eastAsia="en-AU"/>
        </w:rPr>
        <w:t>.</w:t>
      </w:r>
    </w:p>
    <w:p w14:paraId="718435E3" w14:textId="77777777" w:rsidR="00055E06" w:rsidRDefault="00055E06" w:rsidP="007C7998">
      <w:pPr>
        <w:spacing w:before="120" w:after="160"/>
        <w:rPr>
          <w:lang w:eastAsia="en-AU"/>
        </w:rPr>
      </w:pPr>
      <w:r w:rsidRPr="00B24D87">
        <w:rPr>
          <w:lang w:eastAsia="en-AU"/>
        </w:rPr>
        <w:t xml:space="preserve">This activity supports the department to use evidence, data, lived experience and place-based insights to better understand the drivers of disadvantage and target policy, program and investment advice to individuals, families and communities experiencing the greatest need. It supports delivery of the </w:t>
      </w:r>
      <w:r>
        <w:rPr>
          <w:lang w:eastAsia="en-AU"/>
        </w:rPr>
        <w:t>D</w:t>
      </w:r>
      <w:r w:rsidRPr="00B24D87">
        <w:rPr>
          <w:lang w:eastAsia="en-AU"/>
        </w:rPr>
        <w:t xml:space="preserve">epartment’s purpose to improve the economic and social wellbeing of individuals, families and vulnerable members of Australian communities, and aligns with the department’s priority to break the cycle of entrenched disadvantage. </w:t>
      </w:r>
    </w:p>
    <w:p w14:paraId="78143B06" w14:textId="440A8AA0" w:rsidR="00055E06" w:rsidRPr="00A97D98" w:rsidRDefault="00055E06" w:rsidP="00A97D98">
      <w:pPr>
        <w:pStyle w:val="Heading4"/>
        <w:rPr>
          <w:sz w:val="22"/>
          <w:szCs w:val="22"/>
        </w:rPr>
      </w:pPr>
      <w:bookmarkStart w:id="162" w:name="_Toc256000033"/>
      <w:bookmarkStart w:id="163" w:name="_Toc207287378"/>
      <w:bookmarkStart w:id="164" w:name="_Toc234078731"/>
      <w:r w:rsidRPr="00A97D98">
        <w:rPr>
          <w:sz w:val="22"/>
          <w:szCs w:val="22"/>
        </w:rPr>
        <w:t>Performance Measure</w:t>
      </w:r>
      <w:bookmarkEnd w:id="162"/>
      <w:bookmarkEnd w:id="163"/>
      <w:bookmarkEnd w:id="164"/>
    </w:p>
    <w:p w14:paraId="3B29553C" w14:textId="77777777" w:rsidR="00055E06" w:rsidRPr="007C7998" w:rsidRDefault="00055E06" w:rsidP="007C7998">
      <w:pPr>
        <w:suppressAutoHyphens/>
        <w:spacing w:before="120" w:after="160"/>
        <w:rPr>
          <w:rFonts w:cstheme="minorHAnsi"/>
          <w:lang w:eastAsia="en-AU"/>
        </w:rPr>
      </w:pPr>
      <w:r w:rsidRPr="007C7998">
        <w:rPr>
          <w:rFonts w:cstheme="minorHAnsi"/>
        </w:rPr>
        <w:t>CO-3: The extent to which the department’s flexible funding arrangements enable communities to address community-determined priorities and improve agreed outcomes through responsive funding administration.</w:t>
      </w:r>
    </w:p>
    <w:tbl>
      <w:tblPr>
        <w:tblStyle w:val="TableGrid39"/>
        <w:tblW w:w="4976" w:type="pct"/>
        <w:jc w:val="center"/>
        <w:tblLook w:val="04A0" w:firstRow="1" w:lastRow="0" w:firstColumn="1" w:lastColumn="0" w:noHBand="0" w:noVBand="1"/>
        <w:tblCaption w:val="Table 49 - CO-3: The extent to which the department’s flexible funding arrangements enable communities to address community-determined priorities and improve agreed outcomes through responsive funding administration."/>
        <w:tblDescription w:val="Target for the extent to which C0-2A Proportion of grant applicants and recipients satisfied with their Hub grant experience"/>
      </w:tblPr>
      <w:tblGrid>
        <w:gridCol w:w="2831"/>
        <w:gridCol w:w="2632"/>
        <w:gridCol w:w="1562"/>
        <w:gridCol w:w="1562"/>
        <w:gridCol w:w="1558"/>
      </w:tblGrid>
      <w:tr w:rsidR="00055E06" w:rsidRPr="007C7998" w14:paraId="4E62C16A" w14:textId="77777777" w:rsidTr="00880AE2">
        <w:trPr>
          <w:cantSplit/>
          <w:trHeight w:val="356"/>
          <w:tblHeader/>
          <w:jc w:val="center"/>
        </w:trPr>
        <w:tc>
          <w:tcPr>
            <w:tcW w:w="1395" w:type="pct"/>
            <w:tcBorders>
              <w:top w:val="single" w:sz="4" w:space="0" w:color="auto"/>
              <w:bottom w:val="single" w:sz="4" w:space="0" w:color="auto"/>
              <w:right w:val="single" w:sz="6" w:space="0" w:color="auto"/>
            </w:tcBorders>
            <w:shd w:val="clear" w:color="auto" w:fill="D9D9D6"/>
            <w:vAlign w:val="center"/>
          </w:tcPr>
          <w:p w14:paraId="3BB7A29C" w14:textId="77777777" w:rsidR="00055E06" w:rsidRPr="007C7998" w:rsidRDefault="00055E06" w:rsidP="00F92B99">
            <w:pPr>
              <w:spacing w:before="60" w:after="60" w:line="252" w:lineRule="auto"/>
              <w:rPr>
                <w:rFonts w:asciiTheme="minorHAnsi" w:hAnsiTheme="minorHAnsi" w:cstheme="minorHAnsi"/>
                <w:szCs w:val="22"/>
              </w:rPr>
            </w:pPr>
            <w:r w:rsidRPr="007C7998">
              <w:rPr>
                <w:rFonts w:asciiTheme="minorHAnsi" w:hAnsiTheme="minorHAnsi" w:cstheme="minorHAnsi"/>
                <w:b/>
                <w:bCs/>
                <w:szCs w:val="22"/>
              </w:rPr>
              <w:t>Target</w:t>
            </w:r>
          </w:p>
        </w:tc>
        <w:tc>
          <w:tcPr>
            <w:tcW w:w="1297" w:type="pct"/>
            <w:tcBorders>
              <w:top w:val="single" w:sz="4" w:space="0" w:color="auto"/>
              <w:left w:val="single" w:sz="6" w:space="0" w:color="auto"/>
              <w:bottom w:val="single" w:sz="4" w:space="0" w:color="auto"/>
              <w:right w:val="single" w:sz="6" w:space="0" w:color="auto"/>
            </w:tcBorders>
            <w:shd w:val="clear" w:color="auto" w:fill="D9D9D6"/>
            <w:vAlign w:val="center"/>
          </w:tcPr>
          <w:p w14:paraId="0EE5FCE9" w14:textId="77777777" w:rsidR="00055E06" w:rsidRPr="007C7998" w:rsidRDefault="00055E06" w:rsidP="00F92B99">
            <w:pPr>
              <w:spacing w:before="60" w:after="60" w:line="252" w:lineRule="auto"/>
              <w:rPr>
                <w:rFonts w:asciiTheme="minorHAnsi" w:hAnsiTheme="minorHAnsi" w:cstheme="minorHAnsi"/>
                <w:szCs w:val="22"/>
              </w:rPr>
            </w:pPr>
            <w:r w:rsidRPr="007C7998">
              <w:rPr>
                <w:rFonts w:asciiTheme="minorHAnsi" w:hAnsiTheme="minorHAnsi" w:cstheme="minorHAnsi"/>
                <w:b/>
                <w:szCs w:val="22"/>
              </w:rPr>
              <w:t>2026–27</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tcPr>
          <w:p w14:paraId="28244000" w14:textId="77777777" w:rsidR="00055E06" w:rsidRPr="007C7998" w:rsidRDefault="00055E06" w:rsidP="00F92B99">
            <w:pPr>
              <w:spacing w:before="60" w:after="60" w:line="252" w:lineRule="auto"/>
              <w:rPr>
                <w:rFonts w:asciiTheme="minorHAnsi" w:hAnsiTheme="minorHAnsi" w:cstheme="minorHAnsi"/>
                <w:b/>
                <w:szCs w:val="22"/>
              </w:rPr>
            </w:pPr>
            <w:r w:rsidRPr="007C7998">
              <w:rPr>
                <w:rFonts w:asciiTheme="minorHAnsi" w:hAnsiTheme="minorHAnsi" w:cstheme="minorHAnsi"/>
                <w:b/>
                <w:szCs w:val="22"/>
              </w:rPr>
              <w:t>2027–28</w:t>
            </w:r>
          </w:p>
        </w:tc>
        <w:tc>
          <w:tcPr>
            <w:tcW w:w="770" w:type="pct"/>
            <w:tcBorders>
              <w:top w:val="single" w:sz="4" w:space="0" w:color="auto"/>
              <w:left w:val="single" w:sz="6" w:space="0" w:color="auto"/>
              <w:bottom w:val="single" w:sz="4" w:space="0" w:color="auto"/>
              <w:right w:val="single" w:sz="6" w:space="0" w:color="auto"/>
            </w:tcBorders>
            <w:shd w:val="clear" w:color="auto" w:fill="D9D9D6"/>
            <w:vAlign w:val="center"/>
          </w:tcPr>
          <w:p w14:paraId="11B8132C" w14:textId="77777777" w:rsidR="00055E06" w:rsidRPr="007C7998" w:rsidRDefault="00055E06" w:rsidP="00F92B99">
            <w:pPr>
              <w:spacing w:before="60" w:after="60" w:line="252" w:lineRule="auto"/>
              <w:rPr>
                <w:rFonts w:asciiTheme="minorHAnsi" w:hAnsiTheme="minorHAnsi" w:cstheme="minorHAnsi"/>
                <w:b/>
                <w:szCs w:val="22"/>
              </w:rPr>
            </w:pPr>
            <w:r w:rsidRPr="007C7998">
              <w:rPr>
                <w:rFonts w:asciiTheme="minorHAnsi" w:hAnsiTheme="minorHAnsi" w:cstheme="minorHAnsi"/>
                <w:b/>
                <w:szCs w:val="22"/>
              </w:rPr>
              <w:t>2028–29</w:t>
            </w:r>
          </w:p>
        </w:tc>
        <w:tc>
          <w:tcPr>
            <w:tcW w:w="769" w:type="pct"/>
            <w:tcBorders>
              <w:top w:val="single" w:sz="4" w:space="0" w:color="auto"/>
              <w:left w:val="single" w:sz="6" w:space="0" w:color="auto"/>
              <w:bottom w:val="single" w:sz="4" w:space="0" w:color="auto"/>
              <w:right w:val="single" w:sz="4" w:space="0" w:color="auto"/>
            </w:tcBorders>
            <w:shd w:val="clear" w:color="auto" w:fill="D9D9D6"/>
            <w:vAlign w:val="center"/>
          </w:tcPr>
          <w:p w14:paraId="5DC44A49" w14:textId="77777777" w:rsidR="00055E06" w:rsidRPr="007C7998" w:rsidRDefault="00055E06" w:rsidP="00F92B99">
            <w:pPr>
              <w:spacing w:before="60" w:after="60" w:line="252" w:lineRule="auto"/>
              <w:rPr>
                <w:rFonts w:asciiTheme="minorHAnsi" w:hAnsiTheme="minorHAnsi" w:cstheme="minorHAnsi"/>
                <w:b/>
                <w:szCs w:val="22"/>
              </w:rPr>
            </w:pPr>
            <w:r w:rsidRPr="007C7998">
              <w:rPr>
                <w:rFonts w:asciiTheme="minorHAnsi" w:hAnsiTheme="minorHAnsi" w:cstheme="minorHAnsi"/>
                <w:b/>
                <w:szCs w:val="22"/>
              </w:rPr>
              <w:t>2029–30</w:t>
            </w:r>
          </w:p>
        </w:tc>
      </w:tr>
      <w:tr w:rsidR="00055E06" w:rsidRPr="007C7998" w14:paraId="132C9F23" w14:textId="77777777" w:rsidTr="00880AE2">
        <w:trPr>
          <w:cantSplit/>
          <w:trHeight w:val="356"/>
          <w:jc w:val="center"/>
        </w:trPr>
        <w:tc>
          <w:tcPr>
            <w:tcW w:w="1395" w:type="pct"/>
            <w:tcBorders>
              <w:top w:val="single" w:sz="4" w:space="0" w:color="auto"/>
              <w:bottom w:val="single" w:sz="4" w:space="0" w:color="auto"/>
            </w:tcBorders>
          </w:tcPr>
          <w:p w14:paraId="3DA2D2C1" w14:textId="77777777" w:rsidR="00055E06" w:rsidRPr="007C7998" w:rsidRDefault="00055E06" w:rsidP="00F92B99">
            <w:pPr>
              <w:spacing w:after="120"/>
              <w:rPr>
                <w:rFonts w:asciiTheme="minorHAnsi" w:hAnsiTheme="minorHAnsi" w:cstheme="minorHAnsi"/>
              </w:rPr>
            </w:pPr>
            <w:r w:rsidRPr="007C7998">
              <w:rPr>
                <w:rFonts w:asciiTheme="minorHAnsi" w:hAnsiTheme="minorHAnsi" w:cstheme="minorHAnsi"/>
              </w:rPr>
              <w:t xml:space="preserve">CO-3A Improve funding outcomes and impact by better targeting investment to locally identified need. </w:t>
            </w:r>
          </w:p>
          <w:p w14:paraId="2A7C0863" w14:textId="77777777" w:rsidR="00055E06" w:rsidRPr="007C7998" w:rsidRDefault="00055E06" w:rsidP="00F92B99">
            <w:pPr>
              <w:spacing w:after="120"/>
              <w:rPr>
                <w:rFonts w:asciiTheme="minorHAnsi" w:hAnsiTheme="minorHAnsi" w:cstheme="minorHAnsi"/>
                <w:szCs w:val="22"/>
              </w:rPr>
            </w:pPr>
          </w:p>
          <w:p w14:paraId="735A825F" w14:textId="77777777" w:rsidR="00055E06" w:rsidRPr="007C7998" w:rsidRDefault="00055E06" w:rsidP="00F92B99">
            <w:pPr>
              <w:spacing w:before="60" w:after="60" w:line="252" w:lineRule="auto"/>
              <w:rPr>
                <w:rFonts w:asciiTheme="minorHAnsi" w:hAnsiTheme="minorHAnsi" w:cstheme="minorHAnsi"/>
                <w:szCs w:val="22"/>
              </w:rPr>
            </w:pPr>
          </w:p>
        </w:tc>
        <w:tc>
          <w:tcPr>
            <w:tcW w:w="1297" w:type="pct"/>
            <w:tcBorders>
              <w:top w:val="single" w:sz="4" w:space="0" w:color="auto"/>
              <w:bottom w:val="single" w:sz="4" w:space="0" w:color="auto"/>
            </w:tcBorders>
          </w:tcPr>
          <w:p w14:paraId="601086E2" w14:textId="1FB1834C" w:rsidR="00055E06" w:rsidRPr="007C7998" w:rsidRDefault="00B860D2" w:rsidP="00F92B99">
            <w:pPr>
              <w:spacing w:before="60" w:after="60" w:line="252" w:lineRule="auto"/>
              <w:rPr>
                <w:rFonts w:asciiTheme="minorHAnsi" w:hAnsiTheme="minorHAnsi" w:cstheme="minorHAnsi"/>
                <w:szCs w:val="22"/>
              </w:rPr>
            </w:pPr>
            <w:r w:rsidRPr="007C7998">
              <w:rPr>
                <w:rFonts w:asciiTheme="minorHAnsi" w:hAnsiTheme="minorHAnsi" w:cstheme="minorHAnsi"/>
              </w:rPr>
              <w:t>Hold Partnership Tables in up to 18 communities to better align the Children and Family Supports (</w:t>
            </w:r>
            <w:proofErr w:type="spellStart"/>
            <w:r w:rsidRPr="007C7998">
              <w:rPr>
                <w:rFonts w:asciiTheme="minorHAnsi" w:hAnsiTheme="minorHAnsi" w:cstheme="minorHAnsi"/>
              </w:rPr>
              <w:t>CaFS</w:t>
            </w:r>
            <w:proofErr w:type="spellEnd"/>
            <w:r w:rsidRPr="007C7998">
              <w:rPr>
                <w:rFonts w:asciiTheme="minorHAnsi" w:hAnsiTheme="minorHAnsi" w:cstheme="minorHAnsi"/>
              </w:rPr>
              <w:t>) Program to local community needs.</w:t>
            </w:r>
          </w:p>
        </w:tc>
        <w:tc>
          <w:tcPr>
            <w:tcW w:w="770" w:type="pct"/>
            <w:tcBorders>
              <w:top w:val="single" w:sz="4" w:space="0" w:color="auto"/>
              <w:bottom w:val="single" w:sz="4" w:space="0" w:color="auto"/>
            </w:tcBorders>
          </w:tcPr>
          <w:p w14:paraId="751388B4" w14:textId="77777777" w:rsidR="00055E06" w:rsidRPr="007C7998" w:rsidRDefault="00055E06" w:rsidP="00F92B99">
            <w:pPr>
              <w:spacing w:before="60" w:after="60" w:line="252" w:lineRule="auto"/>
              <w:rPr>
                <w:rFonts w:asciiTheme="minorHAnsi" w:hAnsiTheme="minorHAnsi" w:cstheme="minorHAnsi"/>
                <w:szCs w:val="22"/>
              </w:rPr>
            </w:pPr>
            <w:r w:rsidRPr="007C7998">
              <w:rPr>
                <w:rFonts w:asciiTheme="minorHAnsi" w:hAnsiTheme="minorHAnsi" w:cstheme="minorHAnsi"/>
              </w:rPr>
              <w:t xml:space="preserve">Establish flexible funding mechanism to support investment to locally identified need. </w:t>
            </w:r>
          </w:p>
        </w:tc>
        <w:tc>
          <w:tcPr>
            <w:tcW w:w="770" w:type="pct"/>
            <w:tcBorders>
              <w:top w:val="single" w:sz="4" w:space="0" w:color="auto"/>
              <w:bottom w:val="single" w:sz="4" w:space="0" w:color="auto"/>
            </w:tcBorders>
          </w:tcPr>
          <w:p w14:paraId="09706438" w14:textId="77777777" w:rsidR="00055E06" w:rsidRPr="007C7998" w:rsidRDefault="00055E06" w:rsidP="00F92B99">
            <w:pPr>
              <w:spacing w:before="60" w:after="60" w:line="252" w:lineRule="auto"/>
              <w:rPr>
                <w:rFonts w:asciiTheme="minorHAnsi" w:hAnsiTheme="minorHAnsi" w:cstheme="minorHAnsi"/>
                <w:szCs w:val="22"/>
              </w:rPr>
            </w:pPr>
            <w:r w:rsidRPr="007C7998">
              <w:rPr>
                <w:rFonts w:asciiTheme="minorHAnsi" w:hAnsiTheme="minorHAnsi" w:cstheme="minorHAnsi"/>
              </w:rPr>
              <w:t>Demonstrate impact on local communities of better alignment and flexible investment.</w:t>
            </w:r>
          </w:p>
        </w:tc>
        <w:tc>
          <w:tcPr>
            <w:tcW w:w="769" w:type="pct"/>
            <w:tcBorders>
              <w:top w:val="single" w:sz="4" w:space="0" w:color="auto"/>
              <w:bottom w:val="single" w:sz="4" w:space="0" w:color="auto"/>
            </w:tcBorders>
          </w:tcPr>
          <w:p w14:paraId="37C17184" w14:textId="77777777" w:rsidR="00055E06" w:rsidRPr="007C7998" w:rsidRDefault="00055E06" w:rsidP="00F92B99">
            <w:pPr>
              <w:spacing w:before="60" w:after="60" w:line="252" w:lineRule="auto"/>
              <w:rPr>
                <w:rFonts w:asciiTheme="minorHAnsi" w:hAnsiTheme="minorHAnsi" w:cstheme="minorHAnsi"/>
                <w:szCs w:val="22"/>
              </w:rPr>
            </w:pPr>
            <w:r w:rsidRPr="007C7998">
              <w:rPr>
                <w:rFonts w:asciiTheme="minorHAnsi" w:hAnsiTheme="minorHAnsi" w:cstheme="minorHAnsi"/>
              </w:rPr>
              <w:t xml:space="preserve">Expand the number of local communities in the Place Partnership Model. </w:t>
            </w:r>
          </w:p>
        </w:tc>
      </w:tr>
    </w:tbl>
    <w:p w14:paraId="31E1AE73" w14:textId="77777777" w:rsidR="00055E06" w:rsidRPr="007C7998" w:rsidRDefault="00055E06" w:rsidP="00A97D98">
      <w:pPr>
        <w:pStyle w:val="CPCustom3"/>
        <w:rPr>
          <w:lang w:eastAsia="en-AU"/>
        </w:rPr>
      </w:pPr>
      <w:r w:rsidRPr="007C7998">
        <w:rPr>
          <w:lang w:eastAsia="en-AU"/>
        </w:rPr>
        <w:t>Rationale</w:t>
      </w:r>
    </w:p>
    <w:p w14:paraId="6D386AAC" w14:textId="695CFA7F" w:rsidR="00B860D2" w:rsidRPr="007C7998" w:rsidRDefault="00B860D2" w:rsidP="00B860D2">
      <w:pPr>
        <w:suppressAutoHyphens/>
        <w:spacing w:before="120" w:after="120"/>
        <w:rPr>
          <w:rFonts w:cstheme="minorHAnsi"/>
          <w:lang w:eastAsia="en-AU"/>
        </w:rPr>
      </w:pPr>
      <w:r w:rsidRPr="007C7998">
        <w:rPr>
          <w:rFonts w:cstheme="minorHAnsi"/>
          <w:lang w:eastAsia="en-AU"/>
        </w:rPr>
        <w:t>Flexible funding arrangements are intended to enable communities experiencing entrenched disadvantage to identify their own priorities and implement tailored responses. This measure assesses whether DSS funding design and administration supports community-led action, improves alignment of existing investment to local need, enables flexible investment where required and contributes to agreed outcomes. </w:t>
      </w:r>
    </w:p>
    <w:p w14:paraId="28613FD9" w14:textId="77777777" w:rsidR="00B860D2" w:rsidRPr="007C7998" w:rsidRDefault="00B860D2" w:rsidP="00CA1BCA">
      <w:pPr>
        <w:suppressAutoHyphens/>
        <w:spacing w:before="120" w:after="160"/>
        <w:rPr>
          <w:rFonts w:cstheme="minorHAnsi"/>
          <w:lang w:eastAsia="en-AU"/>
        </w:rPr>
      </w:pPr>
      <w:r w:rsidRPr="007C7998">
        <w:rPr>
          <w:rFonts w:cstheme="minorHAnsi"/>
          <w:lang w:eastAsia="en-AU"/>
        </w:rPr>
        <w:t xml:space="preserve">The measure is appropriate during early implementation because the targets follow a staged pathway. This includes establishing Partnership Tables and </w:t>
      </w:r>
      <w:proofErr w:type="spellStart"/>
      <w:r w:rsidRPr="007C7998">
        <w:rPr>
          <w:rFonts w:cstheme="minorHAnsi"/>
          <w:lang w:eastAsia="en-AU"/>
        </w:rPr>
        <w:t>CaFS</w:t>
      </w:r>
      <w:proofErr w:type="spellEnd"/>
      <w:r w:rsidRPr="007C7998">
        <w:rPr>
          <w:rFonts w:cstheme="minorHAnsi"/>
          <w:lang w:eastAsia="en-AU"/>
        </w:rPr>
        <w:t xml:space="preserve"> alignment, creating a flexible funding mechanism, demonstrating local impact, and expanding the Place Partnership Model where the approach is effective. This allows DSS to assess progress over time while recognising that population-level change in entrenched disadvantage generally takes longer to emerge.</w:t>
      </w:r>
    </w:p>
    <w:p w14:paraId="029EC331" w14:textId="77777777" w:rsidR="00055E06" w:rsidRPr="00B860D2" w:rsidRDefault="00055E06" w:rsidP="00A97D98">
      <w:pPr>
        <w:pStyle w:val="CPCustom3"/>
        <w:rPr>
          <w:lang w:eastAsia="en-AU"/>
        </w:rPr>
      </w:pPr>
      <w:r w:rsidRPr="00B860D2">
        <w:rPr>
          <w:lang w:eastAsia="en-AU"/>
        </w:rPr>
        <w:t>Methodology</w:t>
      </w:r>
    </w:p>
    <w:p w14:paraId="1FB2DB4F" w14:textId="7DA8197B" w:rsidR="00055E06" w:rsidRPr="00B860D2" w:rsidRDefault="00B860D2" w:rsidP="00CA1BCA">
      <w:pPr>
        <w:spacing w:before="120" w:after="160"/>
        <w:rPr>
          <w:rFonts w:cstheme="minorHAnsi"/>
          <w:lang w:eastAsia="en-AU"/>
        </w:rPr>
      </w:pPr>
      <w:r w:rsidRPr="00B860D2">
        <w:rPr>
          <w:rFonts w:cstheme="minorHAnsi"/>
          <w:lang w:val="en-US" w:eastAsia="en-AU"/>
        </w:rPr>
        <w:t xml:space="preserve">DSS will assess whether the yearly target has been met using evidence relevant to each stage of implementation. This may include records of Partnership Tables and </w:t>
      </w:r>
      <w:proofErr w:type="spellStart"/>
      <w:r w:rsidRPr="00B860D2">
        <w:rPr>
          <w:rFonts w:cstheme="minorHAnsi"/>
          <w:lang w:val="en-US" w:eastAsia="en-AU"/>
        </w:rPr>
        <w:t>CaFS</w:t>
      </w:r>
      <w:proofErr w:type="spellEnd"/>
      <w:r w:rsidRPr="00B860D2">
        <w:rPr>
          <w:rFonts w:cstheme="minorHAnsi"/>
          <w:lang w:val="en-US" w:eastAsia="en-AU"/>
        </w:rPr>
        <w:t xml:space="preserve"> alignment activity, approved flexible funding mechanism design and governance documents, funding and decision records, Delivery Plans, progress reports, monitoring and evaluation material, and evidence supporting expansion of the Place Partnership Model. The assessment will consider whether DSS </w:t>
      </w:r>
      <w:r w:rsidRPr="00B860D2">
        <w:rPr>
          <w:rFonts w:cstheme="minorHAnsi"/>
          <w:lang w:val="en-US" w:eastAsia="en-AU"/>
        </w:rPr>
        <w:lastRenderedPageBreak/>
        <w:t>funding design and administration has supported locally identified priorities, responsive investment and agreed outcomes.</w:t>
      </w:r>
    </w:p>
    <w:p w14:paraId="2B943B7F" w14:textId="77777777" w:rsidR="00055E06" w:rsidRPr="00B860D2" w:rsidRDefault="00055E06" w:rsidP="00A97D98">
      <w:pPr>
        <w:pStyle w:val="CPCustom3"/>
        <w:rPr>
          <w:lang w:eastAsia="en-AU"/>
        </w:rPr>
      </w:pPr>
      <w:r w:rsidRPr="00B860D2">
        <w:rPr>
          <w:lang w:eastAsia="en-AU"/>
        </w:rPr>
        <w:t xml:space="preserve">Data Categorisation </w:t>
      </w:r>
    </w:p>
    <w:tbl>
      <w:tblPr>
        <w:tblStyle w:val="Numericaltable13"/>
        <w:tblpPr w:leftFromText="180" w:rightFromText="180" w:vertAnchor="text" w:horzAnchor="margin" w:tblpY="11"/>
        <w:tblW w:w="10201" w:type="dxa"/>
        <w:tblLook w:val="04A0" w:firstRow="1" w:lastRow="0" w:firstColumn="1" w:lastColumn="0" w:noHBand="0" w:noVBand="1"/>
        <w:tblCaption w:val="Table 50 - Categorisation of data source"/>
        <w:tblDescription w:val="Categorisation of data source"/>
      </w:tblPr>
      <w:tblGrid>
        <w:gridCol w:w="3823"/>
        <w:gridCol w:w="6378"/>
      </w:tblGrid>
      <w:tr w:rsidR="00055E06" w:rsidRPr="00B860D2" w14:paraId="64CC5AED" w14:textId="77777777" w:rsidTr="00F92B99">
        <w:trPr>
          <w:trHeight w:val="558"/>
          <w:tblHeader/>
        </w:trPr>
        <w:tc>
          <w:tcPr>
            <w:tcW w:w="3823" w:type="dxa"/>
            <w:shd w:val="clear" w:color="auto" w:fill="215868"/>
          </w:tcPr>
          <w:p w14:paraId="70BB40CA" w14:textId="77777777" w:rsidR="00055E06" w:rsidRPr="00B860D2" w:rsidRDefault="00055E06" w:rsidP="00F92B99">
            <w:pPr>
              <w:suppressAutoHyphens/>
              <w:spacing w:before="120" w:after="120"/>
              <w:rPr>
                <w:rFonts w:asciiTheme="minorHAnsi" w:hAnsiTheme="minorHAnsi" w:cstheme="minorHAnsi"/>
                <w:b/>
                <w:bCs/>
                <w:color w:val="FFFFFF"/>
                <w:szCs w:val="22"/>
              </w:rPr>
            </w:pPr>
            <w:r w:rsidRPr="00B860D2">
              <w:rPr>
                <w:rFonts w:asciiTheme="minorHAnsi" w:hAnsiTheme="minorHAnsi" w:cstheme="minorHAnsi"/>
                <w:b/>
                <w:bCs/>
                <w:color w:val="FFFFFF"/>
                <w:szCs w:val="22"/>
              </w:rPr>
              <w:t xml:space="preserve">Categorisation of data source </w:t>
            </w:r>
          </w:p>
        </w:tc>
        <w:tc>
          <w:tcPr>
            <w:tcW w:w="6378" w:type="dxa"/>
            <w:shd w:val="clear" w:color="auto" w:fill="215868"/>
          </w:tcPr>
          <w:p w14:paraId="5AB1746D" w14:textId="77777777" w:rsidR="00055E06" w:rsidRPr="00B860D2" w:rsidRDefault="00055E06" w:rsidP="00F92B99">
            <w:pPr>
              <w:suppressAutoHyphens/>
              <w:spacing w:before="120" w:after="120"/>
              <w:rPr>
                <w:rFonts w:asciiTheme="minorHAnsi" w:hAnsiTheme="minorHAnsi" w:cstheme="minorHAnsi"/>
                <w:b/>
                <w:bCs/>
                <w:color w:val="FFFFFF"/>
                <w:szCs w:val="22"/>
              </w:rPr>
            </w:pPr>
            <w:r w:rsidRPr="00B860D2">
              <w:rPr>
                <w:rFonts w:asciiTheme="minorHAnsi" w:hAnsiTheme="minorHAnsi" w:cstheme="minorHAnsi"/>
                <w:b/>
                <w:bCs/>
                <w:color w:val="FFFFFF"/>
                <w:szCs w:val="22"/>
              </w:rPr>
              <w:t xml:space="preserve">Data source </w:t>
            </w:r>
          </w:p>
        </w:tc>
      </w:tr>
      <w:tr w:rsidR="00055E06" w:rsidRPr="00B860D2" w14:paraId="3E79B111" w14:textId="77777777" w:rsidTr="00F92B99">
        <w:trPr>
          <w:trHeight w:val="558"/>
        </w:trPr>
        <w:tc>
          <w:tcPr>
            <w:tcW w:w="3823" w:type="dxa"/>
          </w:tcPr>
          <w:p w14:paraId="0EC9346E" w14:textId="77777777" w:rsidR="00055E06" w:rsidRPr="00B860D2" w:rsidRDefault="00055E06" w:rsidP="00F92B99">
            <w:pPr>
              <w:suppressAutoHyphens/>
              <w:spacing w:before="120" w:after="120"/>
              <w:rPr>
                <w:rFonts w:asciiTheme="minorHAnsi" w:hAnsiTheme="minorHAnsi" w:cstheme="minorHAnsi"/>
                <w:color w:val="000000"/>
                <w:szCs w:val="22"/>
              </w:rPr>
            </w:pPr>
            <w:r w:rsidRPr="00B860D2">
              <w:rPr>
                <w:noProof/>
              </w:rPr>
              <w:drawing>
                <wp:inline distT="0" distB="0" distL="0" distR="0" wp14:anchorId="12339864" wp14:editId="6069F643">
                  <wp:extent cx="1216441" cy="351909"/>
                  <wp:effectExtent l="0" t="0" r="3175" b="0"/>
                  <wp:docPr id="130255007" name="picture" descr=" 'Prim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55007" name="picture" descr=" 'Primary Sour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16441" cy="351909"/>
                          </a:xfrm>
                          <a:prstGeom prst="rect">
                            <a:avLst/>
                          </a:prstGeom>
                        </pic:spPr>
                      </pic:pic>
                    </a:graphicData>
                  </a:graphic>
                </wp:inline>
              </w:drawing>
            </w:r>
            <w:r w:rsidRPr="00B860D2">
              <w:rPr>
                <w:noProof/>
              </w:rPr>
              <w:drawing>
                <wp:inline distT="0" distB="0" distL="0" distR="0" wp14:anchorId="5C19628C" wp14:editId="54E67883">
                  <wp:extent cx="886700" cy="346367"/>
                  <wp:effectExtent l="0" t="0" r="8890" b="0"/>
                  <wp:docPr id="20042981" name="picture" descr="'Ti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2981" name="picture" descr="'Tier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6700" cy="346367"/>
                          </a:xfrm>
                          <a:prstGeom prst="rect">
                            <a:avLst/>
                          </a:prstGeom>
                        </pic:spPr>
                      </pic:pic>
                    </a:graphicData>
                  </a:graphic>
                </wp:inline>
              </w:drawing>
            </w:r>
          </w:p>
        </w:tc>
        <w:tc>
          <w:tcPr>
            <w:tcW w:w="6378" w:type="dxa"/>
          </w:tcPr>
          <w:p w14:paraId="57ED1CE0" w14:textId="77777777" w:rsidR="00055E06" w:rsidRPr="00B860D2" w:rsidRDefault="00055E06" w:rsidP="00F92B99">
            <w:pPr>
              <w:suppressAutoHyphens/>
              <w:spacing w:before="120" w:after="120"/>
              <w:rPr>
                <w:rFonts w:asciiTheme="minorHAnsi" w:hAnsiTheme="minorHAnsi" w:cstheme="minorHAnsi"/>
                <w:color w:val="000000"/>
                <w:szCs w:val="22"/>
              </w:rPr>
            </w:pPr>
            <w:r w:rsidRPr="00B860D2">
              <w:rPr>
                <w:rFonts w:asciiTheme="minorHAnsi" w:hAnsiTheme="minorHAnsi" w:cstheme="minorHAnsi"/>
                <w:color w:val="000000"/>
                <w:szCs w:val="22"/>
              </w:rPr>
              <w:t>DSS grants/records</w:t>
            </w:r>
          </w:p>
        </w:tc>
      </w:tr>
      <w:tr w:rsidR="00055E06" w14:paraId="34DD3DA1" w14:textId="77777777" w:rsidTr="00F92B99">
        <w:trPr>
          <w:trHeight w:val="558"/>
        </w:trPr>
        <w:tc>
          <w:tcPr>
            <w:tcW w:w="3823" w:type="dxa"/>
          </w:tcPr>
          <w:p w14:paraId="5D8A9E09" w14:textId="77777777" w:rsidR="00055E06" w:rsidRPr="00B860D2" w:rsidRDefault="00055E06" w:rsidP="00F92B99">
            <w:pPr>
              <w:suppressAutoHyphens/>
              <w:spacing w:before="120" w:after="120"/>
              <w:rPr>
                <w:noProof/>
              </w:rPr>
            </w:pPr>
            <w:r w:rsidRPr="00B860D2">
              <w:rPr>
                <w:noProof/>
              </w:rPr>
              <w:drawing>
                <wp:inline distT="0" distB="0" distL="0" distR="0" wp14:anchorId="28AA29C2" wp14:editId="2310CE19">
                  <wp:extent cx="1209675" cy="352425"/>
                  <wp:effectExtent l="0" t="0" r="9525" b="9525"/>
                  <wp:docPr id="2121766076" name="picture" descr="'Tertiar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768524" name="picture" descr="'Tertiary Sour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09675" cy="352425"/>
                          </a:xfrm>
                          <a:prstGeom prst="rect">
                            <a:avLst/>
                          </a:prstGeom>
                        </pic:spPr>
                      </pic:pic>
                    </a:graphicData>
                  </a:graphic>
                </wp:inline>
              </w:drawing>
            </w:r>
            <w:r w:rsidRPr="00B860D2">
              <w:rPr>
                <w:noProof/>
              </w:rPr>
              <w:drawing>
                <wp:inline distT="0" distB="0" distL="0" distR="0" wp14:anchorId="56BF47A8" wp14:editId="032CE92D">
                  <wp:extent cx="885825" cy="342900"/>
                  <wp:effectExtent l="0" t="0" r="9525" b="0"/>
                  <wp:docPr id="729608915" name="picture" descr="'Ti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410931" name="picture" descr="'Tier 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85825" cy="342900"/>
                          </a:xfrm>
                          <a:prstGeom prst="rect">
                            <a:avLst/>
                          </a:prstGeom>
                        </pic:spPr>
                      </pic:pic>
                    </a:graphicData>
                  </a:graphic>
                </wp:inline>
              </w:drawing>
            </w:r>
          </w:p>
        </w:tc>
        <w:tc>
          <w:tcPr>
            <w:tcW w:w="6378" w:type="dxa"/>
          </w:tcPr>
          <w:p w14:paraId="29DD9656" w14:textId="63BBE411" w:rsidR="00055E06" w:rsidRPr="00B860D2" w:rsidRDefault="00B860D2" w:rsidP="00B860D2">
            <w:pPr>
              <w:suppressAutoHyphens/>
              <w:spacing w:before="120" w:after="120"/>
              <w:rPr>
                <w:rFonts w:asciiTheme="minorHAnsi" w:hAnsiTheme="minorHAnsi" w:cstheme="minorHAnsi"/>
                <w:color w:val="000000"/>
              </w:rPr>
            </w:pPr>
            <w:r w:rsidRPr="00B860D2">
              <w:rPr>
                <w:rFonts w:asciiTheme="minorHAnsi" w:hAnsiTheme="minorHAnsi" w:cstheme="minorHAnsi"/>
                <w:color w:val="000000"/>
              </w:rPr>
              <w:t>Evidence sourced from stakeholders used to demonstrate local priorities, implementation progress, outcomes, community feedback, or impact from aligned and flexible investment</w:t>
            </w:r>
          </w:p>
        </w:tc>
      </w:tr>
    </w:tbl>
    <w:p w14:paraId="1553B87D" w14:textId="77777777" w:rsidR="00A73FA3" w:rsidRPr="00A165B4" w:rsidRDefault="00A73FA3" w:rsidP="00DE0DEA">
      <w:pPr>
        <w:rPr>
          <w:lang w:eastAsia="en-AU"/>
        </w:rPr>
      </w:pPr>
    </w:p>
    <w:sectPr w:rsidR="00A73FA3" w:rsidRPr="00A165B4" w:rsidSect="0040419A">
      <w:pgSz w:w="11906" w:h="16838"/>
      <w:pgMar w:top="851" w:right="851" w:bottom="1134" w:left="851" w:header="0" w:footer="2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A5682" w14:textId="77777777" w:rsidR="000E03B2" w:rsidRDefault="000E03B2" w:rsidP="008F3023">
      <w:pPr>
        <w:spacing w:after="0" w:line="240" w:lineRule="auto"/>
      </w:pPr>
      <w:r>
        <w:separator/>
      </w:r>
    </w:p>
  </w:endnote>
  <w:endnote w:type="continuationSeparator" w:id="0">
    <w:p w14:paraId="078AE619" w14:textId="77777777" w:rsidR="000E03B2" w:rsidRDefault="000E03B2" w:rsidP="008F3023">
      <w:pPr>
        <w:spacing w:after="0" w:line="240" w:lineRule="auto"/>
      </w:pPr>
      <w:r>
        <w:continuationSeparator/>
      </w:r>
    </w:p>
  </w:endnote>
  <w:endnote w:type="continuationNotice" w:id="1">
    <w:p w14:paraId="74936C38" w14:textId="77777777" w:rsidR="000E03B2" w:rsidRDefault="000E03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5A70" w:themeColor="accent1"/>
      </w:rPr>
      <w:id w:val="-1408305697"/>
      <w:docPartObj>
        <w:docPartGallery w:val="Page Numbers (Bottom of Page)"/>
        <w:docPartUnique/>
      </w:docPartObj>
    </w:sdtPr>
    <w:sdtEndPr>
      <w:rPr>
        <w:noProof/>
      </w:rPr>
    </w:sdtEndPr>
    <w:sdtContent>
      <w:p w14:paraId="453A0D0A" w14:textId="29963667" w:rsidR="00776DD8" w:rsidRPr="00776DD8" w:rsidRDefault="00776DD8">
        <w:pPr>
          <w:pStyle w:val="Footer"/>
          <w:rPr>
            <w:color w:val="005A70" w:themeColor="accent1"/>
          </w:rPr>
        </w:pPr>
        <w:r w:rsidRPr="00776DD8">
          <w:rPr>
            <w:color w:val="005A70" w:themeColor="accent1"/>
            <w:sz w:val="18"/>
            <w:szCs w:val="18"/>
          </w:rPr>
          <w:fldChar w:fldCharType="begin"/>
        </w:r>
        <w:r w:rsidRPr="00776DD8">
          <w:rPr>
            <w:color w:val="005A70" w:themeColor="accent1"/>
            <w:sz w:val="18"/>
            <w:szCs w:val="18"/>
          </w:rPr>
          <w:instrText xml:space="preserve"> PAGE   \* MERGEFORMAT </w:instrText>
        </w:r>
        <w:r w:rsidRPr="00776DD8">
          <w:rPr>
            <w:color w:val="005A70" w:themeColor="accent1"/>
            <w:sz w:val="18"/>
            <w:szCs w:val="18"/>
          </w:rPr>
          <w:fldChar w:fldCharType="separate"/>
        </w:r>
        <w:r w:rsidRPr="00776DD8">
          <w:rPr>
            <w:noProof/>
            <w:color w:val="005A70" w:themeColor="accent1"/>
            <w:sz w:val="18"/>
            <w:szCs w:val="18"/>
          </w:rPr>
          <w:t>2</w:t>
        </w:r>
        <w:r w:rsidRPr="00776DD8">
          <w:rPr>
            <w:noProof/>
            <w:color w:val="005A70" w:themeColor="accent1"/>
            <w:sz w:val="18"/>
            <w:szCs w:val="18"/>
          </w:rPr>
          <w:fldChar w:fldCharType="end"/>
        </w:r>
        <w:r>
          <w:rPr>
            <w:noProof/>
            <w:color w:val="005A70" w:themeColor="accent1"/>
          </w:rPr>
          <w:t xml:space="preserve">  </w:t>
        </w:r>
        <w:r>
          <w:rPr>
            <w:noProof/>
            <w:color w:val="005A70" w:themeColor="accent1"/>
            <w:sz w:val="18"/>
            <w:szCs w:val="18"/>
          </w:rPr>
          <w:t>– Department of Social Services Corporate Plan 2026-27</w:t>
        </w:r>
      </w:p>
    </w:sdtContent>
  </w:sdt>
  <w:p w14:paraId="66E1D33B" w14:textId="77777777" w:rsidR="00776DD8" w:rsidRDefault="00776D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5A70" w:themeColor="accent1"/>
      </w:rPr>
      <w:id w:val="1604300817"/>
      <w:docPartObj>
        <w:docPartGallery w:val="Page Numbers (Bottom of Page)"/>
        <w:docPartUnique/>
      </w:docPartObj>
    </w:sdtPr>
    <w:sdtEndPr>
      <w:rPr>
        <w:noProof/>
        <w:sz w:val="18"/>
        <w:szCs w:val="18"/>
      </w:rPr>
    </w:sdtEndPr>
    <w:sdtContent>
      <w:p w14:paraId="6260F38E" w14:textId="6F349706" w:rsidR="00614697" w:rsidRPr="00614697" w:rsidRDefault="00614697">
        <w:pPr>
          <w:pStyle w:val="Footer"/>
          <w:rPr>
            <w:noProof/>
            <w:color w:val="005A70" w:themeColor="accent1"/>
            <w:sz w:val="18"/>
            <w:szCs w:val="18"/>
          </w:rPr>
        </w:pPr>
        <w:r w:rsidRPr="00614697">
          <w:rPr>
            <w:noProof/>
            <w:color w:val="005A70" w:themeColor="accent1"/>
            <w:sz w:val="18"/>
            <w:szCs w:val="18"/>
          </w:rPr>
          <w:fldChar w:fldCharType="begin"/>
        </w:r>
        <w:r w:rsidRPr="00614697">
          <w:rPr>
            <w:noProof/>
            <w:color w:val="005A70" w:themeColor="accent1"/>
            <w:sz w:val="18"/>
            <w:szCs w:val="18"/>
          </w:rPr>
          <w:instrText xml:space="preserve"> PAGE   \* MERGEFORMAT </w:instrText>
        </w:r>
        <w:r w:rsidRPr="00614697">
          <w:rPr>
            <w:noProof/>
            <w:color w:val="005A70" w:themeColor="accent1"/>
            <w:sz w:val="18"/>
            <w:szCs w:val="18"/>
          </w:rPr>
          <w:fldChar w:fldCharType="separate"/>
        </w:r>
        <w:r w:rsidRPr="00614697">
          <w:rPr>
            <w:noProof/>
            <w:color w:val="005A70" w:themeColor="accent1"/>
            <w:sz w:val="18"/>
            <w:szCs w:val="18"/>
          </w:rPr>
          <w:t>2</w:t>
        </w:r>
        <w:r w:rsidRPr="00614697">
          <w:rPr>
            <w:noProof/>
            <w:color w:val="005A70" w:themeColor="accent1"/>
            <w:sz w:val="18"/>
            <w:szCs w:val="18"/>
          </w:rPr>
          <w:fldChar w:fldCharType="end"/>
        </w:r>
        <w:r>
          <w:rPr>
            <w:noProof/>
            <w:color w:val="005A70" w:themeColor="accent1"/>
            <w:sz w:val="18"/>
            <w:szCs w:val="18"/>
          </w:rPr>
          <w:t xml:space="preserve"> - Department of Social Services Corporate Plan 2026-27</w:t>
        </w:r>
      </w:p>
    </w:sdtContent>
  </w:sdt>
  <w:p w14:paraId="046C2282" w14:textId="77777777" w:rsidR="00614697" w:rsidRDefault="006146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2BFEC" w14:textId="77777777" w:rsidR="000E03B2" w:rsidRDefault="000E03B2" w:rsidP="008F3023">
      <w:pPr>
        <w:spacing w:after="0" w:line="240" w:lineRule="auto"/>
      </w:pPr>
      <w:r>
        <w:separator/>
      </w:r>
    </w:p>
  </w:footnote>
  <w:footnote w:type="continuationSeparator" w:id="0">
    <w:p w14:paraId="3EE2B37C" w14:textId="77777777" w:rsidR="000E03B2" w:rsidRDefault="000E03B2" w:rsidP="008F3023">
      <w:pPr>
        <w:spacing w:after="0" w:line="240" w:lineRule="auto"/>
      </w:pPr>
      <w:r>
        <w:continuationSeparator/>
      </w:r>
    </w:p>
  </w:footnote>
  <w:footnote w:type="continuationNotice" w:id="1">
    <w:p w14:paraId="6B60F3A4" w14:textId="77777777" w:rsidR="000E03B2" w:rsidRDefault="000E03B2">
      <w:pPr>
        <w:spacing w:after="0" w:line="240" w:lineRule="auto"/>
      </w:pPr>
    </w:p>
  </w:footnote>
  <w:footnote w:id="2">
    <w:p w14:paraId="1E4BBFE8" w14:textId="2DBB5844" w:rsidR="005F49E8" w:rsidRDefault="005F49E8">
      <w:pPr>
        <w:pStyle w:val="FootnoteText"/>
      </w:pPr>
      <w:r>
        <w:rPr>
          <w:rStyle w:val="FootnoteReference"/>
        </w:rPr>
        <w:footnoteRef/>
      </w:r>
      <w:r>
        <w:t xml:space="preserve"> </w:t>
      </w:r>
      <w:r w:rsidRPr="002A254F">
        <w:t xml:space="preserve">Australian Government Department of Social Services. </w:t>
      </w:r>
      <w:hyperlink r:id="rId1" w:history="1">
        <w:r w:rsidRPr="002A254F">
          <w:rPr>
            <w:rStyle w:val="Hyperlink"/>
            <w:i/>
            <w:iCs/>
          </w:rPr>
          <w:t>DSS Income Support Recipients - Monthly Time Series</w:t>
        </w:r>
      </w:hyperlink>
      <w:r w:rsidRPr="002A254F">
        <w:t xml:space="preserve"> [Dataset]. Data.gov.au.</w:t>
      </w:r>
    </w:p>
  </w:footnote>
  <w:footnote w:id="3">
    <w:p w14:paraId="67AD635A" w14:textId="02B1D6A1" w:rsidR="005F49E8" w:rsidRDefault="005F49E8">
      <w:pPr>
        <w:pStyle w:val="FootnoteText"/>
      </w:pPr>
      <w:r>
        <w:rPr>
          <w:rStyle w:val="FootnoteReference"/>
        </w:rPr>
        <w:footnoteRef/>
      </w:r>
      <w:r>
        <w:t xml:space="preserve"> </w:t>
      </w:r>
      <w:r w:rsidRPr="009B5CD0">
        <w:t xml:space="preserve">Australian Government, Department of Social Services, </w:t>
      </w:r>
      <w:r w:rsidRPr="009B5CD0">
        <w:rPr>
          <w:i/>
          <w:iCs/>
        </w:rPr>
        <w:t>DSS Impact Strategy 2025–2030</w:t>
      </w:r>
    </w:p>
  </w:footnote>
  <w:footnote w:id="4">
    <w:p w14:paraId="365E0F86" w14:textId="77777777" w:rsidR="006A19A2" w:rsidRPr="007C6CBE" w:rsidRDefault="006A19A2" w:rsidP="006A19A2">
      <w:pPr>
        <w:pStyle w:val="FootnoteText"/>
      </w:pPr>
      <w:r>
        <w:rPr>
          <w:rStyle w:val="FootnoteReference"/>
        </w:rPr>
        <w:footnoteRef/>
      </w:r>
      <w:r>
        <w:t xml:space="preserve"> </w:t>
      </w:r>
      <w:r w:rsidRPr="004310D9">
        <w:t xml:space="preserve">Australian Bureau of Statistics. (2026). </w:t>
      </w:r>
      <w:hyperlink r:id="rId2" w:history="1">
        <w:r w:rsidRPr="007C6CBE">
          <w:rPr>
            <w:rStyle w:val="Hyperlink"/>
            <w:i/>
            <w:iCs/>
          </w:rPr>
          <w:t>Selected Living Cost Indexes, Australia, June 2026</w:t>
        </w:r>
        <w:r w:rsidRPr="007C6CBE">
          <w:rPr>
            <w:rStyle w:val="Hyperlink"/>
          </w:rPr>
          <w:t>.</w:t>
        </w:r>
      </w:hyperlink>
      <w:r w:rsidRPr="004310D9">
        <w:t xml:space="preserve"> Australian Bureau of Statistics.</w:t>
      </w:r>
    </w:p>
  </w:footnote>
  <w:footnote w:id="5">
    <w:p w14:paraId="5186486B" w14:textId="77777777" w:rsidR="006A19A2" w:rsidRPr="002A254F" w:rsidRDefault="006A19A2" w:rsidP="006A19A2">
      <w:pPr>
        <w:pStyle w:val="FootnoteText"/>
      </w:pPr>
      <w:r>
        <w:rPr>
          <w:rStyle w:val="FootnoteReference"/>
        </w:rPr>
        <w:footnoteRef/>
      </w:r>
      <w:r>
        <w:t xml:space="preserve"> </w:t>
      </w:r>
      <w:r w:rsidRPr="004310D9">
        <w:t xml:space="preserve">Scanlon Foundation Research Institute. </w:t>
      </w:r>
      <w:hyperlink r:id="rId3" w:history="1">
        <w:r w:rsidRPr="004310D9">
          <w:rPr>
            <w:rStyle w:val="Hyperlink"/>
            <w:i/>
            <w:iCs/>
          </w:rPr>
          <w:t>Social Cohesion Insights 09: Stretched thin: The emotional toll of financial stress</w:t>
        </w:r>
      </w:hyperlink>
      <w:r w:rsidRPr="004310D9">
        <w:t>. Scanlon Foundation Research Institute.</w:t>
      </w:r>
    </w:p>
  </w:footnote>
  <w:footnote w:id="6">
    <w:p w14:paraId="58973728" w14:textId="11FF4F56" w:rsidR="00750F30" w:rsidRDefault="00750F30">
      <w:pPr>
        <w:pStyle w:val="FootnoteText"/>
      </w:pPr>
      <w:r>
        <w:rPr>
          <w:rStyle w:val="FootnoteReference"/>
        </w:rPr>
        <w:footnoteRef/>
      </w:r>
      <w:r>
        <w:t xml:space="preserve"> </w:t>
      </w:r>
      <w:r w:rsidRPr="002A254F">
        <w:t xml:space="preserve">Australian Bureau of Statistics. (2026). </w:t>
      </w:r>
      <w:hyperlink r:id="rId4" w:history="1">
        <w:r w:rsidRPr="002A254F">
          <w:rPr>
            <w:rStyle w:val="Hyperlink"/>
            <w:i/>
            <w:iCs/>
          </w:rPr>
          <w:t>Labour Force, Australia, July 2026</w:t>
        </w:r>
      </w:hyperlink>
      <w:r w:rsidRPr="002A254F">
        <w:t>. Australian Bureau of Statistics.</w:t>
      </w:r>
    </w:p>
  </w:footnote>
  <w:footnote w:id="7">
    <w:p w14:paraId="372D1EF4" w14:textId="77777777" w:rsidR="00750F30" w:rsidRPr="002A254F" w:rsidRDefault="00750F30" w:rsidP="00750F30">
      <w:pPr>
        <w:pStyle w:val="FootnoteText"/>
      </w:pPr>
      <w:r>
        <w:rPr>
          <w:rStyle w:val="FootnoteReference"/>
        </w:rPr>
        <w:footnoteRef/>
      </w:r>
      <w:r>
        <w:t xml:space="preserve"> </w:t>
      </w:r>
      <w:r w:rsidRPr="002A254F">
        <w:t xml:space="preserve">Australian Government Department of Social Services. </w:t>
      </w:r>
      <w:hyperlink r:id="rId5" w:history="1">
        <w:r w:rsidRPr="002A254F">
          <w:rPr>
            <w:rStyle w:val="Hyperlink"/>
            <w:i/>
            <w:iCs/>
          </w:rPr>
          <w:t>DSS Income Support Recipients - Monthly Time Series</w:t>
        </w:r>
      </w:hyperlink>
      <w:r w:rsidRPr="002A254F">
        <w:t xml:space="preserve"> [Dataset]. Data.gov.au.</w:t>
      </w:r>
    </w:p>
    <w:p w14:paraId="5909434B" w14:textId="77777777" w:rsidR="00750F30" w:rsidRPr="002A254F" w:rsidRDefault="00750F30" w:rsidP="00750F30">
      <w:pPr>
        <w:pStyle w:val="FootnoteText"/>
        <w:rPr>
          <w:lang w:val="en-US"/>
        </w:rPr>
      </w:pPr>
    </w:p>
  </w:footnote>
  <w:footnote w:id="8">
    <w:p w14:paraId="63318050" w14:textId="3C94A72D" w:rsidR="001E2D3B" w:rsidRDefault="001E2D3B">
      <w:pPr>
        <w:pStyle w:val="FootnoteText"/>
      </w:pPr>
      <w:r>
        <w:rPr>
          <w:rStyle w:val="FootnoteReference"/>
        </w:rPr>
        <w:footnoteRef/>
      </w:r>
      <w:r>
        <w:t xml:space="preserve"> </w:t>
      </w:r>
      <w:r w:rsidRPr="00852402">
        <w:t xml:space="preserve">Scanlon Institute for Applied Social Cohesion Research, </w:t>
      </w:r>
      <w:r w:rsidRPr="00852402">
        <w:rPr>
          <w:i/>
          <w:iCs/>
        </w:rPr>
        <w:t>Mapping Social Cohesion 2025</w:t>
      </w:r>
      <w:r w:rsidRPr="00852402">
        <w:t xml:space="preserve"> (Melbourne: Scanlon Institute, 2025)</w:t>
      </w:r>
    </w:p>
  </w:footnote>
  <w:footnote w:id="9">
    <w:p w14:paraId="426A7453" w14:textId="77777777" w:rsidR="003640AC" w:rsidRPr="007C6CBE" w:rsidRDefault="003640AC" w:rsidP="003640AC">
      <w:pPr>
        <w:pStyle w:val="FootnoteText"/>
      </w:pPr>
      <w:r>
        <w:rPr>
          <w:rStyle w:val="FootnoteReference"/>
        </w:rPr>
        <w:footnoteRef/>
      </w:r>
      <w:r>
        <w:t xml:space="preserve"> </w:t>
      </w:r>
      <w:r w:rsidRPr="007C6CBE">
        <w:t xml:space="preserve">World Economic Forum. (2025). </w:t>
      </w:r>
      <w:hyperlink r:id="rId6" w:history="1">
        <w:r w:rsidRPr="001C32A4">
          <w:rPr>
            <w:rStyle w:val="Hyperlink"/>
            <w:i/>
            <w:iCs/>
          </w:rPr>
          <w:t>The future of jobs report 2025</w:t>
        </w:r>
      </w:hyperlink>
      <w:r w:rsidRPr="007C6CBE">
        <w:t xml:space="preserve">. World Economic Forum. </w:t>
      </w:r>
    </w:p>
  </w:footnote>
  <w:footnote w:id="10">
    <w:p w14:paraId="02FF5EA7" w14:textId="77777777" w:rsidR="003640AC" w:rsidRPr="001C32A4" w:rsidRDefault="003640AC" w:rsidP="003640AC">
      <w:pPr>
        <w:pStyle w:val="FootnoteText"/>
      </w:pPr>
      <w:r>
        <w:rPr>
          <w:rStyle w:val="FootnoteReference"/>
        </w:rPr>
        <w:footnoteRef/>
      </w:r>
      <w:r>
        <w:t xml:space="preserve"> </w:t>
      </w:r>
      <w:r w:rsidRPr="007C6CBE">
        <w:t xml:space="preserve">Organisation for Economic Co-operation and Development. (OECD). </w:t>
      </w:r>
      <w:hyperlink r:id="rId7" w:history="1">
        <w:r w:rsidRPr="001C32A4">
          <w:rPr>
            <w:rStyle w:val="Hyperlink"/>
            <w:i/>
            <w:iCs/>
          </w:rPr>
          <w:t>Who will be the workers most affected by AI?</w:t>
        </w:r>
      </w:hyperlink>
      <w:r w:rsidRPr="007C6CBE">
        <w:t xml:space="preserve"> </w:t>
      </w:r>
    </w:p>
  </w:footnote>
  <w:footnote w:id="11">
    <w:p w14:paraId="19DEDE33" w14:textId="77777777" w:rsidR="003640AC" w:rsidRPr="001C32A4" w:rsidRDefault="003640AC" w:rsidP="003640AC">
      <w:pPr>
        <w:pStyle w:val="FootnoteText"/>
      </w:pPr>
      <w:r>
        <w:rPr>
          <w:rStyle w:val="FootnoteReference"/>
        </w:rPr>
        <w:footnoteRef/>
      </w:r>
      <w:r>
        <w:t xml:space="preserve"> PWC Australia</w:t>
      </w:r>
      <w:r w:rsidRPr="001C32A4">
        <w:t xml:space="preserve">. (2026). </w:t>
      </w:r>
      <w:hyperlink r:id="rId8" w:history="1">
        <w:r w:rsidRPr="001C32A4">
          <w:rPr>
            <w:rStyle w:val="Hyperlink"/>
            <w:i/>
            <w:iCs/>
          </w:rPr>
          <w:t>2026 AI business predictions</w:t>
        </w:r>
      </w:hyperlink>
      <w:r w:rsidRPr="001C32A4">
        <w:t xml:space="preserve">. </w:t>
      </w:r>
      <w:r>
        <w:t>PWC Australia</w:t>
      </w:r>
    </w:p>
  </w:footnote>
  <w:footnote w:id="12">
    <w:p w14:paraId="4A317F98" w14:textId="77777777" w:rsidR="00E71249" w:rsidRDefault="00E71249" w:rsidP="00E71249">
      <w:pPr>
        <w:rPr>
          <w:rFonts w:ascii="Calibri" w:hAnsi="Calibri"/>
          <w:szCs w:val="18"/>
        </w:rPr>
      </w:pPr>
      <w:r>
        <w:rPr>
          <w:sz w:val="16"/>
          <w:szCs w:val="12"/>
          <w:vertAlign w:val="superscript"/>
        </w:rPr>
        <w:t>1</w:t>
      </w:r>
      <w:r>
        <w:rPr>
          <w:sz w:val="16"/>
          <w:szCs w:val="12"/>
        </w:rPr>
        <w:t xml:space="preserve"> A recipient household or ‘income unit’ comprises a single person (with or without dependent children) or a couple (with or without dependent children) receiving a social security or family assistance payment and expected to share financial resources. Single social security recipients living together in the same dwelling are regarded as separate recipient households.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1414DE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940.5pt;height:940.5pt;visibility:visible;mso-wrap-style:square" o:bullet="t">
        <v:imagedata r:id="rId1" o:title=""/>
      </v:shape>
    </w:pict>
  </w:numPicBullet>
  <w:abstractNum w:abstractNumId="0" w15:restartNumberingAfterBreak="0">
    <w:nsid w:val="012214E9"/>
    <w:multiLevelType w:val="multilevel"/>
    <w:tmpl w:val="72F80ABA"/>
    <w:lvl w:ilvl="0">
      <w:numFmt w:val="bullet"/>
      <w:lvlText w:val="■"/>
      <w:lvlJc w:val="left"/>
      <w:pPr>
        <w:ind w:left="720" w:hanging="360"/>
      </w:pPr>
      <w:rPr>
        <w:rFonts w:ascii="Arial" w:hAnsi="Arial" w:hint="default"/>
        <w:color w:val="00A39E"/>
        <w:spacing w:val="1"/>
        <w:w w:val="126"/>
        <w:sz w:val="14"/>
        <w:szCs w:val="14"/>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12F2393"/>
    <w:multiLevelType w:val="hybridMultilevel"/>
    <w:tmpl w:val="A7ACF7CC"/>
    <w:lvl w:ilvl="0" w:tplc="D54C742A">
      <w:start w:val="1"/>
      <w:numFmt w:val="bullet"/>
      <w:lvlText w:val="o"/>
      <w:lvlJc w:val="left"/>
      <w:pPr>
        <w:ind w:left="720" w:hanging="360"/>
      </w:pPr>
      <w:rPr>
        <w:rFonts w:ascii="Courier New" w:hAnsi="Courier New" w:cs="Courier New" w:hint="default"/>
      </w:rPr>
    </w:lvl>
    <w:lvl w:ilvl="1" w:tplc="0D5E3AF2" w:tentative="1">
      <w:start w:val="1"/>
      <w:numFmt w:val="bullet"/>
      <w:lvlText w:val="o"/>
      <w:lvlJc w:val="left"/>
      <w:pPr>
        <w:ind w:left="1440" w:hanging="360"/>
      </w:pPr>
      <w:rPr>
        <w:rFonts w:ascii="Courier New" w:hAnsi="Courier New" w:cs="Courier New" w:hint="default"/>
      </w:rPr>
    </w:lvl>
    <w:lvl w:ilvl="2" w:tplc="BA5E424E" w:tentative="1">
      <w:start w:val="1"/>
      <w:numFmt w:val="bullet"/>
      <w:lvlText w:val=""/>
      <w:lvlJc w:val="left"/>
      <w:pPr>
        <w:ind w:left="2160" w:hanging="360"/>
      </w:pPr>
      <w:rPr>
        <w:rFonts w:ascii="Wingdings" w:hAnsi="Wingdings" w:hint="default"/>
      </w:rPr>
    </w:lvl>
    <w:lvl w:ilvl="3" w:tplc="392E1FF0" w:tentative="1">
      <w:start w:val="1"/>
      <w:numFmt w:val="bullet"/>
      <w:lvlText w:val=""/>
      <w:lvlJc w:val="left"/>
      <w:pPr>
        <w:ind w:left="2880" w:hanging="360"/>
      </w:pPr>
      <w:rPr>
        <w:rFonts w:ascii="Symbol" w:hAnsi="Symbol" w:hint="default"/>
      </w:rPr>
    </w:lvl>
    <w:lvl w:ilvl="4" w:tplc="C506F238" w:tentative="1">
      <w:start w:val="1"/>
      <w:numFmt w:val="bullet"/>
      <w:lvlText w:val="o"/>
      <w:lvlJc w:val="left"/>
      <w:pPr>
        <w:ind w:left="3600" w:hanging="360"/>
      </w:pPr>
      <w:rPr>
        <w:rFonts w:ascii="Courier New" w:hAnsi="Courier New" w:cs="Courier New" w:hint="default"/>
      </w:rPr>
    </w:lvl>
    <w:lvl w:ilvl="5" w:tplc="FAB80F84" w:tentative="1">
      <w:start w:val="1"/>
      <w:numFmt w:val="bullet"/>
      <w:lvlText w:val=""/>
      <w:lvlJc w:val="left"/>
      <w:pPr>
        <w:ind w:left="4320" w:hanging="360"/>
      </w:pPr>
      <w:rPr>
        <w:rFonts w:ascii="Wingdings" w:hAnsi="Wingdings" w:hint="default"/>
      </w:rPr>
    </w:lvl>
    <w:lvl w:ilvl="6" w:tplc="99221434" w:tentative="1">
      <w:start w:val="1"/>
      <w:numFmt w:val="bullet"/>
      <w:lvlText w:val=""/>
      <w:lvlJc w:val="left"/>
      <w:pPr>
        <w:ind w:left="5040" w:hanging="360"/>
      </w:pPr>
      <w:rPr>
        <w:rFonts w:ascii="Symbol" w:hAnsi="Symbol" w:hint="default"/>
      </w:rPr>
    </w:lvl>
    <w:lvl w:ilvl="7" w:tplc="5148A6D6" w:tentative="1">
      <w:start w:val="1"/>
      <w:numFmt w:val="bullet"/>
      <w:lvlText w:val="o"/>
      <w:lvlJc w:val="left"/>
      <w:pPr>
        <w:ind w:left="5760" w:hanging="360"/>
      </w:pPr>
      <w:rPr>
        <w:rFonts w:ascii="Courier New" w:hAnsi="Courier New" w:cs="Courier New" w:hint="default"/>
      </w:rPr>
    </w:lvl>
    <w:lvl w:ilvl="8" w:tplc="E87456B0" w:tentative="1">
      <w:start w:val="1"/>
      <w:numFmt w:val="bullet"/>
      <w:lvlText w:val=""/>
      <w:lvlJc w:val="left"/>
      <w:pPr>
        <w:ind w:left="6480" w:hanging="360"/>
      </w:pPr>
      <w:rPr>
        <w:rFonts w:ascii="Wingdings" w:hAnsi="Wingdings" w:hint="default"/>
      </w:rPr>
    </w:lvl>
  </w:abstractNum>
  <w:abstractNum w:abstractNumId="2" w15:restartNumberingAfterBreak="0">
    <w:nsid w:val="05FF382C"/>
    <w:multiLevelType w:val="singleLevel"/>
    <w:tmpl w:val="9294DE82"/>
    <w:lvl w:ilvl="0">
      <w:start w:val="1"/>
      <w:numFmt w:val="bullet"/>
      <w:pStyle w:val="BulletedList"/>
      <w:lvlText w:val=""/>
      <w:lvlJc w:val="left"/>
      <w:pPr>
        <w:tabs>
          <w:tab w:val="num" w:pos="360"/>
        </w:tabs>
        <w:ind w:left="360" w:hanging="360"/>
      </w:pPr>
      <w:rPr>
        <w:rFonts w:ascii="Symbol" w:hAnsi="Symbol" w:hint="default"/>
        <w:sz w:val="22"/>
      </w:rPr>
    </w:lvl>
  </w:abstractNum>
  <w:abstractNum w:abstractNumId="3" w15:restartNumberingAfterBreak="0">
    <w:nsid w:val="06912195"/>
    <w:multiLevelType w:val="hybridMultilevel"/>
    <w:tmpl w:val="379A5D10"/>
    <w:lvl w:ilvl="0" w:tplc="865C0AEE">
      <w:start w:val="1"/>
      <w:numFmt w:val="bullet"/>
      <w:lvlText w:val=""/>
      <w:lvlJc w:val="left"/>
      <w:pPr>
        <w:ind w:left="720" w:hanging="360"/>
      </w:pPr>
      <w:rPr>
        <w:rFonts w:ascii="Wingdings" w:hAnsi="Wingdings" w:hint="default"/>
        <w:color w:val="002731" w:themeColor="accent5" w:themeShade="BF"/>
        <w:sz w:val="18"/>
        <w:szCs w:val="18"/>
      </w:rPr>
    </w:lvl>
    <w:lvl w:ilvl="1" w:tplc="AAAE7B56" w:tentative="1">
      <w:start w:val="1"/>
      <w:numFmt w:val="bullet"/>
      <w:lvlText w:val="o"/>
      <w:lvlJc w:val="left"/>
      <w:pPr>
        <w:ind w:left="1440" w:hanging="360"/>
      </w:pPr>
      <w:rPr>
        <w:rFonts w:ascii="Courier New" w:hAnsi="Courier New" w:cs="Courier New" w:hint="default"/>
      </w:rPr>
    </w:lvl>
    <w:lvl w:ilvl="2" w:tplc="3A06554E" w:tentative="1">
      <w:start w:val="1"/>
      <w:numFmt w:val="bullet"/>
      <w:lvlText w:val=""/>
      <w:lvlJc w:val="left"/>
      <w:pPr>
        <w:ind w:left="2160" w:hanging="360"/>
      </w:pPr>
      <w:rPr>
        <w:rFonts w:ascii="Wingdings" w:hAnsi="Wingdings" w:hint="default"/>
      </w:rPr>
    </w:lvl>
    <w:lvl w:ilvl="3" w:tplc="0CA46F48" w:tentative="1">
      <w:start w:val="1"/>
      <w:numFmt w:val="bullet"/>
      <w:lvlText w:val=""/>
      <w:lvlJc w:val="left"/>
      <w:pPr>
        <w:ind w:left="2880" w:hanging="360"/>
      </w:pPr>
      <w:rPr>
        <w:rFonts w:ascii="Symbol" w:hAnsi="Symbol" w:hint="default"/>
      </w:rPr>
    </w:lvl>
    <w:lvl w:ilvl="4" w:tplc="9D543CC6" w:tentative="1">
      <w:start w:val="1"/>
      <w:numFmt w:val="bullet"/>
      <w:lvlText w:val="o"/>
      <w:lvlJc w:val="left"/>
      <w:pPr>
        <w:ind w:left="3600" w:hanging="360"/>
      </w:pPr>
      <w:rPr>
        <w:rFonts w:ascii="Courier New" w:hAnsi="Courier New" w:cs="Courier New" w:hint="default"/>
      </w:rPr>
    </w:lvl>
    <w:lvl w:ilvl="5" w:tplc="E800CC16" w:tentative="1">
      <w:start w:val="1"/>
      <w:numFmt w:val="bullet"/>
      <w:lvlText w:val=""/>
      <w:lvlJc w:val="left"/>
      <w:pPr>
        <w:ind w:left="4320" w:hanging="360"/>
      </w:pPr>
      <w:rPr>
        <w:rFonts w:ascii="Wingdings" w:hAnsi="Wingdings" w:hint="default"/>
      </w:rPr>
    </w:lvl>
    <w:lvl w:ilvl="6" w:tplc="058660EA" w:tentative="1">
      <w:start w:val="1"/>
      <w:numFmt w:val="bullet"/>
      <w:lvlText w:val=""/>
      <w:lvlJc w:val="left"/>
      <w:pPr>
        <w:ind w:left="5040" w:hanging="360"/>
      </w:pPr>
      <w:rPr>
        <w:rFonts w:ascii="Symbol" w:hAnsi="Symbol" w:hint="default"/>
      </w:rPr>
    </w:lvl>
    <w:lvl w:ilvl="7" w:tplc="55923A20" w:tentative="1">
      <w:start w:val="1"/>
      <w:numFmt w:val="bullet"/>
      <w:lvlText w:val="o"/>
      <w:lvlJc w:val="left"/>
      <w:pPr>
        <w:ind w:left="5760" w:hanging="360"/>
      </w:pPr>
      <w:rPr>
        <w:rFonts w:ascii="Courier New" w:hAnsi="Courier New" w:cs="Courier New" w:hint="default"/>
      </w:rPr>
    </w:lvl>
    <w:lvl w:ilvl="8" w:tplc="381AC32E" w:tentative="1">
      <w:start w:val="1"/>
      <w:numFmt w:val="bullet"/>
      <w:lvlText w:val=""/>
      <w:lvlJc w:val="left"/>
      <w:pPr>
        <w:ind w:left="6480" w:hanging="360"/>
      </w:pPr>
      <w:rPr>
        <w:rFonts w:ascii="Wingdings" w:hAnsi="Wingdings" w:hint="default"/>
      </w:rPr>
    </w:lvl>
  </w:abstractNum>
  <w:abstractNum w:abstractNumId="4" w15:restartNumberingAfterBreak="0">
    <w:nsid w:val="0ADB2185"/>
    <w:multiLevelType w:val="hybridMultilevel"/>
    <w:tmpl w:val="1ABAACEE"/>
    <w:lvl w:ilvl="0" w:tplc="B504FD96">
      <w:numFmt w:val="bullet"/>
      <w:lvlText w:val="■"/>
      <w:lvlJc w:val="left"/>
      <w:pPr>
        <w:ind w:left="720" w:hanging="360"/>
      </w:pPr>
      <w:rPr>
        <w:rFonts w:ascii="Arial" w:hAnsi="Arial" w:hint="default"/>
        <w:color w:val="00A39E"/>
        <w:spacing w:val="1"/>
        <w:w w:val="126"/>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DF008D"/>
    <w:multiLevelType w:val="hybridMultilevel"/>
    <w:tmpl w:val="9A9A9742"/>
    <w:lvl w:ilvl="0" w:tplc="B504FD96">
      <w:numFmt w:val="bullet"/>
      <w:lvlText w:val="■"/>
      <w:lvlJc w:val="left"/>
      <w:pPr>
        <w:ind w:left="720" w:hanging="360"/>
      </w:pPr>
      <w:rPr>
        <w:rFonts w:ascii="Arial" w:hAnsi="Arial" w:hint="default"/>
        <w:color w:val="00A39E"/>
        <w:spacing w:val="1"/>
        <w:w w:val="126"/>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4D01AB"/>
    <w:multiLevelType w:val="hybridMultilevel"/>
    <w:tmpl w:val="23723842"/>
    <w:lvl w:ilvl="0" w:tplc="4EE63348">
      <w:start w:val="1"/>
      <w:numFmt w:val="bullet"/>
      <w:pStyle w:val="TABLEBullets"/>
      <w:lvlText w:val=""/>
      <w:lvlJc w:val="left"/>
      <w:pPr>
        <w:ind w:left="360" w:hanging="360"/>
      </w:pPr>
      <w:rPr>
        <w:rFonts w:ascii="Wingdings" w:hAnsi="Wingdings" w:hint="default"/>
        <w:color w:val="002731" w:themeColor="accent5" w:themeShade="BF"/>
        <w:sz w:val="18"/>
        <w:szCs w:val="18"/>
      </w:rPr>
    </w:lvl>
    <w:lvl w:ilvl="1" w:tplc="D110EB7E">
      <w:start w:val="1"/>
      <w:numFmt w:val="bullet"/>
      <w:lvlText w:val="•"/>
      <w:lvlJc w:val="left"/>
      <w:pPr>
        <w:tabs>
          <w:tab w:val="num" w:pos="1440"/>
        </w:tabs>
        <w:ind w:left="1440" w:hanging="360"/>
      </w:pPr>
      <w:rPr>
        <w:rFonts w:ascii="Arial" w:hAnsi="Arial" w:cs="Times New Roman" w:hint="default"/>
      </w:rPr>
    </w:lvl>
    <w:lvl w:ilvl="2" w:tplc="ED346DC4">
      <w:start w:val="1"/>
      <w:numFmt w:val="bullet"/>
      <w:lvlText w:val="•"/>
      <w:lvlJc w:val="left"/>
      <w:pPr>
        <w:tabs>
          <w:tab w:val="num" w:pos="2160"/>
        </w:tabs>
        <w:ind w:left="2160" w:hanging="360"/>
      </w:pPr>
      <w:rPr>
        <w:rFonts w:ascii="Arial" w:hAnsi="Arial" w:cs="Times New Roman" w:hint="default"/>
      </w:rPr>
    </w:lvl>
    <w:lvl w:ilvl="3" w:tplc="88B05C90">
      <w:start w:val="1"/>
      <w:numFmt w:val="bullet"/>
      <w:lvlText w:val="•"/>
      <w:lvlJc w:val="left"/>
      <w:pPr>
        <w:tabs>
          <w:tab w:val="num" w:pos="2880"/>
        </w:tabs>
        <w:ind w:left="2880" w:hanging="360"/>
      </w:pPr>
      <w:rPr>
        <w:rFonts w:ascii="Arial" w:hAnsi="Arial" w:cs="Times New Roman" w:hint="default"/>
      </w:rPr>
    </w:lvl>
    <w:lvl w:ilvl="4" w:tplc="58AE7326">
      <w:start w:val="1"/>
      <w:numFmt w:val="bullet"/>
      <w:lvlText w:val="•"/>
      <w:lvlJc w:val="left"/>
      <w:pPr>
        <w:tabs>
          <w:tab w:val="num" w:pos="3600"/>
        </w:tabs>
        <w:ind w:left="3600" w:hanging="360"/>
      </w:pPr>
      <w:rPr>
        <w:rFonts w:ascii="Arial" w:hAnsi="Arial" w:cs="Times New Roman" w:hint="default"/>
      </w:rPr>
    </w:lvl>
    <w:lvl w:ilvl="5" w:tplc="FDA2B9C6">
      <w:start w:val="1"/>
      <w:numFmt w:val="bullet"/>
      <w:lvlText w:val="•"/>
      <w:lvlJc w:val="left"/>
      <w:pPr>
        <w:tabs>
          <w:tab w:val="num" w:pos="4320"/>
        </w:tabs>
        <w:ind w:left="4320" w:hanging="360"/>
      </w:pPr>
      <w:rPr>
        <w:rFonts w:ascii="Arial" w:hAnsi="Arial" w:cs="Times New Roman" w:hint="default"/>
      </w:rPr>
    </w:lvl>
    <w:lvl w:ilvl="6" w:tplc="80500CA4">
      <w:start w:val="1"/>
      <w:numFmt w:val="bullet"/>
      <w:lvlText w:val="•"/>
      <w:lvlJc w:val="left"/>
      <w:pPr>
        <w:tabs>
          <w:tab w:val="num" w:pos="5040"/>
        </w:tabs>
        <w:ind w:left="5040" w:hanging="360"/>
      </w:pPr>
      <w:rPr>
        <w:rFonts w:ascii="Arial" w:hAnsi="Arial" w:cs="Times New Roman" w:hint="default"/>
      </w:rPr>
    </w:lvl>
    <w:lvl w:ilvl="7" w:tplc="2C5E5C6E">
      <w:start w:val="1"/>
      <w:numFmt w:val="bullet"/>
      <w:lvlText w:val="•"/>
      <w:lvlJc w:val="left"/>
      <w:pPr>
        <w:tabs>
          <w:tab w:val="num" w:pos="5760"/>
        </w:tabs>
        <w:ind w:left="5760" w:hanging="360"/>
      </w:pPr>
      <w:rPr>
        <w:rFonts w:ascii="Arial" w:hAnsi="Arial" w:cs="Times New Roman" w:hint="default"/>
      </w:rPr>
    </w:lvl>
    <w:lvl w:ilvl="8" w:tplc="411C4E6C">
      <w:start w:val="1"/>
      <w:numFmt w:val="bullet"/>
      <w:lvlText w:val="•"/>
      <w:lvlJc w:val="left"/>
      <w:pPr>
        <w:tabs>
          <w:tab w:val="num" w:pos="6480"/>
        </w:tabs>
        <w:ind w:left="6480" w:hanging="360"/>
      </w:pPr>
      <w:rPr>
        <w:rFonts w:ascii="Arial" w:hAnsi="Arial" w:cs="Times New Roman" w:hint="default"/>
      </w:rPr>
    </w:lvl>
  </w:abstractNum>
  <w:abstractNum w:abstractNumId="7" w15:restartNumberingAfterBreak="0">
    <w:nsid w:val="1AF02C77"/>
    <w:multiLevelType w:val="hybridMultilevel"/>
    <w:tmpl w:val="3EC44C52"/>
    <w:lvl w:ilvl="0" w:tplc="6D9EC5C6">
      <w:start w:val="1"/>
      <w:numFmt w:val="bullet"/>
      <w:lvlText w:val=""/>
      <w:lvlJc w:val="left"/>
      <w:pPr>
        <w:ind w:left="720" w:hanging="360"/>
      </w:pPr>
      <w:rPr>
        <w:rFonts w:ascii="Wingdings" w:hAnsi="Wingdings" w:hint="default"/>
        <w:color w:val="002731" w:themeColor="accent5" w:themeShade="BF"/>
        <w:sz w:val="18"/>
        <w:szCs w:val="18"/>
      </w:rPr>
    </w:lvl>
    <w:lvl w:ilvl="1" w:tplc="AEEADF5A" w:tentative="1">
      <w:start w:val="1"/>
      <w:numFmt w:val="bullet"/>
      <w:lvlText w:val="o"/>
      <w:lvlJc w:val="left"/>
      <w:pPr>
        <w:ind w:left="1440" w:hanging="360"/>
      </w:pPr>
      <w:rPr>
        <w:rFonts w:ascii="Courier New" w:hAnsi="Courier New" w:cs="Courier New" w:hint="default"/>
      </w:rPr>
    </w:lvl>
    <w:lvl w:ilvl="2" w:tplc="FABCAAFE" w:tentative="1">
      <w:start w:val="1"/>
      <w:numFmt w:val="bullet"/>
      <w:lvlText w:val=""/>
      <w:lvlJc w:val="left"/>
      <w:pPr>
        <w:ind w:left="2160" w:hanging="360"/>
      </w:pPr>
      <w:rPr>
        <w:rFonts w:ascii="Wingdings" w:hAnsi="Wingdings" w:hint="default"/>
      </w:rPr>
    </w:lvl>
    <w:lvl w:ilvl="3" w:tplc="42E01CA2" w:tentative="1">
      <w:start w:val="1"/>
      <w:numFmt w:val="bullet"/>
      <w:lvlText w:val=""/>
      <w:lvlJc w:val="left"/>
      <w:pPr>
        <w:ind w:left="2880" w:hanging="360"/>
      </w:pPr>
      <w:rPr>
        <w:rFonts w:ascii="Symbol" w:hAnsi="Symbol" w:hint="default"/>
      </w:rPr>
    </w:lvl>
    <w:lvl w:ilvl="4" w:tplc="C0AE45F8" w:tentative="1">
      <w:start w:val="1"/>
      <w:numFmt w:val="bullet"/>
      <w:lvlText w:val="o"/>
      <w:lvlJc w:val="left"/>
      <w:pPr>
        <w:ind w:left="3600" w:hanging="360"/>
      </w:pPr>
      <w:rPr>
        <w:rFonts w:ascii="Courier New" w:hAnsi="Courier New" w:cs="Courier New" w:hint="default"/>
      </w:rPr>
    </w:lvl>
    <w:lvl w:ilvl="5" w:tplc="C97406B6" w:tentative="1">
      <w:start w:val="1"/>
      <w:numFmt w:val="bullet"/>
      <w:lvlText w:val=""/>
      <w:lvlJc w:val="left"/>
      <w:pPr>
        <w:ind w:left="4320" w:hanging="360"/>
      </w:pPr>
      <w:rPr>
        <w:rFonts w:ascii="Wingdings" w:hAnsi="Wingdings" w:hint="default"/>
      </w:rPr>
    </w:lvl>
    <w:lvl w:ilvl="6" w:tplc="B7585496" w:tentative="1">
      <w:start w:val="1"/>
      <w:numFmt w:val="bullet"/>
      <w:lvlText w:val=""/>
      <w:lvlJc w:val="left"/>
      <w:pPr>
        <w:ind w:left="5040" w:hanging="360"/>
      </w:pPr>
      <w:rPr>
        <w:rFonts w:ascii="Symbol" w:hAnsi="Symbol" w:hint="default"/>
      </w:rPr>
    </w:lvl>
    <w:lvl w:ilvl="7" w:tplc="6204AE8A" w:tentative="1">
      <w:start w:val="1"/>
      <w:numFmt w:val="bullet"/>
      <w:lvlText w:val="o"/>
      <w:lvlJc w:val="left"/>
      <w:pPr>
        <w:ind w:left="5760" w:hanging="360"/>
      </w:pPr>
      <w:rPr>
        <w:rFonts w:ascii="Courier New" w:hAnsi="Courier New" w:cs="Courier New" w:hint="default"/>
      </w:rPr>
    </w:lvl>
    <w:lvl w:ilvl="8" w:tplc="707A68A8" w:tentative="1">
      <w:start w:val="1"/>
      <w:numFmt w:val="bullet"/>
      <w:lvlText w:val=""/>
      <w:lvlJc w:val="left"/>
      <w:pPr>
        <w:ind w:left="6480" w:hanging="360"/>
      </w:pPr>
      <w:rPr>
        <w:rFonts w:ascii="Wingdings" w:hAnsi="Wingdings" w:hint="default"/>
      </w:rPr>
    </w:lvl>
  </w:abstractNum>
  <w:abstractNum w:abstractNumId="8" w15:restartNumberingAfterBreak="0">
    <w:nsid w:val="1BE02816"/>
    <w:multiLevelType w:val="multilevel"/>
    <w:tmpl w:val="179C3DAA"/>
    <w:lvl w:ilvl="0">
      <w:numFmt w:val="bullet"/>
      <w:lvlText w:val="■"/>
      <w:lvlJc w:val="left"/>
      <w:pPr>
        <w:ind w:left="720" w:hanging="360"/>
      </w:pPr>
      <w:rPr>
        <w:rFonts w:ascii="Arial" w:hAnsi="Arial" w:hint="default"/>
        <w:color w:val="00A39E"/>
        <w:spacing w:val="1"/>
        <w:w w:val="126"/>
        <w:sz w:val="14"/>
        <w:szCs w:val="14"/>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EE03FD6"/>
    <w:multiLevelType w:val="multilevel"/>
    <w:tmpl w:val="86468A10"/>
    <w:lvl w:ilvl="0">
      <w:numFmt w:val="bullet"/>
      <w:lvlText w:val="■"/>
      <w:lvlJc w:val="left"/>
      <w:pPr>
        <w:ind w:left="720" w:hanging="360"/>
      </w:pPr>
      <w:rPr>
        <w:rFonts w:ascii="Arial" w:hAnsi="Arial" w:hint="default"/>
        <w:color w:val="00A39E"/>
        <w:spacing w:val="1"/>
        <w:w w:val="126"/>
        <w:sz w:val="14"/>
        <w:szCs w:val="14"/>
      </w:rPr>
    </w:lvl>
    <w:lvl w:ilvl="1">
      <w:start w:val="1"/>
      <w:numFmt w:val="bullet"/>
      <w:lvlText w:val="–"/>
      <w:lvlJc w:val="left"/>
      <w:pPr>
        <w:ind w:left="1440" w:hanging="360"/>
      </w:pPr>
      <w:rPr>
        <w:rFonts w:ascii="Courier New" w:hAnsi="Courier New" w:hint="default"/>
        <w:color w:val="65CAC8" w:themeColor="accent3" w:themeShade="BF"/>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F065F90"/>
    <w:multiLevelType w:val="multilevel"/>
    <w:tmpl w:val="0C09001D"/>
    <w:styleLink w:val="AusGovStyleManualList"/>
    <w:lvl w:ilvl="0">
      <w:start w:val="1"/>
      <w:numFmt w:val="bullet"/>
      <w:lvlText w:val="•"/>
      <w:lvlJc w:val="left"/>
      <w:pPr>
        <w:ind w:left="360" w:hanging="360"/>
      </w:pPr>
      <w:rPr>
        <w:rFonts w:asciiTheme="minorHAnsi" w:hAnsiTheme="minorHAnsi" w:hint="default"/>
        <w:color w:val="auto"/>
      </w:rPr>
    </w:lvl>
    <w:lvl w:ilvl="1">
      <w:start w:val="1"/>
      <w:numFmt w:val="bullet"/>
      <w:lvlText w:val="‐"/>
      <w:lvlJc w:val="left"/>
      <w:pPr>
        <w:ind w:left="720" w:hanging="360"/>
      </w:pPr>
      <w:rPr>
        <w:rFonts w:asciiTheme="minorHAnsi" w:hAnsiTheme="minorHAnsi" w:hint="default"/>
        <w:color w:val="auto"/>
      </w:rPr>
    </w:lvl>
    <w:lvl w:ilvl="2">
      <w:start w:val="1"/>
      <w:numFmt w:val="bullet"/>
      <w:lvlText w:val="◦"/>
      <w:lvlJc w:val="left"/>
      <w:pPr>
        <w:ind w:left="1080" w:hanging="360"/>
      </w:pPr>
      <w:rPr>
        <w:rFonts w:asciiTheme="minorHAnsi" w:hAnsiTheme="minorHAnsi" w:hint="default"/>
        <w:color w:val="auto"/>
      </w:rPr>
    </w:lvl>
    <w:lvl w:ilvl="3">
      <w:start w:val="1"/>
      <w:numFmt w:val="bullet"/>
      <w:lvlText w:val="▪"/>
      <w:lvlJc w:val="left"/>
      <w:pPr>
        <w:ind w:left="1440" w:hanging="360"/>
      </w:pPr>
      <w:rPr>
        <w:rFonts w:asciiTheme="minorHAnsi" w:hAnsiTheme="minorHAnsi" w:hint="default"/>
        <w:color w:val="auto"/>
      </w:rPr>
    </w:lvl>
    <w:lvl w:ilvl="4">
      <w:start w:val="1"/>
      <w:numFmt w:val="bullet"/>
      <w:lvlText w:val="▫"/>
      <w:lvlJc w:val="left"/>
      <w:pPr>
        <w:ind w:left="1800" w:hanging="360"/>
      </w:pPr>
      <w:rPr>
        <w:rFonts w:asciiTheme="minorHAnsi" w:hAnsiTheme="minorHAnsi"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84802C3"/>
    <w:multiLevelType w:val="hybridMultilevel"/>
    <w:tmpl w:val="57105C48"/>
    <w:lvl w:ilvl="0" w:tplc="81C01144">
      <w:start w:val="1"/>
      <w:numFmt w:val="bullet"/>
      <w:lvlText w:val=""/>
      <w:lvlJc w:val="left"/>
      <w:pPr>
        <w:ind w:left="720" w:hanging="360"/>
      </w:pPr>
      <w:rPr>
        <w:rFonts w:ascii="Wingdings" w:hAnsi="Wingdings" w:hint="default"/>
        <w:color w:val="002731" w:themeColor="accent5" w:themeShade="BF"/>
        <w:sz w:val="18"/>
        <w:szCs w:val="18"/>
      </w:rPr>
    </w:lvl>
    <w:lvl w:ilvl="1" w:tplc="E0188D84" w:tentative="1">
      <w:start w:val="1"/>
      <w:numFmt w:val="bullet"/>
      <w:lvlText w:val="o"/>
      <w:lvlJc w:val="left"/>
      <w:pPr>
        <w:ind w:left="1440" w:hanging="360"/>
      </w:pPr>
      <w:rPr>
        <w:rFonts w:ascii="Courier New" w:hAnsi="Courier New" w:cs="Courier New" w:hint="default"/>
      </w:rPr>
    </w:lvl>
    <w:lvl w:ilvl="2" w:tplc="AB263D8C" w:tentative="1">
      <w:start w:val="1"/>
      <w:numFmt w:val="bullet"/>
      <w:lvlText w:val=""/>
      <w:lvlJc w:val="left"/>
      <w:pPr>
        <w:ind w:left="2160" w:hanging="360"/>
      </w:pPr>
      <w:rPr>
        <w:rFonts w:ascii="Wingdings" w:hAnsi="Wingdings" w:hint="default"/>
      </w:rPr>
    </w:lvl>
    <w:lvl w:ilvl="3" w:tplc="ADD40CE2" w:tentative="1">
      <w:start w:val="1"/>
      <w:numFmt w:val="bullet"/>
      <w:lvlText w:val=""/>
      <w:lvlJc w:val="left"/>
      <w:pPr>
        <w:ind w:left="2880" w:hanging="360"/>
      </w:pPr>
      <w:rPr>
        <w:rFonts w:ascii="Symbol" w:hAnsi="Symbol" w:hint="default"/>
      </w:rPr>
    </w:lvl>
    <w:lvl w:ilvl="4" w:tplc="98904EF8" w:tentative="1">
      <w:start w:val="1"/>
      <w:numFmt w:val="bullet"/>
      <w:lvlText w:val="o"/>
      <w:lvlJc w:val="left"/>
      <w:pPr>
        <w:ind w:left="3600" w:hanging="360"/>
      </w:pPr>
      <w:rPr>
        <w:rFonts w:ascii="Courier New" w:hAnsi="Courier New" w:cs="Courier New" w:hint="default"/>
      </w:rPr>
    </w:lvl>
    <w:lvl w:ilvl="5" w:tplc="FB266FC8" w:tentative="1">
      <w:start w:val="1"/>
      <w:numFmt w:val="bullet"/>
      <w:lvlText w:val=""/>
      <w:lvlJc w:val="left"/>
      <w:pPr>
        <w:ind w:left="4320" w:hanging="360"/>
      </w:pPr>
      <w:rPr>
        <w:rFonts w:ascii="Wingdings" w:hAnsi="Wingdings" w:hint="default"/>
      </w:rPr>
    </w:lvl>
    <w:lvl w:ilvl="6" w:tplc="E006EB18" w:tentative="1">
      <w:start w:val="1"/>
      <w:numFmt w:val="bullet"/>
      <w:lvlText w:val=""/>
      <w:lvlJc w:val="left"/>
      <w:pPr>
        <w:ind w:left="5040" w:hanging="360"/>
      </w:pPr>
      <w:rPr>
        <w:rFonts w:ascii="Symbol" w:hAnsi="Symbol" w:hint="default"/>
      </w:rPr>
    </w:lvl>
    <w:lvl w:ilvl="7" w:tplc="8E840AA0" w:tentative="1">
      <w:start w:val="1"/>
      <w:numFmt w:val="bullet"/>
      <w:lvlText w:val="o"/>
      <w:lvlJc w:val="left"/>
      <w:pPr>
        <w:ind w:left="5760" w:hanging="360"/>
      </w:pPr>
      <w:rPr>
        <w:rFonts w:ascii="Courier New" w:hAnsi="Courier New" w:cs="Courier New" w:hint="default"/>
      </w:rPr>
    </w:lvl>
    <w:lvl w:ilvl="8" w:tplc="0FBC12A4" w:tentative="1">
      <w:start w:val="1"/>
      <w:numFmt w:val="bullet"/>
      <w:lvlText w:val=""/>
      <w:lvlJc w:val="left"/>
      <w:pPr>
        <w:ind w:left="6480" w:hanging="360"/>
      </w:pPr>
      <w:rPr>
        <w:rFonts w:ascii="Wingdings" w:hAnsi="Wingdings" w:hint="default"/>
      </w:rPr>
    </w:lvl>
  </w:abstractNum>
  <w:abstractNum w:abstractNumId="12" w15:restartNumberingAfterBreak="0">
    <w:nsid w:val="2A5C3854"/>
    <w:multiLevelType w:val="hybridMultilevel"/>
    <w:tmpl w:val="61AC5E8C"/>
    <w:lvl w:ilvl="0" w:tplc="B504FD96">
      <w:numFmt w:val="bullet"/>
      <w:lvlText w:val="■"/>
      <w:lvlJc w:val="left"/>
      <w:pPr>
        <w:ind w:left="720" w:hanging="360"/>
      </w:pPr>
      <w:rPr>
        <w:rFonts w:ascii="Arial" w:hAnsi="Arial" w:hint="default"/>
        <w:color w:val="00A39E"/>
        <w:spacing w:val="1"/>
        <w:w w:val="126"/>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DE56363"/>
    <w:multiLevelType w:val="multilevel"/>
    <w:tmpl w:val="9FDEB948"/>
    <w:styleLink w:val="DSSBulletList"/>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Restart w:val="2"/>
      <w:lvlText w:val="–"/>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09F07F4"/>
    <w:multiLevelType w:val="singleLevel"/>
    <w:tmpl w:val="D33C2B74"/>
    <w:lvl w:ilvl="0">
      <w:start w:val="1"/>
      <w:numFmt w:val="decimal"/>
      <w:pStyle w:val="NumberedList"/>
      <w:lvlText w:val="%1."/>
      <w:lvlJc w:val="left"/>
      <w:pPr>
        <w:tabs>
          <w:tab w:val="num" w:pos="360"/>
        </w:tabs>
        <w:ind w:left="360" w:hanging="360"/>
      </w:pPr>
    </w:lvl>
  </w:abstractNum>
  <w:abstractNum w:abstractNumId="15" w15:restartNumberingAfterBreak="0">
    <w:nsid w:val="34030414"/>
    <w:multiLevelType w:val="multilevel"/>
    <w:tmpl w:val="CAAE33C8"/>
    <w:lvl w:ilvl="0">
      <w:numFmt w:val="bullet"/>
      <w:lvlText w:val="■"/>
      <w:lvlJc w:val="left"/>
      <w:pPr>
        <w:ind w:left="720" w:hanging="360"/>
      </w:pPr>
      <w:rPr>
        <w:rFonts w:ascii="Arial" w:hAnsi="Arial" w:hint="default"/>
        <w:color w:val="00A39E"/>
        <w:spacing w:val="1"/>
        <w:w w:val="126"/>
        <w:sz w:val="14"/>
        <w:szCs w:val="14"/>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C733604"/>
    <w:multiLevelType w:val="multilevel"/>
    <w:tmpl w:val="57CEDABC"/>
    <w:lvl w:ilvl="0">
      <w:start w:val="1"/>
      <w:numFmt w:val="bullet"/>
      <w:pStyle w:val="ListParagraph"/>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color w:val="65CAC8" w:themeColor="accent3" w:themeShade="BF"/>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BCD4254"/>
    <w:multiLevelType w:val="multilevel"/>
    <w:tmpl w:val="FA5E8468"/>
    <w:lvl w:ilvl="0">
      <w:numFmt w:val="bullet"/>
      <w:lvlText w:val="■"/>
      <w:lvlJc w:val="left"/>
      <w:pPr>
        <w:ind w:left="720" w:hanging="360"/>
      </w:pPr>
      <w:rPr>
        <w:rFonts w:ascii="Arial" w:hAnsi="Arial" w:hint="default"/>
        <w:color w:val="00A39E"/>
        <w:spacing w:val="1"/>
        <w:w w:val="126"/>
        <w:sz w:val="14"/>
        <w:szCs w:val="14"/>
      </w:rPr>
    </w:lvl>
    <w:lvl w:ilvl="1">
      <w:start w:val="1"/>
      <w:numFmt w:val="bullet"/>
      <w:lvlText w:val="–"/>
      <w:lvlJc w:val="left"/>
      <w:pPr>
        <w:ind w:left="1440" w:hanging="360"/>
      </w:pPr>
      <w:rPr>
        <w:rFonts w:ascii="Courier New" w:hAnsi="Courier New" w:hint="default"/>
        <w:color w:val="65CAC8" w:themeColor="accent3" w:themeShade="BF"/>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D08799C"/>
    <w:multiLevelType w:val="hybridMultilevel"/>
    <w:tmpl w:val="57F81EE4"/>
    <w:lvl w:ilvl="0" w:tplc="25D82178">
      <w:start w:val="1"/>
      <w:numFmt w:val="bullet"/>
      <w:lvlText w:val=""/>
      <w:lvlJc w:val="left"/>
      <w:pPr>
        <w:ind w:left="416" w:hanging="360"/>
      </w:pPr>
      <w:rPr>
        <w:rFonts w:ascii="Symbol" w:hAnsi="Symbol" w:hint="default"/>
      </w:rPr>
    </w:lvl>
    <w:lvl w:ilvl="1" w:tplc="419EB2F8" w:tentative="1">
      <w:start w:val="1"/>
      <w:numFmt w:val="bullet"/>
      <w:lvlText w:val="o"/>
      <w:lvlJc w:val="left"/>
      <w:pPr>
        <w:ind w:left="1136" w:hanging="360"/>
      </w:pPr>
      <w:rPr>
        <w:rFonts w:ascii="Courier New" w:hAnsi="Courier New" w:cs="Courier New" w:hint="default"/>
      </w:rPr>
    </w:lvl>
    <w:lvl w:ilvl="2" w:tplc="431ACAFE" w:tentative="1">
      <w:start w:val="1"/>
      <w:numFmt w:val="bullet"/>
      <w:lvlText w:val=""/>
      <w:lvlJc w:val="left"/>
      <w:pPr>
        <w:ind w:left="1856" w:hanging="360"/>
      </w:pPr>
      <w:rPr>
        <w:rFonts w:ascii="Wingdings" w:hAnsi="Wingdings" w:hint="default"/>
      </w:rPr>
    </w:lvl>
    <w:lvl w:ilvl="3" w:tplc="E9726F8E" w:tentative="1">
      <w:start w:val="1"/>
      <w:numFmt w:val="bullet"/>
      <w:lvlText w:val=""/>
      <w:lvlJc w:val="left"/>
      <w:pPr>
        <w:ind w:left="2576" w:hanging="360"/>
      </w:pPr>
      <w:rPr>
        <w:rFonts w:ascii="Symbol" w:hAnsi="Symbol" w:hint="default"/>
      </w:rPr>
    </w:lvl>
    <w:lvl w:ilvl="4" w:tplc="2264BBA2" w:tentative="1">
      <w:start w:val="1"/>
      <w:numFmt w:val="bullet"/>
      <w:lvlText w:val="o"/>
      <w:lvlJc w:val="left"/>
      <w:pPr>
        <w:ind w:left="3296" w:hanging="360"/>
      </w:pPr>
      <w:rPr>
        <w:rFonts w:ascii="Courier New" w:hAnsi="Courier New" w:cs="Courier New" w:hint="default"/>
      </w:rPr>
    </w:lvl>
    <w:lvl w:ilvl="5" w:tplc="AC8AB268" w:tentative="1">
      <w:start w:val="1"/>
      <w:numFmt w:val="bullet"/>
      <w:lvlText w:val=""/>
      <w:lvlJc w:val="left"/>
      <w:pPr>
        <w:ind w:left="4016" w:hanging="360"/>
      </w:pPr>
      <w:rPr>
        <w:rFonts w:ascii="Wingdings" w:hAnsi="Wingdings" w:hint="default"/>
      </w:rPr>
    </w:lvl>
    <w:lvl w:ilvl="6" w:tplc="E5F6A05C" w:tentative="1">
      <w:start w:val="1"/>
      <w:numFmt w:val="bullet"/>
      <w:lvlText w:val=""/>
      <w:lvlJc w:val="left"/>
      <w:pPr>
        <w:ind w:left="4736" w:hanging="360"/>
      </w:pPr>
      <w:rPr>
        <w:rFonts w:ascii="Symbol" w:hAnsi="Symbol" w:hint="default"/>
      </w:rPr>
    </w:lvl>
    <w:lvl w:ilvl="7" w:tplc="52AE6DD8" w:tentative="1">
      <w:start w:val="1"/>
      <w:numFmt w:val="bullet"/>
      <w:lvlText w:val="o"/>
      <w:lvlJc w:val="left"/>
      <w:pPr>
        <w:ind w:left="5456" w:hanging="360"/>
      </w:pPr>
      <w:rPr>
        <w:rFonts w:ascii="Courier New" w:hAnsi="Courier New" w:cs="Courier New" w:hint="default"/>
      </w:rPr>
    </w:lvl>
    <w:lvl w:ilvl="8" w:tplc="67CA3A72" w:tentative="1">
      <w:start w:val="1"/>
      <w:numFmt w:val="bullet"/>
      <w:lvlText w:val=""/>
      <w:lvlJc w:val="left"/>
      <w:pPr>
        <w:ind w:left="6176" w:hanging="360"/>
      </w:pPr>
      <w:rPr>
        <w:rFonts w:ascii="Wingdings" w:hAnsi="Wingdings" w:hint="default"/>
      </w:rPr>
    </w:lvl>
  </w:abstractNum>
  <w:abstractNum w:abstractNumId="19" w15:restartNumberingAfterBreak="0">
    <w:nsid w:val="51544687"/>
    <w:multiLevelType w:val="multilevel"/>
    <w:tmpl w:val="62AAA38A"/>
    <w:lvl w:ilvl="0">
      <w:start w:val="1"/>
      <w:numFmt w:val="decimal"/>
      <w:pStyle w:val="ListNumb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1D469D1"/>
    <w:multiLevelType w:val="hybridMultilevel"/>
    <w:tmpl w:val="1C925F18"/>
    <w:lvl w:ilvl="0" w:tplc="B504FD96">
      <w:numFmt w:val="bullet"/>
      <w:lvlText w:val="■"/>
      <w:lvlJc w:val="left"/>
      <w:pPr>
        <w:ind w:left="720" w:hanging="360"/>
      </w:pPr>
      <w:rPr>
        <w:rFonts w:ascii="Arial" w:hAnsi="Arial" w:hint="default"/>
        <w:color w:val="00A39E"/>
        <w:spacing w:val="1"/>
        <w:w w:val="126"/>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713304F"/>
    <w:multiLevelType w:val="multilevel"/>
    <w:tmpl w:val="90D0F50E"/>
    <w:lvl w:ilvl="0">
      <w:numFmt w:val="bullet"/>
      <w:lvlText w:val="■"/>
      <w:lvlJc w:val="left"/>
      <w:pPr>
        <w:ind w:left="720" w:hanging="360"/>
      </w:pPr>
      <w:rPr>
        <w:rFonts w:ascii="Arial" w:hAnsi="Arial" w:hint="default"/>
        <w:color w:val="00A39E"/>
        <w:spacing w:val="1"/>
        <w:w w:val="126"/>
        <w:sz w:val="14"/>
        <w:szCs w:val="14"/>
      </w:rPr>
    </w:lvl>
    <w:lvl w:ilvl="1">
      <w:start w:val="1"/>
      <w:numFmt w:val="bullet"/>
      <w:lvlText w:val="–"/>
      <w:lvlJc w:val="left"/>
      <w:pPr>
        <w:ind w:left="1440" w:hanging="360"/>
      </w:pPr>
      <w:rPr>
        <w:rFonts w:ascii="Courier New" w:hAnsi="Courier New" w:hint="default"/>
        <w:color w:val="65CAC8" w:themeColor="accent3" w:themeShade="BF"/>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7360AA6"/>
    <w:multiLevelType w:val="multilevel"/>
    <w:tmpl w:val="B57CD350"/>
    <w:lvl w:ilvl="0">
      <w:numFmt w:val="bullet"/>
      <w:lvlText w:val="■"/>
      <w:lvlJc w:val="left"/>
      <w:pPr>
        <w:ind w:left="720" w:hanging="360"/>
      </w:pPr>
      <w:rPr>
        <w:rFonts w:ascii="Arial" w:hAnsi="Arial" w:hint="default"/>
        <w:color w:val="00A39E"/>
        <w:spacing w:val="1"/>
        <w:w w:val="126"/>
        <w:sz w:val="14"/>
        <w:szCs w:val="14"/>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A7E5A2C"/>
    <w:multiLevelType w:val="hybridMultilevel"/>
    <w:tmpl w:val="F6E8DB3E"/>
    <w:lvl w:ilvl="0" w:tplc="01660902">
      <w:start w:val="1"/>
      <w:numFmt w:val="bullet"/>
      <w:lvlText w:val=""/>
      <w:lvlJc w:val="left"/>
      <w:pPr>
        <w:ind w:left="720" w:hanging="360"/>
      </w:pPr>
      <w:rPr>
        <w:rFonts w:ascii="Symbol" w:hAnsi="Symbol" w:hint="default"/>
        <w:color w:val="auto"/>
      </w:rPr>
    </w:lvl>
    <w:lvl w:ilvl="1" w:tplc="0CCA10D2" w:tentative="1">
      <w:start w:val="1"/>
      <w:numFmt w:val="bullet"/>
      <w:lvlText w:val="o"/>
      <w:lvlJc w:val="left"/>
      <w:pPr>
        <w:ind w:left="1440" w:hanging="360"/>
      </w:pPr>
      <w:rPr>
        <w:rFonts w:ascii="Courier New" w:hAnsi="Courier New" w:cs="Courier New" w:hint="default"/>
      </w:rPr>
    </w:lvl>
    <w:lvl w:ilvl="2" w:tplc="B87CDB76" w:tentative="1">
      <w:start w:val="1"/>
      <w:numFmt w:val="bullet"/>
      <w:lvlText w:val=""/>
      <w:lvlJc w:val="left"/>
      <w:pPr>
        <w:ind w:left="2160" w:hanging="360"/>
      </w:pPr>
      <w:rPr>
        <w:rFonts w:ascii="Wingdings" w:hAnsi="Wingdings" w:hint="default"/>
      </w:rPr>
    </w:lvl>
    <w:lvl w:ilvl="3" w:tplc="F61AFCD0" w:tentative="1">
      <w:start w:val="1"/>
      <w:numFmt w:val="bullet"/>
      <w:lvlText w:val=""/>
      <w:lvlJc w:val="left"/>
      <w:pPr>
        <w:ind w:left="2880" w:hanging="360"/>
      </w:pPr>
      <w:rPr>
        <w:rFonts w:ascii="Symbol" w:hAnsi="Symbol" w:hint="default"/>
      </w:rPr>
    </w:lvl>
    <w:lvl w:ilvl="4" w:tplc="57A6DC06" w:tentative="1">
      <w:start w:val="1"/>
      <w:numFmt w:val="bullet"/>
      <w:lvlText w:val="o"/>
      <w:lvlJc w:val="left"/>
      <w:pPr>
        <w:ind w:left="3600" w:hanging="360"/>
      </w:pPr>
      <w:rPr>
        <w:rFonts w:ascii="Courier New" w:hAnsi="Courier New" w:cs="Courier New" w:hint="default"/>
      </w:rPr>
    </w:lvl>
    <w:lvl w:ilvl="5" w:tplc="92843DA8" w:tentative="1">
      <w:start w:val="1"/>
      <w:numFmt w:val="bullet"/>
      <w:lvlText w:val=""/>
      <w:lvlJc w:val="left"/>
      <w:pPr>
        <w:ind w:left="4320" w:hanging="360"/>
      </w:pPr>
      <w:rPr>
        <w:rFonts w:ascii="Wingdings" w:hAnsi="Wingdings" w:hint="default"/>
      </w:rPr>
    </w:lvl>
    <w:lvl w:ilvl="6" w:tplc="C750DC56" w:tentative="1">
      <w:start w:val="1"/>
      <w:numFmt w:val="bullet"/>
      <w:lvlText w:val=""/>
      <w:lvlJc w:val="left"/>
      <w:pPr>
        <w:ind w:left="5040" w:hanging="360"/>
      </w:pPr>
      <w:rPr>
        <w:rFonts w:ascii="Symbol" w:hAnsi="Symbol" w:hint="default"/>
      </w:rPr>
    </w:lvl>
    <w:lvl w:ilvl="7" w:tplc="8820CB66" w:tentative="1">
      <w:start w:val="1"/>
      <w:numFmt w:val="bullet"/>
      <w:lvlText w:val="o"/>
      <w:lvlJc w:val="left"/>
      <w:pPr>
        <w:ind w:left="5760" w:hanging="360"/>
      </w:pPr>
      <w:rPr>
        <w:rFonts w:ascii="Courier New" w:hAnsi="Courier New" w:cs="Courier New" w:hint="default"/>
      </w:rPr>
    </w:lvl>
    <w:lvl w:ilvl="8" w:tplc="BB203664" w:tentative="1">
      <w:start w:val="1"/>
      <w:numFmt w:val="bullet"/>
      <w:lvlText w:val=""/>
      <w:lvlJc w:val="left"/>
      <w:pPr>
        <w:ind w:left="6480" w:hanging="360"/>
      </w:pPr>
      <w:rPr>
        <w:rFonts w:ascii="Wingdings" w:hAnsi="Wingdings" w:hint="default"/>
      </w:rPr>
    </w:lvl>
  </w:abstractNum>
  <w:abstractNum w:abstractNumId="24" w15:restartNumberingAfterBreak="0">
    <w:nsid w:val="600A2FE8"/>
    <w:multiLevelType w:val="multilevel"/>
    <w:tmpl w:val="DD3E51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60B0933"/>
    <w:multiLevelType w:val="multilevel"/>
    <w:tmpl w:val="EE8E79CE"/>
    <w:lvl w:ilvl="0">
      <w:numFmt w:val="bullet"/>
      <w:lvlText w:val="■"/>
      <w:lvlJc w:val="left"/>
      <w:pPr>
        <w:ind w:left="720" w:hanging="360"/>
      </w:pPr>
      <w:rPr>
        <w:rFonts w:ascii="Arial" w:hAnsi="Arial" w:hint="default"/>
        <w:color w:val="00A39E"/>
        <w:spacing w:val="1"/>
        <w:w w:val="126"/>
        <w:sz w:val="14"/>
        <w:szCs w:val="14"/>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EB01E3C"/>
    <w:multiLevelType w:val="hybridMultilevel"/>
    <w:tmpl w:val="5540D646"/>
    <w:lvl w:ilvl="0" w:tplc="89E0F392">
      <w:start w:val="1"/>
      <w:numFmt w:val="bullet"/>
      <w:lvlText w:val=""/>
      <w:lvlJc w:val="left"/>
      <w:pPr>
        <w:ind w:left="720" w:hanging="360"/>
      </w:pPr>
      <w:rPr>
        <w:rFonts w:ascii="Symbol" w:hAnsi="Symbol" w:hint="default"/>
      </w:rPr>
    </w:lvl>
    <w:lvl w:ilvl="1" w:tplc="E10620F6" w:tentative="1">
      <w:start w:val="1"/>
      <w:numFmt w:val="bullet"/>
      <w:lvlText w:val="o"/>
      <w:lvlJc w:val="left"/>
      <w:pPr>
        <w:ind w:left="1440" w:hanging="360"/>
      </w:pPr>
      <w:rPr>
        <w:rFonts w:ascii="Courier New" w:hAnsi="Courier New" w:cs="Courier New" w:hint="default"/>
      </w:rPr>
    </w:lvl>
    <w:lvl w:ilvl="2" w:tplc="DBD8A5D0" w:tentative="1">
      <w:start w:val="1"/>
      <w:numFmt w:val="bullet"/>
      <w:lvlText w:val=""/>
      <w:lvlJc w:val="left"/>
      <w:pPr>
        <w:ind w:left="2160" w:hanging="360"/>
      </w:pPr>
      <w:rPr>
        <w:rFonts w:ascii="Wingdings" w:hAnsi="Wingdings" w:hint="default"/>
      </w:rPr>
    </w:lvl>
    <w:lvl w:ilvl="3" w:tplc="B1B88B7C" w:tentative="1">
      <w:start w:val="1"/>
      <w:numFmt w:val="bullet"/>
      <w:lvlText w:val=""/>
      <w:lvlJc w:val="left"/>
      <w:pPr>
        <w:ind w:left="2880" w:hanging="360"/>
      </w:pPr>
      <w:rPr>
        <w:rFonts w:ascii="Symbol" w:hAnsi="Symbol" w:hint="default"/>
      </w:rPr>
    </w:lvl>
    <w:lvl w:ilvl="4" w:tplc="86447774" w:tentative="1">
      <w:start w:val="1"/>
      <w:numFmt w:val="bullet"/>
      <w:lvlText w:val="o"/>
      <w:lvlJc w:val="left"/>
      <w:pPr>
        <w:ind w:left="3600" w:hanging="360"/>
      </w:pPr>
      <w:rPr>
        <w:rFonts w:ascii="Courier New" w:hAnsi="Courier New" w:cs="Courier New" w:hint="default"/>
      </w:rPr>
    </w:lvl>
    <w:lvl w:ilvl="5" w:tplc="0204C65E" w:tentative="1">
      <w:start w:val="1"/>
      <w:numFmt w:val="bullet"/>
      <w:lvlText w:val=""/>
      <w:lvlJc w:val="left"/>
      <w:pPr>
        <w:ind w:left="4320" w:hanging="360"/>
      </w:pPr>
      <w:rPr>
        <w:rFonts w:ascii="Wingdings" w:hAnsi="Wingdings" w:hint="default"/>
      </w:rPr>
    </w:lvl>
    <w:lvl w:ilvl="6" w:tplc="97229C96" w:tentative="1">
      <w:start w:val="1"/>
      <w:numFmt w:val="bullet"/>
      <w:lvlText w:val=""/>
      <w:lvlJc w:val="left"/>
      <w:pPr>
        <w:ind w:left="5040" w:hanging="360"/>
      </w:pPr>
      <w:rPr>
        <w:rFonts w:ascii="Symbol" w:hAnsi="Symbol" w:hint="default"/>
      </w:rPr>
    </w:lvl>
    <w:lvl w:ilvl="7" w:tplc="A630EC54" w:tentative="1">
      <w:start w:val="1"/>
      <w:numFmt w:val="bullet"/>
      <w:lvlText w:val="o"/>
      <w:lvlJc w:val="left"/>
      <w:pPr>
        <w:ind w:left="5760" w:hanging="360"/>
      </w:pPr>
      <w:rPr>
        <w:rFonts w:ascii="Courier New" w:hAnsi="Courier New" w:cs="Courier New" w:hint="default"/>
      </w:rPr>
    </w:lvl>
    <w:lvl w:ilvl="8" w:tplc="18CCA3D4" w:tentative="1">
      <w:start w:val="1"/>
      <w:numFmt w:val="bullet"/>
      <w:lvlText w:val=""/>
      <w:lvlJc w:val="left"/>
      <w:pPr>
        <w:ind w:left="6480" w:hanging="360"/>
      </w:pPr>
      <w:rPr>
        <w:rFonts w:ascii="Wingdings" w:hAnsi="Wingdings" w:hint="default"/>
      </w:rPr>
    </w:lvl>
  </w:abstractNum>
  <w:abstractNum w:abstractNumId="27" w15:restartNumberingAfterBreak="0">
    <w:nsid w:val="708A299C"/>
    <w:multiLevelType w:val="hybridMultilevel"/>
    <w:tmpl w:val="235ABA9A"/>
    <w:lvl w:ilvl="0" w:tplc="99B08D0E">
      <w:start w:val="1"/>
      <w:numFmt w:val="bullet"/>
      <w:lvlText w:val=""/>
      <w:lvlJc w:val="left"/>
      <w:pPr>
        <w:ind w:left="720" w:hanging="360"/>
      </w:pPr>
      <w:rPr>
        <w:rFonts w:ascii="Symbol" w:hAnsi="Symbol" w:hint="default"/>
      </w:rPr>
    </w:lvl>
    <w:lvl w:ilvl="1" w:tplc="F322FE88">
      <w:start w:val="1"/>
      <w:numFmt w:val="lowerLetter"/>
      <w:lvlText w:val="%2."/>
      <w:lvlJc w:val="left"/>
      <w:pPr>
        <w:ind w:left="1440" w:hanging="360"/>
      </w:pPr>
    </w:lvl>
    <w:lvl w:ilvl="2" w:tplc="3B6ADD0A">
      <w:start w:val="1"/>
      <w:numFmt w:val="lowerRoman"/>
      <w:lvlText w:val="%3."/>
      <w:lvlJc w:val="right"/>
      <w:pPr>
        <w:ind w:left="2160" w:hanging="180"/>
      </w:pPr>
    </w:lvl>
    <w:lvl w:ilvl="3" w:tplc="49BC0762">
      <w:start w:val="1"/>
      <w:numFmt w:val="decimal"/>
      <w:lvlText w:val="%4."/>
      <w:lvlJc w:val="left"/>
      <w:pPr>
        <w:ind w:left="2880" w:hanging="360"/>
      </w:pPr>
    </w:lvl>
    <w:lvl w:ilvl="4" w:tplc="8110C728">
      <w:start w:val="1"/>
      <w:numFmt w:val="lowerLetter"/>
      <w:lvlText w:val="%5."/>
      <w:lvlJc w:val="left"/>
      <w:pPr>
        <w:ind w:left="3600" w:hanging="360"/>
      </w:pPr>
    </w:lvl>
    <w:lvl w:ilvl="5" w:tplc="DF0688AC">
      <w:start w:val="1"/>
      <w:numFmt w:val="lowerRoman"/>
      <w:lvlText w:val="%6."/>
      <w:lvlJc w:val="right"/>
      <w:pPr>
        <w:ind w:left="4320" w:hanging="180"/>
      </w:pPr>
    </w:lvl>
    <w:lvl w:ilvl="6" w:tplc="C1BA998C">
      <w:start w:val="1"/>
      <w:numFmt w:val="decimal"/>
      <w:lvlText w:val="%7."/>
      <w:lvlJc w:val="left"/>
      <w:pPr>
        <w:ind w:left="5040" w:hanging="360"/>
      </w:pPr>
    </w:lvl>
    <w:lvl w:ilvl="7" w:tplc="11542A6A">
      <w:start w:val="1"/>
      <w:numFmt w:val="lowerLetter"/>
      <w:lvlText w:val="%8."/>
      <w:lvlJc w:val="left"/>
      <w:pPr>
        <w:ind w:left="5760" w:hanging="360"/>
      </w:pPr>
    </w:lvl>
    <w:lvl w:ilvl="8" w:tplc="87BCD940">
      <w:start w:val="1"/>
      <w:numFmt w:val="lowerRoman"/>
      <w:lvlText w:val="%9."/>
      <w:lvlJc w:val="right"/>
      <w:pPr>
        <w:ind w:left="6480" w:hanging="180"/>
      </w:pPr>
    </w:lvl>
  </w:abstractNum>
  <w:abstractNum w:abstractNumId="28" w15:restartNumberingAfterBreak="0">
    <w:nsid w:val="73107305"/>
    <w:multiLevelType w:val="multilevel"/>
    <w:tmpl w:val="5D9A3B7C"/>
    <w:styleLink w:val="BulletsList"/>
    <w:lvl w:ilvl="0">
      <w:start w:val="1"/>
      <w:numFmt w:val="bullet"/>
      <w:lvlText w:val=""/>
      <w:lvlJc w:val="left"/>
      <w:pPr>
        <w:tabs>
          <w:tab w:val="num" w:pos="284"/>
        </w:tabs>
        <w:ind w:left="284" w:firstLine="0"/>
      </w:pPr>
      <w:rPr>
        <w:rFonts w:ascii="Symbol" w:hAnsi="Symbol" w:hint="default"/>
      </w:rPr>
    </w:lvl>
    <w:lvl w:ilvl="1">
      <w:start w:val="1"/>
      <w:numFmt w:val="bullet"/>
      <w:lvlText w:val="–"/>
      <w:lvlJc w:val="left"/>
      <w:pPr>
        <w:tabs>
          <w:tab w:val="num" w:pos="568"/>
        </w:tabs>
        <w:ind w:left="568" w:firstLine="0"/>
      </w:pPr>
      <w:rPr>
        <w:rFonts w:ascii="Arial" w:hAnsi="Arial" w:hint="default"/>
      </w:rPr>
    </w:lvl>
    <w:lvl w:ilvl="2">
      <w:start w:val="1"/>
      <w:numFmt w:val="bullet"/>
      <w:lvlText w:val="»"/>
      <w:lvlJc w:val="left"/>
      <w:pPr>
        <w:tabs>
          <w:tab w:val="num" w:pos="852"/>
        </w:tabs>
        <w:ind w:left="852" w:firstLine="0"/>
      </w:pPr>
      <w:rPr>
        <w:rFonts w:ascii="Arial" w:hAnsi="Arial" w:hint="default"/>
      </w:rPr>
    </w:lvl>
    <w:lvl w:ilvl="3">
      <w:start w:val="1"/>
      <w:numFmt w:val="decimal"/>
      <w:lvlText w:val="(%4)"/>
      <w:lvlJc w:val="left"/>
      <w:pPr>
        <w:tabs>
          <w:tab w:val="num" w:pos="1136"/>
        </w:tabs>
        <w:ind w:left="1136" w:firstLine="0"/>
      </w:pPr>
      <w:rPr>
        <w:rFonts w:hint="default"/>
      </w:rPr>
    </w:lvl>
    <w:lvl w:ilvl="4">
      <w:start w:val="1"/>
      <w:numFmt w:val="lowerLetter"/>
      <w:lvlText w:val="(%5)"/>
      <w:lvlJc w:val="left"/>
      <w:pPr>
        <w:tabs>
          <w:tab w:val="num" w:pos="1420"/>
        </w:tabs>
        <w:ind w:left="1420" w:firstLine="0"/>
      </w:pPr>
      <w:rPr>
        <w:rFonts w:hint="default"/>
      </w:rPr>
    </w:lvl>
    <w:lvl w:ilvl="5">
      <w:start w:val="1"/>
      <w:numFmt w:val="lowerRoman"/>
      <w:lvlText w:val="(%6)"/>
      <w:lvlJc w:val="left"/>
      <w:pPr>
        <w:tabs>
          <w:tab w:val="num" w:pos="1704"/>
        </w:tabs>
        <w:ind w:left="1704" w:firstLine="0"/>
      </w:pPr>
      <w:rPr>
        <w:rFonts w:hint="default"/>
      </w:rPr>
    </w:lvl>
    <w:lvl w:ilvl="6">
      <w:start w:val="1"/>
      <w:numFmt w:val="decimal"/>
      <w:lvlText w:val="%7."/>
      <w:lvlJc w:val="left"/>
      <w:pPr>
        <w:tabs>
          <w:tab w:val="num" w:pos="1988"/>
        </w:tabs>
        <w:ind w:left="1988" w:firstLine="0"/>
      </w:pPr>
      <w:rPr>
        <w:rFonts w:hint="default"/>
      </w:rPr>
    </w:lvl>
    <w:lvl w:ilvl="7">
      <w:start w:val="1"/>
      <w:numFmt w:val="lowerLetter"/>
      <w:lvlText w:val="%8."/>
      <w:lvlJc w:val="left"/>
      <w:pPr>
        <w:tabs>
          <w:tab w:val="num" w:pos="2272"/>
        </w:tabs>
        <w:ind w:left="2272" w:firstLine="0"/>
      </w:pPr>
      <w:rPr>
        <w:rFonts w:hint="default"/>
      </w:rPr>
    </w:lvl>
    <w:lvl w:ilvl="8">
      <w:start w:val="1"/>
      <w:numFmt w:val="lowerRoman"/>
      <w:lvlText w:val="%9."/>
      <w:lvlJc w:val="left"/>
      <w:pPr>
        <w:tabs>
          <w:tab w:val="num" w:pos="2556"/>
        </w:tabs>
        <w:ind w:left="2556" w:firstLine="0"/>
      </w:pPr>
      <w:rPr>
        <w:rFonts w:hint="default"/>
      </w:rPr>
    </w:lvl>
  </w:abstractNum>
  <w:num w:numId="1" w16cid:durableId="1975256365">
    <w:abstractNumId w:val="28"/>
  </w:num>
  <w:num w:numId="2" w16cid:durableId="897058088">
    <w:abstractNumId w:val="10"/>
  </w:num>
  <w:num w:numId="3" w16cid:durableId="726417126">
    <w:abstractNumId w:val="16"/>
  </w:num>
  <w:num w:numId="4" w16cid:durableId="1314525174">
    <w:abstractNumId w:val="13"/>
  </w:num>
  <w:num w:numId="5" w16cid:durableId="1868255047">
    <w:abstractNumId w:val="7"/>
  </w:num>
  <w:num w:numId="6" w16cid:durableId="920990930">
    <w:abstractNumId w:val="11"/>
  </w:num>
  <w:num w:numId="7" w16cid:durableId="913053927">
    <w:abstractNumId w:val="3"/>
  </w:num>
  <w:num w:numId="8" w16cid:durableId="21249582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3140339">
    <w:abstractNumId w:val="1"/>
  </w:num>
  <w:num w:numId="10" w16cid:durableId="522592602">
    <w:abstractNumId w:val="26"/>
  </w:num>
  <w:num w:numId="11" w16cid:durableId="1134368109">
    <w:abstractNumId w:val="2"/>
  </w:num>
  <w:num w:numId="12" w16cid:durableId="1615331492">
    <w:abstractNumId w:val="14"/>
  </w:num>
  <w:num w:numId="13" w16cid:durableId="1904832177">
    <w:abstractNumId w:val="27"/>
  </w:num>
  <w:num w:numId="14" w16cid:durableId="1143545650">
    <w:abstractNumId w:val="18"/>
  </w:num>
  <w:num w:numId="15" w16cid:durableId="1453788869">
    <w:abstractNumId w:val="6"/>
  </w:num>
  <w:num w:numId="16" w16cid:durableId="771171314">
    <w:abstractNumId w:val="23"/>
  </w:num>
  <w:num w:numId="17" w16cid:durableId="734741241">
    <w:abstractNumId w:val="4"/>
  </w:num>
  <w:num w:numId="18" w16cid:durableId="854731169">
    <w:abstractNumId w:val="12"/>
  </w:num>
  <w:num w:numId="19" w16cid:durableId="1553031142">
    <w:abstractNumId w:val="5"/>
  </w:num>
  <w:num w:numId="20" w16cid:durableId="1298072812">
    <w:abstractNumId w:val="20"/>
  </w:num>
  <w:num w:numId="21" w16cid:durableId="302471649">
    <w:abstractNumId w:val="15"/>
  </w:num>
  <w:num w:numId="22" w16cid:durableId="18898748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9486581">
    <w:abstractNumId w:val="0"/>
  </w:num>
  <w:num w:numId="24" w16cid:durableId="1135876960">
    <w:abstractNumId w:val="22"/>
  </w:num>
  <w:num w:numId="25" w16cid:durableId="493107026">
    <w:abstractNumId w:val="8"/>
  </w:num>
  <w:num w:numId="26" w16cid:durableId="156120844">
    <w:abstractNumId w:val="25"/>
  </w:num>
  <w:num w:numId="27" w16cid:durableId="1976374584">
    <w:abstractNumId w:val="21"/>
  </w:num>
  <w:num w:numId="28" w16cid:durableId="1211458664">
    <w:abstractNumId w:val="9"/>
  </w:num>
  <w:num w:numId="29" w16cid:durableId="1588689520">
    <w:abstractNumId w:val="17"/>
  </w:num>
  <w:num w:numId="30" w16cid:durableId="2911814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239526">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defaultTableStyle w:val="DSSDatatablestyle"/>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88B"/>
    <w:rsid w:val="0000088A"/>
    <w:rsid w:val="00004E89"/>
    <w:rsid w:val="00004EC4"/>
    <w:rsid w:val="000105A5"/>
    <w:rsid w:val="0001116F"/>
    <w:rsid w:val="000140B8"/>
    <w:rsid w:val="000153A5"/>
    <w:rsid w:val="00020EEE"/>
    <w:rsid w:val="00021DFE"/>
    <w:rsid w:val="00026248"/>
    <w:rsid w:val="00026B53"/>
    <w:rsid w:val="00030F67"/>
    <w:rsid w:val="00035573"/>
    <w:rsid w:val="00036218"/>
    <w:rsid w:val="00041D69"/>
    <w:rsid w:val="00050990"/>
    <w:rsid w:val="000523F9"/>
    <w:rsid w:val="00053F9C"/>
    <w:rsid w:val="000545CF"/>
    <w:rsid w:val="00055E06"/>
    <w:rsid w:val="000579AA"/>
    <w:rsid w:val="00063FAA"/>
    <w:rsid w:val="00064140"/>
    <w:rsid w:val="000677A7"/>
    <w:rsid w:val="00081610"/>
    <w:rsid w:val="00082342"/>
    <w:rsid w:val="0008447A"/>
    <w:rsid w:val="00085E52"/>
    <w:rsid w:val="00085FDD"/>
    <w:rsid w:val="00096F30"/>
    <w:rsid w:val="000974C1"/>
    <w:rsid w:val="000A0D4A"/>
    <w:rsid w:val="000A1591"/>
    <w:rsid w:val="000A332D"/>
    <w:rsid w:val="000A36EB"/>
    <w:rsid w:val="000B0973"/>
    <w:rsid w:val="000C48E2"/>
    <w:rsid w:val="000C4A0F"/>
    <w:rsid w:val="000C6654"/>
    <w:rsid w:val="000C76AE"/>
    <w:rsid w:val="000C7A23"/>
    <w:rsid w:val="000D000D"/>
    <w:rsid w:val="000D0FFF"/>
    <w:rsid w:val="000D10D3"/>
    <w:rsid w:val="000D369C"/>
    <w:rsid w:val="000D3EF3"/>
    <w:rsid w:val="000D5965"/>
    <w:rsid w:val="000E03B2"/>
    <w:rsid w:val="000E0A95"/>
    <w:rsid w:val="000E551C"/>
    <w:rsid w:val="000E55FE"/>
    <w:rsid w:val="000E7129"/>
    <w:rsid w:val="000F2229"/>
    <w:rsid w:val="000F4D4C"/>
    <w:rsid w:val="000F7266"/>
    <w:rsid w:val="000F75FC"/>
    <w:rsid w:val="00101919"/>
    <w:rsid w:val="001067A8"/>
    <w:rsid w:val="001111B2"/>
    <w:rsid w:val="00111769"/>
    <w:rsid w:val="00111876"/>
    <w:rsid w:val="00113DEF"/>
    <w:rsid w:val="001161C1"/>
    <w:rsid w:val="00116864"/>
    <w:rsid w:val="00122134"/>
    <w:rsid w:val="001221AD"/>
    <w:rsid w:val="00123A43"/>
    <w:rsid w:val="00125A3E"/>
    <w:rsid w:val="001271DA"/>
    <w:rsid w:val="001300E2"/>
    <w:rsid w:val="00130E6D"/>
    <w:rsid w:val="0013399D"/>
    <w:rsid w:val="001359B8"/>
    <w:rsid w:val="00137023"/>
    <w:rsid w:val="00140CBC"/>
    <w:rsid w:val="00143BFE"/>
    <w:rsid w:val="001456A5"/>
    <w:rsid w:val="00146672"/>
    <w:rsid w:val="001478C7"/>
    <w:rsid w:val="00147EA7"/>
    <w:rsid w:val="001510D7"/>
    <w:rsid w:val="001521BF"/>
    <w:rsid w:val="001534EF"/>
    <w:rsid w:val="0015424A"/>
    <w:rsid w:val="001561F4"/>
    <w:rsid w:val="00160863"/>
    <w:rsid w:val="001608B4"/>
    <w:rsid w:val="00161696"/>
    <w:rsid w:val="001622C8"/>
    <w:rsid w:val="00162407"/>
    <w:rsid w:val="0016699D"/>
    <w:rsid w:val="00166DEC"/>
    <w:rsid w:val="001718B2"/>
    <w:rsid w:val="00171CE7"/>
    <w:rsid w:val="00175AA2"/>
    <w:rsid w:val="00176A41"/>
    <w:rsid w:val="00177089"/>
    <w:rsid w:val="00177B16"/>
    <w:rsid w:val="00183214"/>
    <w:rsid w:val="00185BE3"/>
    <w:rsid w:val="00187423"/>
    <w:rsid w:val="00190CE0"/>
    <w:rsid w:val="0019204A"/>
    <w:rsid w:val="001925BE"/>
    <w:rsid w:val="00192A7D"/>
    <w:rsid w:val="001939E2"/>
    <w:rsid w:val="00195CA4"/>
    <w:rsid w:val="001975FC"/>
    <w:rsid w:val="001A0C6D"/>
    <w:rsid w:val="001A1349"/>
    <w:rsid w:val="001A25CC"/>
    <w:rsid w:val="001A48F5"/>
    <w:rsid w:val="001A5888"/>
    <w:rsid w:val="001A7461"/>
    <w:rsid w:val="001A7D1D"/>
    <w:rsid w:val="001B051A"/>
    <w:rsid w:val="001B185A"/>
    <w:rsid w:val="001B18CF"/>
    <w:rsid w:val="001B4378"/>
    <w:rsid w:val="001C1272"/>
    <w:rsid w:val="001C18B2"/>
    <w:rsid w:val="001C2422"/>
    <w:rsid w:val="001D0F6D"/>
    <w:rsid w:val="001D393F"/>
    <w:rsid w:val="001D566A"/>
    <w:rsid w:val="001D6DDD"/>
    <w:rsid w:val="001D73AD"/>
    <w:rsid w:val="001E2D3B"/>
    <w:rsid w:val="001E42DA"/>
    <w:rsid w:val="001E4956"/>
    <w:rsid w:val="001E630D"/>
    <w:rsid w:val="001F0AED"/>
    <w:rsid w:val="001F3A21"/>
    <w:rsid w:val="001F4126"/>
    <w:rsid w:val="001F481F"/>
    <w:rsid w:val="00200EA1"/>
    <w:rsid w:val="00203F5C"/>
    <w:rsid w:val="002103DD"/>
    <w:rsid w:val="00222176"/>
    <w:rsid w:val="0022364D"/>
    <w:rsid w:val="00225765"/>
    <w:rsid w:val="00225FBD"/>
    <w:rsid w:val="0022799F"/>
    <w:rsid w:val="00230671"/>
    <w:rsid w:val="00230E55"/>
    <w:rsid w:val="00231536"/>
    <w:rsid w:val="00231653"/>
    <w:rsid w:val="00231A53"/>
    <w:rsid w:val="00232416"/>
    <w:rsid w:val="00233C3B"/>
    <w:rsid w:val="002346B5"/>
    <w:rsid w:val="0023630E"/>
    <w:rsid w:val="0024094E"/>
    <w:rsid w:val="00240A6E"/>
    <w:rsid w:val="00240F09"/>
    <w:rsid w:val="00242C53"/>
    <w:rsid w:val="002479C3"/>
    <w:rsid w:val="00250D8B"/>
    <w:rsid w:val="00253356"/>
    <w:rsid w:val="00253716"/>
    <w:rsid w:val="00254441"/>
    <w:rsid w:val="00257A0B"/>
    <w:rsid w:val="00260114"/>
    <w:rsid w:val="002608B6"/>
    <w:rsid w:val="00260BE0"/>
    <w:rsid w:val="002618F8"/>
    <w:rsid w:val="002624E8"/>
    <w:rsid w:val="00265FB0"/>
    <w:rsid w:val="00274081"/>
    <w:rsid w:val="00275EA9"/>
    <w:rsid w:val="00277FE4"/>
    <w:rsid w:val="00281B4D"/>
    <w:rsid w:val="00281DFB"/>
    <w:rsid w:val="00282835"/>
    <w:rsid w:val="00284BAA"/>
    <w:rsid w:val="00292AB1"/>
    <w:rsid w:val="002962EE"/>
    <w:rsid w:val="002A456D"/>
    <w:rsid w:val="002A4C13"/>
    <w:rsid w:val="002A5B00"/>
    <w:rsid w:val="002A7072"/>
    <w:rsid w:val="002B1359"/>
    <w:rsid w:val="002B2929"/>
    <w:rsid w:val="002B3CC6"/>
    <w:rsid w:val="002B47A6"/>
    <w:rsid w:val="002B7002"/>
    <w:rsid w:val="002C512C"/>
    <w:rsid w:val="002C6227"/>
    <w:rsid w:val="002D1DA8"/>
    <w:rsid w:val="002E47A9"/>
    <w:rsid w:val="002E56CC"/>
    <w:rsid w:val="002E6C5C"/>
    <w:rsid w:val="002F05FD"/>
    <w:rsid w:val="002F2790"/>
    <w:rsid w:val="002F5560"/>
    <w:rsid w:val="002F62DE"/>
    <w:rsid w:val="002F6869"/>
    <w:rsid w:val="0030013E"/>
    <w:rsid w:val="0030075C"/>
    <w:rsid w:val="003038B5"/>
    <w:rsid w:val="003052AD"/>
    <w:rsid w:val="003059C0"/>
    <w:rsid w:val="0030619D"/>
    <w:rsid w:val="00307CB6"/>
    <w:rsid w:val="00311FC7"/>
    <w:rsid w:val="00315A53"/>
    <w:rsid w:val="003160AE"/>
    <w:rsid w:val="0032089F"/>
    <w:rsid w:val="00322D24"/>
    <w:rsid w:val="00335A14"/>
    <w:rsid w:val="00337926"/>
    <w:rsid w:val="0034107B"/>
    <w:rsid w:val="0034233C"/>
    <w:rsid w:val="00343A1A"/>
    <w:rsid w:val="00347FE0"/>
    <w:rsid w:val="00350DA4"/>
    <w:rsid w:val="00353919"/>
    <w:rsid w:val="003572F0"/>
    <w:rsid w:val="003640AC"/>
    <w:rsid w:val="00364E96"/>
    <w:rsid w:val="00366170"/>
    <w:rsid w:val="003673CE"/>
    <w:rsid w:val="00367A98"/>
    <w:rsid w:val="0037034B"/>
    <w:rsid w:val="00376EB4"/>
    <w:rsid w:val="003774CB"/>
    <w:rsid w:val="0038044C"/>
    <w:rsid w:val="00380967"/>
    <w:rsid w:val="00384C25"/>
    <w:rsid w:val="00386372"/>
    <w:rsid w:val="00387A9C"/>
    <w:rsid w:val="003933AF"/>
    <w:rsid w:val="00394E96"/>
    <w:rsid w:val="00394FB8"/>
    <w:rsid w:val="003967B0"/>
    <w:rsid w:val="003A0048"/>
    <w:rsid w:val="003A18B0"/>
    <w:rsid w:val="003A2F04"/>
    <w:rsid w:val="003A70C3"/>
    <w:rsid w:val="003A7580"/>
    <w:rsid w:val="003B0D19"/>
    <w:rsid w:val="003B2BB8"/>
    <w:rsid w:val="003B36F8"/>
    <w:rsid w:val="003B653E"/>
    <w:rsid w:val="003B7424"/>
    <w:rsid w:val="003C4ABE"/>
    <w:rsid w:val="003C5D1D"/>
    <w:rsid w:val="003C5F4F"/>
    <w:rsid w:val="003C7EE8"/>
    <w:rsid w:val="003D34FF"/>
    <w:rsid w:val="003D626D"/>
    <w:rsid w:val="003E0A57"/>
    <w:rsid w:val="003E2B62"/>
    <w:rsid w:val="003E6F7D"/>
    <w:rsid w:val="003E7D07"/>
    <w:rsid w:val="00400E0E"/>
    <w:rsid w:val="00403055"/>
    <w:rsid w:val="0040419A"/>
    <w:rsid w:val="00415B6C"/>
    <w:rsid w:val="004178CA"/>
    <w:rsid w:val="00420C2E"/>
    <w:rsid w:val="004219B5"/>
    <w:rsid w:val="00423C08"/>
    <w:rsid w:val="004243F2"/>
    <w:rsid w:val="0042466D"/>
    <w:rsid w:val="00425D91"/>
    <w:rsid w:val="00426299"/>
    <w:rsid w:val="0042666E"/>
    <w:rsid w:val="0042676C"/>
    <w:rsid w:val="004274D5"/>
    <w:rsid w:val="00431002"/>
    <w:rsid w:val="00431277"/>
    <w:rsid w:val="004354E6"/>
    <w:rsid w:val="00440CB8"/>
    <w:rsid w:val="0044332A"/>
    <w:rsid w:val="00443AE5"/>
    <w:rsid w:val="00443F8E"/>
    <w:rsid w:val="00444CFB"/>
    <w:rsid w:val="00445029"/>
    <w:rsid w:val="00450DE1"/>
    <w:rsid w:val="004548BD"/>
    <w:rsid w:val="00455F30"/>
    <w:rsid w:val="004613B5"/>
    <w:rsid w:val="00462A01"/>
    <w:rsid w:val="0046349E"/>
    <w:rsid w:val="00465C1E"/>
    <w:rsid w:val="00465D30"/>
    <w:rsid w:val="00466F1F"/>
    <w:rsid w:val="004706BD"/>
    <w:rsid w:val="00470F75"/>
    <w:rsid w:val="00471456"/>
    <w:rsid w:val="0047261D"/>
    <w:rsid w:val="00482DF2"/>
    <w:rsid w:val="00483104"/>
    <w:rsid w:val="0048735C"/>
    <w:rsid w:val="00491653"/>
    <w:rsid w:val="004A2151"/>
    <w:rsid w:val="004A2697"/>
    <w:rsid w:val="004A4F14"/>
    <w:rsid w:val="004A5BEA"/>
    <w:rsid w:val="004B3A04"/>
    <w:rsid w:val="004B54CA"/>
    <w:rsid w:val="004C2B8C"/>
    <w:rsid w:val="004C61FC"/>
    <w:rsid w:val="004D1A30"/>
    <w:rsid w:val="004D35DA"/>
    <w:rsid w:val="004D5E02"/>
    <w:rsid w:val="004E15CA"/>
    <w:rsid w:val="004E1EDF"/>
    <w:rsid w:val="004E4885"/>
    <w:rsid w:val="004E5CBF"/>
    <w:rsid w:val="004F0613"/>
    <w:rsid w:val="004F0864"/>
    <w:rsid w:val="004F09F5"/>
    <w:rsid w:val="004F0D2C"/>
    <w:rsid w:val="004F2BA7"/>
    <w:rsid w:val="004F36D3"/>
    <w:rsid w:val="004F3735"/>
    <w:rsid w:val="004F3F90"/>
    <w:rsid w:val="004F77F4"/>
    <w:rsid w:val="00503640"/>
    <w:rsid w:val="005040DE"/>
    <w:rsid w:val="00506C49"/>
    <w:rsid w:val="005072B0"/>
    <w:rsid w:val="00511658"/>
    <w:rsid w:val="0051232F"/>
    <w:rsid w:val="00513D2D"/>
    <w:rsid w:val="00514BDE"/>
    <w:rsid w:val="00515ED5"/>
    <w:rsid w:val="00517AE4"/>
    <w:rsid w:val="005206B3"/>
    <w:rsid w:val="005261E6"/>
    <w:rsid w:val="005267D2"/>
    <w:rsid w:val="00527C2D"/>
    <w:rsid w:val="005308B9"/>
    <w:rsid w:val="005312DA"/>
    <w:rsid w:val="00533445"/>
    <w:rsid w:val="005358B5"/>
    <w:rsid w:val="0053598B"/>
    <w:rsid w:val="005373DB"/>
    <w:rsid w:val="00541968"/>
    <w:rsid w:val="00543386"/>
    <w:rsid w:val="005438EF"/>
    <w:rsid w:val="005453F1"/>
    <w:rsid w:val="0054557F"/>
    <w:rsid w:val="005457BA"/>
    <w:rsid w:val="00546B6D"/>
    <w:rsid w:val="0054713E"/>
    <w:rsid w:val="005512FC"/>
    <w:rsid w:val="0055179B"/>
    <w:rsid w:val="00551D2B"/>
    <w:rsid w:val="005540B9"/>
    <w:rsid w:val="005543A8"/>
    <w:rsid w:val="00555FF1"/>
    <w:rsid w:val="00557353"/>
    <w:rsid w:val="00565258"/>
    <w:rsid w:val="00567053"/>
    <w:rsid w:val="00567BD3"/>
    <w:rsid w:val="0057053A"/>
    <w:rsid w:val="00572F49"/>
    <w:rsid w:val="00573E18"/>
    <w:rsid w:val="00574FAC"/>
    <w:rsid w:val="00577A3D"/>
    <w:rsid w:val="00577C1E"/>
    <w:rsid w:val="00584EFB"/>
    <w:rsid w:val="00584FC1"/>
    <w:rsid w:val="00586246"/>
    <w:rsid w:val="0058745A"/>
    <w:rsid w:val="005877DC"/>
    <w:rsid w:val="005917C9"/>
    <w:rsid w:val="005930E2"/>
    <w:rsid w:val="00593223"/>
    <w:rsid w:val="00595E1A"/>
    <w:rsid w:val="00597852"/>
    <w:rsid w:val="005A05DE"/>
    <w:rsid w:val="005A2AFD"/>
    <w:rsid w:val="005A3484"/>
    <w:rsid w:val="005B06DE"/>
    <w:rsid w:val="005B0CF7"/>
    <w:rsid w:val="005B2D41"/>
    <w:rsid w:val="005B49DB"/>
    <w:rsid w:val="005B53FC"/>
    <w:rsid w:val="005C2128"/>
    <w:rsid w:val="005C286B"/>
    <w:rsid w:val="005C30ED"/>
    <w:rsid w:val="005C3AA9"/>
    <w:rsid w:val="005C5042"/>
    <w:rsid w:val="005C5093"/>
    <w:rsid w:val="005C63E8"/>
    <w:rsid w:val="005C6D6E"/>
    <w:rsid w:val="005D4A14"/>
    <w:rsid w:val="005D53F8"/>
    <w:rsid w:val="005D6069"/>
    <w:rsid w:val="005E4E48"/>
    <w:rsid w:val="005E57D0"/>
    <w:rsid w:val="005E7B10"/>
    <w:rsid w:val="005F2041"/>
    <w:rsid w:val="005F34F9"/>
    <w:rsid w:val="005F49E8"/>
    <w:rsid w:val="005F4A62"/>
    <w:rsid w:val="00600105"/>
    <w:rsid w:val="00600FA2"/>
    <w:rsid w:val="00602666"/>
    <w:rsid w:val="0060485B"/>
    <w:rsid w:val="00607A85"/>
    <w:rsid w:val="006100A7"/>
    <w:rsid w:val="00611556"/>
    <w:rsid w:val="00612CAC"/>
    <w:rsid w:val="0061319D"/>
    <w:rsid w:val="00614697"/>
    <w:rsid w:val="00617CBC"/>
    <w:rsid w:val="00620A40"/>
    <w:rsid w:val="0062178D"/>
    <w:rsid w:val="0062346D"/>
    <w:rsid w:val="00623ACE"/>
    <w:rsid w:val="00624731"/>
    <w:rsid w:val="00630012"/>
    <w:rsid w:val="00631A2C"/>
    <w:rsid w:val="00632677"/>
    <w:rsid w:val="0064184F"/>
    <w:rsid w:val="006431E3"/>
    <w:rsid w:val="006432EB"/>
    <w:rsid w:val="00644184"/>
    <w:rsid w:val="0064482A"/>
    <w:rsid w:val="00650DB7"/>
    <w:rsid w:val="0065185D"/>
    <w:rsid w:val="0065188A"/>
    <w:rsid w:val="00651ED7"/>
    <w:rsid w:val="00651F39"/>
    <w:rsid w:val="00653270"/>
    <w:rsid w:val="0065375E"/>
    <w:rsid w:val="00653775"/>
    <w:rsid w:val="00656956"/>
    <w:rsid w:val="00660F67"/>
    <w:rsid w:val="006623D3"/>
    <w:rsid w:val="00663913"/>
    <w:rsid w:val="00664840"/>
    <w:rsid w:val="00665814"/>
    <w:rsid w:val="00666AAD"/>
    <w:rsid w:val="0066722C"/>
    <w:rsid w:val="006701D0"/>
    <w:rsid w:val="006708D2"/>
    <w:rsid w:val="00672225"/>
    <w:rsid w:val="00672846"/>
    <w:rsid w:val="00673BB3"/>
    <w:rsid w:val="00673DB3"/>
    <w:rsid w:val="006741AB"/>
    <w:rsid w:val="00675066"/>
    <w:rsid w:val="00676B9F"/>
    <w:rsid w:val="00676CBE"/>
    <w:rsid w:val="006778D7"/>
    <w:rsid w:val="00680CB8"/>
    <w:rsid w:val="00686716"/>
    <w:rsid w:val="00695E44"/>
    <w:rsid w:val="006A19A2"/>
    <w:rsid w:val="006A2FD7"/>
    <w:rsid w:val="006A46E2"/>
    <w:rsid w:val="006A4CE7"/>
    <w:rsid w:val="006A5F55"/>
    <w:rsid w:val="006A6B77"/>
    <w:rsid w:val="006A7DD3"/>
    <w:rsid w:val="006B0088"/>
    <w:rsid w:val="006B2D84"/>
    <w:rsid w:val="006B3FFE"/>
    <w:rsid w:val="006C0E97"/>
    <w:rsid w:val="006C1F56"/>
    <w:rsid w:val="006C20EF"/>
    <w:rsid w:val="006C6526"/>
    <w:rsid w:val="006D1765"/>
    <w:rsid w:val="006D2DA3"/>
    <w:rsid w:val="006D476F"/>
    <w:rsid w:val="006D4AE2"/>
    <w:rsid w:val="006D4ECB"/>
    <w:rsid w:val="006D5191"/>
    <w:rsid w:val="006D5C23"/>
    <w:rsid w:val="006D622A"/>
    <w:rsid w:val="006E0221"/>
    <w:rsid w:val="006E1548"/>
    <w:rsid w:val="006E2ACE"/>
    <w:rsid w:val="006E3D77"/>
    <w:rsid w:val="006E5E68"/>
    <w:rsid w:val="006E683F"/>
    <w:rsid w:val="006F1ACD"/>
    <w:rsid w:val="006F3D9C"/>
    <w:rsid w:val="006F52DF"/>
    <w:rsid w:val="00700A7E"/>
    <w:rsid w:val="00701DEB"/>
    <w:rsid w:val="00704AC8"/>
    <w:rsid w:val="007065F3"/>
    <w:rsid w:val="007103D3"/>
    <w:rsid w:val="007115F4"/>
    <w:rsid w:val="00715E45"/>
    <w:rsid w:val="0072031B"/>
    <w:rsid w:val="00725C7C"/>
    <w:rsid w:val="007269BA"/>
    <w:rsid w:val="0072779B"/>
    <w:rsid w:val="007300EE"/>
    <w:rsid w:val="00730206"/>
    <w:rsid w:val="00732825"/>
    <w:rsid w:val="0073320E"/>
    <w:rsid w:val="00735DFB"/>
    <w:rsid w:val="00740C88"/>
    <w:rsid w:val="00742F93"/>
    <w:rsid w:val="007431AC"/>
    <w:rsid w:val="00750F30"/>
    <w:rsid w:val="00754871"/>
    <w:rsid w:val="007566A4"/>
    <w:rsid w:val="00762B15"/>
    <w:rsid w:val="00763C67"/>
    <w:rsid w:val="00764F3F"/>
    <w:rsid w:val="0077096F"/>
    <w:rsid w:val="00771F15"/>
    <w:rsid w:val="007752CD"/>
    <w:rsid w:val="007753BB"/>
    <w:rsid w:val="00775651"/>
    <w:rsid w:val="00775D2B"/>
    <w:rsid w:val="00776375"/>
    <w:rsid w:val="00776DD8"/>
    <w:rsid w:val="00776FEC"/>
    <w:rsid w:val="007772C5"/>
    <w:rsid w:val="00777ED3"/>
    <w:rsid w:val="00780BBB"/>
    <w:rsid w:val="007845D2"/>
    <w:rsid w:val="00785261"/>
    <w:rsid w:val="00785802"/>
    <w:rsid w:val="0079177E"/>
    <w:rsid w:val="0079276F"/>
    <w:rsid w:val="00795CEA"/>
    <w:rsid w:val="00796A7F"/>
    <w:rsid w:val="007A35E1"/>
    <w:rsid w:val="007A49D8"/>
    <w:rsid w:val="007A7EB6"/>
    <w:rsid w:val="007B0256"/>
    <w:rsid w:val="007B0367"/>
    <w:rsid w:val="007B2570"/>
    <w:rsid w:val="007B3160"/>
    <w:rsid w:val="007C7464"/>
    <w:rsid w:val="007C7998"/>
    <w:rsid w:val="007D131C"/>
    <w:rsid w:val="007D1401"/>
    <w:rsid w:val="007D1C2F"/>
    <w:rsid w:val="007D2C0A"/>
    <w:rsid w:val="007D30A2"/>
    <w:rsid w:val="007D4EEA"/>
    <w:rsid w:val="007D62D8"/>
    <w:rsid w:val="007E19B9"/>
    <w:rsid w:val="007E3959"/>
    <w:rsid w:val="007E3B8B"/>
    <w:rsid w:val="007E4EC0"/>
    <w:rsid w:val="007E6F28"/>
    <w:rsid w:val="007E745F"/>
    <w:rsid w:val="007E77FD"/>
    <w:rsid w:val="007F0707"/>
    <w:rsid w:val="007F1E34"/>
    <w:rsid w:val="007F4F6E"/>
    <w:rsid w:val="007F5B34"/>
    <w:rsid w:val="007F7BBC"/>
    <w:rsid w:val="0080104C"/>
    <w:rsid w:val="008014AD"/>
    <w:rsid w:val="008016AC"/>
    <w:rsid w:val="0080225F"/>
    <w:rsid w:val="00802998"/>
    <w:rsid w:val="0080363D"/>
    <w:rsid w:val="0080616C"/>
    <w:rsid w:val="00807AA2"/>
    <w:rsid w:val="00811923"/>
    <w:rsid w:val="00812B66"/>
    <w:rsid w:val="00815A31"/>
    <w:rsid w:val="0082036A"/>
    <w:rsid w:val="00822372"/>
    <w:rsid w:val="0082537E"/>
    <w:rsid w:val="00826881"/>
    <w:rsid w:val="008304DD"/>
    <w:rsid w:val="00830D24"/>
    <w:rsid w:val="00830EF7"/>
    <w:rsid w:val="00832BC7"/>
    <w:rsid w:val="0083470A"/>
    <w:rsid w:val="00837F4E"/>
    <w:rsid w:val="00840571"/>
    <w:rsid w:val="008412A9"/>
    <w:rsid w:val="0084227C"/>
    <w:rsid w:val="00842BD6"/>
    <w:rsid w:val="00843259"/>
    <w:rsid w:val="00843AAA"/>
    <w:rsid w:val="00846BC8"/>
    <w:rsid w:val="008474DB"/>
    <w:rsid w:val="00850CD7"/>
    <w:rsid w:val="00853462"/>
    <w:rsid w:val="0085393C"/>
    <w:rsid w:val="00853AF5"/>
    <w:rsid w:val="00856488"/>
    <w:rsid w:val="008565DF"/>
    <w:rsid w:val="0085710F"/>
    <w:rsid w:val="0085773D"/>
    <w:rsid w:val="00860675"/>
    <w:rsid w:val="00861764"/>
    <w:rsid w:val="008637F9"/>
    <w:rsid w:val="008646BE"/>
    <w:rsid w:val="00872519"/>
    <w:rsid w:val="00874643"/>
    <w:rsid w:val="00876B8E"/>
    <w:rsid w:val="00876CA6"/>
    <w:rsid w:val="00877018"/>
    <w:rsid w:val="00880AE2"/>
    <w:rsid w:val="008834B5"/>
    <w:rsid w:val="008879C9"/>
    <w:rsid w:val="008916D6"/>
    <w:rsid w:val="008928CC"/>
    <w:rsid w:val="00895819"/>
    <w:rsid w:val="008A04BA"/>
    <w:rsid w:val="008A2270"/>
    <w:rsid w:val="008A2C03"/>
    <w:rsid w:val="008A4C92"/>
    <w:rsid w:val="008A56E3"/>
    <w:rsid w:val="008A584B"/>
    <w:rsid w:val="008A5BEE"/>
    <w:rsid w:val="008B3863"/>
    <w:rsid w:val="008B5468"/>
    <w:rsid w:val="008B5BD0"/>
    <w:rsid w:val="008C3726"/>
    <w:rsid w:val="008C39BB"/>
    <w:rsid w:val="008C5EAB"/>
    <w:rsid w:val="008D2598"/>
    <w:rsid w:val="008D2EE8"/>
    <w:rsid w:val="008D7BE2"/>
    <w:rsid w:val="008E0C72"/>
    <w:rsid w:val="008E203C"/>
    <w:rsid w:val="008E2F02"/>
    <w:rsid w:val="008E4F3F"/>
    <w:rsid w:val="008E5083"/>
    <w:rsid w:val="008E6937"/>
    <w:rsid w:val="008E74D5"/>
    <w:rsid w:val="008F0353"/>
    <w:rsid w:val="008F1D22"/>
    <w:rsid w:val="008F2947"/>
    <w:rsid w:val="008F2A9A"/>
    <w:rsid w:val="008F3023"/>
    <w:rsid w:val="008F3733"/>
    <w:rsid w:val="008F7666"/>
    <w:rsid w:val="009012DB"/>
    <w:rsid w:val="00904CB3"/>
    <w:rsid w:val="009108DE"/>
    <w:rsid w:val="00911494"/>
    <w:rsid w:val="00913A30"/>
    <w:rsid w:val="00915F82"/>
    <w:rsid w:val="009225F0"/>
    <w:rsid w:val="00924816"/>
    <w:rsid w:val="00926418"/>
    <w:rsid w:val="0092779C"/>
    <w:rsid w:val="00933296"/>
    <w:rsid w:val="00935CE2"/>
    <w:rsid w:val="00936B04"/>
    <w:rsid w:val="00936C5B"/>
    <w:rsid w:val="00941F4A"/>
    <w:rsid w:val="00942D15"/>
    <w:rsid w:val="0094563F"/>
    <w:rsid w:val="00946384"/>
    <w:rsid w:val="009523A7"/>
    <w:rsid w:val="00954635"/>
    <w:rsid w:val="00955887"/>
    <w:rsid w:val="0096190B"/>
    <w:rsid w:val="0096317E"/>
    <w:rsid w:val="009670C6"/>
    <w:rsid w:val="009711EA"/>
    <w:rsid w:val="00972714"/>
    <w:rsid w:val="009731A3"/>
    <w:rsid w:val="009746AB"/>
    <w:rsid w:val="00975687"/>
    <w:rsid w:val="0097589B"/>
    <w:rsid w:val="00980990"/>
    <w:rsid w:val="009817B8"/>
    <w:rsid w:val="009831CE"/>
    <w:rsid w:val="009850FF"/>
    <w:rsid w:val="00987714"/>
    <w:rsid w:val="00987FE1"/>
    <w:rsid w:val="009A0C00"/>
    <w:rsid w:val="009A4232"/>
    <w:rsid w:val="009B211C"/>
    <w:rsid w:val="009B523E"/>
    <w:rsid w:val="009B5AB3"/>
    <w:rsid w:val="009B5BA0"/>
    <w:rsid w:val="009B672D"/>
    <w:rsid w:val="009B6F8E"/>
    <w:rsid w:val="009C0BB3"/>
    <w:rsid w:val="009C2D5F"/>
    <w:rsid w:val="009D2B65"/>
    <w:rsid w:val="009D2DF8"/>
    <w:rsid w:val="009D3CCB"/>
    <w:rsid w:val="009D583A"/>
    <w:rsid w:val="009E0D5A"/>
    <w:rsid w:val="009E1B06"/>
    <w:rsid w:val="009E213A"/>
    <w:rsid w:val="009E2ED5"/>
    <w:rsid w:val="009E2F42"/>
    <w:rsid w:val="009E31FD"/>
    <w:rsid w:val="009E76BE"/>
    <w:rsid w:val="009F0D48"/>
    <w:rsid w:val="009F46E8"/>
    <w:rsid w:val="009F4CC8"/>
    <w:rsid w:val="009F78CC"/>
    <w:rsid w:val="00A00446"/>
    <w:rsid w:val="00A02E56"/>
    <w:rsid w:val="00A03C36"/>
    <w:rsid w:val="00A04DFA"/>
    <w:rsid w:val="00A05C43"/>
    <w:rsid w:val="00A13549"/>
    <w:rsid w:val="00A15E85"/>
    <w:rsid w:val="00A16629"/>
    <w:rsid w:val="00A22EC1"/>
    <w:rsid w:val="00A23E7E"/>
    <w:rsid w:val="00A251AE"/>
    <w:rsid w:val="00A25C2C"/>
    <w:rsid w:val="00A25F37"/>
    <w:rsid w:val="00A26754"/>
    <w:rsid w:val="00A35119"/>
    <w:rsid w:val="00A41C33"/>
    <w:rsid w:val="00A426F0"/>
    <w:rsid w:val="00A43712"/>
    <w:rsid w:val="00A437F7"/>
    <w:rsid w:val="00A438DE"/>
    <w:rsid w:val="00A43E66"/>
    <w:rsid w:val="00A4462B"/>
    <w:rsid w:val="00A451DF"/>
    <w:rsid w:val="00A5082C"/>
    <w:rsid w:val="00A50A61"/>
    <w:rsid w:val="00A53D28"/>
    <w:rsid w:val="00A6323F"/>
    <w:rsid w:val="00A63413"/>
    <w:rsid w:val="00A67B08"/>
    <w:rsid w:val="00A72B0F"/>
    <w:rsid w:val="00A72CB4"/>
    <w:rsid w:val="00A736B0"/>
    <w:rsid w:val="00A736CE"/>
    <w:rsid w:val="00A73FA3"/>
    <w:rsid w:val="00A74769"/>
    <w:rsid w:val="00A77A94"/>
    <w:rsid w:val="00A80DE0"/>
    <w:rsid w:val="00A829F2"/>
    <w:rsid w:val="00A865FE"/>
    <w:rsid w:val="00A970B0"/>
    <w:rsid w:val="00A977BC"/>
    <w:rsid w:val="00A97D98"/>
    <w:rsid w:val="00AA236C"/>
    <w:rsid w:val="00AA64AC"/>
    <w:rsid w:val="00AA7226"/>
    <w:rsid w:val="00AA734B"/>
    <w:rsid w:val="00AA7736"/>
    <w:rsid w:val="00AB0091"/>
    <w:rsid w:val="00AB1056"/>
    <w:rsid w:val="00AB1B09"/>
    <w:rsid w:val="00AB45D6"/>
    <w:rsid w:val="00AB5223"/>
    <w:rsid w:val="00AB61D3"/>
    <w:rsid w:val="00AC0D75"/>
    <w:rsid w:val="00AC101D"/>
    <w:rsid w:val="00AC11BF"/>
    <w:rsid w:val="00AC3462"/>
    <w:rsid w:val="00AC388B"/>
    <w:rsid w:val="00AC4E59"/>
    <w:rsid w:val="00AC74A8"/>
    <w:rsid w:val="00AD0843"/>
    <w:rsid w:val="00AD223D"/>
    <w:rsid w:val="00AD2B28"/>
    <w:rsid w:val="00AD2FE9"/>
    <w:rsid w:val="00AE322B"/>
    <w:rsid w:val="00AE5059"/>
    <w:rsid w:val="00AE6E0F"/>
    <w:rsid w:val="00AF3CBD"/>
    <w:rsid w:val="00AF64EC"/>
    <w:rsid w:val="00B005CD"/>
    <w:rsid w:val="00B02169"/>
    <w:rsid w:val="00B03546"/>
    <w:rsid w:val="00B06B20"/>
    <w:rsid w:val="00B10EB1"/>
    <w:rsid w:val="00B11557"/>
    <w:rsid w:val="00B16B5A"/>
    <w:rsid w:val="00B173DC"/>
    <w:rsid w:val="00B20D86"/>
    <w:rsid w:val="00B2224A"/>
    <w:rsid w:val="00B24654"/>
    <w:rsid w:val="00B246E8"/>
    <w:rsid w:val="00B24C21"/>
    <w:rsid w:val="00B25125"/>
    <w:rsid w:val="00B31D33"/>
    <w:rsid w:val="00B34FB5"/>
    <w:rsid w:val="00B37603"/>
    <w:rsid w:val="00B37790"/>
    <w:rsid w:val="00B378BD"/>
    <w:rsid w:val="00B413E1"/>
    <w:rsid w:val="00B417DE"/>
    <w:rsid w:val="00B44F9B"/>
    <w:rsid w:val="00B502BD"/>
    <w:rsid w:val="00B5226D"/>
    <w:rsid w:val="00B54889"/>
    <w:rsid w:val="00B614DD"/>
    <w:rsid w:val="00B63CAE"/>
    <w:rsid w:val="00B7167B"/>
    <w:rsid w:val="00B71EDF"/>
    <w:rsid w:val="00B7654F"/>
    <w:rsid w:val="00B772ED"/>
    <w:rsid w:val="00B77C2D"/>
    <w:rsid w:val="00B820CD"/>
    <w:rsid w:val="00B85379"/>
    <w:rsid w:val="00B85607"/>
    <w:rsid w:val="00B860D2"/>
    <w:rsid w:val="00B87CB4"/>
    <w:rsid w:val="00B92424"/>
    <w:rsid w:val="00B95E82"/>
    <w:rsid w:val="00BA2DB9"/>
    <w:rsid w:val="00BA3142"/>
    <w:rsid w:val="00BA68A1"/>
    <w:rsid w:val="00BA6A09"/>
    <w:rsid w:val="00BB03A8"/>
    <w:rsid w:val="00BB077F"/>
    <w:rsid w:val="00BB3118"/>
    <w:rsid w:val="00BC04D2"/>
    <w:rsid w:val="00BC0A30"/>
    <w:rsid w:val="00BC241F"/>
    <w:rsid w:val="00BC58BA"/>
    <w:rsid w:val="00BC6ADE"/>
    <w:rsid w:val="00BC70A8"/>
    <w:rsid w:val="00BC79CD"/>
    <w:rsid w:val="00BD10B8"/>
    <w:rsid w:val="00BD1FB6"/>
    <w:rsid w:val="00BD2884"/>
    <w:rsid w:val="00BD339A"/>
    <w:rsid w:val="00BD7290"/>
    <w:rsid w:val="00BD7A10"/>
    <w:rsid w:val="00BD7EF5"/>
    <w:rsid w:val="00BD7F1D"/>
    <w:rsid w:val="00BE0198"/>
    <w:rsid w:val="00BE2977"/>
    <w:rsid w:val="00BE349C"/>
    <w:rsid w:val="00BE4407"/>
    <w:rsid w:val="00BE46D9"/>
    <w:rsid w:val="00BE5DC7"/>
    <w:rsid w:val="00BE7148"/>
    <w:rsid w:val="00BE7BAA"/>
    <w:rsid w:val="00BF28B6"/>
    <w:rsid w:val="00BF3370"/>
    <w:rsid w:val="00BF3435"/>
    <w:rsid w:val="00BF6FCE"/>
    <w:rsid w:val="00C00D74"/>
    <w:rsid w:val="00C023C1"/>
    <w:rsid w:val="00C027B8"/>
    <w:rsid w:val="00C03D84"/>
    <w:rsid w:val="00C101F8"/>
    <w:rsid w:val="00C15AE9"/>
    <w:rsid w:val="00C175D2"/>
    <w:rsid w:val="00C211A9"/>
    <w:rsid w:val="00C22B37"/>
    <w:rsid w:val="00C23CCD"/>
    <w:rsid w:val="00C263A2"/>
    <w:rsid w:val="00C33AAD"/>
    <w:rsid w:val="00C33E4F"/>
    <w:rsid w:val="00C360AD"/>
    <w:rsid w:val="00C362E9"/>
    <w:rsid w:val="00C36523"/>
    <w:rsid w:val="00C4034D"/>
    <w:rsid w:val="00C4058D"/>
    <w:rsid w:val="00C4208E"/>
    <w:rsid w:val="00C42E72"/>
    <w:rsid w:val="00C438A6"/>
    <w:rsid w:val="00C4506F"/>
    <w:rsid w:val="00C474F5"/>
    <w:rsid w:val="00C47A5B"/>
    <w:rsid w:val="00C55AD5"/>
    <w:rsid w:val="00C55DE7"/>
    <w:rsid w:val="00C57001"/>
    <w:rsid w:val="00C6041A"/>
    <w:rsid w:val="00C62E47"/>
    <w:rsid w:val="00C70942"/>
    <w:rsid w:val="00C71398"/>
    <w:rsid w:val="00C714FE"/>
    <w:rsid w:val="00C73EA8"/>
    <w:rsid w:val="00C73F02"/>
    <w:rsid w:val="00C74C89"/>
    <w:rsid w:val="00C757AD"/>
    <w:rsid w:val="00C75ACD"/>
    <w:rsid w:val="00C762EB"/>
    <w:rsid w:val="00C76B3D"/>
    <w:rsid w:val="00C77CAA"/>
    <w:rsid w:val="00C80116"/>
    <w:rsid w:val="00C829E9"/>
    <w:rsid w:val="00C82B6C"/>
    <w:rsid w:val="00C84851"/>
    <w:rsid w:val="00C84BF1"/>
    <w:rsid w:val="00C905A3"/>
    <w:rsid w:val="00C918B4"/>
    <w:rsid w:val="00C92E01"/>
    <w:rsid w:val="00C9349F"/>
    <w:rsid w:val="00C946E1"/>
    <w:rsid w:val="00C96974"/>
    <w:rsid w:val="00C96FCE"/>
    <w:rsid w:val="00C97A15"/>
    <w:rsid w:val="00CA1BCA"/>
    <w:rsid w:val="00CA461A"/>
    <w:rsid w:val="00CA5D88"/>
    <w:rsid w:val="00CB0FB8"/>
    <w:rsid w:val="00CB1058"/>
    <w:rsid w:val="00CB1321"/>
    <w:rsid w:val="00CB1E42"/>
    <w:rsid w:val="00CB3627"/>
    <w:rsid w:val="00CB3C1F"/>
    <w:rsid w:val="00CB41CF"/>
    <w:rsid w:val="00CB718C"/>
    <w:rsid w:val="00CB74B3"/>
    <w:rsid w:val="00CC1FB4"/>
    <w:rsid w:val="00CC4130"/>
    <w:rsid w:val="00CC4BFB"/>
    <w:rsid w:val="00CC508D"/>
    <w:rsid w:val="00CC511C"/>
    <w:rsid w:val="00CC79FB"/>
    <w:rsid w:val="00CD2124"/>
    <w:rsid w:val="00CD4EE5"/>
    <w:rsid w:val="00CD5645"/>
    <w:rsid w:val="00CD5FF6"/>
    <w:rsid w:val="00CE1CB4"/>
    <w:rsid w:val="00CE2983"/>
    <w:rsid w:val="00CE7514"/>
    <w:rsid w:val="00CF3780"/>
    <w:rsid w:val="00CF4659"/>
    <w:rsid w:val="00CF46FA"/>
    <w:rsid w:val="00CF6566"/>
    <w:rsid w:val="00CF6E40"/>
    <w:rsid w:val="00CF72DE"/>
    <w:rsid w:val="00D017D0"/>
    <w:rsid w:val="00D021A0"/>
    <w:rsid w:val="00D03132"/>
    <w:rsid w:val="00D05475"/>
    <w:rsid w:val="00D07FDB"/>
    <w:rsid w:val="00D1017E"/>
    <w:rsid w:val="00D14145"/>
    <w:rsid w:val="00D14FDD"/>
    <w:rsid w:val="00D16D69"/>
    <w:rsid w:val="00D16FAA"/>
    <w:rsid w:val="00D17BA4"/>
    <w:rsid w:val="00D17D53"/>
    <w:rsid w:val="00D20795"/>
    <w:rsid w:val="00D22A8A"/>
    <w:rsid w:val="00D23CB8"/>
    <w:rsid w:val="00D25831"/>
    <w:rsid w:val="00D25C38"/>
    <w:rsid w:val="00D27FF4"/>
    <w:rsid w:val="00D300DD"/>
    <w:rsid w:val="00D32154"/>
    <w:rsid w:val="00D3565B"/>
    <w:rsid w:val="00D366AF"/>
    <w:rsid w:val="00D379EA"/>
    <w:rsid w:val="00D40593"/>
    <w:rsid w:val="00D408DC"/>
    <w:rsid w:val="00D42BC4"/>
    <w:rsid w:val="00D46140"/>
    <w:rsid w:val="00D465DC"/>
    <w:rsid w:val="00D46F54"/>
    <w:rsid w:val="00D52312"/>
    <w:rsid w:val="00D54DE1"/>
    <w:rsid w:val="00D57887"/>
    <w:rsid w:val="00D638F8"/>
    <w:rsid w:val="00D71299"/>
    <w:rsid w:val="00D71C54"/>
    <w:rsid w:val="00D779AD"/>
    <w:rsid w:val="00D843EF"/>
    <w:rsid w:val="00D86E50"/>
    <w:rsid w:val="00D90420"/>
    <w:rsid w:val="00D90D3C"/>
    <w:rsid w:val="00D910AD"/>
    <w:rsid w:val="00D9164C"/>
    <w:rsid w:val="00D92113"/>
    <w:rsid w:val="00D93DF1"/>
    <w:rsid w:val="00D95AB7"/>
    <w:rsid w:val="00DA1124"/>
    <w:rsid w:val="00DA33DB"/>
    <w:rsid w:val="00DA5556"/>
    <w:rsid w:val="00DA5D49"/>
    <w:rsid w:val="00DA678C"/>
    <w:rsid w:val="00DA7B4A"/>
    <w:rsid w:val="00DB07B8"/>
    <w:rsid w:val="00DB1519"/>
    <w:rsid w:val="00DB1A45"/>
    <w:rsid w:val="00DB29FA"/>
    <w:rsid w:val="00DB2B49"/>
    <w:rsid w:val="00DB33E4"/>
    <w:rsid w:val="00DC2C48"/>
    <w:rsid w:val="00DC3BCE"/>
    <w:rsid w:val="00DC61A0"/>
    <w:rsid w:val="00DC6A7B"/>
    <w:rsid w:val="00DD0F36"/>
    <w:rsid w:val="00DD100A"/>
    <w:rsid w:val="00DD41D1"/>
    <w:rsid w:val="00DD5554"/>
    <w:rsid w:val="00DD6FA0"/>
    <w:rsid w:val="00DD7ACE"/>
    <w:rsid w:val="00DE0233"/>
    <w:rsid w:val="00DE0DEA"/>
    <w:rsid w:val="00DE365A"/>
    <w:rsid w:val="00DF1680"/>
    <w:rsid w:val="00DF1D31"/>
    <w:rsid w:val="00DF4D37"/>
    <w:rsid w:val="00E02555"/>
    <w:rsid w:val="00E10AD5"/>
    <w:rsid w:val="00E134C2"/>
    <w:rsid w:val="00E21CEF"/>
    <w:rsid w:val="00E21D92"/>
    <w:rsid w:val="00E2298D"/>
    <w:rsid w:val="00E25FDE"/>
    <w:rsid w:val="00E2652A"/>
    <w:rsid w:val="00E30C3C"/>
    <w:rsid w:val="00E31371"/>
    <w:rsid w:val="00E32F1B"/>
    <w:rsid w:val="00E33FF2"/>
    <w:rsid w:val="00E34587"/>
    <w:rsid w:val="00E35B45"/>
    <w:rsid w:val="00E37322"/>
    <w:rsid w:val="00E376A9"/>
    <w:rsid w:val="00E37F70"/>
    <w:rsid w:val="00E37FD9"/>
    <w:rsid w:val="00E41170"/>
    <w:rsid w:val="00E41ED7"/>
    <w:rsid w:val="00E458F8"/>
    <w:rsid w:val="00E5040F"/>
    <w:rsid w:val="00E51EF1"/>
    <w:rsid w:val="00E609E3"/>
    <w:rsid w:val="00E60D1A"/>
    <w:rsid w:val="00E6142C"/>
    <w:rsid w:val="00E622BF"/>
    <w:rsid w:val="00E63B66"/>
    <w:rsid w:val="00E643E0"/>
    <w:rsid w:val="00E708BB"/>
    <w:rsid w:val="00E71249"/>
    <w:rsid w:val="00E724F8"/>
    <w:rsid w:val="00E75CEA"/>
    <w:rsid w:val="00E761A2"/>
    <w:rsid w:val="00E765FA"/>
    <w:rsid w:val="00E820E7"/>
    <w:rsid w:val="00E8236B"/>
    <w:rsid w:val="00E82B90"/>
    <w:rsid w:val="00E84FC3"/>
    <w:rsid w:val="00E8550C"/>
    <w:rsid w:val="00E858A7"/>
    <w:rsid w:val="00E91744"/>
    <w:rsid w:val="00E9285A"/>
    <w:rsid w:val="00E92BBB"/>
    <w:rsid w:val="00E935D9"/>
    <w:rsid w:val="00E956B6"/>
    <w:rsid w:val="00E97AB2"/>
    <w:rsid w:val="00E97C4D"/>
    <w:rsid w:val="00EA1055"/>
    <w:rsid w:val="00EA1954"/>
    <w:rsid w:val="00EA24B5"/>
    <w:rsid w:val="00EA3696"/>
    <w:rsid w:val="00EA36C0"/>
    <w:rsid w:val="00EA550A"/>
    <w:rsid w:val="00EA66F0"/>
    <w:rsid w:val="00EA6DCF"/>
    <w:rsid w:val="00EB2EA7"/>
    <w:rsid w:val="00EB6E82"/>
    <w:rsid w:val="00EB740B"/>
    <w:rsid w:val="00EB767C"/>
    <w:rsid w:val="00EC2B4A"/>
    <w:rsid w:val="00EC5CCB"/>
    <w:rsid w:val="00EC7691"/>
    <w:rsid w:val="00ED1608"/>
    <w:rsid w:val="00ED492B"/>
    <w:rsid w:val="00EE07EB"/>
    <w:rsid w:val="00EE0C5B"/>
    <w:rsid w:val="00EE2628"/>
    <w:rsid w:val="00EE3834"/>
    <w:rsid w:val="00EE4ED7"/>
    <w:rsid w:val="00EE67D9"/>
    <w:rsid w:val="00EF1106"/>
    <w:rsid w:val="00EF3BFD"/>
    <w:rsid w:val="00EF41C8"/>
    <w:rsid w:val="00EF4EB4"/>
    <w:rsid w:val="00EF7E3E"/>
    <w:rsid w:val="00F002FC"/>
    <w:rsid w:val="00F00433"/>
    <w:rsid w:val="00F01DAB"/>
    <w:rsid w:val="00F01E7B"/>
    <w:rsid w:val="00F022D0"/>
    <w:rsid w:val="00F05F87"/>
    <w:rsid w:val="00F07018"/>
    <w:rsid w:val="00F07529"/>
    <w:rsid w:val="00F07D2D"/>
    <w:rsid w:val="00F07ED1"/>
    <w:rsid w:val="00F12387"/>
    <w:rsid w:val="00F124B0"/>
    <w:rsid w:val="00F13CAC"/>
    <w:rsid w:val="00F148C2"/>
    <w:rsid w:val="00F150E3"/>
    <w:rsid w:val="00F212CF"/>
    <w:rsid w:val="00F216D7"/>
    <w:rsid w:val="00F24634"/>
    <w:rsid w:val="00F26BAE"/>
    <w:rsid w:val="00F30908"/>
    <w:rsid w:val="00F3364F"/>
    <w:rsid w:val="00F342AC"/>
    <w:rsid w:val="00F349DD"/>
    <w:rsid w:val="00F37FD4"/>
    <w:rsid w:val="00F40FF2"/>
    <w:rsid w:val="00F41120"/>
    <w:rsid w:val="00F41DEB"/>
    <w:rsid w:val="00F42254"/>
    <w:rsid w:val="00F45AFB"/>
    <w:rsid w:val="00F479BE"/>
    <w:rsid w:val="00F47BAD"/>
    <w:rsid w:val="00F50588"/>
    <w:rsid w:val="00F5208C"/>
    <w:rsid w:val="00F527A1"/>
    <w:rsid w:val="00F52D2A"/>
    <w:rsid w:val="00F54920"/>
    <w:rsid w:val="00F61CC1"/>
    <w:rsid w:val="00F63FF9"/>
    <w:rsid w:val="00F643C4"/>
    <w:rsid w:val="00F65E3C"/>
    <w:rsid w:val="00F66D8C"/>
    <w:rsid w:val="00F670BE"/>
    <w:rsid w:val="00F70BD1"/>
    <w:rsid w:val="00F76D21"/>
    <w:rsid w:val="00F779E0"/>
    <w:rsid w:val="00F80504"/>
    <w:rsid w:val="00F81A47"/>
    <w:rsid w:val="00F82156"/>
    <w:rsid w:val="00F85124"/>
    <w:rsid w:val="00F85669"/>
    <w:rsid w:val="00F85DB1"/>
    <w:rsid w:val="00F86311"/>
    <w:rsid w:val="00F900B6"/>
    <w:rsid w:val="00F913CC"/>
    <w:rsid w:val="00F930C4"/>
    <w:rsid w:val="00F97246"/>
    <w:rsid w:val="00F97E9A"/>
    <w:rsid w:val="00FA1012"/>
    <w:rsid w:val="00FA4063"/>
    <w:rsid w:val="00FA60A0"/>
    <w:rsid w:val="00FA6848"/>
    <w:rsid w:val="00FA73EC"/>
    <w:rsid w:val="00FA7422"/>
    <w:rsid w:val="00FB3076"/>
    <w:rsid w:val="00FB4648"/>
    <w:rsid w:val="00FB5C8B"/>
    <w:rsid w:val="00FB632F"/>
    <w:rsid w:val="00FC0D53"/>
    <w:rsid w:val="00FC143A"/>
    <w:rsid w:val="00FC77F8"/>
    <w:rsid w:val="00FC79FA"/>
    <w:rsid w:val="00FD0787"/>
    <w:rsid w:val="00FD2EB7"/>
    <w:rsid w:val="00FD45CF"/>
    <w:rsid w:val="00FD4C88"/>
    <w:rsid w:val="00FE1C8D"/>
    <w:rsid w:val="00FE37A9"/>
    <w:rsid w:val="00FE6C20"/>
    <w:rsid w:val="00FE7022"/>
    <w:rsid w:val="00FF09FC"/>
    <w:rsid w:val="00FF2D2E"/>
    <w:rsid w:val="00FF506C"/>
    <w:rsid w:val="00FF673F"/>
    <w:rsid w:val="00FF7D7F"/>
    <w:rsid w:val="039F0223"/>
    <w:rsid w:val="05943610"/>
    <w:rsid w:val="0619D8F1"/>
    <w:rsid w:val="087E2D5E"/>
    <w:rsid w:val="12F3B709"/>
    <w:rsid w:val="1B012E0C"/>
    <w:rsid w:val="1D971A7C"/>
    <w:rsid w:val="320EF9B3"/>
    <w:rsid w:val="3BEA8F58"/>
    <w:rsid w:val="4D81EBEC"/>
    <w:rsid w:val="51BD44B4"/>
    <w:rsid w:val="544C0DBF"/>
    <w:rsid w:val="54F4E576"/>
    <w:rsid w:val="5E887FFC"/>
    <w:rsid w:val="691D4498"/>
    <w:rsid w:val="6C54E55A"/>
    <w:rsid w:val="76ABC29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9F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pPr>
        <w:spacing w:after="24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DE1"/>
    <w:pPr>
      <w:spacing w:after="200"/>
    </w:pPr>
    <w:rPr>
      <w:spacing w:val="3"/>
      <w:sz w:val="22"/>
    </w:rPr>
  </w:style>
  <w:style w:type="paragraph" w:styleId="Heading1">
    <w:name w:val="heading 1"/>
    <w:basedOn w:val="Normal"/>
    <w:next w:val="Normal"/>
    <w:link w:val="Heading1Char"/>
    <w:uiPriority w:val="9"/>
    <w:qFormat/>
    <w:rsid w:val="00450DE1"/>
    <w:pPr>
      <w:spacing w:before="360" w:after="240" w:line="240" w:lineRule="auto"/>
      <w:contextualSpacing/>
      <w:outlineLvl w:val="0"/>
    </w:pPr>
    <w:rPr>
      <w:rFonts w:asciiTheme="majorHAnsi" w:eastAsiaTheme="majorEastAsia" w:hAnsiTheme="majorHAnsi" w:cstheme="majorBidi"/>
      <w:b/>
      <w:bCs/>
      <w:color w:val="005A70" w:themeColor="accent1"/>
      <w:sz w:val="64"/>
      <w:szCs w:val="28"/>
    </w:rPr>
  </w:style>
  <w:style w:type="paragraph" w:styleId="Heading2">
    <w:name w:val="heading 2"/>
    <w:basedOn w:val="Normal"/>
    <w:next w:val="Normal"/>
    <w:link w:val="Heading2Char"/>
    <w:qFormat/>
    <w:rsid w:val="00450DE1"/>
    <w:pPr>
      <w:spacing w:before="240" w:after="120" w:line="240" w:lineRule="auto"/>
      <w:outlineLvl w:val="1"/>
    </w:pPr>
    <w:rPr>
      <w:rFonts w:asciiTheme="majorHAnsi" w:eastAsiaTheme="majorEastAsia" w:hAnsiTheme="majorHAnsi" w:cstheme="majorBidi"/>
      <w:bCs/>
      <w:color w:val="005A70" w:themeColor="accent1"/>
      <w:sz w:val="40"/>
      <w:szCs w:val="26"/>
    </w:rPr>
  </w:style>
  <w:style w:type="paragraph" w:styleId="Heading3">
    <w:name w:val="heading 3"/>
    <w:basedOn w:val="Normal"/>
    <w:next w:val="Normal"/>
    <w:link w:val="Heading3Char"/>
    <w:uiPriority w:val="9"/>
    <w:qFormat/>
    <w:rsid w:val="00450DE1"/>
    <w:pPr>
      <w:spacing w:before="200" w:after="0" w:line="271" w:lineRule="auto"/>
      <w:outlineLvl w:val="2"/>
    </w:pPr>
    <w:rPr>
      <w:rFonts w:asciiTheme="majorHAnsi" w:eastAsiaTheme="majorEastAsia" w:hAnsiTheme="majorHAnsi" w:cstheme="majorBidi"/>
      <w:bCs/>
      <w:color w:val="005A70" w:themeColor="accent1"/>
      <w:sz w:val="32"/>
    </w:rPr>
  </w:style>
  <w:style w:type="paragraph" w:styleId="Heading4">
    <w:name w:val="heading 4"/>
    <w:basedOn w:val="Normal"/>
    <w:next w:val="Normal"/>
    <w:link w:val="Heading4Char"/>
    <w:uiPriority w:val="9"/>
    <w:qFormat/>
    <w:rsid w:val="00450DE1"/>
    <w:pPr>
      <w:spacing w:before="200" w:after="0"/>
      <w:outlineLvl w:val="3"/>
    </w:pPr>
    <w:rPr>
      <w:rFonts w:asciiTheme="majorHAnsi" w:eastAsiaTheme="majorEastAsia" w:hAnsiTheme="majorHAnsi" w:cstheme="majorBidi"/>
      <w:b/>
      <w:bCs/>
      <w:iCs/>
      <w:color w:val="005A70" w:themeColor="accent1"/>
      <w:sz w:val="28"/>
    </w:rPr>
  </w:style>
  <w:style w:type="paragraph" w:styleId="Heading5">
    <w:name w:val="heading 5"/>
    <w:basedOn w:val="Normal"/>
    <w:next w:val="Normal"/>
    <w:link w:val="Heading5Char"/>
    <w:uiPriority w:val="9"/>
    <w:unhideWhenUsed/>
    <w:qFormat/>
    <w:rsid w:val="00450DE1"/>
    <w:pPr>
      <w:spacing w:before="200" w:after="0"/>
      <w:outlineLvl w:val="4"/>
    </w:pPr>
    <w:rPr>
      <w:rFonts w:asciiTheme="majorHAnsi" w:eastAsiaTheme="majorEastAsia" w:hAnsiTheme="majorHAnsi" w:cstheme="majorBidi"/>
      <w:b/>
      <w:bCs/>
      <w:color w:val="000000" w:themeColor="text1"/>
    </w:rPr>
  </w:style>
  <w:style w:type="paragraph" w:styleId="Heading6">
    <w:name w:val="heading 6"/>
    <w:basedOn w:val="Normal"/>
    <w:next w:val="Normal"/>
    <w:link w:val="Heading6Char"/>
    <w:uiPriority w:val="9"/>
    <w:unhideWhenUsed/>
    <w:qFormat/>
    <w:rsid w:val="00450DE1"/>
    <w:pPr>
      <w:spacing w:after="0" w:line="271" w:lineRule="auto"/>
      <w:outlineLvl w:val="5"/>
    </w:pPr>
    <w:rPr>
      <w:rFonts w:asciiTheme="majorHAnsi" w:eastAsiaTheme="majorEastAsia" w:hAnsiTheme="majorHAnsi" w:cstheme="majorBidi"/>
      <w:b/>
      <w:bCs/>
      <w:iCs/>
      <w:color w:val="000000" w:themeColor="text1"/>
      <w:sz w:val="20"/>
    </w:rPr>
  </w:style>
  <w:style w:type="paragraph" w:styleId="Heading7">
    <w:name w:val="heading 7"/>
    <w:basedOn w:val="Normal"/>
    <w:next w:val="Normal"/>
    <w:link w:val="Heading7Char"/>
    <w:uiPriority w:val="9"/>
    <w:unhideWhenUsed/>
    <w:qFormat/>
    <w:rsid w:val="00450DE1"/>
    <w:pPr>
      <w:spacing w:after="0"/>
      <w:outlineLvl w:val="6"/>
    </w:pPr>
    <w:rPr>
      <w:rFonts w:eastAsiaTheme="majorEastAsia" w:cstheme="majorBidi"/>
      <w:iCs/>
    </w:rPr>
  </w:style>
  <w:style w:type="paragraph" w:styleId="Heading8">
    <w:name w:val="heading 8"/>
    <w:basedOn w:val="Normal"/>
    <w:next w:val="Normal"/>
    <w:link w:val="Heading8Char"/>
    <w:uiPriority w:val="9"/>
    <w:unhideWhenUsed/>
    <w:qFormat/>
    <w:rsid w:val="00450DE1"/>
    <w:pPr>
      <w:spacing w:after="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450DE1"/>
    <w:pPr>
      <w:spacing w:after="0"/>
      <w:outlineLvl w:val="8"/>
    </w:pPr>
    <w:rPr>
      <w:rFonts w:eastAsiaTheme="majorEastAsia" w:cstheme="majorBid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DE1"/>
    <w:rPr>
      <w:rFonts w:asciiTheme="majorHAnsi" w:eastAsiaTheme="majorEastAsia" w:hAnsiTheme="majorHAnsi" w:cstheme="majorBidi"/>
      <w:b/>
      <w:bCs/>
      <w:color w:val="005A70" w:themeColor="accent1"/>
      <w:spacing w:val="3"/>
      <w:sz w:val="64"/>
      <w:szCs w:val="28"/>
    </w:rPr>
  </w:style>
  <w:style w:type="character" w:customStyle="1" w:styleId="Heading2Char">
    <w:name w:val="Heading 2 Char"/>
    <w:basedOn w:val="DefaultParagraphFont"/>
    <w:link w:val="Heading2"/>
    <w:rsid w:val="00450DE1"/>
    <w:rPr>
      <w:rFonts w:asciiTheme="majorHAnsi" w:eastAsiaTheme="majorEastAsia" w:hAnsiTheme="majorHAnsi" w:cstheme="majorBidi"/>
      <w:bCs/>
      <w:color w:val="005A70" w:themeColor="accent1"/>
      <w:spacing w:val="3"/>
      <w:sz w:val="40"/>
      <w:szCs w:val="26"/>
    </w:rPr>
  </w:style>
  <w:style w:type="paragraph" w:styleId="BalloonText">
    <w:name w:val="Balloon Text"/>
    <w:basedOn w:val="Normal"/>
    <w:link w:val="BalloonTextChar"/>
    <w:uiPriority w:val="99"/>
    <w:semiHidden/>
    <w:unhideWhenUsed/>
    <w:rsid w:val="00450DE1"/>
    <w:pPr>
      <w:spacing w:after="0" w:line="240" w:lineRule="auto"/>
    </w:pPr>
    <w:rPr>
      <w:rFonts w:ascii="Tahoma" w:hAnsi="Tahoma" w:cs="Tahoma"/>
      <w:sz w:val="16"/>
      <w:szCs w:val="16"/>
    </w:rPr>
  </w:style>
  <w:style w:type="character" w:customStyle="1" w:styleId="Heading3Char">
    <w:name w:val="Heading 3 Char"/>
    <w:basedOn w:val="DefaultParagraphFont"/>
    <w:link w:val="Heading3"/>
    <w:uiPriority w:val="9"/>
    <w:rsid w:val="00450DE1"/>
    <w:rPr>
      <w:rFonts w:asciiTheme="majorHAnsi" w:eastAsiaTheme="majorEastAsia" w:hAnsiTheme="majorHAnsi" w:cstheme="majorBidi"/>
      <w:bCs/>
      <w:color w:val="005A70" w:themeColor="accent1"/>
      <w:spacing w:val="3"/>
      <w:sz w:val="32"/>
    </w:rPr>
  </w:style>
  <w:style w:type="character" w:customStyle="1" w:styleId="Heading4Char">
    <w:name w:val="Heading 4 Char"/>
    <w:basedOn w:val="DefaultParagraphFont"/>
    <w:link w:val="Heading4"/>
    <w:uiPriority w:val="9"/>
    <w:rsid w:val="00450DE1"/>
    <w:rPr>
      <w:rFonts w:asciiTheme="majorHAnsi" w:eastAsiaTheme="majorEastAsia" w:hAnsiTheme="majorHAnsi" w:cstheme="majorBidi"/>
      <w:b/>
      <w:bCs/>
      <w:iCs/>
      <w:color w:val="005A70" w:themeColor="accent1"/>
      <w:spacing w:val="3"/>
      <w:sz w:val="28"/>
    </w:rPr>
  </w:style>
  <w:style w:type="character" w:customStyle="1" w:styleId="Heading5Char">
    <w:name w:val="Heading 5 Char"/>
    <w:basedOn w:val="DefaultParagraphFont"/>
    <w:link w:val="Heading5"/>
    <w:uiPriority w:val="9"/>
    <w:rsid w:val="00450DE1"/>
    <w:rPr>
      <w:rFonts w:asciiTheme="majorHAnsi" w:eastAsiaTheme="majorEastAsia" w:hAnsiTheme="majorHAnsi" w:cstheme="majorBidi"/>
      <w:b/>
      <w:bCs/>
      <w:color w:val="000000" w:themeColor="text1"/>
      <w:spacing w:val="3"/>
      <w:sz w:val="22"/>
    </w:rPr>
  </w:style>
  <w:style w:type="character" w:customStyle="1" w:styleId="Heading6Char">
    <w:name w:val="Heading 6 Char"/>
    <w:basedOn w:val="DefaultParagraphFont"/>
    <w:link w:val="Heading6"/>
    <w:uiPriority w:val="9"/>
    <w:rsid w:val="00450DE1"/>
    <w:rPr>
      <w:rFonts w:asciiTheme="majorHAnsi" w:eastAsiaTheme="majorEastAsia" w:hAnsiTheme="majorHAnsi" w:cstheme="majorBidi"/>
      <w:b/>
      <w:bCs/>
      <w:iCs/>
      <w:color w:val="000000" w:themeColor="text1"/>
      <w:spacing w:val="3"/>
      <w:sz w:val="20"/>
    </w:rPr>
  </w:style>
  <w:style w:type="character" w:customStyle="1" w:styleId="Heading7Char">
    <w:name w:val="Heading 7 Char"/>
    <w:basedOn w:val="DefaultParagraphFont"/>
    <w:link w:val="Heading7"/>
    <w:uiPriority w:val="9"/>
    <w:rsid w:val="00450DE1"/>
    <w:rPr>
      <w:rFonts w:eastAsiaTheme="majorEastAsia" w:cstheme="majorBidi"/>
      <w:iCs/>
      <w:spacing w:val="3"/>
      <w:sz w:val="22"/>
    </w:rPr>
  </w:style>
  <w:style w:type="character" w:customStyle="1" w:styleId="Heading8Char">
    <w:name w:val="Heading 8 Char"/>
    <w:basedOn w:val="DefaultParagraphFont"/>
    <w:link w:val="Heading8"/>
    <w:uiPriority w:val="9"/>
    <w:rsid w:val="00450DE1"/>
    <w:rPr>
      <w:rFonts w:eastAsiaTheme="majorEastAsia" w:cstheme="majorBidi"/>
      <w:spacing w:val="3"/>
      <w:sz w:val="22"/>
      <w:szCs w:val="20"/>
    </w:rPr>
  </w:style>
  <w:style w:type="character" w:customStyle="1" w:styleId="Heading9Char">
    <w:name w:val="Heading 9 Char"/>
    <w:basedOn w:val="DefaultParagraphFont"/>
    <w:link w:val="Heading9"/>
    <w:uiPriority w:val="9"/>
    <w:rsid w:val="00450DE1"/>
    <w:rPr>
      <w:rFonts w:eastAsiaTheme="majorEastAsia" w:cstheme="majorBidi"/>
      <w:iCs/>
      <w:spacing w:val="5"/>
      <w:sz w:val="22"/>
      <w:szCs w:val="20"/>
    </w:rPr>
  </w:style>
  <w:style w:type="character" w:customStyle="1" w:styleId="BalloonTextChar">
    <w:name w:val="Balloon Text Char"/>
    <w:basedOn w:val="DefaultParagraphFont"/>
    <w:link w:val="BalloonText"/>
    <w:uiPriority w:val="99"/>
    <w:semiHidden/>
    <w:rsid w:val="00450DE1"/>
    <w:rPr>
      <w:rFonts w:ascii="Tahoma" w:hAnsi="Tahoma" w:cs="Tahoma"/>
      <w:spacing w:val="3"/>
      <w:sz w:val="16"/>
      <w:szCs w:val="16"/>
    </w:rPr>
  </w:style>
  <w:style w:type="numbering" w:customStyle="1" w:styleId="BulletsList">
    <w:name w:val="Bullets List"/>
    <w:uiPriority w:val="99"/>
    <w:rsid w:val="00450DE1"/>
    <w:pPr>
      <w:numPr>
        <w:numId w:val="1"/>
      </w:numPr>
    </w:pPr>
  </w:style>
  <w:style w:type="paragraph" w:styleId="Caption">
    <w:name w:val="caption"/>
    <w:aliases w:val="Caption Table title"/>
    <w:basedOn w:val="Normal"/>
    <w:next w:val="Normal"/>
    <w:uiPriority w:val="35"/>
    <w:unhideWhenUsed/>
    <w:qFormat/>
    <w:rsid w:val="00450DE1"/>
    <w:pPr>
      <w:spacing w:before="360" w:after="120" w:line="240" w:lineRule="atLeast"/>
    </w:pPr>
    <w:rPr>
      <w:b/>
      <w:bCs/>
      <w:szCs w:val="18"/>
    </w:rPr>
  </w:style>
  <w:style w:type="paragraph" w:customStyle="1" w:styleId="Horizontalrule">
    <w:name w:val="Horizontal rule"/>
    <w:basedOn w:val="Normal"/>
    <w:uiPriority w:val="4"/>
    <w:semiHidden/>
    <w:qFormat/>
    <w:rsid w:val="00450DE1"/>
    <w:pPr>
      <w:pBdr>
        <w:bottom w:val="single" w:sz="24" w:space="1" w:color="005A70" w:themeColor="accent1"/>
      </w:pBdr>
      <w:spacing w:after="0" w:line="240" w:lineRule="auto"/>
    </w:pPr>
    <w:rPr>
      <w:noProof/>
    </w:rPr>
  </w:style>
  <w:style w:type="paragraph" w:customStyle="1" w:styleId="Crestwithrule">
    <w:name w:val="Crest with rule"/>
    <w:basedOn w:val="Horizontalrule"/>
    <w:uiPriority w:val="99"/>
    <w:qFormat/>
    <w:rsid w:val="00450DE1"/>
    <w:pPr>
      <w:pBdr>
        <w:bottom w:val="single" w:sz="24" w:space="1" w:color="00B0B9" w:themeColor="accent2"/>
      </w:pBdr>
      <w:ind w:right="-425" w:hanging="284"/>
    </w:pPr>
  </w:style>
  <w:style w:type="table" w:customStyle="1" w:styleId="DSSDatatablestyle">
    <w:name w:val="DSS Data table style"/>
    <w:basedOn w:val="TableNormal"/>
    <w:uiPriority w:val="99"/>
    <w:rsid w:val="008E203C"/>
    <w:pPr>
      <w:spacing w:after="0" w:line="240" w:lineRule="auto"/>
    </w:pPr>
    <w:rPr>
      <w:color w:val="000000" w:themeColor="text1"/>
      <w:sz w:val="22"/>
    </w:rPr>
    <w:tblPr>
      <w:tblStyleRowBandSize w:val="1"/>
      <w:tblStyleColBandSize w:val="1"/>
      <w:tblCellMar>
        <w:top w:w="80" w:type="dxa"/>
        <w:left w:w="80" w:type="dxa"/>
        <w:bottom w:w="80" w:type="dxa"/>
        <w:right w:w="80" w:type="dxa"/>
      </w:tblCellMar>
    </w:tblPr>
    <w:tcPr>
      <w:shd w:val="clear" w:color="auto" w:fill="auto"/>
    </w:tcPr>
    <w:tblStylePr w:type="firstRow">
      <w:pPr>
        <w:wordWrap/>
        <w:spacing w:beforeLines="0" w:before="0" w:beforeAutospacing="0" w:afterLines="0" w:after="0" w:afterAutospacing="0" w:line="240" w:lineRule="auto"/>
        <w:jc w:val="left"/>
      </w:pPr>
      <w:rPr>
        <w:rFonts w:asciiTheme="minorHAnsi" w:hAnsiTheme="minorHAnsi"/>
        <w:b/>
        <w:i w:val="0"/>
        <w:color w:val="FFFFFF" w:themeColor="background1"/>
        <w:sz w:val="22"/>
        <w:u w:val="none"/>
      </w:rPr>
      <w:tblPr/>
      <w:tcPr>
        <w:shd w:val="clear" w:color="auto" w:fill="005A70" w:themeFill="accent1"/>
      </w:tcPr>
    </w:tblStylePr>
    <w:tblStylePr w:type="lastRow">
      <w:pPr>
        <w:jc w:val="left"/>
      </w:pPr>
      <w:rPr>
        <w:rFonts w:asciiTheme="minorHAnsi" w:hAnsiTheme="minorHAnsi"/>
        <w:b/>
        <w:sz w:val="22"/>
        <w:u w:val="none"/>
      </w:rPr>
      <w:tblPr/>
      <w:tcPr>
        <w:tcBorders>
          <w:top w:val="single" w:sz="4" w:space="0" w:color="454545" w:themeColor="text2"/>
        </w:tcBorders>
        <w:shd w:val="clear" w:color="auto" w:fill="FFFFFF" w:themeFill="background1"/>
      </w:tcPr>
    </w:tblStylePr>
    <w:tblStylePr w:type="firstCol">
      <w:rPr>
        <w:b/>
      </w:rPr>
    </w:tblStylePr>
    <w:tblStylePr w:type="lastCol">
      <w:rPr>
        <w:b/>
      </w:rPr>
      <w:tblPr/>
      <w:tcPr>
        <w:tcBorders>
          <w:left w:val="single" w:sz="4" w:space="0" w:color="auto"/>
        </w:tcBorders>
        <w:shd w:val="clear" w:color="auto" w:fill="auto"/>
      </w:tcPr>
    </w:tblStylePr>
    <w:tblStylePr w:type="band2Vert">
      <w:tblPr/>
      <w:tcPr>
        <w:shd w:val="clear" w:color="auto" w:fill="F8F8F8" w:themeFill="background2"/>
      </w:tcPr>
    </w:tblStylePr>
    <w:tblStylePr w:type="band1Horz">
      <w:pPr>
        <w:jc w:val="left"/>
      </w:pPr>
    </w:tblStylePr>
    <w:tblStylePr w:type="band2Horz">
      <w:pPr>
        <w:jc w:val="left"/>
      </w:pPr>
      <w:rPr>
        <w:rFonts w:asciiTheme="minorHAnsi" w:hAnsiTheme="minorHAnsi"/>
        <w:sz w:val="22"/>
      </w:rPr>
      <w:tblPr/>
      <w:tcPr>
        <w:shd w:val="clear" w:color="auto" w:fill="F2F2F2" w:themeFill="background1" w:themeFillShade="F2"/>
      </w:tcPr>
    </w:tblStylePr>
  </w:style>
  <w:style w:type="table" w:customStyle="1" w:styleId="DSSTableStyleB">
    <w:name w:val="DSS Table Style B"/>
    <w:basedOn w:val="TableNormal"/>
    <w:uiPriority w:val="99"/>
    <w:rsid w:val="008E203C"/>
    <w:pPr>
      <w:spacing w:after="0" w:line="240" w:lineRule="auto"/>
    </w:pPr>
    <w:rPr>
      <w:sz w:val="22"/>
    </w:rPr>
    <w:tblPr>
      <w:tblStyleRowBandSize w:val="1"/>
      <w:tblStyleColBandSize w:val="1"/>
      <w:tblCellMar>
        <w:top w:w="80" w:type="dxa"/>
        <w:left w:w="80" w:type="dxa"/>
        <w:bottom w:w="80" w:type="dxa"/>
        <w:right w:w="80" w:type="dxa"/>
      </w:tblCellMar>
    </w:tblPr>
    <w:tblStylePr w:type="firstRow">
      <w:pPr>
        <w:jc w:val="left"/>
      </w:pPr>
      <w:rPr>
        <w:rFonts w:asciiTheme="minorHAnsi" w:hAnsiTheme="minorHAnsi"/>
        <w:b/>
        <w:color w:val="000000" w:themeColor="text1"/>
        <w:sz w:val="22"/>
      </w:rPr>
      <w:tblPr/>
      <w:trPr>
        <w:tblHeader/>
      </w:trPr>
      <w:tcPr>
        <w:shd w:val="clear" w:color="auto" w:fill="B1E4E3"/>
      </w:tcPr>
    </w:tblStylePr>
    <w:tblStylePr w:type="lastRow">
      <w:pPr>
        <w:jc w:val="left"/>
      </w:pPr>
      <w:rPr>
        <w:rFonts w:asciiTheme="minorHAnsi" w:hAnsiTheme="minorHAnsi"/>
        <w:b/>
        <w:color w:val="000000" w:themeColor="text1"/>
        <w:sz w:val="22"/>
      </w:rPr>
      <w:tblPr/>
      <w:tcPr>
        <w:shd w:val="clear" w:color="auto" w:fill="FFFFFF" w:themeFill="background1"/>
      </w:tcPr>
    </w:tblStylePr>
    <w:tblStylePr w:type="band1Horz">
      <w:tblPr/>
      <w:tcPr>
        <w:tcBorders>
          <w:bottom w:val="single" w:sz="4" w:space="0" w:color="D9D9D6" w:themeColor="accent4"/>
        </w:tcBorders>
      </w:tcPr>
    </w:tblStylePr>
    <w:tblStylePr w:type="band2Horz">
      <w:rPr>
        <w14:numSpacing w14:val="tabular"/>
      </w:rPr>
      <w:tblPr/>
      <w:tcPr>
        <w:tcBorders>
          <w:bottom w:val="single" w:sz="4" w:space="0" w:color="D9D9D6" w:themeColor="accent4"/>
        </w:tcBorders>
        <w:shd w:val="clear" w:color="auto" w:fill="FFFFFF" w:themeFill="background1"/>
      </w:tcPr>
    </w:tblStylePr>
  </w:style>
  <w:style w:type="character" w:styleId="Emphasis">
    <w:name w:val="Emphasis"/>
    <w:uiPriority w:val="20"/>
    <w:unhideWhenUsed/>
    <w:qFormat/>
    <w:rsid w:val="00450DE1"/>
    <w:rPr>
      <w:b/>
      <w:bCs/>
      <w:i/>
      <w:iCs/>
      <w:spacing w:val="10"/>
      <w:bdr w:val="none" w:sz="0" w:space="0" w:color="auto"/>
      <w:shd w:val="clear" w:color="auto" w:fill="auto"/>
    </w:rPr>
  </w:style>
  <w:style w:type="paragraph" w:customStyle="1" w:styleId="Focus-teal">
    <w:name w:val="Focus - teal"/>
    <w:basedOn w:val="Normal"/>
    <w:next w:val="Normal"/>
    <w:uiPriority w:val="7"/>
    <w:qFormat/>
    <w:rsid w:val="00450DE1"/>
    <w:pPr>
      <w:pBdr>
        <w:top w:val="single" w:sz="4" w:space="4" w:color="005A70" w:themeColor="accent1"/>
        <w:left w:val="single" w:sz="4" w:space="4" w:color="005A70" w:themeColor="accent1"/>
        <w:bottom w:val="single" w:sz="4" w:space="4" w:color="005A70" w:themeColor="accent1"/>
        <w:right w:val="single" w:sz="4" w:space="6" w:color="005A70" w:themeColor="accent1"/>
      </w:pBdr>
      <w:shd w:val="clear" w:color="auto" w:fill="EFF9F9" w:themeFill="accent3" w:themeFillTint="33"/>
    </w:pPr>
  </w:style>
  <w:style w:type="paragraph" w:customStyle="1" w:styleId="Focus-error">
    <w:name w:val="Focus - error"/>
    <w:basedOn w:val="Focus-teal"/>
    <w:next w:val="Normal"/>
    <w:uiPriority w:val="7"/>
    <w:qFormat/>
    <w:rsid w:val="00450DE1"/>
    <w:pPr>
      <w:shd w:val="clear" w:color="auto" w:fill="FFEFEF"/>
    </w:pPr>
  </w:style>
  <w:style w:type="paragraph" w:customStyle="1" w:styleId="Focus-grey">
    <w:name w:val="Focus - grey"/>
    <w:basedOn w:val="Focus-teal"/>
    <w:next w:val="Normal"/>
    <w:uiPriority w:val="7"/>
    <w:qFormat/>
    <w:rsid w:val="00450DE1"/>
    <w:pPr>
      <w:shd w:val="clear" w:color="auto" w:fill="F2F2F2" w:themeFill="background1" w:themeFillShade="F2"/>
    </w:pPr>
  </w:style>
  <w:style w:type="paragraph" w:customStyle="1" w:styleId="Focus-warning">
    <w:name w:val="Focus - warning"/>
    <w:basedOn w:val="Focus-teal"/>
    <w:next w:val="Normal"/>
    <w:uiPriority w:val="7"/>
    <w:qFormat/>
    <w:rsid w:val="00450DE1"/>
    <w:pPr>
      <w:shd w:val="clear" w:color="auto" w:fill="FDF7DB"/>
    </w:pPr>
  </w:style>
  <w:style w:type="character" w:styleId="FollowedHyperlink">
    <w:name w:val="FollowedHyperlink"/>
    <w:basedOn w:val="DefaultParagraphFont"/>
    <w:uiPriority w:val="99"/>
    <w:semiHidden/>
    <w:unhideWhenUsed/>
    <w:rsid w:val="00450DE1"/>
    <w:rPr>
      <w:color w:val="000000" w:themeColor="followedHyperlink"/>
      <w:u w:val="single"/>
    </w:rPr>
  </w:style>
  <w:style w:type="paragraph" w:styleId="Footer">
    <w:name w:val="footer"/>
    <w:basedOn w:val="Normal"/>
    <w:link w:val="FooterChar"/>
    <w:uiPriority w:val="99"/>
    <w:unhideWhenUsed/>
    <w:rsid w:val="00450D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DE1"/>
    <w:rPr>
      <w:spacing w:val="3"/>
      <w:sz w:val="22"/>
    </w:rPr>
  </w:style>
  <w:style w:type="table" w:styleId="GridTable4">
    <w:name w:val="Grid Table 4"/>
    <w:basedOn w:val="TableNormal"/>
    <w:uiPriority w:val="49"/>
    <w:rsid w:val="00450DE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450DE1"/>
    <w:pPr>
      <w:pBdr>
        <w:bottom w:val="single" w:sz="18" w:space="1" w:color="24596E"/>
      </w:pBdr>
      <w:tabs>
        <w:tab w:val="center" w:pos="4513"/>
        <w:tab w:val="right" w:pos="9026"/>
      </w:tabs>
      <w:spacing w:before="600" w:after="720" w:line="240" w:lineRule="auto"/>
    </w:pPr>
    <w:rPr>
      <w:rFonts w:ascii="Georgia" w:hAnsi="Georgia"/>
      <w:color w:val="24596E"/>
    </w:rPr>
  </w:style>
  <w:style w:type="character" w:customStyle="1" w:styleId="HeaderChar">
    <w:name w:val="Header Char"/>
    <w:basedOn w:val="DefaultParagraphFont"/>
    <w:link w:val="Header"/>
    <w:uiPriority w:val="99"/>
    <w:rsid w:val="00450DE1"/>
    <w:rPr>
      <w:rFonts w:ascii="Georgia" w:hAnsi="Georgia"/>
      <w:color w:val="24596E"/>
      <w:spacing w:val="3"/>
      <w:sz w:val="22"/>
    </w:rPr>
  </w:style>
  <w:style w:type="paragraph" w:customStyle="1" w:styleId="Heading1withsubtitle">
    <w:name w:val="Heading 1 (with subtitle)"/>
    <w:basedOn w:val="Heading1"/>
    <w:next w:val="Subtitle"/>
    <w:uiPriority w:val="9"/>
    <w:qFormat/>
    <w:rsid w:val="00450DE1"/>
  </w:style>
  <w:style w:type="paragraph" w:styleId="Subtitle">
    <w:name w:val="Subtitle"/>
    <w:basedOn w:val="Normal"/>
    <w:next w:val="Normal"/>
    <w:link w:val="SubtitleChar"/>
    <w:uiPriority w:val="11"/>
    <w:qFormat/>
    <w:rsid w:val="00450DE1"/>
    <w:pPr>
      <w:spacing w:after="480" w:line="240" w:lineRule="auto"/>
    </w:pPr>
    <w:rPr>
      <w:rFonts w:asciiTheme="majorHAnsi" w:eastAsiaTheme="majorEastAsia" w:hAnsiTheme="majorHAnsi" w:cstheme="majorBidi"/>
      <w:b/>
      <w:iCs/>
      <w:color w:val="000000" w:themeColor="text1"/>
      <w:spacing w:val="6"/>
      <w:sz w:val="32"/>
    </w:rPr>
  </w:style>
  <w:style w:type="character" w:customStyle="1" w:styleId="SubtitleChar">
    <w:name w:val="Subtitle Char"/>
    <w:basedOn w:val="DefaultParagraphFont"/>
    <w:link w:val="Subtitle"/>
    <w:uiPriority w:val="11"/>
    <w:rsid w:val="00450DE1"/>
    <w:rPr>
      <w:rFonts w:asciiTheme="majorHAnsi" w:eastAsiaTheme="majorEastAsia" w:hAnsiTheme="majorHAnsi" w:cstheme="majorBidi"/>
      <w:b/>
      <w:iCs/>
      <w:color w:val="000000" w:themeColor="text1"/>
      <w:spacing w:val="6"/>
      <w:sz w:val="32"/>
    </w:rPr>
  </w:style>
  <w:style w:type="character" w:styleId="Hyperlink">
    <w:name w:val="Hyperlink"/>
    <w:uiPriority w:val="99"/>
    <w:rsid w:val="00450DE1"/>
    <w:rPr>
      <w:rFonts w:asciiTheme="minorHAnsi" w:hAnsiTheme="minorHAnsi"/>
      <w:b w:val="0"/>
      <w:color w:val="0070C0"/>
      <w:u w:val="single"/>
    </w:rPr>
  </w:style>
  <w:style w:type="character" w:styleId="IntenseEmphasis">
    <w:name w:val="Intense Emphasis"/>
    <w:uiPriority w:val="21"/>
    <w:unhideWhenUsed/>
    <w:qFormat/>
    <w:rsid w:val="00450DE1"/>
    <w:rPr>
      <w:b/>
      <w:bCs/>
    </w:rPr>
  </w:style>
  <w:style w:type="paragraph" w:customStyle="1" w:styleId="IntroductionQuote">
    <w:name w:val="Introduction / Quote"/>
    <w:basedOn w:val="Normal"/>
    <w:uiPriority w:val="1"/>
    <w:qFormat/>
    <w:rsid w:val="00450DE1"/>
    <w:pPr>
      <w:spacing w:line="288" w:lineRule="auto"/>
    </w:pPr>
    <w:rPr>
      <w:color w:val="000000" w:themeColor="text1"/>
      <w:sz w:val="28"/>
    </w:rPr>
  </w:style>
  <w:style w:type="paragraph" w:styleId="ListBullet">
    <w:name w:val="List Bullet"/>
    <w:basedOn w:val="Normal"/>
    <w:uiPriority w:val="1"/>
    <w:unhideWhenUsed/>
    <w:qFormat/>
    <w:rsid w:val="00450DE1"/>
    <w:pPr>
      <w:tabs>
        <w:tab w:val="left" w:pos="170"/>
      </w:tabs>
      <w:spacing w:before="120" w:after="180" w:line="280" w:lineRule="atLeast"/>
      <w:ind w:left="533" w:hanging="360"/>
    </w:pPr>
    <w:rPr>
      <w:rFonts w:ascii="Arial" w:eastAsia="Times New Roman" w:hAnsi="Arial" w:cs="Times New Roman"/>
      <w:spacing w:val="4"/>
      <w:lang w:eastAsia="en-AU"/>
    </w:rPr>
  </w:style>
  <w:style w:type="paragraph" w:styleId="ListParagraph">
    <w:name w:val="List Paragraph"/>
    <w:aliases w:val="AR bullet 1,List Paragraph1,List Paragraph11,Number Paragraph,Recommendation,List Paragraph Number,Bullet point,L,Content descriptions,Bullet Point,dot point List Paragraph,Bullet points,List Paragraph2,Bulletr List Paragraph,FooterText,列"/>
    <w:basedOn w:val="Normal"/>
    <w:link w:val="ListParagraphChar"/>
    <w:uiPriority w:val="34"/>
    <w:qFormat/>
    <w:rsid w:val="00B54889"/>
    <w:pPr>
      <w:numPr>
        <w:numId w:val="3"/>
      </w:numPr>
      <w:contextualSpacing/>
    </w:pPr>
  </w:style>
  <w:style w:type="table" w:styleId="ListTable3-Accent6">
    <w:name w:val="List Table 3 Accent 6"/>
    <w:basedOn w:val="TableNormal"/>
    <w:uiPriority w:val="48"/>
    <w:rsid w:val="00450DE1"/>
    <w:pPr>
      <w:spacing w:after="0" w:line="240" w:lineRule="auto"/>
    </w:pPr>
    <w:tblPr>
      <w:tblStyleRowBandSize w:val="1"/>
      <w:tblStyleColBandSize w:val="1"/>
      <w:tblBorders>
        <w:top w:val="single" w:sz="4" w:space="0" w:color="007C82" w:themeColor="accent6"/>
        <w:left w:val="single" w:sz="4" w:space="0" w:color="007C82" w:themeColor="accent6"/>
        <w:bottom w:val="single" w:sz="4" w:space="0" w:color="007C82" w:themeColor="accent6"/>
        <w:right w:val="single" w:sz="4" w:space="0" w:color="007C82" w:themeColor="accent6"/>
      </w:tblBorders>
    </w:tblPr>
    <w:tblStylePr w:type="firstRow">
      <w:rPr>
        <w:b/>
        <w:bCs/>
        <w:color w:val="FFFFFF" w:themeColor="background1"/>
      </w:rPr>
      <w:tblPr/>
      <w:tcPr>
        <w:shd w:val="clear" w:color="auto" w:fill="007C82" w:themeFill="accent6"/>
      </w:tcPr>
    </w:tblStylePr>
    <w:tblStylePr w:type="lastRow">
      <w:rPr>
        <w:b/>
        <w:bCs/>
      </w:rPr>
      <w:tblPr/>
      <w:tcPr>
        <w:tcBorders>
          <w:top w:val="double" w:sz="4" w:space="0" w:color="007C8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C82" w:themeColor="accent6"/>
          <w:right w:val="single" w:sz="4" w:space="0" w:color="007C82" w:themeColor="accent6"/>
        </w:tcBorders>
      </w:tcPr>
    </w:tblStylePr>
    <w:tblStylePr w:type="band1Horz">
      <w:tblPr/>
      <w:tcPr>
        <w:tcBorders>
          <w:top w:val="single" w:sz="4" w:space="0" w:color="007C82" w:themeColor="accent6"/>
          <w:bottom w:val="single" w:sz="4" w:space="0" w:color="007C8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C82" w:themeColor="accent6"/>
          <w:left w:val="nil"/>
        </w:tcBorders>
      </w:tcPr>
    </w:tblStylePr>
    <w:tblStylePr w:type="swCell">
      <w:tblPr/>
      <w:tcPr>
        <w:tcBorders>
          <w:top w:val="double" w:sz="4" w:space="0" w:color="007C82" w:themeColor="accent6"/>
          <w:right w:val="nil"/>
        </w:tcBorders>
      </w:tcPr>
    </w:tblStylePr>
  </w:style>
  <w:style w:type="table" w:styleId="ListTable4-Accent5">
    <w:name w:val="List Table 4 Accent 5"/>
    <w:aliases w:val="DSS - Default striped table"/>
    <w:basedOn w:val="TableNormal"/>
    <w:uiPriority w:val="49"/>
    <w:rsid w:val="00450DE1"/>
    <w:pPr>
      <w:spacing w:after="0" w:line="240" w:lineRule="auto"/>
    </w:pPr>
    <w:rPr>
      <w:color w:val="454545" w:themeColor="text2"/>
      <w:sz w:val="22"/>
      <w14:numSpacing w14:val="tabular"/>
    </w:rPr>
    <w:tblPr>
      <w:tblStyleRowBandSize w:val="1"/>
      <w:tblStyleColBandSize w:val="1"/>
      <w:tblBorders>
        <w:bottom w:val="single" w:sz="6" w:space="0" w:color="D9D9D6" w:themeColor="accent4"/>
      </w:tblBorders>
      <w:tblCellMar>
        <w:top w:w="60" w:type="dxa"/>
        <w:left w:w="60" w:type="dxa"/>
        <w:bottom w:w="60" w:type="dxa"/>
        <w:right w:w="60" w:type="dxa"/>
      </w:tblCellMar>
    </w:tblPr>
    <w:tblStylePr w:type="firstRow">
      <w:pPr>
        <w:wordWrap/>
      </w:pPr>
      <w:rPr>
        <w:b/>
        <w:bCs/>
        <w:color w:val="FFFFFF" w:themeColor="background1"/>
      </w:rPr>
      <w:tblPr/>
      <w:tcPr>
        <w:shd w:val="clear" w:color="auto" w:fill="005A70" w:themeFill="accent1"/>
      </w:tcPr>
    </w:tblStylePr>
    <w:tblStylePr w:type="lastRow">
      <w:rPr>
        <w:b/>
        <w:bCs/>
      </w:rPr>
      <w:tblPr/>
      <w:tcPr>
        <w:tcBorders>
          <w:top w:val="single" w:sz="6" w:space="0" w:color="000000" w:themeColor="text1"/>
        </w:tcBorders>
      </w:tcPr>
    </w:tblStylePr>
    <w:tblStylePr w:type="firstCol">
      <w:rPr>
        <w:b/>
        <w:bCs/>
      </w:rPr>
    </w:tblStylePr>
    <w:tblStylePr w:type="lastCol">
      <w:rPr>
        <w:b/>
        <w:bCs/>
      </w:rPr>
    </w:tblStylePr>
    <w:tblStylePr w:type="band2Vert">
      <w:pPr>
        <w:jc w:val="left"/>
      </w:pPr>
    </w:tblStylePr>
    <w:tblStylePr w:type="band1Horz">
      <w:rPr>
        <w:color w:val="454545" w:themeColor="text2"/>
      </w:rPr>
      <w:tblPr/>
      <w:tcPr>
        <w:tcBorders>
          <w:top w:val="nil"/>
          <w:left w:val="nil"/>
          <w:bottom w:val="single" w:sz="6" w:space="0" w:color="D9D9D6" w:themeColor="accent4"/>
          <w:right w:val="nil"/>
          <w:insideH w:val="nil"/>
          <w:insideV w:val="nil"/>
        </w:tcBorders>
        <w:shd w:val="clear" w:color="auto" w:fill="F8F8F8" w:themeFill="background2"/>
      </w:tcPr>
    </w:tblStylePr>
    <w:tblStylePr w:type="band2Horz">
      <w:tblPr/>
      <w:tcPr>
        <w:tcBorders>
          <w:bottom w:val="single" w:sz="6" w:space="0" w:color="D9D9D6" w:themeColor="accent4"/>
        </w:tcBorders>
      </w:tcPr>
    </w:tblStylePr>
  </w:style>
  <w:style w:type="table" w:customStyle="1" w:styleId="MACtable">
    <w:name w:val="MAC table"/>
    <w:basedOn w:val="TableNormal"/>
    <w:uiPriority w:val="99"/>
    <w:rsid w:val="00450DE1"/>
    <w:pPr>
      <w:spacing w:after="0" w:line="240" w:lineRule="auto"/>
    </w:pPr>
    <w:rPr>
      <w:rFonts w:ascii="Arial" w:hAnsi="Arial"/>
    </w:rPr>
    <w:tblPr>
      <w:tblBorders>
        <w:top w:val="single" w:sz="4" w:space="0" w:color="00B0B9"/>
        <w:left w:val="single" w:sz="4" w:space="0" w:color="00B0B9"/>
        <w:bottom w:val="single" w:sz="4" w:space="0" w:color="00B0B9"/>
        <w:right w:val="single" w:sz="4" w:space="0" w:color="00B0B9"/>
        <w:insideH w:val="single" w:sz="4" w:space="0" w:color="00B0B9"/>
        <w:insideV w:val="single" w:sz="4" w:space="0" w:color="00B0B9"/>
      </w:tblBorders>
    </w:tblPr>
    <w:tcPr>
      <w:shd w:val="clear" w:color="auto" w:fill="auto"/>
    </w:tcPr>
    <w:tblStylePr w:type="firstRow">
      <w:rPr>
        <w:rFonts w:ascii="Arial" w:hAnsi="Arial"/>
        <w:b/>
        <w:color w:val="FFFFFF" w:themeColor="background1"/>
        <w:sz w:val="28"/>
      </w:rPr>
      <w:tblPr/>
      <w:tcPr>
        <w:shd w:val="clear" w:color="auto" w:fill="00B0B9"/>
      </w:tcPr>
    </w:tblStylePr>
    <w:tblStylePr w:type="lastRow">
      <w:rPr>
        <w:b/>
      </w:rPr>
      <w:tblPr/>
      <w:tcPr>
        <w:shd w:val="clear" w:color="auto" w:fill="F2F2F2" w:themeFill="background1" w:themeFillShade="F2"/>
      </w:tcPr>
    </w:tblStylePr>
  </w:style>
  <w:style w:type="paragraph" w:styleId="NoSpacing">
    <w:name w:val="No Spacing"/>
    <w:basedOn w:val="Normal"/>
    <w:link w:val="NoSpacingChar"/>
    <w:uiPriority w:val="1"/>
    <w:qFormat/>
    <w:rsid w:val="00450DE1"/>
    <w:pPr>
      <w:spacing w:after="0" w:line="240" w:lineRule="auto"/>
    </w:pPr>
  </w:style>
  <w:style w:type="character" w:customStyle="1" w:styleId="NoSpacingChar">
    <w:name w:val="No Spacing Char"/>
    <w:basedOn w:val="DefaultParagraphFont"/>
    <w:link w:val="NoSpacing"/>
    <w:uiPriority w:val="1"/>
    <w:rsid w:val="00450DE1"/>
    <w:rPr>
      <w:spacing w:val="3"/>
      <w:sz w:val="22"/>
    </w:rPr>
  </w:style>
  <w:style w:type="paragraph" w:styleId="NormalWeb">
    <w:name w:val="Normal (Web)"/>
    <w:basedOn w:val="Normal"/>
    <w:uiPriority w:val="99"/>
    <w:semiHidden/>
    <w:unhideWhenUsed/>
    <w:rsid w:val="00450DE1"/>
    <w:pPr>
      <w:spacing w:before="100" w:beforeAutospacing="1" w:after="100" w:afterAutospacing="1" w:line="240" w:lineRule="auto"/>
    </w:pPr>
    <w:rPr>
      <w:rFonts w:ascii="Times New Roman" w:hAnsi="Times New Roman"/>
    </w:rPr>
  </w:style>
  <w:style w:type="paragraph" w:customStyle="1" w:styleId="PageNumber1">
    <w:name w:val="Page Number1"/>
    <w:basedOn w:val="Normal"/>
    <w:uiPriority w:val="1"/>
    <w:qFormat/>
    <w:rsid w:val="00450DE1"/>
    <w:pPr>
      <w:spacing w:after="120"/>
    </w:pPr>
    <w:rPr>
      <w:noProof/>
      <w:color w:val="005A70" w:themeColor="accent1"/>
      <w:sz w:val="18"/>
      <w:lang w:eastAsia="en-AU"/>
    </w:rPr>
  </w:style>
  <w:style w:type="paragraph" w:customStyle="1" w:styleId="PageNumber10">
    <w:name w:val="Page Number10"/>
    <w:basedOn w:val="Normal"/>
    <w:uiPriority w:val="1"/>
    <w:semiHidden/>
    <w:unhideWhenUsed/>
    <w:qFormat/>
    <w:rsid w:val="00450DE1"/>
    <w:rPr>
      <w:color w:val="005A70" w:themeColor="accent1"/>
      <w:sz w:val="18"/>
    </w:rPr>
  </w:style>
  <w:style w:type="table" w:styleId="PlainTable1">
    <w:name w:val="Plain Table 1"/>
    <w:basedOn w:val="TableNormal"/>
    <w:uiPriority w:val="41"/>
    <w:rsid w:val="00450DE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lockquotePullouttext">
    <w:name w:val="Blockquote / Pullout text"/>
    <w:basedOn w:val="Normal"/>
    <w:next w:val="Normal"/>
    <w:link w:val="BlockquotePullouttextChar"/>
    <w:uiPriority w:val="5"/>
    <w:qFormat/>
    <w:rsid w:val="00A50A61"/>
    <w:pPr>
      <w:keepLines/>
      <w:pBdr>
        <w:left w:val="single" w:sz="18" w:space="16" w:color="00B0B9" w:themeColor="accent2"/>
      </w:pBdr>
      <w:shd w:val="clear" w:color="auto" w:fill="FFFFFF" w:themeFill="background1"/>
      <w:spacing w:before="280" w:after="280"/>
      <w:ind w:left="601"/>
      <w:contextualSpacing/>
    </w:pPr>
    <w:rPr>
      <w:rFonts w:asciiTheme="majorHAnsi" w:eastAsia="Times New Roman" w:hAnsiTheme="majorHAnsi" w:cs="Arial"/>
      <w:bCs/>
      <w:iCs/>
      <w:szCs w:val="28"/>
      <w:lang w:eastAsia="en-AU"/>
    </w:rPr>
  </w:style>
  <w:style w:type="character" w:customStyle="1" w:styleId="BlockquotePullouttextChar">
    <w:name w:val="Blockquote / Pullout text Char"/>
    <w:basedOn w:val="Heading2Char"/>
    <w:link w:val="BlockquotePullouttext"/>
    <w:uiPriority w:val="5"/>
    <w:rsid w:val="00A50A61"/>
    <w:rPr>
      <w:rFonts w:asciiTheme="majorHAnsi" w:eastAsia="Times New Roman" w:hAnsiTheme="majorHAnsi" w:cs="Arial"/>
      <w:bCs/>
      <w:iCs/>
      <w:color w:val="005A70" w:themeColor="accent1"/>
      <w:spacing w:val="3"/>
      <w:sz w:val="22"/>
      <w:szCs w:val="28"/>
      <w:shd w:val="clear" w:color="auto" w:fill="FFFFFF" w:themeFill="background1"/>
      <w:lang w:eastAsia="en-AU"/>
    </w:rPr>
  </w:style>
  <w:style w:type="paragraph" w:customStyle="1" w:styleId="Smalltext">
    <w:name w:val="Small text"/>
    <w:basedOn w:val="Normal"/>
    <w:unhideWhenUsed/>
    <w:rsid w:val="00450DE1"/>
    <w:pPr>
      <w:spacing w:after="120" w:line="240" w:lineRule="auto"/>
    </w:pPr>
    <w:rPr>
      <w:sz w:val="12"/>
      <w:szCs w:val="16"/>
      <w:lang w:val="en-US"/>
    </w:rPr>
  </w:style>
  <w:style w:type="character" w:styleId="Strong">
    <w:name w:val="Strong"/>
    <w:aliases w:val="Bold"/>
    <w:uiPriority w:val="22"/>
    <w:qFormat/>
    <w:rsid w:val="00450DE1"/>
    <w:rPr>
      <w:b/>
      <w:bCs/>
    </w:rPr>
  </w:style>
  <w:style w:type="numbering" w:customStyle="1" w:styleId="AusGovStyleManualList">
    <w:name w:val="AusGov Style Manual List"/>
    <w:uiPriority w:val="99"/>
    <w:rsid w:val="00E41ED7"/>
    <w:pPr>
      <w:numPr>
        <w:numId w:val="2"/>
      </w:numPr>
    </w:pPr>
  </w:style>
  <w:style w:type="table" w:styleId="TableGrid">
    <w:name w:val="Table Grid"/>
    <w:aliases w:val="H: Horizontal table,Numerical table"/>
    <w:basedOn w:val="TableNormal"/>
    <w:uiPriority w:val="59"/>
    <w:rsid w:val="00450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50DE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color w:val="FFFFFF" w:themeColor="background1"/>
      </w:rPr>
      <w:tblPr/>
      <w:tcPr>
        <w:shd w:val="clear" w:color="auto" w:fill="005A70" w:themeFill="accent1"/>
      </w:tcPr>
    </w:tblStylePr>
  </w:style>
  <w:style w:type="paragraph" w:customStyle="1" w:styleId="Tabletext-detailed">
    <w:name w:val="Table text - detailed"/>
    <w:basedOn w:val="NoSpacing"/>
    <w:uiPriority w:val="4"/>
    <w:qFormat/>
    <w:rsid w:val="00450DE1"/>
    <w:pPr>
      <w:spacing w:line="312" w:lineRule="auto"/>
    </w:pPr>
    <w:rPr>
      <w:sz w:val="20"/>
    </w:rPr>
  </w:style>
  <w:style w:type="paragraph" w:customStyle="1" w:styleId="TableChartheading">
    <w:name w:val="Table/Chart heading"/>
    <w:basedOn w:val="Caption"/>
    <w:next w:val="Normal"/>
    <w:uiPriority w:val="4"/>
    <w:qFormat/>
    <w:rsid w:val="00450DE1"/>
    <w:pPr>
      <w:spacing w:line="288" w:lineRule="auto"/>
    </w:pPr>
    <w:rPr>
      <w:rFonts w:asciiTheme="majorHAnsi" w:hAnsiTheme="majorHAnsi"/>
    </w:rPr>
  </w:style>
  <w:style w:type="paragraph" w:styleId="Title">
    <w:name w:val="Title"/>
    <w:basedOn w:val="Normal"/>
    <w:next w:val="Normal"/>
    <w:link w:val="TitleChar"/>
    <w:uiPriority w:val="10"/>
    <w:unhideWhenUsed/>
    <w:qFormat/>
    <w:rsid w:val="00450DE1"/>
    <w:pPr>
      <w:spacing w:before="1440" w:line="240" w:lineRule="auto"/>
      <w:contextualSpacing/>
    </w:pPr>
    <w:rPr>
      <w:rFonts w:asciiTheme="majorHAnsi" w:eastAsiaTheme="majorEastAsia" w:hAnsiTheme="majorHAnsi" w:cstheme="majorBidi"/>
      <w:color w:val="005A70" w:themeColor="accent1"/>
      <w:sz w:val="66"/>
      <w:szCs w:val="52"/>
    </w:rPr>
  </w:style>
  <w:style w:type="character" w:customStyle="1" w:styleId="TitleChar">
    <w:name w:val="Title Char"/>
    <w:basedOn w:val="DefaultParagraphFont"/>
    <w:link w:val="Title"/>
    <w:uiPriority w:val="10"/>
    <w:rsid w:val="00450DE1"/>
    <w:rPr>
      <w:rFonts w:asciiTheme="majorHAnsi" w:eastAsiaTheme="majorEastAsia" w:hAnsiTheme="majorHAnsi" w:cstheme="majorBidi"/>
      <w:color w:val="005A70" w:themeColor="accent1"/>
      <w:spacing w:val="3"/>
      <w:sz w:val="66"/>
      <w:szCs w:val="52"/>
    </w:rPr>
  </w:style>
  <w:style w:type="paragraph" w:customStyle="1" w:styleId="Titlepage">
    <w:name w:val="Title page"/>
    <w:basedOn w:val="Title"/>
    <w:semiHidden/>
    <w:rsid w:val="00450DE1"/>
    <w:pPr>
      <w:spacing w:before="4000"/>
      <w:jc w:val="center"/>
    </w:pPr>
    <w:rPr>
      <w:sz w:val="72"/>
    </w:rPr>
  </w:style>
  <w:style w:type="paragraph" w:styleId="TOC1">
    <w:name w:val="toc 1"/>
    <w:basedOn w:val="Normal"/>
    <w:next w:val="Normal"/>
    <w:autoRedefine/>
    <w:uiPriority w:val="39"/>
    <w:unhideWhenUsed/>
    <w:rsid w:val="003C5F4F"/>
    <w:pPr>
      <w:tabs>
        <w:tab w:val="right" w:leader="dot" w:pos="10194"/>
      </w:tabs>
      <w:spacing w:after="100"/>
    </w:pPr>
  </w:style>
  <w:style w:type="paragraph" w:styleId="TOC2">
    <w:name w:val="toc 2"/>
    <w:basedOn w:val="Normal"/>
    <w:next w:val="Normal"/>
    <w:autoRedefine/>
    <w:uiPriority w:val="39"/>
    <w:unhideWhenUsed/>
    <w:rsid w:val="00C62E47"/>
    <w:pPr>
      <w:tabs>
        <w:tab w:val="right" w:leader="dot" w:pos="10194"/>
      </w:tabs>
      <w:spacing w:after="100"/>
      <w:ind w:left="200"/>
    </w:pPr>
    <w:rPr>
      <w:noProof/>
    </w:rPr>
  </w:style>
  <w:style w:type="paragraph" w:styleId="TOC3">
    <w:name w:val="toc 3"/>
    <w:basedOn w:val="Normal"/>
    <w:next w:val="Normal"/>
    <w:autoRedefine/>
    <w:uiPriority w:val="39"/>
    <w:unhideWhenUsed/>
    <w:rsid w:val="00450DE1"/>
    <w:pPr>
      <w:spacing w:after="100"/>
      <w:ind w:left="400"/>
    </w:pPr>
  </w:style>
  <w:style w:type="paragraph" w:styleId="TOCHeading">
    <w:name w:val="TOC Heading"/>
    <w:basedOn w:val="Heading2"/>
    <w:next w:val="Normal"/>
    <w:uiPriority w:val="39"/>
    <w:unhideWhenUsed/>
    <w:qFormat/>
    <w:rsid w:val="00450DE1"/>
  </w:style>
  <w:style w:type="character" w:styleId="CommentReference">
    <w:name w:val="annotation reference"/>
    <w:basedOn w:val="DefaultParagraphFont"/>
    <w:uiPriority w:val="99"/>
    <w:semiHidden/>
    <w:unhideWhenUsed/>
    <w:rsid w:val="005261E6"/>
    <w:rPr>
      <w:sz w:val="16"/>
      <w:szCs w:val="16"/>
    </w:rPr>
  </w:style>
  <w:style w:type="paragraph" w:styleId="CommentText">
    <w:name w:val="annotation text"/>
    <w:basedOn w:val="Normal"/>
    <w:link w:val="CommentTextChar"/>
    <w:uiPriority w:val="99"/>
    <w:unhideWhenUsed/>
    <w:rsid w:val="005261E6"/>
    <w:pPr>
      <w:spacing w:line="240" w:lineRule="auto"/>
    </w:pPr>
    <w:rPr>
      <w:sz w:val="20"/>
      <w:szCs w:val="20"/>
    </w:rPr>
  </w:style>
  <w:style w:type="character" w:customStyle="1" w:styleId="CommentTextChar">
    <w:name w:val="Comment Text Char"/>
    <w:basedOn w:val="DefaultParagraphFont"/>
    <w:link w:val="CommentText"/>
    <w:uiPriority w:val="99"/>
    <w:rsid w:val="005261E6"/>
    <w:rPr>
      <w:spacing w:val="3"/>
      <w:sz w:val="20"/>
      <w:szCs w:val="20"/>
    </w:rPr>
  </w:style>
  <w:style w:type="paragraph" w:styleId="CommentSubject">
    <w:name w:val="annotation subject"/>
    <w:basedOn w:val="CommentText"/>
    <w:next w:val="CommentText"/>
    <w:link w:val="CommentSubjectChar"/>
    <w:semiHidden/>
    <w:unhideWhenUsed/>
    <w:rsid w:val="005261E6"/>
    <w:rPr>
      <w:b/>
      <w:bCs/>
    </w:rPr>
  </w:style>
  <w:style w:type="character" w:customStyle="1" w:styleId="CommentSubjectChar">
    <w:name w:val="Comment Subject Char"/>
    <w:basedOn w:val="CommentTextChar"/>
    <w:link w:val="CommentSubject"/>
    <w:semiHidden/>
    <w:rsid w:val="005261E6"/>
    <w:rPr>
      <w:b/>
      <w:bCs/>
      <w:spacing w:val="3"/>
      <w:sz w:val="20"/>
      <w:szCs w:val="20"/>
    </w:rPr>
  </w:style>
  <w:style w:type="paragraph" w:styleId="Revision">
    <w:name w:val="Revision"/>
    <w:hidden/>
    <w:uiPriority w:val="99"/>
    <w:semiHidden/>
    <w:rsid w:val="00807AA2"/>
    <w:pPr>
      <w:spacing w:after="0" w:line="240" w:lineRule="auto"/>
    </w:pPr>
    <w:rPr>
      <w:spacing w:val="3"/>
      <w:sz w:val="22"/>
    </w:rPr>
  </w:style>
  <w:style w:type="paragraph" w:styleId="TableofFigures">
    <w:name w:val="table of figures"/>
    <w:basedOn w:val="Normal"/>
    <w:next w:val="Normal"/>
    <w:uiPriority w:val="99"/>
    <w:unhideWhenUsed/>
    <w:rsid w:val="00F07ED1"/>
    <w:pPr>
      <w:spacing w:after="0"/>
      <w:ind w:left="440" w:hanging="440"/>
    </w:pPr>
    <w:rPr>
      <w:rFonts w:cstheme="minorHAnsi"/>
      <w:b/>
      <w:bCs/>
      <w:sz w:val="20"/>
      <w:szCs w:val="20"/>
    </w:rPr>
  </w:style>
  <w:style w:type="character" w:styleId="Mention">
    <w:name w:val="Mention"/>
    <w:basedOn w:val="DefaultParagraphFont"/>
    <w:uiPriority w:val="99"/>
    <w:unhideWhenUsed/>
    <w:rsid w:val="006E2ACE"/>
    <w:rPr>
      <w:color w:val="2B579A"/>
      <w:shd w:val="clear" w:color="auto" w:fill="E1DFDD"/>
    </w:rPr>
  </w:style>
  <w:style w:type="paragraph" w:customStyle="1" w:styleId="Tableimagenote">
    <w:name w:val="Table/image note"/>
    <w:basedOn w:val="Normal"/>
    <w:next w:val="Normal"/>
    <w:uiPriority w:val="4"/>
    <w:qFormat/>
    <w:rsid w:val="00CB3627"/>
    <w:pPr>
      <w:spacing w:before="120"/>
      <w:contextualSpacing/>
    </w:pPr>
    <w:rPr>
      <w:color w:val="595959" w:themeColor="text1" w:themeTint="A6"/>
      <w:sz w:val="20"/>
    </w:rPr>
  </w:style>
  <w:style w:type="paragraph" w:styleId="ListNumber">
    <w:name w:val="List Number"/>
    <w:basedOn w:val="Normal"/>
    <w:uiPriority w:val="99"/>
    <w:unhideWhenUsed/>
    <w:qFormat/>
    <w:rsid w:val="00041D69"/>
    <w:pPr>
      <w:numPr>
        <w:numId w:val="8"/>
      </w:numPr>
      <w:contextualSpacing/>
    </w:pPr>
  </w:style>
  <w:style w:type="character" w:styleId="UnresolvedMention">
    <w:name w:val="Unresolved Mention"/>
    <w:basedOn w:val="DefaultParagraphFont"/>
    <w:uiPriority w:val="99"/>
    <w:semiHidden/>
    <w:unhideWhenUsed/>
    <w:rsid w:val="00A438DE"/>
    <w:rPr>
      <w:color w:val="605E5C"/>
      <w:shd w:val="clear" w:color="auto" w:fill="E1DFDD"/>
    </w:rPr>
  </w:style>
  <w:style w:type="paragraph" w:styleId="BodyText">
    <w:name w:val="Body Text"/>
    <w:basedOn w:val="Normal"/>
    <w:link w:val="BodyTextChar"/>
    <w:uiPriority w:val="1"/>
    <w:qFormat/>
    <w:rsid w:val="00802998"/>
    <w:pPr>
      <w:widowControl w:val="0"/>
      <w:autoSpaceDE w:val="0"/>
      <w:autoSpaceDN w:val="0"/>
      <w:spacing w:after="0" w:line="240" w:lineRule="auto"/>
    </w:pPr>
    <w:rPr>
      <w:rFonts w:ascii="Arial" w:eastAsia="Arial" w:hAnsi="Arial" w:cs="Arial"/>
      <w:spacing w:val="0"/>
      <w:sz w:val="20"/>
      <w:szCs w:val="20"/>
      <w:lang w:val="en-US" w:eastAsia="en-AU"/>
    </w:rPr>
  </w:style>
  <w:style w:type="character" w:customStyle="1" w:styleId="BodyTextChar">
    <w:name w:val="Body Text Char"/>
    <w:basedOn w:val="DefaultParagraphFont"/>
    <w:link w:val="BodyText"/>
    <w:uiPriority w:val="1"/>
    <w:rsid w:val="00802998"/>
    <w:rPr>
      <w:rFonts w:ascii="Arial" w:eastAsia="Arial" w:hAnsi="Arial" w:cs="Arial"/>
      <w:sz w:val="20"/>
      <w:szCs w:val="20"/>
      <w:lang w:val="en-US" w:eastAsia="en-AU"/>
    </w:rPr>
  </w:style>
  <w:style w:type="numbering" w:customStyle="1" w:styleId="DSSBulletList">
    <w:name w:val="DSS Bullet List"/>
    <w:uiPriority w:val="99"/>
    <w:rsid w:val="00A73FA3"/>
    <w:pPr>
      <w:numPr>
        <w:numId w:val="4"/>
      </w:numPr>
    </w:pPr>
  </w:style>
  <w:style w:type="character" w:customStyle="1" w:styleId="ListParagraphChar">
    <w:name w:val="List Paragraph Char"/>
    <w:aliases w:val="AR bullet 1 Char,List Paragraph1 Char,List Paragraph11 Char,Number Paragraph Char,Recommendation Char,List Paragraph Number Char,Bullet point Char,L Char,Content descriptions Char,Bullet Point Char,dot point List Paragraph Char"/>
    <w:basedOn w:val="DefaultParagraphFont"/>
    <w:link w:val="ListParagraph"/>
    <w:uiPriority w:val="34"/>
    <w:qFormat/>
    <w:locked/>
    <w:rsid w:val="00A73FA3"/>
    <w:rPr>
      <w:spacing w:val="3"/>
      <w:sz w:val="22"/>
    </w:rPr>
  </w:style>
  <w:style w:type="table" w:customStyle="1" w:styleId="TableGrid101">
    <w:name w:val="Table Grid101"/>
    <w:basedOn w:val="TableNormal"/>
    <w:uiPriority w:val="39"/>
    <w:rsid w:val="00A73FA3"/>
    <w:pPr>
      <w:spacing w:after="160" w:line="259" w:lineRule="auto"/>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F47BAD"/>
    <w:pPr>
      <w:spacing w:before="100" w:beforeAutospacing="1" w:after="100" w:afterAutospacing="1" w:line="240" w:lineRule="auto"/>
      <w:ind w:left="300"/>
    </w:pPr>
    <w:rPr>
      <w:rFonts w:ascii="Times New Roman" w:eastAsia="Times New Roman" w:hAnsi="Times New Roman" w:cs="Times New Roman"/>
      <w:spacing w:val="0"/>
      <w:sz w:val="24"/>
      <w:lang w:eastAsia="en-AU"/>
    </w:rPr>
  </w:style>
  <w:style w:type="character" w:customStyle="1" w:styleId="cf01">
    <w:name w:val="cf01"/>
    <w:basedOn w:val="DefaultParagraphFont"/>
    <w:rsid w:val="00F47BAD"/>
    <w:rPr>
      <w:rFonts w:ascii="Segoe UI" w:hAnsi="Segoe UI" w:cs="Segoe UI" w:hint="default"/>
      <w:sz w:val="18"/>
      <w:szCs w:val="18"/>
    </w:rPr>
  </w:style>
  <w:style w:type="character" w:customStyle="1" w:styleId="normaltextrun">
    <w:name w:val="normaltextrun"/>
    <w:basedOn w:val="DefaultParagraphFont"/>
    <w:rsid w:val="00D3565B"/>
  </w:style>
  <w:style w:type="character" w:customStyle="1" w:styleId="eop">
    <w:name w:val="eop"/>
    <w:basedOn w:val="DefaultParagraphFont"/>
    <w:rsid w:val="00D3565B"/>
  </w:style>
  <w:style w:type="table" w:styleId="GridTable5Dark-Accent3">
    <w:name w:val="Grid Table 5 Dark Accent 3"/>
    <w:basedOn w:val="TableNormal"/>
    <w:uiPriority w:val="50"/>
    <w:rsid w:val="00D356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9F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E4E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E4E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E4E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E4E3" w:themeFill="accent3"/>
      </w:tcPr>
    </w:tblStylePr>
    <w:tblStylePr w:type="band1Vert">
      <w:tblPr/>
      <w:tcPr>
        <w:shd w:val="clear" w:color="auto" w:fill="DFF4F3" w:themeFill="accent3" w:themeFillTint="66"/>
      </w:tcPr>
    </w:tblStylePr>
    <w:tblStylePr w:type="band1Horz">
      <w:tblPr/>
      <w:tcPr>
        <w:shd w:val="clear" w:color="auto" w:fill="DFF4F3" w:themeFill="accent3" w:themeFillTint="66"/>
      </w:tcPr>
    </w:tblStylePr>
  </w:style>
  <w:style w:type="paragraph" w:customStyle="1" w:styleId="BlockquoteorPullouttext">
    <w:name w:val="Blockquote or Pullout text"/>
    <w:basedOn w:val="Normal"/>
    <w:next w:val="Normal"/>
    <w:link w:val="BlockquoteorPullouttextChar"/>
    <w:uiPriority w:val="5"/>
    <w:qFormat/>
    <w:rsid w:val="00E71249"/>
    <w:pPr>
      <w:keepLines/>
      <w:pBdr>
        <w:left w:val="single" w:sz="18" w:space="16" w:color="00B0B9" w:themeColor="accent2"/>
      </w:pBdr>
      <w:shd w:val="clear" w:color="auto" w:fill="FFFFFF" w:themeFill="background1"/>
      <w:spacing w:before="280" w:after="280"/>
      <w:ind w:left="567"/>
      <w:contextualSpacing/>
    </w:pPr>
    <w:rPr>
      <w:rFonts w:asciiTheme="majorHAnsi" w:eastAsia="Times New Roman" w:hAnsiTheme="majorHAnsi" w:cs="Arial"/>
      <w:bCs/>
      <w:iCs/>
      <w:color w:val="005A70" w:themeColor="accent1"/>
      <w:szCs w:val="28"/>
      <w:lang w:eastAsia="en-AU"/>
    </w:rPr>
  </w:style>
  <w:style w:type="character" w:customStyle="1" w:styleId="BlockquoteorPullouttextChar">
    <w:name w:val="Blockquote or Pullout text Char"/>
    <w:basedOn w:val="Heading2Char"/>
    <w:link w:val="BlockquoteorPullouttext"/>
    <w:uiPriority w:val="5"/>
    <w:rsid w:val="00E71249"/>
    <w:rPr>
      <w:rFonts w:asciiTheme="majorHAnsi" w:eastAsia="Times New Roman" w:hAnsiTheme="majorHAnsi" w:cs="Arial"/>
      <w:bCs/>
      <w:iCs/>
      <w:color w:val="005A70" w:themeColor="accent1"/>
      <w:spacing w:val="3"/>
      <w:sz w:val="22"/>
      <w:szCs w:val="28"/>
      <w:shd w:val="clear" w:color="auto" w:fill="FFFFFF" w:themeFill="background1"/>
      <w:lang w:eastAsia="en-AU"/>
    </w:rPr>
  </w:style>
  <w:style w:type="character" w:styleId="SubtleEmphasis">
    <w:name w:val="Subtle Emphasis"/>
    <w:uiPriority w:val="19"/>
    <w:qFormat/>
    <w:rsid w:val="00E71249"/>
    <w:rPr>
      <w:i/>
      <w:iCs/>
    </w:rPr>
  </w:style>
  <w:style w:type="paragraph" w:customStyle="1" w:styleId="Tableimagecaption">
    <w:name w:val="Table/image caption"/>
    <w:basedOn w:val="Normal"/>
    <w:next w:val="Normal"/>
    <w:uiPriority w:val="4"/>
    <w:qFormat/>
    <w:rsid w:val="00E71249"/>
    <w:pPr>
      <w:spacing w:before="120"/>
      <w:contextualSpacing/>
    </w:pPr>
    <w:rPr>
      <w:color w:val="595959" w:themeColor="text1" w:themeTint="A6"/>
      <w:sz w:val="20"/>
    </w:rPr>
  </w:style>
  <w:style w:type="paragraph" w:customStyle="1" w:styleId="Spacer">
    <w:name w:val="Spacer"/>
    <w:basedOn w:val="Normal"/>
    <w:uiPriority w:val="39"/>
    <w:semiHidden/>
    <w:qFormat/>
    <w:rsid w:val="00E71249"/>
    <w:pPr>
      <w:spacing w:after="0" w:line="240" w:lineRule="auto"/>
    </w:pPr>
    <w:rPr>
      <w:sz w:val="2"/>
    </w:rPr>
  </w:style>
  <w:style w:type="character" w:styleId="PlaceholderText">
    <w:name w:val="Placeholder Text"/>
    <w:basedOn w:val="DefaultParagraphFont"/>
    <w:uiPriority w:val="99"/>
    <w:semiHidden/>
    <w:rsid w:val="00E71249"/>
    <w:rPr>
      <w:color w:val="666666"/>
    </w:rPr>
  </w:style>
  <w:style w:type="paragraph" w:styleId="ListBullet2">
    <w:name w:val="List Bullet 2"/>
    <w:basedOn w:val="ListBullet"/>
    <w:uiPriority w:val="4"/>
    <w:qFormat/>
    <w:rsid w:val="00E71249"/>
    <w:pPr>
      <w:tabs>
        <w:tab w:val="clear" w:pos="170"/>
      </w:tabs>
      <w:spacing w:before="0" w:after="200" w:line="300" w:lineRule="auto"/>
      <w:ind w:left="0" w:firstLine="0"/>
      <w:contextualSpacing/>
    </w:pPr>
    <w:rPr>
      <w:rFonts w:asciiTheme="minorHAnsi" w:eastAsiaTheme="minorHAnsi" w:hAnsiTheme="minorHAnsi" w:cstheme="minorBidi"/>
      <w:spacing w:val="3"/>
      <w:lang w:eastAsia="en-US"/>
    </w:rPr>
  </w:style>
  <w:style w:type="paragraph" w:styleId="ListNumber2">
    <w:name w:val="List Number 2"/>
    <w:basedOn w:val="ListNumber"/>
    <w:uiPriority w:val="99"/>
    <w:qFormat/>
    <w:rsid w:val="00E71249"/>
    <w:pPr>
      <w:numPr>
        <w:numId w:val="0"/>
      </w:numPr>
    </w:pPr>
  </w:style>
  <w:style w:type="paragraph" w:styleId="ListBullet3">
    <w:name w:val="List Bullet 3"/>
    <w:basedOn w:val="ListBullet2"/>
    <w:uiPriority w:val="4"/>
    <w:qFormat/>
    <w:rsid w:val="00E71249"/>
  </w:style>
  <w:style w:type="paragraph" w:styleId="ListNumber3">
    <w:name w:val="List Number 3"/>
    <w:basedOn w:val="ListNumber2"/>
    <w:uiPriority w:val="99"/>
    <w:qFormat/>
    <w:rsid w:val="00E71249"/>
  </w:style>
  <w:style w:type="paragraph" w:styleId="TOAHeading">
    <w:name w:val="toa heading"/>
    <w:basedOn w:val="TOCHeading"/>
    <w:next w:val="Normal"/>
    <w:uiPriority w:val="99"/>
    <w:rsid w:val="00E71249"/>
    <w:pPr>
      <w:keepNext/>
      <w:keepLines/>
      <w:spacing w:before="120"/>
    </w:pPr>
  </w:style>
  <w:style w:type="paragraph" w:customStyle="1" w:styleId="CrestwithRule0">
    <w:name w:val="Crest with Rule"/>
    <w:basedOn w:val="Normal"/>
    <w:uiPriority w:val="99"/>
    <w:semiHidden/>
    <w:qFormat/>
    <w:rsid w:val="00E71249"/>
    <w:pPr>
      <w:pBdr>
        <w:bottom w:val="single" w:sz="24" w:space="1" w:color="00B0B9" w:themeColor="accent2"/>
      </w:pBdr>
      <w:ind w:left="-284" w:right="-425"/>
    </w:pPr>
  </w:style>
  <w:style w:type="paragraph" w:customStyle="1" w:styleId="ContactDetails">
    <w:name w:val="ContactDetails"/>
    <w:basedOn w:val="Header"/>
    <w:rsid w:val="00E71249"/>
    <w:pPr>
      <w:framePr w:w="2829" w:h="1060" w:hSpace="181" w:wrap="around" w:vAnchor="page" w:hAnchor="page" w:x="8352" w:y="2305" w:anchorLock="1"/>
      <w:pBdr>
        <w:bottom w:val="none" w:sz="0" w:space="0" w:color="auto"/>
      </w:pBdr>
      <w:tabs>
        <w:tab w:val="clear" w:pos="4513"/>
        <w:tab w:val="clear" w:pos="9026"/>
        <w:tab w:val="center" w:pos="4320"/>
        <w:tab w:val="right" w:pos="8640"/>
      </w:tabs>
      <w:spacing w:before="0" w:after="0" w:line="240" w:lineRule="exact"/>
    </w:pPr>
    <w:rPr>
      <w:rFonts w:ascii="Arial" w:eastAsia="Times New Roman" w:hAnsi="Arial" w:cs="Times New Roman"/>
      <w:color w:val="000000"/>
      <w:spacing w:val="0"/>
      <w:sz w:val="16"/>
      <w:szCs w:val="20"/>
    </w:rPr>
  </w:style>
  <w:style w:type="paragraph" w:customStyle="1" w:styleId="BulletedList">
    <w:name w:val="Bulleted List"/>
    <w:basedOn w:val="Normal"/>
    <w:rsid w:val="00F97E9A"/>
    <w:pPr>
      <w:numPr>
        <w:numId w:val="11"/>
      </w:numPr>
      <w:tabs>
        <w:tab w:val="clear" w:pos="360"/>
      </w:tabs>
      <w:spacing w:before="120" w:after="0" w:line="240" w:lineRule="auto"/>
    </w:pPr>
    <w:rPr>
      <w:rFonts w:ascii="Arial" w:eastAsia="Times New Roman" w:hAnsi="Arial" w:cs="Times New Roman"/>
      <w:spacing w:val="0"/>
      <w:sz w:val="24"/>
      <w:szCs w:val="20"/>
    </w:rPr>
  </w:style>
  <w:style w:type="paragraph" w:customStyle="1" w:styleId="NumberedList">
    <w:name w:val="Numbered List"/>
    <w:basedOn w:val="Normal"/>
    <w:rsid w:val="00F97E9A"/>
    <w:pPr>
      <w:numPr>
        <w:numId w:val="12"/>
      </w:numPr>
      <w:spacing w:before="120" w:after="0" w:line="240" w:lineRule="auto"/>
    </w:pPr>
    <w:rPr>
      <w:rFonts w:ascii="Arial" w:eastAsia="Times New Roman" w:hAnsi="Arial" w:cs="Times New Roman"/>
      <w:spacing w:val="0"/>
      <w:sz w:val="24"/>
      <w:szCs w:val="20"/>
    </w:rPr>
  </w:style>
  <w:style w:type="table" w:customStyle="1" w:styleId="Numericaltable1">
    <w:name w:val="Numerical table1"/>
    <w:basedOn w:val="TableNormal"/>
    <w:uiPriority w:val="39"/>
    <w:rsid w:val="00E71249"/>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BOLD">
    <w:name w:val="Body text BOLD"/>
    <w:basedOn w:val="DefaultParagraphFont"/>
    <w:uiPriority w:val="1"/>
    <w:qFormat/>
    <w:rsid w:val="00E71249"/>
    <w:rPr>
      <w:rFonts w:ascii="Arial" w:hAnsi="Arial" w:cs="Arial" w:hint="default"/>
      <w:b/>
      <w:bCs w:val="0"/>
      <w:color w:val="000000" w:themeColor="text1"/>
    </w:rPr>
  </w:style>
  <w:style w:type="table" w:customStyle="1" w:styleId="Numericaltable11">
    <w:name w:val="Numerical table11"/>
    <w:basedOn w:val="TableNormal"/>
    <w:uiPriority w:val="59"/>
    <w:rsid w:val="00E71249"/>
    <w:pPr>
      <w:spacing w:after="0" w:line="240" w:lineRule="auto"/>
    </w:pPr>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umericaltable111">
    <w:name w:val="Numerical table111"/>
    <w:basedOn w:val="TableNormal"/>
    <w:uiPriority w:val="39"/>
    <w:rsid w:val="00E71249"/>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umericaltable12">
    <w:name w:val="Numerical table12"/>
    <w:basedOn w:val="TableNormal"/>
    <w:next w:val="TableGrid"/>
    <w:uiPriority w:val="39"/>
    <w:rsid w:val="00E71249"/>
    <w:pPr>
      <w:spacing w:after="0" w:line="240" w:lineRule="auto"/>
    </w:pPr>
    <w:rPr>
      <w:rFonts w:ascii="Aptos" w:eastAsia="Times New Roman" w:hAnsi="Apto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uiPriority w:val="39"/>
    <w:rsid w:val="00E7124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umericaltable13">
    <w:name w:val="Numerical table13"/>
    <w:basedOn w:val="TableNormal"/>
    <w:next w:val="TableGrid"/>
    <w:uiPriority w:val="39"/>
    <w:rsid w:val="00E71249"/>
    <w:pPr>
      <w:spacing w:after="0" w:line="240" w:lineRule="auto"/>
    </w:pPr>
    <w:rPr>
      <w:rFonts w:ascii="Aptos" w:eastAsia="Times New Roman" w:hAnsi="Apto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E71249"/>
    <w:pPr>
      <w:spacing w:after="0" w:line="240" w:lineRule="auto"/>
    </w:pPr>
    <w:rPr>
      <w:rFonts w:ascii="Aptos" w:eastAsia="Times New Roman" w:hAnsi="Apto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umericaltable14">
    <w:name w:val="Numerical table14"/>
    <w:basedOn w:val="TableNormal"/>
    <w:next w:val="TableGrid"/>
    <w:uiPriority w:val="39"/>
    <w:rsid w:val="00E71249"/>
    <w:pPr>
      <w:spacing w:after="0" w:line="240" w:lineRule="auto"/>
    </w:pPr>
    <w:rPr>
      <w:rFonts w:ascii="Aptos" w:eastAsia="Times New Roman" w:hAnsi="Apto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
    <w:name w:val="Table Grid392"/>
    <w:basedOn w:val="TableNormal"/>
    <w:next w:val="TableGrid"/>
    <w:uiPriority w:val="39"/>
    <w:rsid w:val="00E71249"/>
    <w:pPr>
      <w:spacing w:after="0" w:line="240" w:lineRule="auto"/>
    </w:pPr>
    <w:rPr>
      <w:rFonts w:ascii="Aptos" w:eastAsia="Times New Roman" w:hAnsi="Apto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umericaltable15">
    <w:name w:val="Numerical table15"/>
    <w:basedOn w:val="TableNormal"/>
    <w:next w:val="TableGrid"/>
    <w:uiPriority w:val="39"/>
    <w:rsid w:val="00E71249"/>
    <w:pPr>
      <w:spacing w:after="0" w:line="240" w:lineRule="auto"/>
    </w:pPr>
    <w:rPr>
      <w:rFonts w:ascii="Aptos" w:eastAsia="Times New Roman" w:hAnsi="Apto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3">
    <w:name w:val="Table Grid393"/>
    <w:basedOn w:val="TableNormal"/>
    <w:next w:val="TableGrid"/>
    <w:uiPriority w:val="39"/>
    <w:rsid w:val="00E71249"/>
    <w:pPr>
      <w:spacing w:after="0" w:line="240" w:lineRule="auto"/>
    </w:pPr>
    <w:rPr>
      <w:rFonts w:ascii="Aptos" w:eastAsia="Times New Roman" w:hAnsi="Apto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umericaltable16">
    <w:name w:val="Numerical table16"/>
    <w:basedOn w:val="TableNormal"/>
    <w:next w:val="TableGrid"/>
    <w:uiPriority w:val="39"/>
    <w:rsid w:val="00E71249"/>
    <w:pPr>
      <w:spacing w:after="0" w:line="240" w:lineRule="auto"/>
    </w:pPr>
    <w:rPr>
      <w:rFonts w:ascii="Aptos" w:eastAsia="Times New Roman" w:hAnsi="Apto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4">
    <w:name w:val="Table Grid394"/>
    <w:basedOn w:val="TableNormal"/>
    <w:next w:val="TableGrid"/>
    <w:uiPriority w:val="39"/>
    <w:rsid w:val="00E71249"/>
    <w:pPr>
      <w:spacing w:after="0" w:line="240" w:lineRule="auto"/>
    </w:pPr>
    <w:rPr>
      <w:rFonts w:ascii="Aptos" w:eastAsia="Times New Roman" w:hAnsi="Apto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rsid w:val="00E7124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umericaltable17">
    <w:name w:val="Numerical table17"/>
    <w:basedOn w:val="TableNormal"/>
    <w:next w:val="TableGrid"/>
    <w:uiPriority w:val="39"/>
    <w:rsid w:val="00E71249"/>
    <w:pPr>
      <w:spacing w:after="0" w:line="240" w:lineRule="auto"/>
    </w:pPr>
    <w:rPr>
      <w:rFonts w:ascii="Aptos" w:eastAsia="Times New Roman" w:hAnsi="Apto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31">
    <w:name w:val="Table Grid3931"/>
    <w:basedOn w:val="TableNormal"/>
    <w:uiPriority w:val="39"/>
    <w:rsid w:val="00E7124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5">
    <w:name w:val="Table Grid395"/>
    <w:basedOn w:val="TableNormal"/>
    <w:next w:val="TableGrid"/>
    <w:uiPriority w:val="39"/>
    <w:rsid w:val="00E71249"/>
    <w:pPr>
      <w:spacing w:after="0" w:line="240" w:lineRule="auto"/>
    </w:pPr>
    <w:rPr>
      <w:rFonts w:ascii="Aptos" w:eastAsia="Times New Roman" w:hAnsi="Apto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umericaltable2">
    <w:name w:val="Numerical table2"/>
    <w:basedOn w:val="TableNormal"/>
    <w:next w:val="TableGrid"/>
    <w:uiPriority w:val="39"/>
    <w:rsid w:val="00E71249"/>
    <w:pPr>
      <w:spacing w:after="0" w:line="240" w:lineRule="auto"/>
    </w:pPr>
    <w:rPr>
      <w:rFonts w:ascii="Aptos" w:eastAsia="Aptos" w:hAnsi="Aptos" w:cs="Times New Roman"/>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umericaltable3">
    <w:name w:val="Numerical table3"/>
    <w:basedOn w:val="TableNormal"/>
    <w:next w:val="TableGrid"/>
    <w:uiPriority w:val="39"/>
    <w:rsid w:val="00E71249"/>
    <w:pPr>
      <w:spacing w:after="160" w:line="259" w:lineRule="auto"/>
    </w:pPr>
    <w:rPr>
      <w:rFonts w:ascii="Aptos" w:eastAsia="Aptos" w:hAnsi="Apto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umericaltable18">
    <w:name w:val="Numerical table18"/>
    <w:basedOn w:val="TableNormal"/>
    <w:next w:val="TableGrid"/>
    <w:uiPriority w:val="39"/>
    <w:rsid w:val="00E71249"/>
    <w:pPr>
      <w:spacing w:after="0" w:line="240" w:lineRule="auto"/>
    </w:pPr>
    <w:rPr>
      <w:rFonts w:ascii="Aptos" w:eastAsia="Times New Roman" w:hAnsi="Apto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6">
    <w:name w:val="Table Grid396"/>
    <w:basedOn w:val="TableNormal"/>
    <w:next w:val="TableGrid"/>
    <w:uiPriority w:val="39"/>
    <w:rsid w:val="00E71249"/>
    <w:pPr>
      <w:spacing w:after="0" w:line="240" w:lineRule="auto"/>
    </w:pPr>
    <w:rPr>
      <w:rFonts w:ascii="Aptos" w:eastAsia="Times New Roman" w:hAnsi="Apto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39"/>
    <w:rsid w:val="00E7124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4">
    <w:name w:val="List Number 4"/>
    <w:basedOn w:val="Normal"/>
    <w:uiPriority w:val="99"/>
    <w:rsid w:val="00E71249"/>
    <w:pPr>
      <w:spacing w:line="276" w:lineRule="auto"/>
    </w:pPr>
    <w:rPr>
      <w:rFonts w:ascii="Arial" w:eastAsia="Calibri" w:hAnsi="Arial" w:cs="Times New Roman"/>
      <w:spacing w:val="0"/>
      <w:szCs w:val="22"/>
    </w:rPr>
  </w:style>
  <w:style w:type="paragraph" w:styleId="ListNumber5">
    <w:name w:val="List Number 5"/>
    <w:basedOn w:val="Normal"/>
    <w:uiPriority w:val="99"/>
    <w:rsid w:val="00E71249"/>
    <w:pPr>
      <w:spacing w:line="276" w:lineRule="auto"/>
    </w:pPr>
    <w:rPr>
      <w:rFonts w:ascii="Arial" w:eastAsia="Calibri" w:hAnsi="Arial" w:cs="Times New Roman"/>
      <w:spacing w:val="0"/>
      <w:szCs w:val="22"/>
    </w:rPr>
  </w:style>
  <w:style w:type="table" w:customStyle="1" w:styleId="TableGrid397">
    <w:name w:val="Table Grid397"/>
    <w:basedOn w:val="TableNormal"/>
    <w:next w:val="TableGrid"/>
    <w:uiPriority w:val="39"/>
    <w:rsid w:val="00E71249"/>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E71249"/>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umericaltable19">
    <w:name w:val="Numerical table19"/>
    <w:basedOn w:val="TableNormal"/>
    <w:next w:val="TableGrid"/>
    <w:uiPriority w:val="39"/>
    <w:rsid w:val="00E71249"/>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8">
    <w:name w:val="Table Grid398"/>
    <w:basedOn w:val="TableNormal"/>
    <w:next w:val="TableGrid"/>
    <w:uiPriority w:val="39"/>
    <w:rsid w:val="00E71249"/>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9">
    <w:name w:val="Table Grid399"/>
    <w:basedOn w:val="TableNormal"/>
    <w:next w:val="TableGrid"/>
    <w:uiPriority w:val="39"/>
    <w:rsid w:val="00E71249"/>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umericaltable110">
    <w:name w:val="Numerical table110"/>
    <w:basedOn w:val="TableNormal"/>
    <w:next w:val="TableGrid"/>
    <w:uiPriority w:val="39"/>
    <w:rsid w:val="00E71249"/>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0">
    <w:name w:val="Table Grid3910"/>
    <w:basedOn w:val="TableNormal"/>
    <w:next w:val="TableGrid"/>
    <w:uiPriority w:val="39"/>
    <w:rsid w:val="00E71249"/>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E7124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71249"/>
  </w:style>
  <w:style w:type="paragraph" w:customStyle="1" w:styleId="Normalmorespace">
    <w:name w:val="Normal (more space)"/>
    <w:basedOn w:val="Normal"/>
    <w:link w:val="NormalmorespaceChar"/>
    <w:qFormat/>
    <w:rsid w:val="00E71249"/>
    <w:pPr>
      <w:suppressAutoHyphens/>
      <w:spacing w:before="120" w:after="120" w:line="259" w:lineRule="auto"/>
    </w:pPr>
    <w:rPr>
      <w:rFonts w:ascii="Arial" w:eastAsia="Times New Roman" w:hAnsi="Arial" w:cs="Times New Roman"/>
      <w:color w:val="000000" w:themeColor="text1"/>
      <w:spacing w:val="0"/>
      <w:sz w:val="20"/>
      <w:szCs w:val="20"/>
      <w:lang w:eastAsia="en-AU"/>
    </w:rPr>
  </w:style>
  <w:style w:type="character" w:customStyle="1" w:styleId="NormalmorespaceChar">
    <w:name w:val="Normal (more space) Char"/>
    <w:basedOn w:val="DefaultParagraphFont"/>
    <w:link w:val="Normalmorespace"/>
    <w:rsid w:val="00E71249"/>
    <w:rPr>
      <w:rFonts w:ascii="Arial" w:eastAsia="Times New Roman" w:hAnsi="Arial" w:cs="Times New Roman"/>
      <w:color w:val="000000" w:themeColor="text1"/>
      <w:sz w:val="20"/>
      <w:szCs w:val="20"/>
      <w:lang w:eastAsia="en-AU"/>
    </w:rPr>
  </w:style>
  <w:style w:type="paragraph" w:customStyle="1" w:styleId="Heading1-NP">
    <w:name w:val="Heading 1 - NP"/>
    <w:basedOn w:val="Heading1"/>
    <w:qFormat/>
    <w:rsid w:val="00E71249"/>
    <w:pPr>
      <w:pageBreakBefore/>
      <w:spacing w:before="400" w:after="40" w:line="300" w:lineRule="auto"/>
      <w:contextualSpacing w:val="0"/>
    </w:pPr>
    <w:rPr>
      <w:rFonts w:ascii="Open Sans" w:eastAsiaTheme="minorHAnsi" w:hAnsi="Open Sans" w:cs="Open Sans"/>
      <w:b w:val="0"/>
      <w:color w:val="275D38"/>
      <w:spacing w:val="0"/>
      <w:sz w:val="48"/>
      <w:szCs w:val="48"/>
    </w:rPr>
  </w:style>
  <w:style w:type="table" w:customStyle="1" w:styleId="Numericaltable4">
    <w:name w:val="Numerical table4"/>
    <w:basedOn w:val="TableNormal"/>
    <w:next w:val="TableGrid"/>
    <w:uiPriority w:val="39"/>
    <w:rsid w:val="00E71249"/>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1">
    <w:name w:val="Table H1"/>
    <w:basedOn w:val="Normal"/>
    <w:qFormat/>
    <w:rsid w:val="00E71249"/>
    <w:pPr>
      <w:tabs>
        <w:tab w:val="left" w:pos="709"/>
      </w:tabs>
      <w:spacing w:before="60" w:after="60" w:line="256" w:lineRule="auto"/>
    </w:pPr>
    <w:rPr>
      <w:rFonts w:ascii="Arial" w:eastAsiaTheme="minorEastAsia" w:hAnsi="Arial" w:cs="Arial"/>
      <w:b/>
      <w:caps/>
      <w:color w:val="FFFFFF" w:themeColor="background1"/>
      <w:spacing w:val="0"/>
      <w:sz w:val="18"/>
      <w:szCs w:val="18"/>
      <w:lang w:val="en-US" w:eastAsia="en-AU"/>
    </w:rPr>
  </w:style>
  <w:style w:type="paragraph" w:customStyle="1" w:styleId="TABLEH2">
    <w:name w:val="TABLE H2"/>
    <w:basedOn w:val="TableH1"/>
    <w:qFormat/>
    <w:rsid w:val="00E71249"/>
  </w:style>
  <w:style w:type="paragraph" w:customStyle="1" w:styleId="TABLEBullets">
    <w:name w:val="TABLE Bullets"/>
    <w:basedOn w:val="Normal"/>
    <w:qFormat/>
    <w:rsid w:val="00F97E9A"/>
    <w:pPr>
      <w:numPr>
        <w:numId w:val="15"/>
      </w:numPr>
      <w:spacing w:before="40" w:after="0" w:line="240" w:lineRule="auto"/>
    </w:pPr>
    <w:rPr>
      <w:rFonts w:ascii="Arial" w:eastAsiaTheme="minorEastAsia" w:hAnsi="Arial" w:cstheme="minorHAnsi"/>
      <w:spacing w:val="0"/>
      <w:sz w:val="18"/>
      <w:szCs w:val="16"/>
      <w:lang w:eastAsia="en-AU"/>
    </w:rPr>
  </w:style>
  <w:style w:type="character" w:customStyle="1" w:styleId="ui-provider">
    <w:name w:val="ui-provider"/>
    <w:basedOn w:val="DefaultParagraphFont"/>
    <w:rsid w:val="00E71249"/>
  </w:style>
  <w:style w:type="character" w:customStyle="1" w:styleId="BodytextITALIC">
    <w:name w:val="Body text ITALIC"/>
    <w:basedOn w:val="DefaultParagraphFont"/>
    <w:uiPriority w:val="1"/>
    <w:qFormat/>
    <w:rsid w:val="00E71249"/>
    <w:rPr>
      <w:rFonts w:ascii="Arial" w:hAnsi="Arial" w:cstheme="minorHAnsi"/>
      <w:i/>
      <w:color w:val="000000"/>
      <w:sz w:val="20"/>
    </w:rPr>
  </w:style>
  <w:style w:type="character" w:customStyle="1" w:styleId="ExampletextCharChar">
    <w:name w:val="Example text Char Char"/>
    <w:link w:val="Exampletext"/>
    <w:locked/>
    <w:rsid w:val="00E71249"/>
    <w:rPr>
      <w:rFonts w:ascii="Book Antiqua" w:hAnsi="Book Antiqua"/>
      <w:i/>
      <w:color w:val="FF0000"/>
    </w:rPr>
  </w:style>
  <w:style w:type="paragraph" w:customStyle="1" w:styleId="Exampletext">
    <w:name w:val="Example text"/>
    <w:basedOn w:val="Normal"/>
    <w:link w:val="ExampletextCharChar"/>
    <w:rsid w:val="00E71249"/>
    <w:pPr>
      <w:keepLines/>
      <w:spacing w:after="240" w:line="260" w:lineRule="exact"/>
      <w:jc w:val="both"/>
    </w:pPr>
    <w:rPr>
      <w:rFonts w:ascii="Book Antiqua" w:hAnsi="Book Antiqua"/>
      <w:i/>
      <w:color w:val="FF0000"/>
      <w:spacing w:val="0"/>
      <w:sz w:val="24"/>
    </w:rPr>
  </w:style>
  <w:style w:type="paragraph" w:styleId="Quote">
    <w:name w:val="Quote"/>
    <w:basedOn w:val="Normal"/>
    <w:next w:val="Normal"/>
    <w:link w:val="QuoteChar"/>
    <w:uiPriority w:val="29"/>
    <w:qFormat/>
    <w:rsid w:val="00E71249"/>
    <w:pPr>
      <w:spacing w:before="120" w:after="120" w:line="259" w:lineRule="auto"/>
      <w:ind w:left="720"/>
    </w:pPr>
    <w:rPr>
      <w:rFonts w:eastAsiaTheme="minorEastAsia"/>
      <w:color w:val="454545" w:themeColor="text2"/>
      <w:spacing w:val="0"/>
      <w:sz w:val="24"/>
      <w:lang w:eastAsia="en-AU"/>
    </w:rPr>
  </w:style>
  <w:style w:type="character" w:customStyle="1" w:styleId="QuoteChar">
    <w:name w:val="Quote Char"/>
    <w:basedOn w:val="DefaultParagraphFont"/>
    <w:link w:val="Quote"/>
    <w:uiPriority w:val="29"/>
    <w:rsid w:val="00E71249"/>
    <w:rPr>
      <w:rFonts w:eastAsiaTheme="minorEastAsia"/>
      <w:color w:val="454545" w:themeColor="text2"/>
      <w:lang w:eastAsia="en-AU"/>
    </w:rPr>
  </w:style>
  <w:style w:type="paragraph" w:styleId="IntenseQuote">
    <w:name w:val="Intense Quote"/>
    <w:basedOn w:val="Normal"/>
    <w:next w:val="Normal"/>
    <w:link w:val="IntenseQuoteChar"/>
    <w:uiPriority w:val="30"/>
    <w:qFormat/>
    <w:rsid w:val="00E71249"/>
    <w:pPr>
      <w:spacing w:before="100" w:beforeAutospacing="1" w:after="240" w:line="240" w:lineRule="auto"/>
      <w:ind w:left="720"/>
      <w:jc w:val="center"/>
    </w:pPr>
    <w:rPr>
      <w:rFonts w:asciiTheme="majorHAnsi" w:eastAsiaTheme="majorEastAsia" w:hAnsiTheme="majorHAnsi" w:cstheme="majorBidi"/>
      <w:color w:val="454545" w:themeColor="text2"/>
      <w:spacing w:val="-6"/>
      <w:sz w:val="32"/>
      <w:szCs w:val="32"/>
      <w:lang w:eastAsia="en-AU"/>
    </w:rPr>
  </w:style>
  <w:style w:type="character" w:customStyle="1" w:styleId="IntenseQuoteChar">
    <w:name w:val="Intense Quote Char"/>
    <w:basedOn w:val="DefaultParagraphFont"/>
    <w:link w:val="IntenseQuote"/>
    <w:uiPriority w:val="30"/>
    <w:rsid w:val="00E71249"/>
    <w:rPr>
      <w:rFonts w:asciiTheme="majorHAnsi" w:eastAsiaTheme="majorEastAsia" w:hAnsiTheme="majorHAnsi" w:cstheme="majorBidi"/>
      <w:color w:val="454545" w:themeColor="text2"/>
      <w:spacing w:val="-6"/>
      <w:sz w:val="32"/>
      <w:szCs w:val="32"/>
      <w:lang w:eastAsia="en-AU"/>
    </w:rPr>
  </w:style>
  <w:style w:type="character" w:styleId="SubtleReference">
    <w:name w:val="Subtle Reference"/>
    <w:basedOn w:val="DefaultParagraphFont"/>
    <w:uiPriority w:val="31"/>
    <w:qFormat/>
    <w:rsid w:val="00E71249"/>
    <w:rPr>
      <w:smallCaps/>
      <w:color w:val="595959" w:themeColor="text1" w:themeTint="A6"/>
      <w:u w:val="none" w:color="7F7F7F"/>
      <w:bdr w:val="none" w:sz="0" w:space="0" w:color="auto"/>
    </w:rPr>
  </w:style>
  <w:style w:type="character" w:styleId="IntenseReference">
    <w:name w:val="Intense Reference"/>
    <w:basedOn w:val="DefaultParagraphFont"/>
    <w:uiPriority w:val="32"/>
    <w:qFormat/>
    <w:rsid w:val="00E71249"/>
    <w:rPr>
      <w:b/>
      <w:bCs/>
      <w:smallCaps/>
      <w:color w:val="454545" w:themeColor="text2"/>
      <w:u w:val="single"/>
    </w:rPr>
  </w:style>
  <w:style w:type="character" w:styleId="BookTitle">
    <w:name w:val="Book Title"/>
    <w:basedOn w:val="DefaultParagraphFont"/>
    <w:uiPriority w:val="33"/>
    <w:qFormat/>
    <w:rsid w:val="00E71249"/>
    <w:rPr>
      <w:b/>
      <w:bCs/>
      <w:smallCaps/>
      <w:spacing w:val="10"/>
    </w:rPr>
  </w:style>
  <w:style w:type="numbering" w:customStyle="1" w:styleId="NoList11">
    <w:name w:val="No List11"/>
    <w:next w:val="NoList"/>
    <w:uiPriority w:val="99"/>
    <w:semiHidden/>
    <w:unhideWhenUsed/>
    <w:rsid w:val="00E71249"/>
  </w:style>
  <w:style w:type="table" w:customStyle="1" w:styleId="TableGrid1">
    <w:name w:val="Table Grid1"/>
    <w:basedOn w:val="TableNormal"/>
    <w:next w:val="TableGrid"/>
    <w:uiPriority w:val="39"/>
    <w:rsid w:val="00E71249"/>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71249"/>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71249"/>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71249"/>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umericaltable1111">
    <w:name w:val="Numerical table1111"/>
    <w:basedOn w:val="TableNormal"/>
    <w:next w:val="TableGrid"/>
    <w:uiPriority w:val="39"/>
    <w:rsid w:val="00E71249"/>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umericaltable21">
    <w:name w:val="Numerical table21"/>
    <w:basedOn w:val="TableNormal"/>
    <w:next w:val="TableGrid"/>
    <w:uiPriority w:val="59"/>
    <w:rsid w:val="00E7124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71249"/>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3">
    <w:name w:val="Grid Table 4 - Accent 33"/>
    <w:basedOn w:val="TableNormal"/>
    <w:next w:val="GridTable4-Accent3"/>
    <w:uiPriority w:val="49"/>
    <w:rsid w:val="00E71249"/>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D0EEEE" w:themeColor="accent3" w:themeTint="99"/>
        <w:left w:val="single" w:sz="4" w:space="0" w:color="D0EEEE" w:themeColor="accent3" w:themeTint="99"/>
        <w:bottom w:val="single" w:sz="4" w:space="0" w:color="D0EEEE" w:themeColor="accent3" w:themeTint="99"/>
        <w:right w:val="single" w:sz="4" w:space="0" w:color="D0EEEE" w:themeColor="accent3" w:themeTint="99"/>
        <w:insideH w:val="single" w:sz="4" w:space="0" w:color="D0EEEE" w:themeColor="accent3" w:themeTint="99"/>
        <w:insideV w:val="single" w:sz="4" w:space="0" w:color="D0EEEE" w:themeColor="accent3" w:themeTint="99"/>
      </w:tblBorders>
    </w:tblPr>
    <w:tblStylePr w:type="firstRow">
      <w:rPr>
        <w:b/>
        <w:bCs/>
        <w:color w:val="FFFFFF" w:themeColor="background1"/>
      </w:rPr>
      <w:tblPr/>
      <w:tcPr>
        <w:tcBorders>
          <w:top w:val="single" w:sz="4" w:space="0" w:color="B1E4E3" w:themeColor="accent3"/>
          <w:left w:val="single" w:sz="4" w:space="0" w:color="B1E4E3" w:themeColor="accent3"/>
          <w:bottom w:val="single" w:sz="4" w:space="0" w:color="B1E4E3" w:themeColor="accent3"/>
          <w:right w:val="single" w:sz="4" w:space="0" w:color="B1E4E3" w:themeColor="accent3"/>
          <w:insideH w:val="nil"/>
          <w:insideV w:val="nil"/>
        </w:tcBorders>
        <w:shd w:val="clear" w:color="auto" w:fill="B1E4E3" w:themeFill="accent3"/>
      </w:tcPr>
    </w:tblStylePr>
    <w:tblStylePr w:type="lastRow">
      <w:rPr>
        <w:b/>
        <w:bCs/>
      </w:rPr>
      <w:tblPr/>
      <w:tcPr>
        <w:tcBorders>
          <w:top w:val="double" w:sz="4" w:space="0" w:color="B1E4E3" w:themeColor="accent3"/>
        </w:tcBorders>
      </w:tcPr>
    </w:tblStylePr>
    <w:tblStylePr w:type="firstCol">
      <w:rPr>
        <w:b/>
        <w:bCs/>
      </w:rPr>
    </w:tblStylePr>
    <w:tblStylePr w:type="lastCol">
      <w:rPr>
        <w:b/>
        <w:bCs/>
      </w:rPr>
    </w:tblStylePr>
    <w:tblStylePr w:type="band1Vert">
      <w:tblPr/>
      <w:tcPr>
        <w:shd w:val="clear" w:color="auto" w:fill="EFF9F9" w:themeFill="accent3" w:themeFillTint="33"/>
      </w:tcPr>
    </w:tblStylePr>
    <w:tblStylePr w:type="band1Horz">
      <w:tblPr/>
      <w:tcPr>
        <w:shd w:val="clear" w:color="auto" w:fill="EFF9F9" w:themeFill="accent3" w:themeFillTint="33"/>
      </w:tcPr>
    </w:tblStylePr>
  </w:style>
  <w:style w:type="table" w:styleId="GridTable4-Accent3">
    <w:name w:val="Grid Table 4 Accent 3"/>
    <w:basedOn w:val="TableNormal"/>
    <w:uiPriority w:val="49"/>
    <w:rsid w:val="00E71249"/>
    <w:pPr>
      <w:spacing w:after="0" w:line="240" w:lineRule="auto"/>
    </w:pPr>
    <w:rPr>
      <w:rFonts w:eastAsiaTheme="minorEastAsia"/>
      <w:sz w:val="22"/>
      <w:szCs w:val="22"/>
      <w:lang w:eastAsia="en-AU"/>
    </w:rPr>
    <w:tblPr>
      <w:tblStyleRowBandSize w:val="1"/>
      <w:tblStyleColBandSize w:val="1"/>
      <w:tblBorders>
        <w:top w:val="single" w:sz="4" w:space="0" w:color="D0EEEE" w:themeColor="accent3" w:themeTint="99"/>
        <w:left w:val="single" w:sz="4" w:space="0" w:color="D0EEEE" w:themeColor="accent3" w:themeTint="99"/>
        <w:bottom w:val="single" w:sz="4" w:space="0" w:color="D0EEEE" w:themeColor="accent3" w:themeTint="99"/>
        <w:right w:val="single" w:sz="4" w:space="0" w:color="D0EEEE" w:themeColor="accent3" w:themeTint="99"/>
        <w:insideH w:val="single" w:sz="4" w:space="0" w:color="D0EEEE" w:themeColor="accent3" w:themeTint="99"/>
        <w:insideV w:val="single" w:sz="4" w:space="0" w:color="D0EEEE" w:themeColor="accent3" w:themeTint="99"/>
      </w:tblBorders>
    </w:tblPr>
    <w:tblStylePr w:type="firstRow">
      <w:rPr>
        <w:b/>
        <w:bCs/>
        <w:color w:val="FFFFFF" w:themeColor="background1"/>
      </w:rPr>
      <w:tblPr/>
      <w:tcPr>
        <w:tcBorders>
          <w:top w:val="single" w:sz="4" w:space="0" w:color="B1E4E3" w:themeColor="accent3"/>
          <w:left w:val="single" w:sz="4" w:space="0" w:color="B1E4E3" w:themeColor="accent3"/>
          <w:bottom w:val="single" w:sz="4" w:space="0" w:color="B1E4E3" w:themeColor="accent3"/>
          <w:right w:val="single" w:sz="4" w:space="0" w:color="B1E4E3" w:themeColor="accent3"/>
          <w:insideH w:val="nil"/>
          <w:insideV w:val="nil"/>
        </w:tcBorders>
        <w:shd w:val="clear" w:color="auto" w:fill="B1E4E3" w:themeFill="accent3"/>
      </w:tcPr>
    </w:tblStylePr>
    <w:tblStylePr w:type="lastRow">
      <w:rPr>
        <w:b/>
        <w:bCs/>
      </w:rPr>
      <w:tblPr/>
      <w:tcPr>
        <w:tcBorders>
          <w:top w:val="double" w:sz="4" w:space="0" w:color="B1E4E3" w:themeColor="accent3"/>
        </w:tcBorders>
      </w:tcPr>
    </w:tblStylePr>
    <w:tblStylePr w:type="firstCol">
      <w:rPr>
        <w:b/>
        <w:bCs/>
      </w:rPr>
    </w:tblStylePr>
    <w:tblStylePr w:type="lastCol">
      <w:rPr>
        <w:b/>
        <w:bCs/>
      </w:rPr>
    </w:tblStylePr>
    <w:tblStylePr w:type="band1Vert">
      <w:tblPr/>
      <w:tcPr>
        <w:shd w:val="clear" w:color="auto" w:fill="EFF9F9" w:themeFill="accent3" w:themeFillTint="33"/>
      </w:tcPr>
    </w:tblStylePr>
    <w:tblStylePr w:type="band1Horz">
      <w:tblPr/>
      <w:tcPr>
        <w:shd w:val="clear" w:color="auto" w:fill="EFF9F9" w:themeFill="accent3" w:themeFillTint="33"/>
      </w:tcPr>
    </w:tblStylePr>
  </w:style>
  <w:style w:type="table" w:customStyle="1" w:styleId="TableGrid8">
    <w:name w:val="Table Grid8"/>
    <w:basedOn w:val="TableNormal"/>
    <w:next w:val="TableGrid"/>
    <w:uiPriority w:val="39"/>
    <w:rsid w:val="00E71249"/>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E71249"/>
    <w:pPr>
      <w:spacing w:after="0" w:line="240" w:lineRule="auto"/>
    </w:pPr>
    <w:rPr>
      <w:rFonts w:ascii="Aptos" w:hAnsi="Aptos" w:cs="Aptos"/>
      <w:spacing w:val="0"/>
      <w:szCs w:val="22"/>
      <w:lang w:eastAsia="en-AU"/>
    </w:rPr>
  </w:style>
  <w:style w:type="paragraph" w:customStyle="1" w:styleId="xnormalmorespace">
    <w:name w:val="x_normalmorespace"/>
    <w:basedOn w:val="Normal"/>
    <w:rsid w:val="00E71249"/>
    <w:pPr>
      <w:spacing w:before="120" w:after="120" w:line="252" w:lineRule="auto"/>
    </w:pPr>
    <w:rPr>
      <w:rFonts w:ascii="Arial" w:hAnsi="Arial" w:cs="Arial"/>
      <w:color w:val="000000"/>
      <w:spacing w:val="0"/>
      <w:sz w:val="20"/>
      <w:szCs w:val="20"/>
      <w:lang w:eastAsia="en-AU"/>
    </w:rPr>
  </w:style>
  <w:style w:type="paragraph" w:customStyle="1" w:styleId="xmsolistparagraph">
    <w:name w:val="x_msolistparagraph"/>
    <w:basedOn w:val="Normal"/>
    <w:rsid w:val="00E71249"/>
    <w:pPr>
      <w:spacing w:after="0" w:line="240" w:lineRule="auto"/>
      <w:ind w:left="720"/>
    </w:pPr>
    <w:rPr>
      <w:rFonts w:ascii="Aptos" w:hAnsi="Aptos" w:cs="Aptos"/>
      <w:spacing w:val="0"/>
      <w:sz w:val="20"/>
      <w:szCs w:val="20"/>
      <w:lang w:eastAsia="en-AU"/>
    </w:rPr>
  </w:style>
  <w:style w:type="numbering" w:customStyle="1" w:styleId="NoList111">
    <w:name w:val="No List111"/>
    <w:next w:val="NoList"/>
    <w:uiPriority w:val="99"/>
    <w:semiHidden/>
    <w:unhideWhenUsed/>
    <w:rsid w:val="00E71249"/>
  </w:style>
  <w:style w:type="table" w:customStyle="1" w:styleId="TableGrid9">
    <w:name w:val="Table Grid9"/>
    <w:basedOn w:val="TableNormal"/>
    <w:next w:val="TableGrid"/>
    <w:uiPriority w:val="39"/>
    <w:rsid w:val="00E71249"/>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1">
    <w:name w:val="Table Grid3921"/>
    <w:basedOn w:val="TableNormal"/>
    <w:uiPriority w:val="39"/>
    <w:rsid w:val="00E7124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E7124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E71249"/>
    <w:pPr>
      <w:spacing w:after="0" w:line="240" w:lineRule="auto"/>
    </w:pPr>
    <w:rPr>
      <w:rFonts w:eastAsiaTheme="minorEastAsia"/>
      <w:spacing w:val="0"/>
      <w:sz w:val="20"/>
      <w:szCs w:val="20"/>
      <w:lang w:eastAsia="en-AU"/>
    </w:rPr>
  </w:style>
  <w:style w:type="character" w:customStyle="1" w:styleId="FootnoteTextChar">
    <w:name w:val="Footnote Text Char"/>
    <w:basedOn w:val="DefaultParagraphFont"/>
    <w:link w:val="FootnoteText"/>
    <w:semiHidden/>
    <w:rsid w:val="00E71249"/>
    <w:rPr>
      <w:rFonts w:eastAsiaTheme="minorEastAsia"/>
      <w:sz w:val="20"/>
      <w:szCs w:val="20"/>
      <w:lang w:eastAsia="en-AU"/>
    </w:rPr>
  </w:style>
  <w:style w:type="character" w:styleId="FootnoteReference">
    <w:name w:val="footnote reference"/>
    <w:basedOn w:val="DefaultParagraphFont"/>
    <w:semiHidden/>
    <w:unhideWhenUsed/>
    <w:rsid w:val="00E71249"/>
    <w:rPr>
      <w:vertAlign w:val="superscript"/>
    </w:rPr>
  </w:style>
  <w:style w:type="paragraph" w:customStyle="1" w:styleId="Style14">
    <w:name w:val="Style14"/>
    <w:basedOn w:val="Normal"/>
    <w:next w:val="Heading4"/>
    <w:link w:val="Style14Char"/>
    <w:qFormat/>
    <w:rsid w:val="00E71249"/>
    <w:pPr>
      <w:suppressAutoHyphens/>
      <w:spacing w:after="120" w:line="259" w:lineRule="auto"/>
    </w:pPr>
    <w:rPr>
      <w:rFonts w:eastAsia="Times New Roman" w:cs="Arial"/>
      <w:b/>
      <w:i/>
      <w:color w:val="000000" w:themeColor="text1"/>
      <w:spacing w:val="0"/>
      <w:sz w:val="20"/>
      <w:szCs w:val="20"/>
      <w:lang w:eastAsia="en-AU"/>
    </w:rPr>
  </w:style>
  <w:style w:type="character" w:customStyle="1" w:styleId="Style14Char">
    <w:name w:val="Style14 Char"/>
    <w:basedOn w:val="DefaultParagraphFont"/>
    <w:link w:val="Style14"/>
    <w:rsid w:val="00E71249"/>
    <w:rPr>
      <w:rFonts w:eastAsia="Times New Roman" w:cs="Arial"/>
      <w:b/>
      <w:i/>
      <w:color w:val="000000" w:themeColor="text1"/>
      <w:sz w:val="20"/>
      <w:szCs w:val="20"/>
      <w:lang w:eastAsia="en-AU"/>
    </w:rPr>
  </w:style>
  <w:style w:type="paragraph" w:customStyle="1" w:styleId="Default">
    <w:name w:val="Default"/>
    <w:rsid w:val="00E71249"/>
    <w:pPr>
      <w:autoSpaceDE w:val="0"/>
      <w:autoSpaceDN w:val="0"/>
      <w:adjustRightInd w:val="0"/>
      <w:spacing w:after="0" w:line="240" w:lineRule="auto"/>
    </w:pPr>
    <w:rPr>
      <w:rFonts w:ascii="Calibri" w:eastAsiaTheme="minorEastAsia" w:hAnsi="Calibri" w:cs="Calibri"/>
      <w:color w:val="000000"/>
      <w:lang w:eastAsia="en-AU"/>
    </w:rPr>
  </w:style>
  <w:style w:type="table" w:customStyle="1" w:styleId="Numericaltable112">
    <w:name w:val="Numerical table112"/>
    <w:basedOn w:val="TableNormal"/>
    <w:next w:val="TableGrid"/>
    <w:uiPriority w:val="39"/>
    <w:rsid w:val="00E71249"/>
    <w:pPr>
      <w:spacing w:after="0" w:line="240" w:lineRule="auto"/>
    </w:pPr>
    <w:rPr>
      <w:rFonts w:ascii="Aptos" w:eastAsia="Times New Roman" w:hAnsi="Apto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1">
    <w:name w:val="Table Grid3911"/>
    <w:basedOn w:val="TableNormal"/>
    <w:next w:val="TableGrid"/>
    <w:uiPriority w:val="39"/>
    <w:rsid w:val="00E71249"/>
    <w:pPr>
      <w:spacing w:after="0" w:line="240" w:lineRule="auto"/>
    </w:pPr>
    <w:rPr>
      <w:rFonts w:ascii="Aptos" w:eastAsia="Times New Roman" w:hAnsi="Apto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umericaltable113">
    <w:name w:val="Numerical table113"/>
    <w:basedOn w:val="TableNormal"/>
    <w:next w:val="TableGrid"/>
    <w:uiPriority w:val="39"/>
    <w:rsid w:val="00E71249"/>
    <w:pPr>
      <w:spacing w:after="0" w:line="240" w:lineRule="auto"/>
    </w:pPr>
    <w:rPr>
      <w:rFonts w:ascii="Aptos" w:eastAsia="Times New Roman" w:hAnsi="Apto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2">
    <w:name w:val="Table Grid3912"/>
    <w:basedOn w:val="TableNormal"/>
    <w:next w:val="TableGrid"/>
    <w:uiPriority w:val="39"/>
    <w:rsid w:val="00E71249"/>
    <w:pPr>
      <w:spacing w:after="0" w:line="240" w:lineRule="auto"/>
    </w:pPr>
    <w:rPr>
      <w:rFonts w:ascii="Aptos" w:eastAsia="Times New Roman" w:hAnsi="Apto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umericaltable1112">
    <w:name w:val="Numerical table1112"/>
    <w:basedOn w:val="TableNormal"/>
    <w:next w:val="TableGrid"/>
    <w:uiPriority w:val="59"/>
    <w:rsid w:val="00E71249"/>
    <w:pPr>
      <w:spacing w:after="0" w:line="240" w:lineRule="auto"/>
    </w:pPr>
    <w:rPr>
      <w:rFonts w:ascii="Times New Roman" w:eastAsia="Times New Roman" w:hAnsi="Times New Roman" w:cs="Times New Roman"/>
      <w:sz w:val="20"/>
      <w:szCs w:val="20"/>
      <w:lang w:eastAsia="en-AU"/>
    </w:rPr>
    <w:tblPr/>
  </w:style>
  <w:style w:type="paragraph" w:styleId="TOC4">
    <w:name w:val="toc 4"/>
    <w:basedOn w:val="Normal"/>
    <w:next w:val="Normal"/>
    <w:autoRedefine/>
    <w:uiPriority w:val="39"/>
    <w:unhideWhenUsed/>
    <w:rsid w:val="008B5BD0"/>
    <w:pPr>
      <w:spacing w:after="100"/>
      <w:ind w:left="660"/>
    </w:pPr>
  </w:style>
  <w:style w:type="paragraph" w:styleId="TOC5">
    <w:name w:val="toc 5"/>
    <w:basedOn w:val="Normal"/>
    <w:next w:val="Normal"/>
    <w:autoRedefine/>
    <w:uiPriority w:val="39"/>
    <w:unhideWhenUsed/>
    <w:rsid w:val="008B5BD0"/>
    <w:pPr>
      <w:spacing w:after="100" w:line="278" w:lineRule="auto"/>
      <w:ind w:left="960"/>
    </w:pPr>
    <w:rPr>
      <w:rFonts w:eastAsiaTheme="minorEastAsia"/>
      <w:spacing w:val="0"/>
      <w:kern w:val="2"/>
      <w:sz w:val="24"/>
      <w:lang w:eastAsia="en-AU"/>
      <w14:ligatures w14:val="standardContextual"/>
    </w:rPr>
  </w:style>
  <w:style w:type="paragraph" w:styleId="TOC6">
    <w:name w:val="toc 6"/>
    <w:basedOn w:val="Normal"/>
    <w:next w:val="Normal"/>
    <w:autoRedefine/>
    <w:uiPriority w:val="39"/>
    <w:unhideWhenUsed/>
    <w:rsid w:val="008B5BD0"/>
    <w:pPr>
      <w:spacing w:after="100" w:line="278" w:lineRule="auto"/>
      <w:ind w:left="1200"/>
    </w:pPr>
    <w:rPr>
      <w:rFonts w:eastAsiaTheme="minorEastAsia"/>
      <w:spacing w:val="0"/>
      <w:kern w:val="2"/>
      <w:sz w:val="24"/>
      <w:lang w:eastAsia="en-AU"/>
      <w14:ligatures w14:val="standardContextual"/>
    </w:rPr>
  </w:style>
  <w:style w:type="paragraph" w:styleId="TOC7">
    <w:name w:val="toc 7"/>
    <w:basedOn w:val="Normal"/>
    <w:next w:val="Normal"/>
    <w:autoRedefine/>
    <w:uiPriority w:val="39"/>
    <w:unhideWhenUsed/>
    <w:rsid w:val="008B5BD0"/>
    <w:pPr>
      <w:spacing w:after="100" w:line="278" w:lineRule="auto"/>
      <w:ind w:left="1440"/>
    </w:pPr>
    <w:rPr>
      <w:rFonts w:eastAsiaTheme="minorEastAsia"/>
      <w:spacing w:val="0"/>
      <w:kern w:val="2"/>
      <w:sz w:val="24"/>
      <w:lang w:eastAsia="en-AU"/>
      <w14:ligatures w14:val="standardContextual"/>
    </w:rPr>
  </w:style>
  <w:style w:type="paragraph" w:styleId="TOC8">
    <w:name w:val="toc 8"/>
    <w:basedOn w:val="Normal"/>
    <w:next w:val="Normal"/>
    <w:autoRedefine/>
    <w:uiPriority w:val="39"/>
    <w:unhideWhenUsed/>
    <w:rsid w:val="008B5BD0"/>
    <w:pPr>
      <w:spacing w:after="100" w:line="278" w:lineRule="auto"/>
      <w:ind w:left="1680"/>
    </w:pPr>
    <w:rPr>
      <w:rFonts w:eastAsiaTheme="minorEastAsia"/>
      <w:spacing w:val="0"/>
      <w:kern w:val="2"/>
      <w:sz w:val="24"/>
      <w:lang w:eastAsia="en-AU"/>
      <w14:ligatures w14:val="standardContextual"/>
    </w:rPr>
  </w:style>
  <w:style w:type="paragraph" w:styleId="TOC9">
    <w:name w:val="toc 9"/>
    <w:basedOn w:val="Normal"/>
    <w:next w:val="Normal"/>
    <w:autoRedefine/>
    <w:uiPriority w:val="39"/>
    <w:unhideWhenUsed/>
    <w:rsid w:val="008B5BD0"/>
    <w:pPr>
      <w:spacing w:after="100" w:line="278" w:lineRule="auto"/>
      <w:ind w:left="1920"/>
    </w:pPr>
    <w:rPr>
      <w:rFonts w:eastAsiaTheme="minorEastAsia"/>
      <w:spacing w:val="0"/>
      <w:kern w:val="2"/>
      <w:sz w:val="24"/>
      <w:lang w:eastAsia="en-AU"/>
      <w14:ligatures w14:val="standardContextual"/>
    </w:rPr>
  </w:style>
  <w:style w:type="paragraph" w:customStyle="1" w:styleId="CPCustom1">
    <w:name w:val="CP Custom 1"/>
    <w:basedOn w:val="Normal"/>
    <w:link w:val="CPCustom1Char"/>
    <w:qFormat/>
    <w:rsid w:val="0080104C"/>
    <w:pPr>
      <w:shd w:val="clear" w:color="auto" w:fill="005A70"/>
      <w:spacing w:before="240" w:after="0" w:line="257" w:lineRule="auto"/>
      <w:outlineLvl w:val="2"/>
    </w:pPr>
    <w:rPr>
      <w:rFonts w:eastAsia="Times New Roman" w:cstheme="minorHAnsi"/>
      <w:b/>
      <w:color w:val="FFFFFF"/>
      <w:szCs w:val="22"/>
      <w:lang w:eastAsia="en-AU"/>
    </w:rPr>
  </w:style>
  <w:style w:type="character" w:customStyle="1" w:styleId="CPCustom1Char">
    <w:name w:val="CP Custom 1 Char"/>
    <w:basedOn w:val="DefaultParagraphFont"/>
    <w:link w:val="CPCustom1"/>
    <w:rsid w:val="0080104C"/>
    <w:rPr>
      <w:rFonts w:eastAsia="Times New Roman" w:cstheme="minorHAnsi"/>
      <w:b/>
      <w:color w:val="FFFFFF"/>
      <w:spacing w:val="3"/>
      <w:sz w:val="22"/>
      <w:szCs w:val="22"/>
      <w:shd w:val="clear" w:color="auto" w:fill="005A70"/>
      <w:lang w:eastAsia="en-AU"/>
    </w:rPr>
  </w:style>
  <w:style w:type="paragraph" w:customStyle="1" w:styleId="CPCustom2">
    <w:name w:val="CP Custom 2"/>
    <w:basedOn w:val="Normal"/>
    <w:link w:val="CPCustom2Char"/>
    <w:qFormat/>
    <w:rsid w:val="0080104C"/>
    <w:pPr>
      <w:shd w:val="clear" w:color="auto" w:fill="B1E4E3"/>
      <w:spacing w:before="60" w:after="60" w:line="257" w:lineRule="auto"/>
      <w:outlineLvl w:val="2"/>
    </w:pPr>
    <w:rPr>
      <w:rFonts w:eastAsia="Times New Roman" w:cstheme="minorHAnsi"/>
      <w:b/>
      <w:szCs w:val="22"/>
      <w:lang w:eastAsia="en-AU"/>
    </w:rPr>
  </w:style>
  <w:style w:type="character" w:customStyle="1" w:styleId="CPCustom2Char">
    <w:name w:val="CP Custom 2 Char"/>
    <w:basedOn w:val="DefaultParagraphFont"/>
    <w:link w:val="CPCustom2"/>
    <w:rsid w:val="0080104C"/>
    <w:rPr>
      <w:rFonts w:eastAsia="Times New Roman" w:cstheme="minorHAnsi"/>
      <w:b/>
      <w:spacing w:val="3"/>
      <w:sz w:val="22"/>
      <w:szCs w:val="22"/>
      <w:shd w:val="clear" w:color="auto" w:fill="B1E4E3"/>
      <w:lang w:eastAsia="en-AU"/>
    </w:rPr>
  </w:style>
  <w:style w:type="paragraph" w:customStyle="1" w:styleId="CPCustom3">
    <w:name w:val="CP Custom 3"/>
    <w:basedOn w:val="Normal"/>
    <w:link w:val="CPCustom3Char"/>
    <w:qFormat/>
    <w:rsid w:val="0080104C"/>
    <w:pPr>
      <w:shd w:val="clear" w:color="auto" w:fill="B1E4E3"/>
      <w:spacing w:before="120" w:after="60" w:line="257" w:lineRule="auto"/>
      <w:outlineLvl w:val="3"/>
    </w:pPr>
    <w:rPr>
      <w:rFonts w:eastAsia="Times New Roman" w:cstheme="minorHAnsi"/>
      <w:b/>
      <w:szCs w:val="22"/>
    </w:rPr>
  </w:style>
  <w:style w:type="character" w:customStyle="1" w:styleId="CPCustom3Char">
    <w:name w:val="CP Custom 3 Char"/>
    <w:basedOn w:val="DefaultParagraphFont"/>
    <w:link w:val="CPCustom3"/>
    <w:rsid w:val="0080104C"/>
    <w:rPr>
      <w:rFonts w:eastAsia="Times New Roman" w:cstheme="minorHAnsi"/>
      <w:b/>
      <w:spacing w:val="3"/>
      <w:sz w:val="22"/>
      <w:szCs w:val="22"/>
      <w:shd w:val="clear" w:color="auto" w:fill="B1E4E3"/>
    </w:rPr>
  </w:style>
  <w:style w:type="paragraph" w:customStyle="1" w:styleId="CPCustom4TOC">
    <w:name w:val="CP Custom 4 TOC"/>
    <w:basedOn w:val="CPCustom2"/>
    <w:link w:val="CPCustom4TOCChar"/>
    <w:qFormat/>
    <w:rsid w:val="005B0CF7"/>
    <w:pPr>
      <w:outlineLvl w:val="3"/>
    </w:pPr>
  </w:style>
  <w:style w:type="character" w:customStyle="1" w:styleId="CPCustom4TOCChar">
    <w:name w:val="CP Custom 4 TOC Char"/>
    <w:basedOn w:val="CPCustom2Char"/>
    <w:link w:val="CPCustom4TOC"/>
    <w:rsid w:val="005B0CF7"/>
    <w:rPr>
      <w:rFonts w:eastAsia="Times New Roman" w:cstheme="minorHAnsi"/>
      <w:b/>
      <w:spacing w:val="3"/>
      <w:sz w:val="22"/>
      <w:szCs w:val="22"/>
      <w:shd w:val="clear" w:color="auto" w:fill="B1E4E3"/>
      <w:lang w:eastAsia="en-AU"/>
    </w:rPr>
  </w:style>
  <w:style w:type="paragraph" w:styleId="EndnoteText">
    <w:name w:val="endnote text"/>
    <w:basedOn w:val="Normal"/>
    <w:link w:val="EndnoteTextChar"/>
    <w:uiPriority w:val="99"/>
    <w:semiHidden/>
    <w:unhideWhenUsed/>
    <w:rsid w:val="006A19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A19A2"/>
    <w:rPr>
      <w:spacing w:val="3"/>
      <w:sz w:val="20"/>
      <w:szCs w:val="20"/>
    </w:rPr>
  </w:style>
  <w:style w:type="character" w:styleId="EndnoteReference">
    <w:name w:val="endnote reference"/>
    <w:basedOn w:val="DefaultParagraphFont"/>
    <w:uiPriority w:val="99"/>
    <w:semiHidden/>
    <w:unhideWhenUsed/>
    <w:rsid w:val="006A19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7503">
      <w:bodyDiv w:val="1"/>
      <w:marLeft w:val="0"/>
      <w:marRight w:val="0"/>
      <w:marTop w:val="0"/>
      <w:marBottom w:val="0"/>
      <w:divBdr>
        <w:top w:val="none" w:sz="0" w:space="0" w:color="auto"/>
        <w:left w:val="none" w:sz="0" w:space="0" w:color="auto"/>
        <w:bottom w:val="none" w:sz="0" w:space="0" w:color="auto"/>
        <w:right w:val="none" w:sz="0" w:space="0" w:color="auto"/>
      </w:divBdr>
      <w:divsChild>
        <w:div w:id="685712420">
          <w:marLeft w:val="0"/>
          <w:marRight w:val="0"/>
          <w:marTop w:val="0"/>
          <w:marBottom w:val="0"/>
          <w:divBdr>
            <w:top w:val="none" w:sz="0" w:space="0" w:color="auto"/>
            <w:left w:val="none" w:sz="0" w:space="0" w:color="auto"/>
            <w:bottom w:val="none" w:sz="0" w:space="0" w:color="auto"/>
            <w:right w:val="none" w:sz="0" w:space="0" w:color="auto"/>
          </w:divBdr>
          <w:divsChild>
            <w:div w:id="53739696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4.0/legalcode" TargetMode="External"/><Relationship Id="rId18" Type="http://schemas.openxmlformats.org/officeDocument/2006/relationships/footer" Target="footer2.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s://www.dss.gov.au/dss-impact-strategy-2025-2030" TargetMode="External"/><Relationship Id="rId7" Type="http://schemas.openxmlformats.org/officeDocument/2006/relationships/endnotes" Target="endnotes.xml"/><Relationship Id="rId12" Type="http://schemas.openxmlformats.org/officeDocument/2006/relationships/hyperlink" Target="https://creativecommons.org/licenses/by/4.0/legalcode" TargetMode="External"/><Relationship Id="rId17" Type="http://schemas.openxmlformats.org/officeDocument/2006/relationships/footer" Target="footer1.xml"/><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pmc.gov.au/honours-and-symbols/commonwealth-coat-arms" TargetMode="External"/><Relationship Id="rId20" Type="http://schemas.openxmlformats.org/officeDocument/2006/relationships/image" Target="media/image7.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ommunication@dss.gov.au" TargetMode="External"/><Relationship Id="rId23" Type="http://schemas.openxmlformats.org/officeDocument/2006/relationships/hyperlink" Target="https://www.pc.gov.au/closing-the-gap-data/dashboard/" TargetMode="External"/><Relationship Id="rId28" Type="http://schemas.openxmlformats.org/officeDocument/2006/relationships/image" Target="media/image12.png"/><Relationship Id="rId10" Type="http://schemas.openxmlformats.org/officeDocument/2006/relationships/image" Target="media/image4.jpeg"/><Relationship Id="rId19" Type="http://schemas.openxmlformats.org/officeDocument/2006/relationships/image" Target="media/image6.jpe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dss.gov.au" TargetMode="External"/><Relationship Id="rId22" Type="http://schemas.openxmlformats.org/officeDocument/2006/relationships/hyperlink" Target="https://www.niaa.gov.au/" TargetMode="External"/><Relationship Id="rId27" Type="http://schemas.openxmlformats.org/officeDocument/2006/relationships/image" Target="media/image11.png"/><Relationship Id="rId30" Type="http://schemas.openxmlformats.org/officeDocument/2006/relationships/image" Target="media/image14.png"/><Relationship Id="rId8"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pwc.com.au/services/artificial-intelligence/2026-ai-business-predictions.html" TargetMode="External"/><Relationship Id="rId3" Type="http://schemas.openxmlformats.org/officeDocument/2006/relationships/hyperlink" Target="https://scanloninstitute.org.au/publications/insights/social-cohesion-insights-09-stretched-thin-the-emotional-toll-of-financial-stress/" TargetMode="External"/><Relationship Id="rId7" Type="http://schemas.openxmlformats.org/officeDocument/2006/relationships/hyperlink" Target="https://www.oecd.org/en/publications/who-will-be-the-workers-most-affected-by-ai_14dc6f89-en.html" TargetMode="External"/><Relationship Id="rId2" Type="http://schemas.openxmlformats.org/officeDocument/2006/relationships/hyperlink" Target="https://www.abs.gov.au/statistics/economy/price-indexes-and-inflation/selected-living-cost-indexes-australia/latest-release" TargetMode="External"/><Relationship Id="rId1" Type="http://schemas.openxmlformats.org/officeDocument/2006/relationships/hyperlink" Target="https://data.gov.au/data/dataset/dss-income-support-recipients-monthly-time-series" TargetMode="External"/><Relationship Id="rId6" Type="http://schemas.openxmlformats.org/officeDocument/2006/relationships/hyperlink" Target="https://reports.weforum.org/docs/WEF_Future_of_Jobs_Report_2025.pdf" TargetMode="External"/><Relationship Id="rId5" Type="http://schemas.openxmlformats.org/officeDocument/2006/relationships/hyperlink" Target="https://data.gov.au/data/dataset/dss-income-support-recipients-monthly-time-series" TargetMode="External"/><Relationship Id="rId4" Type="http://schemas.openxmlformats.org/officeDocument/2006/relationships/hyperlink" Target="https://www.abs.gov.au/statistics/labour/employment-and-unemployment/labour-force-australia/latest-releas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SS Blue">
  <a:themeElements>
    <a:clrScheme name="DSS - Teal">
      <a:dk1>
        <a:sysClr val="windowText" lastClr="000000"/>
      </a:dk1>
      <a:lt1>
        <a:sysClr val="window" lastClr="FFFFFF"/>
      </a:lt1>
      <a:dk2>
        <a:srgbClr val="454545"/>
      </a:dk2>
      <a:lt2>
        <a:srgbClr val="F8F8F8"/>
      </a:lt2>
      <a:accent1>
        <a:srgbClr val="005A70"/>
      </a:accent1>
      <a:accent2>
        <a:srgbClr val="00B0B9"/>
      </a:accent2>
      <a:accent3>
        <a:srgbClr val="B1E4E3"/>
      </a:accent3>
      <a:accent4>
        <a:srgbClr val="D9D9D6"/>
      </a:accent4>
      <a:accent5>
        <a:srgbClr val="003542"/>
      </a:accent5>
      <a:accent6>
        <a:srgbClr val="007C82"/>
      </a:accent6>
      <a:hlink>
        <a:srgbClr val="0000FF"/>
      </a:hlink>
      <a:folHlink>
        <a:srgbClr val="000000"/>
      </a:folHlink>
    </a:clrScheme>
    <a:fontScheme name="DSS 2023 - Tahoma">
      <a:majorFont>
        <a:latin typeface="Tahoma"/>
        <a:ea typeface=""/>
        <a:cs typeface=""/>
      </a:majorFont>
      <a:minorFont>
        <a:latin typeface="Tahoma"/>
        <a:ea typeface=""/>
        <a:cs typeface=""/>
      </a:minorFont>
    </a:fontScheme>
    <a:fmtScheme name="Clarity">
      <a:fillStyleLst>
        <a:solidFill>
          <a:schemeClr val="phClr"/>
        </a:solidFill>
        <a:gradFill rotWithShape="1">
          <a:gsLst>
            <a:gs pos="0">
              <a:schemeClr val="phClr">
                <a:tint val="50000"/>
                <a:shade val="86000"/>
                <a:satMod val="140000"/>
              </a:schemeClr>
            </a:gs>
            <a:gs pos="45000">
              <a:schemeClr val="phClr">
                <a:tint val="48000"/>
                <a:satMod val="150000"/>
              </a:schemeClr>
            </a:gs>
            <a:gs pos="100000">
              <a:schemeClr val="phClr">
                <a:tint val="28000"/>
                <a:satMod val="160000"/>
              </a:schemeClr>
            </a:gs>
          </a:gsLst>
          <a:path path="circle">
            <a:fillToRect l="100000" t="100000" r="100000" b="100000"/>
          </a:path>
        </a:gradFill>
        <a:gradFill rotWithShape="1">
          <a:gsLst>
            <a:gs pos="0">
              <a:schemeClr val="phClr">
                <a:shade val="70000"/>
                <a:satMod val="150000"/>
              </a:schemeClr>
            </a:gs>
            <a:gs pos="34000">
              <a:schemeClr val="phClr">
                <a:shade val="70000"/>
                <a:satMod val="140000"/>
              </a:schemeClr>
            </a:gs>
            <a:gs pos="70000">
              <a:schemeClr val="phClr">
                <a:tint val="100000"/>
                <a:shade val="90000"/>
                <a:satMod val="140000"/>
              </a:schemeClr>
            </a:gs>
            <a:gs pos="100000">
              <a:schemeClr val="phClr">
                <a:tint val="100000"/>
                <a:shade val="100000"/>
                <a:satMod val="100000"/>
              </a:schemeClr>
            </a:gs>
          </a:gsLst>
          <a:path path="circle">
            <a:fillToRect l="100000" t="100000" r="100000" b="100000"/>
          </a:path>
        </a:gradFill>
      </a:fillStyleLst>
      <a:lnStyleLst>
        <a:ln w="9525" cap="flat" cmpd="sng" algn="ctr">
          <a:solidFill>
            <a:schemeClr val="phClr"/>
          </a:solidFill>
          <a:prstDash val="solid"/>
        </a:ln>
        <a:ln w="26425" cap="flat" cmpd="sng" algn="ctr">
          <a:solidFill>
            <a:schemeClr val="phClr"/>
          </a:solidFill>
          <a:prstDash val="solid"/>
        </a:ln>
        <a:ln w="4445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38100" dist="25400" dir="2700000" algn="br" rotWithShape="0">
              <a:srgbClr val="000000">
                <a:alpha val="60000"/>
              </a:srgbClr>
            </a:outerShdw>
          </a:effectLst>
          <a:scene3d>
            <a:camera prst="orthographicFront">
              <a:rot lat="0" lon="0" rev="0"/>
            </a:camera>
            <a:lightRig rig="balanced" dir="t">
              <a:rot lat="0" lon="0" rev="5100000"/>
            </a:lightRig>
          </a:scene3d>
          <a:sp3d contourW="6350">
            <a:bevelT w="29210" h="12700"/>
            <a:contourClr>
              <a:schemeClr val="phClr">
                <a:shade val="3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72835-2493-4C3D-BA08-F8715073C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21534</Words>
  <Characters>127703</Characters>
  <Application>Microsoft Office Word</Application>
  <DocSecurity>0</DocSecurity>
  <Lines>3114</Lines>
  <Paragraphs>1658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147579</CharactersWithSpaces>
  <SharedDoc>false</SharedDoc>
  <HLinks>
    <vt:vector size="228" baseType="variant">
      <vt:variant>
        <vt:i4>7405570</vt:i4>
      </vt:variant>
      <vt:variant>
        <vt:i4>189</vt:i4>
      </vt:variant>
      <vt:variant>
        <vt:i4>0</vt:i4>
      </vt:variant>
      <vt:variant>
        <vt:i4>5</vt:i4>
      </vt:variant>
      <vt:variant>
        <vt:lpwstr>mailto:communication@dss.gov.au</vt:lpwstr>
      </vt:variant>
      <vt:variant>
        <vt:lpwstr/>
      </vt:variant>
      <vt:variant>
        <vt:i4>3276911</vt:i4>
      </vt:variant>
      <vt:variant>
        <vt:i4>186</vt:i4>
      </vt:variant>
      <vt:variant>
        <vt:i4>0</vt:i4>
      </vt:variant>
      <vt:variant>
        <vt:i4>5</vt:i4>
      </vt:variant>
      <vt:variant>
        <vt:lpwstr/>
      </vt:variant>
      <vt:variant>
        <vt:lpwstr>_Heading_5</vt:lpwstr>
      </vt:variant>
      <vt:variant>
        <vt:i4>1179699</vt:i4>
      </vt:variant>
      <vt:variant>
        <vt:i4>179</vt:i4>
      </vt:variant>
      <vt:variant>
        <vt:i4>0</vt:i4>
      </vt:variant>
      <vt:variant>
        <vt:i4>5</vt:i4>
      </vt:variant>
      <vt:variant>
        <vt:lpwstr/>
      </vt:variant>
      <vt:variant>
        <vt:lpwstr>_Toc160616334</vt:lpwstr>
      </vt:variant>
      <vt:variant>
        <vt:i4>1179699</vt:i4>
      </vt:variant>
      <vt:variant>
        <vt:i4>173</vt:i4>
      </vt:variant>
      <vt:variant>
        <vt:i4>0</vt:i4>
      </vt:variant>
      <vt:variant>
        <vt:i4>5</vt:i4>
      </vt:variant>
      <vt:variant>
        <vt:lpwstr/>
      </vt:variant>
      <vt:variant>
        <vt:lpwstr>_Toc160616333</vt:lpwstr>
      </vt:variant>
      <vt:variant>
        <vt:i4>1245235</vt:i4>
      </vt:variant>
      <vt:variant>
        <vt:i4>164</vt:i4>
      </vt:variant>
      <vt:variant>
        <vt:i4>0</vt:i4>
      </vt:variant>
      <vt:variant>
        <vt:i4>5</vt:i4>
      </vt:variant>
      <vt:variant>
        <vt:lpwstr/>
      </vt:variant>
      <vt:variant>
        <vt:lpwstr>_Toc160616324</vt:lpwstr>
      </vt:variant>
      <vt:variant>
        <vt:i4>1507382</vt:i4>
      </vt:variant>
      <vt:variant>
        <vt:i4>155</vt:i4>
      </vt:variant>
      <vt:variant>
        <vt:i4>0</vt:i4>
      </vt:variant>
      <vt:variant>
        <vt:i4>5</vt:i4>
      </vt:variant>
      <vt:variant>
        <vt:lpwstr/>
      </vt:variant>
      <vt:variant>
        <vt:lpwstr>_Toc160720513</vt:lpwstr>
      </vt:variant>
      <vt:variant>
        <vt:i4>1507382</vt:i4>
      </vt:variant>
      <vt:variant>
        <vt:i4>149</vt:i4>
      </vt:variant>
      <vt:variant>
        <vt:i4>0</vt:i4>
      </vt:variant>
      <vt:variant>
        <vt:i4>5</vt:i4>
      </vt:variant>
      <vt:variant>
        <vt:lpwstr/>
      </vt:variant>
      <vt:variant>
        <vt:lpwstr>_Toc160720512</vt:lpwstr>
      </vt:variant>
      <vt:variant>
        <vt:i4>1507382</vt:i4>
      </vt:variant>
      <vt:variant>
        <vt:i4>143</vt:i4>
      </vt:variant>
      <vt:variant>
        <vt:i4>0</vt:i4>
      </vt:variant>
      <vt:variant>
        <vt:i4>5</vt:i4>
      </vt:variant>
      <vt:variant>
        <vt:lpwstr/>
      </vt:variant>
      <vt:variant>
        <vt:lpwstr>_Toc160720511</vt:lpwstr>
      </vt:variant>
      <vt:variant>
        <vt:i4>1507382</vt:i4>
      </vt:variant>
      <vt:variant>
        <vt:i4>137</vt:i4>
      </vt:variant>
      <vt:variant>
        <vt:i4>0</vt:i4>
      </vt:variant>
      <vt:variant>
        <vt:i4>5</vt:i4>
      </vt:variant>
      <vt:variant>
        <vt:lpwstr/>
      </vt:variant>
      <vt:variant>
        <vt:lpwstr>_Toc160720510</vt:lpwstr>
      </vt:variant>
      <vt:variant>
        <vt:i4>1441846</vt:i4>
      </vt:variant>
      <vt:variant>
        <vt:i4>131</vt:i4>
      </vt:variant>
      <vt:variant>
        <vt:i4>0</vt:i4>
      </vt:variant>
      <vt:variant>
        <vt:i4>5</vt:i4>
      </vt:variant>
      <vt:variant>
        <vt:lpwstr/>
      </vt:variant>
      <vt:variant>
        <vt:lpwstr>_Toc160720509</vt:lpwstr>
      </vt:variant>
      <vt:variant>
        <vt:i4>1441846</vt:i4>
      </vt:variant>
      <vt:variant>
        <vt:i4>125</vt:i4>
      </vt:variant>
      <vt:variant>
        <vt:i4>0</vt:i4>
      </vt:variant>
      <vt:variant>
        <vt:i4>5</vt:i4>
      </vt:variant>
      <vt:variant>
        <vt:lpwstr/>
      </vt:variant>
      <vt:variant>
        <vt:lpwstr>_Toc160720508</vt:lpwstr>
      </vt:variant>
      <vt:variant>
        <vt:i4>1441846</vt:i4>
      </vt:variant>
      <vt:variant>
        <vt:i4>119</vt:i4>
      </vt:variant>
      <vt:variant>
        <vt:i4>0</vt:i4>
      </vt:variant>
      <vt:variant>
        <vt:i4>5</vt:i4>
      </vt:variant>
      <vt:variant>
        <vt:lpwstr/>
      </vt:variant>
      <vt:variant>
        <vt:lpwstr>_Toc160720507</vt:lpwstr>
      </vt:variant>
      <vt:variant>
        <vt:i4>1441846</vt:i4>
      </vt:variant>
      <vt:variant>
        <vt:i4>113</vt:i4>
      </vt:variant>
      <vt:variant>
        <vt:i4>0</vt:i4>
      </vt:variant>
      <vt:variant>
        <vt:i4>5</vt:i4>
      </vt:variant>
      <vt:variant>
        <vt:lpwstr/>
      </vt:variant>
      <vt:variant>
        <vt:lpwstr>_Toc160720506</vt:lpwstr>
      </vt:variant>
      <vt:variant>
        <vt:i4>1441846</vt:i4>
      </vt:variant>
      <vt:variant>
        <vt:i4>107</vt:i4>
      </vt:variant>
      <vt:variant>
        <vt:i4>0</vt:i4>
      </vt:variant>
      <vt:variant>
        <vt:i4>5</vt:i4>
      </vt:variant>
      <vt:variant>
        <vt:lpwstr/>
      </vt:variant>
      <vt:variant>
        <vt:lpwstr>_Toc160720505</vt:lpwstr>
      </vt:variant>
      <vt:variant>
        <vt:i4>1441846</vt:i4>
      </vt:variant>
      <vt:variant>
        <vt:i4>101</vt:i4>
      </vt:variant>
      <vt:variant>
        <vt:i4>0</vt:i4>
      </vt:variant>
      <vt:variant>
        <vt:i4>5</vt:i4>
      </vt:variant>
      <vt:variant>
        <vt:lpwstr/>
      </vt:variant>
      <vt:variant>
        <vt:lpwstr>_Toc160720504</vt:lpwstr>
      </vt:variant>
      <vt:variant>
        <vt:i4>1441846</vt:i4>
      </vt:variant>
      <vt:variant>
        <vt:i4>95</vt:i4>
      </vt:variant>
      <vt:variant>
        <vt:i4>0</vt:i4>
      </vt:variant>
      <vt:variant>
        <vt:i4>5</vt:i4>
      </vt:variant>
      <vt:variant>
        <vt:lpwstr/>
      </vt:variant>
      <vt:variant>
        <vt:lpwstr>_Toc160720503</vt:lpwstr>
      </vt:variant>
      <vt:variant>
        <vt:i4>1441846</vt:i4>
      </vt:variant>
      <vt:variant>
        <vt:i4>89</vt:i4>
      </vt:variant>
      <vt:variant>
        <vt:i4>0</vt:i4>
      </vt:variant>
      <vt:variant>
        <vt:i4>5</vt:i4>
      </vt:variant>
      <vt:variant>
        <vt:lpwstr/>
      </vt:variant>
      <vt:variant>
        <vt:lpwstr>_Toc160720502</vt:lpwstr>
      </vt:variant>
      <vt:variant>
        <vt:i4>1441846</vt:i4>
      </vt:variant>
      <vt:variant>
        <vt:i4>83</vt:i4>
      </vt:variant>
      <vt:variant>
        <vt:i4>0</vt:i4>
      </vt:variant>
      <vt:variant>
        <vt:i4>5</vt:i4>
      </vt:variant>
      <vt:variant>
        <vt:lpwstr/>
      </vt:variant>
      <vt:variant>
        <vt:lpwstr>_Toc160720501</vt:lpwstr>
      </vt:variant>
      <vt:variant>
        <vt:i4>1441846</vt:i4>
      </vt:variant>
      <vt:variant>
        <vt:i4>77</vt:i4>
      </vt:variant>
      <vt:variant>
        <vt:i4>0</vt:i4>
      </vt:variant>
      <vt:variant>
        <vt:i4>5</vt:i4>
      </vt:variant>
      <vt:variant>
        <vt:lpwstr/>
      </vt:variant>
      <vt:variant>
        <vt:lpwstr>_Toc160720500</vt:lpwstr>
      </vt:variant>
      <vt:variant>
        <vt:i4>2031671</vt:i4>
      </vt:variant>
      <vt:variant>
        <vt:i4>71</vt:i4>
      </vt:variant>
      <vt:variant>
        <vt:i4>0</vt:i4>
      </vt:variant>
      <vt:variant>
        <vt:i4>5</vt:i4>
      </vt:variant>
      <vt:variant>
        <vt:lpwstr/>
      </vt:variant>
      <vt:variant>
        <vt:lpwstr>_Toc160720499</vt:lpwstr>
      </vt:variant>
      <vt:variant>
        <vt:i4>2031671</vt:i4>
      </vt:variant>
      <vt:variant>
        <vt:i4>65</vt:i4>
      </vt:variant>
      <vt:variant>
        <vt:i4>0</vt:i4>
      </vt:variant>
      <vt:variant>
        <vt:i4>5</vt:i4>
      </vt:variant>
      <vt:variant>
        <vt:lpwstr/>
      </vt:variant>
      <vt:variant>
        <vt:lpwstr>_Toc160720498</vt:lpwstr>
      </vt:variant>
      <vt:variant>
        <vt:i4>2031671</vt:i4>
      </vt:variant>
      <vt:variant>
        <vt:i4>59</vt:i4>
      </vt:variant>
      <vt:variant>
        <vt:i4>0</vt:i4>
      </vt:variant>
      <vt:variant>
        <vt:i4>5</vt:i4>
      </vt:variant>
      <vt:variant>
        <vt:lpwstr/>
      </vt:variant>
      <vt:variant>
        <vt:lpwstr>_Toc160720497</vt:lpwstr>
      </vt:variant>
      <vt:variant>
        <vt:i4>2031671</vt:i4>
      </vt:variant>
      <vt:variant>
        <vt:i4>53</vt:i4>
      </vt:variant>
      <vt:variant>
        <vt:i4>0</vt:i4>
      </vt:variant>
      <vt:variant>
        <vt:i4>5</vt:i4>
      </vt:variant>
      <vt:variant>
        <vt:lpwstr/>
      </vt:variant>
      <vt:variant>
        <vt:lpwstr>_Toc160720496</vt:lpwstr>
      </vt:variant>
      <vt:variant>
        <vt:i4>1966104</vt:i4>
      </vt:variant>
      <vt:variant>
        <vt:i4>45</vt:i4>
      </vt:variant>
      <vt:variant>
        <vt:i4>0</vt:i4>
      </vt:variant>
      <vt:variant>
        <vt:i4>5</vt:i4>
      </vt:variant>
      <vt:variant>
        <vt:lpwstr>https://support.microsoft.com/en-gb/office/improve-accessibility-with-the-accessibility-checker-a16f6de0-2f39-4a2b-8bd8-5ad801426c7f</vt:lpwstr>
      </vt:variant>
      <vt:variant>
        <vt:lpwstr/>
      </vt:variant>
      <vt:variant>
        <vt:i4>327710</vt:i4>
      </vt:variant>
      <vt:variant>
        <vt:i4>33</vt:i4>
      </vt:variant>
      <vt:variant>
        <vt:i4>0</vt:i4>
      </vt:variant>
      <vt:variant>
        <vt:i4>5</vt:i4>
      </vt:variant>
      <vt:variant>
        <vt:lpwstr>https://socialservicesau.sharepoint.com/sites/Intranet/pages/communication-media/comms-account-managers.aspx</vt:lpwstr>
      </vt:variant>
      <vt:variant>
        <vt:lpwstr/>
      </vt:variant>
      <vt:variant>
        <vt:i4>6488121</vt:i4>
      </vt:variant>
      <vt:variant>
        <vt:i4>30</vt:i4>
      </vt:variant>
      <vt:variant>
        <vt:i4>0</vt:i4>
      </vt:variant>
      <vt:variant>
        <vt:i4>5</vt:i4>
      </vt:variant>
      <vt:variant>
        <vt:lpwstr>http://www.dss.gov.au/</vt:lpwstr>
      </vt:variant>
      <vt:variant>
        <vt:lpwstr/>
      </vt:variant>
      <vt:variant>
        <vt:i4>8126582</vt:i4>
      </vt:variant>
      <vt:variant>
        <vt:i4>27</vt:i4>
      </vt:variant>
      <vt:variant>
        <vt:i4>0</vt:i4>
      </vt:variant>
      <vt:variant>
        <vt:i4>5</vt:i4>
      </vt:variant>
      <vt:variant>
        <vt:lpwstr>https://socialservicesau.sharepoint.com/sites/Intranet/pages/communication-media/writing-and-accessibility-guidance-lp.aspx</vt:lpwstr>
      </vt:variant>
      <vt:variant>
        <vt:lpwstr/>
      </vt:variant>
      <vt:variant>
        <vt:i4>1966104</vt:i4>
      </vt:variant>
      <vt:variant>
        <vt:i4>24</vt:i4>
      </vt:variant>
      <vt:variant>
        <vt:i4>0</vt:i4>
      </vt:variant>
      <vt:variant>
        <vt:i4>5</vt:i4>
      </vt:variant>
      <vt:variant>
        <vt:lpwstr>https://support.microsoft.com/en-gb/office/improve-accessibility-with-the-accessibility-checker-a16f6de0-2f39-4a2b-8bd8-5ad801426c7f</vt:lpwstr>
      </vt:variant>
      <vt:variant>
        <vt:lpwstr/>
      </vt:variant>
      <vt:variant>
        <vt:i4>8126582</vt:i4>
      </vt:variant>
      <vt:variant>
        <vt:i4>21</vt:i4>
      </vt:variant>
      <vt:variant>
        <vt:i4>0</vt:i4>
      </vt:variant>
      <vt:variant>
        <vt:i4>5</vt:i4>
      </vt:variant>
      <vt:variant>
        <vt:lpwstr>https://socialservicesau.sharepoint.com/sites/Intranet/pages/communication-media/writing-and-accessibility-guidance-lp.aspx</vt:lpwstr>
      </vt:variant>
      <vt:variant>
        <vt:lpwstr/>
      </vt:variant>
      <vt:variant>
        <vt:i4>2621479</vt:i4>
      </vt:variant>
      <vt:variant>
        <vt:i4>18</vt:i4>
      </vt:variant>
      <vt:variant>
        <vt:i4>0</vt:i4>
      </vt:variant>
      <vt:variant>
        <vt:i4>5</vt:i4>
      </vt:variant>
      <vt:variant>
        <vt:lpwstr>https://www.stylemanual.gov.au/</vt:lpwstr>
      </vt:variant>
      <vt:variant>
        <vt:lpwstr/>
      </vt:variant>
      <vt:variant>
        <vt:i4>65560</vt:i4>
      </vt:variant>
      <vt:variant>
        <vt:i4>15</vt:i4>
      </vt:variant>
      <vt:variant>
        <vt:i4>0</vt:i4>
      </vt:variant>
      <vt:variant>
        <vt:i4>5</vt:i4>
      </vt:variant>
      <vt:variant>
        <vt:lpwstr>https://www.pmc.gov.au/honours-and-symbols/commonwealth-coat-arms</vt:lpwstr>
      </vt:variant>
      <vt:variant>
        <vt:lpwstr/>
      </vt:variant>
      <vt:variant>
        <vt:i4>7405570</vt:i4>
      </vt:variant>
      <vt:variant>
        <vt:i4>12</vt:i4>
      </vt:variant>
      <vt:variant>
        <vt:i4>0</vt:i4>
      </vt:variant>
      <vt:variant>
        <vt:i4>5</vt:i4>
      </vt:variant>
      <vt:variant>
        <vt:lpwstr>mailto:communication@dss.gov.au</vt:lpwstr>
      </vt:variant>
      <vt:variant>
        <vt:lpwstr/>
      </vt:variant>
      <vt:variant>
        <vt:i4>6488121</vt:i4>
      </vt:variant>
      <vt:variant>
        <vt:i4>9</vt:i4>
      </vt:variant>
      <vt:variant>
        <vt:i4>0</vt:i4>
      </vt:variant>
      <vt:variant>
        <vt:i4>5</vt:i4>
      </vt:variant>
      <vt:variant>
        <vt:lpwstr>http://www.dss.gov.au/</vt:lpwstr>
      </vt:variant>
      <vt:variant>
        <vt:lpwstr/>
      </vt:variant>
      <vt:variant>
        <vt:i4>5373952</vt:i4>
      </vt:variant>
      <vt:variant>
        <vt:i4>6</vt:i4>
      </vt:variant>
      <vt:variant>
        <vt:i4>0</vt:i4>
      </vt:variant>
      <vt:variant>
        <vt:i4>5</vt:i4>
      </vt:variant>
      <vt:variant>
        <vt:lpwstr>https://creativecommons.org/licenses/by/4.0/legalcode</vt:lpwstr>
      </vt:variant>
      <vt:variant>
        <vt:lpwstr/>
      </vt:variant>
      <vt:variant>
        <vt:i4>5373952</vt:i4>
      </vt:variant>
      <vt:variant>
        <vt:i4>3</vt:i4>
      </vt:variant>
      <vt:variant>
        <vt:i4>0</vt:i4>
      </vt:variant>
      <vt:variant>
        <vt:i4>5</vt:i4>
      </vt:variant>
      <vt:variant>
        <vt:lpwstr>https://creativecommons.org/licenses/by/4.0/legalcode</vt:lpwstr>
      </vt:variant>
      <vt:variant>
        <vt:lpwstr/>
      </vt:variant>
      <vt:variant>
        <vt:i4>327710</vt:i4>
      </vt:variant>
      <vt:variant>
        <vt:i4>0</vt:i4>
      </vt:variant>
      <vt:variant>
        <vt:i4>0</vt:i4>
      </vt:variant>
      <vt:variant>
        <vt:i4>5</vt:i4>
      </vt:variant>
      <vt:variant>
        <vt:lpwstr>https://socialservicesau.sharepoint.com/sites/Intranet/pages/communication-media/comms-account-managers.aspx</vt:lpwstr>
      </vt:variant>
      <vt:variant>
        <vt:lpwstr/>
      </vt:variant>
      <vt:variant>
        <vt:i4>4128770</vt:i4>
      </vt:variant>
      <vt:variant>
        <vt:i4>3</vt:i4>
      </vt:variant>
      <vt:variant>
        <vt:i4>0</vt:i4>
      </vt:variant>
      <vt:variant>
        <vt:i4>5</vt:i4>
      </vt:variant>
      <vt:variant>
        <vt:lpwstr>mailto:Adrian.REDMAN@dss.gov.au</vt:lpwstr>
      </vt:variant>
      <vt:variant>
        <vt:lpwstr/>
      </vt:variant>
      <vt:variant>
        <vt:i4>65560</vt:i4>
      </vt:variant>
      <vt:variant>
        <vt:i4>0</vt:i4>
      </vt:variant>
      <vt:variant>
        <vt:i4>0</vt:i4>
      </vt:variant>
      <vt:variant>
        <vt:i4>5</vt:i4>
      </vt:variant>
      <vt:variant>
        <vt:lpwstr>https://www.pmc.gov.au/honours-and-symbols/commonwealth-coat-arms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DSS Corporate Plan 2026-27</dc:title>
  <dc:subject/>
  <dc:creator/>
  <cp:keywords>[SEC=OFFICIAL]</cp:keywords>
  <cp:lastModifiedBy/>
  <cp:revision>1</cp:revision>
  <dcterms:created xsi:type="dcterms:W3CDTF">2026-08-31T11:06:00Z</dcterms:created>
  <dcterms:modified xsi:type="dcterms:W3CDTF">2026-08-31T11:06:00Z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Expires">
    <vt:lpwstr/>
  </property>
  <property fmtid="{D5CDD505-2E9C-101B-9397-08002B2CF9AE}" pid="4" name="PM_DisplayValueSecClassificationWithQualifier">
    <vt:lpwstr>OFFICIAL</vt:lpwstr>
  </property>
  <property fmtid="{D5CDD505-2E9C-101B-9397-08002B2CF9AE}" pid="5" name="PM_DowngradeTo">
    <vt:lpwstr/>
  </property>
  <property fmtid="{D5CDD505-2E9C-101B-9397-08002B2CF9AE}" pid="6" name="PM_InsertionValue">
    <vt:lpwstr>OFFICIAL</vt:lpwstr>
  </property>
  <property fmtid="{D5CDD505-2E9C-101B-9397-08002B2CF9AE}" pid="7" name="PM_Originating_FileId">
    <vt:lpwstr>B51A5B0BF72647C5B505FD48B6A220E6</vt:lpwstr>
  </property>
  <property fmtid="{D5CDD505-2E9C-101B-9397-08002B2CF9AE}" pid="8" name="PM_ProtectiveMarkingValue_Footer">
    <vt:lpwstr>OFFICIAL</vt:lpwstr>
  </property>
  <property fmtid="{D5CDD505-2E9C-101B-9397-08002B2CF9AE}" pid="9" name="PM_OriginationTimeStamp">
    <vt:lpwstr>2024-03-06T04:11:27Z</vt:lpwstr>
  </property>
  <property fmtid="{D5CDD505-2E9C-101B-9397-08002B2CF9AE}" pid="10" name="PM_ProtectiveMarkingValue_Header">
    <vt:lpwstr>OFFICIAL</vt:lpwstr>
  </property>
  <property fmtid="{D5CDD505-2E9C-101B-9397-08002B2CF9AE}" pid="11" name="MSIP_Label_eb34d90b-fc41-464d-af60-f74d721d0790_SetDate">
    <vt:lpwstr>2024-03-06T04:11:27Z</vt:lpwstr>
  </property>
  <property fmtid="{D5CDD505-2E9C-101B-9397-08002B2CF9AE}" pid="12" name="PM_ProtectiveMarkingImage_Footer">
    <vt:lpwstr>C:\Program Files (x86)\Common Files\janusNET Shared\janusSEAL\Images\DocumentSlashBlue.png</vt:lpwstr>
  </property>
  <property fmtid="{D5CDD505-2E9C-101B-9397-08002B2CF9AE}" pid="13" name="PM_Note">
    <vt:lpwstr/>
  </property>
  <property fmtid="{D5CDD505-2E9C-101B-9397-08002B2CF9AE}" pid="14" name="MSIP_Label_eb34d90b-fc41-464d-af60-f74d721d0790_Name">
    <vt:lpwstr>OFFICIAL</vt:lpwstr>
  </property>
  <property fmtid="{D5CDD505-2E9C-101B-9397-08002B2CF9AE}" pid="15" name="PM_Display">
    <vt:lpwstr>OFFICIAL</vt:lpwstr>
  </property>
  <property fmtid="{D5CDD505-2E9C-101B-9397-08002B2CF9AE}" pid="16" name="PM_Hash_Version">
    <vt:lpwstr>2024.1</vt:lpwstr>
  </property>
  <property fmtid="{D5CDD505-2E9C-101B-9397-08002B2CF9AE}" pid="17" name="PM_OriginatorDomainName_SHA256">
    <vt:lpwstr>E83A2A66C4061446A7E3732E8D44762184B6B377D962B96C83DC624302585857</vt:lpwstr>
  </property>
  <property fmtid="{D5CDD505-2E9C-101B-9397-08002B2CF9AE}" pid="18" name="PM_SecurityClassification_Prev">
    <vt:lpwstr>OFFICIAL</vt:lpwstr>
  </property>
  <property fmtid="{D5CDD505-2E9C-101B-9397-08002B2CF9AE}" pid="19" name="PM_Qualifier_Prev">
    <vt:lpwstr/>
  </property>
  <property fmtid="{D5CDD505-2E9C-101B-9397-08002B2CF9AE}" pid="20" name="MSIP_Label_eb34d90b-fc41-464d-af60-f74d721d0790_ContentBits">
    <vt:lpwstr>3</vt:lpwstr>
  </property>
  <property fmtid="{D5CDD505-2E9C-101B-9397-08002B2CF9AE}" pid="21" name="MSIP_Label_eb34d90b-fc41-464d-af60-f74d721d0790_Enabled">
    <vt:lpwstr>true</vt:lpwstr>
  </property>
  <property fmtid="{D5CDD505-2E9C-101B-9397-08002B2CF9AE}" pid="22" name="MSIP_Label_eb34d90b-fc41-464d-af60-f74d721d0790_Method">
    <vt:lpwstr>Privileged</vt:lpwstr>
  </property>
  <property fmtid="{D5CDD505-2E9C-101B-9397-08002B2CF9AE}" pid="23" name="MSIP_Label_eb34d90b-fc41-464d-af60-f74d721d0790_SiteId">
    <vt:lpwstr>61e36dd1-ca6e-4d61-aa0a-2b4eb88317a3</vt:lpwstr>
  </property>
  <property fmtid="{D5CDD505-2E9C-101B-9397-08002B2CF9AE}" pid="24" name="PMUuid">
    <vt:lpwstr>v=2022.2;d=gov.au;g=46DD6D7C-8107-577B-BC6E-F348953B2E44</vt:lpwstr>
  </property>
  <property fmtid="{D5CDD505-2E9C-101B-9397-08002B2CF9AE}" pid="25" name="PM_Hash_Salt_Prev">
    <vt:lpwstr>4D6F856EBC459809DD6FC164EB5D9896</vt:lpwstr>
  </property>
  <property fmtid="{D5CDD505-2E9C-101B-9397-08002B2CF9AE}" pid="26" name="PM_Hash_Salt">
    <vt:lpwstr>3B28A504C730D13AED8E849955C03781</vt:lpwstr>
  </property>
  <property fmtid="{D5CDD505-2E9C-101B-9397-08002B2CF9AE}" pid="27" name="PM_Hash_SHA1">
    <vt:lpwstr>311DD586C8D1FC21640C0B206AA74460BCF34886</vt:lpwstr>
  </property>
  <property fmtid="{D5CDD505-2E9C-101B-9397-08002B2CF9AE}" pid="28" name="MSIP_Label_eb34d90b-fc41-464d-af60-f74d721d0790_ActionId">
    <vt:lpwstr>b936e20c347146e9921734a9ec248b1d</vt:lpwstr>
  </property>
  <property fmtid="{D5CDD505-2E9C-101B-9397-08002B2CF9AE}" pid="29" name="PM_Originator_Hash_SHA1">
    <vt:lpwstr>EF3B9B4EBA12F846AE32F1483CEE000D35A0C8C5</vt:lpwstr>
  </property>
  <property fmtid="{D5CDD505-2E9C-101B-9397-08002B2CF9AE}" pid="30" name="PM_OriginatorUserAccountName_SHA256">
    <vt:lpwstr>52B97822998D45A5FE76FBF575035034760AD13EE13D3825DB38D567D3AEDC5E</vt:lpwstr>
  </property>
  <property fmtid="{D5CDD505-2E9C-101B-9397-08002B2CF9AE}" pid="31" name="PM_Namespace">
    <vt:lpwstr>gov.au</vt:lpwstr>
  </property>
  <property fmtid="{D5CDD505-2E9C-101B-9397-08002B2CF9AE}" pid="32" name="PM_Version">
    <vt:lpwstr>2018.4</vt:lpwstr>
  </property>
  <property fmtid="{D5CDD505-2E9C-101B-9397-08002B2CF9AE}" pid="33" name="PM_SecurityClassification">
    <vt:lpwstr>OFFICIAL</vt:lpwstr>
  </property>
  <property fmtid="{D5CDD505-2E9C-101B-9397-08002B2CF9AE}" pid="34" name="PMHMAC">
    <vt:lpwstr>v=2024.1;a=SHA256;h=3CDCDC13C29A1ACDB7BDBB9C572DAEEF94393CB9DE6E64639946ED71F7A1580D</vt:lpwstr>
  </property>
  <property fmtid="{D5CDD505-2E9C-101B-9397-08002B2CF9AE}" pid="35" name="PM_Qualifier">
    <vt:lpwstr/>
  </property>
  <property fmtid="{D5CDD505-2E9C-101B-9397-08002B2CF9AE}" pid="36" name="PM_Markers">
    <vt:lpwstr/>
  </property>
  <property fmtid="{D5CDD505-2E9C-101B-9397-08002B2CF9AE}" pid="37" name="PM_Caveats_Count">
    <vt:lpwstr>0</vt:lpwstr>
  </property>
  <property fmtid="{D5CDD505-2E9C-101B-9397-08002B2CF9AE}" pid="38" name="PM_DownTo">
    <vt:lpwstr/>
  </property>
</Properties>
</file>