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7CFB" w14:textId="1798DDAD" w:rsidR="00E9285A" w:rsidRDefault="00987714" w:rsidP="00C01E6D">
      <w:pPr>
        <w:pStyle w:val="Crestwithrule"/>
        <w:tabs>
          <w:tab w:val="left" w:pos="14634"/>
        </w:tabs>
      </w:pPr>
      <w:r>
        <w:rPr>
          <w:lang w:eastAsia="en-AU"/>
        </w:rPr>
        <w:drawing>
          <wp:anchor distT="0" distB="0" distL="114300" distR="114300" simplePos="0" relativeHeight="251658240" behindDoc="0" locked="0" layoutInCell="1" allowOverlap="1" wp14:anchorId="136BDD43" wp14:editId="2C45E82F">
            <wp:simplePos x="361507" y="542260"/>
            <wp:positionH relativeFrom="column">
              <wp:align>left</wp:align>
            </wp:positionH>
            <wp:positionV relativeFrom="paragraph">
              <wp:align>top</wp:align>
            </wp:positionV>
            <wp:extent cx="3235960" cy="768868"/>
            <wp:effectExtent l="0" t="0" r="2540" b="0"/>
            <wp:wrapSquare wrapText="bothSides"/>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235960" cy="768868"/>
                    </a:xfrm>
                    <a:prstGeom prst="rect">
                      <a:avLst/>
                    </a:prstGeom>
                    <a:ln>
                      <a:noFill/>
                    </a:ln>
                    <a:extLst>
                      <a:ext uri="{53640926-AAD7-44D8-BBD7-CCE9431645EC}">
                        <a14:shadowObscured xmlns:a14="http://schemas.microsoft.com/office/drawing/2010/main"/>
                      </a:ext>
                    </a:extLst>
                  </pic:spPr>
                </pic:pic>
              </a:graphicData>
            </a:graphic>
          </wp:anchor>
        </w:drawing>
      </w:r>
      <w:r w:rsidR="00C01E6D">
        <w:tab/>
      </w:r>
      <w:r w:rsidR="00C01E6D">
        <w:tab/>
      </w:r>
      <w:r w:rsidR="00EC2959">
        <w:tab/>
      </w:r>
      <w:r w:rsidR="00EC2959">
        <w:tab/>
      </w:r>
      <w:r w:rsidR="00EC2959">
        <w:tab/>
      </w:r>
      <w:r w:rsidR="00EC2959">
        <w:tab/>
      </w:r>
      <w:r w:rsidR="00EC2959">
        <w:tab/>
      </w:r>
      <w:r w:rsidR="00EC2959">
        <w:tab/>
      </w:r>
      <w:r w:rsidR="00EC2959">
        <w:tab/>
      </w:r>
      <w:r w:rsidR="00C01E6D">
        <w:br w:type="textWrapping" w:clear="all"/>
      </w:r>
    </w:p>
    <w:p w14:paraId="6249AD6E" w14:textId="0FACD173" w:rsidR="00A81138" w:rsidRDefault="00A81138" w:rsidP="00A81138">
      <w:pPr>
        <w:pStyle w:val="Smalltext"/>
        <w:jc w:val="right"/>
      </w:pPr>
    </w:p>
    <w:p w14:paraId="3F8F45BA" w14:textId="1C4D1973" w:rsidR="00C57001" w:rsidRDefault="00E52A67" w:rsidP="00E52A67">
      <w:pPr>
        <w:pStyle w:val="Heading1"/>
      </w:pPr>
      <w:bookmarkStart w:id="0" w:name="_Toc140757166"/>
      <w:r w:rsidRPr="00E52A67">
        <w:t>Reviews</w:t>
      </w:r>
      <w:bookmarkEnd w:id="0"/>
    </w:p>
    <w:p w14:paraId="06BF6900" w14:textId="77777777" w:rsidR="007926B1" w:rsidRPr="007926B1" w:rsidRDefault="007926B1" w:rsidP="007926B1"/>
    <w:p w14:paraId="5302C58F" w14:textId="24B01F2E" w:rsidR="00E52A67" w:rsidRPr="00E61853" w:rsidRDefault="00E52A67" w:rsidP="007926B1">
      <w:pPr>
        <w:pStyle w:val="Heading2"/>
        <w:rPr>
          <w:b/>
          <w:bCs w:val="0"/>
        </w:rPr>
      </w:pPr>
      <w:bookmarkStart w:id="1" w:name="_Toc395536189"/>
      <w:r w:rsidRPr="00E61853">
        <w:rPr>
          <w:b/>
          <w:bCs w:val="0"/>
        </w:rPr>
        <w:t xml:space="preserve">Our current reviews, as </w:t>
      </w:r>
      <w:proofErr w:type="gramStart"/>
      <w:r w:rsidRPr="00E61853">
        <w:rPr>
          <w:b/>
          <w:bCs w:val="0"/>
        </w:rPr>
        <w:t>at</w:t>
      </w:r>
      <w:proofErr w:type="gramEnd"/>
      <w:r w:rsidRPr="00E61853">
        <w:rPr>
          <w:b/>
          <w:bCs w:val="0"/>
        </w:rPr>
        <w:t xml:space="preserve"> 30 June 2026, are:</w:t>
      </w:r>
    </w:p>
    <w:p w14:paraId="51908AA3" w14:textId="1681865A" w:rsidR="00E52A67" w:rsidRDefault="00E52A67" w:rsidP="007926B1">
      <w:pPr>
        <w:pStyle w:val="Heading3"/>
      </w:pPr>
      <w:bookmarkStart w:id="2" w:name="_Toc391890680"/>
      <w:bookmarkStart w:id="3" w:name="_Toc140757167"/>
      <w:bookmarkEnd w:id="1"/>
      <w:r w:rsidRPr="00E52A67">
        <w:t>Review of Carer Payments and Supports</w:t>
      </w:r>
    </w:p>
    <w:tbl>
      <w:tblPr>
        <w:tblStyle w:val="TableGridLight"/>
        <w:tblW w:w="5000" w:type="pct"/>
        <w:tblLook w:val="04A0" w:firstRow="1" w:lastRow="0" w:firstColumn="1" w:lastColumn="0" w:noHBand="0" w:noVBand="1"/>
      </w:tblPr>
      <w:tblGrid>
        <w:gridCol w:w="7206"/>
        <w:gridCol w:w="2480"/>
        <w:gridCol w:w="2484"/>
        <w:gridCol w:w="2484"/>
        <w:gridCol w:w="2484"/>
        <w:gridCol w:w="2484"/>
        <w:gridCol w:w="2480"/>
      </w:tblGrid>
      <w:tr w:rsidR="00E52A67" w:rsidRPr="00DB3253" w14:paraId="2AEF1082" w14:textId="77777777" w:rsidTr="00E52A67">
        <w:trPr>
          <w:cnfStyle w:val="100000000000" w:firstRow="1" w:lastRow="0" w:firstColumn="0" w:lastColumn="0" w:oddVBand="0" w:evenVBand="0" w:oddHBand="0" w:evenHBand="0" w:firstRowFirstColumn="0" w:firstRowLastColumn="0" w:lastRowFirstColumn="0" w:lastRowLastColumn="0"/>
        </w:trPr>
        <w:tc>
          <w:tcPr>
            <w:tcW w:w="1630" w:type="pct"/>
          </w:tcPr>
          <w:p w14:paraId="0DAD9C2B" w14:textId="77777777" w:rsidR="00E52A67" w:rsidRPr="00DB3253" w:rsidRDefault="00E52A67">
            <w:pPr>
              <w:spacing w:after="120"/>
              <w:contextualSpacing/>
              <w:rPr>
                <w:b/>
                <w:bCs/>
                <w:szCs w:val="22"/>
              </w:rPr>
            </w:pPr>
            <w:r w:rsidRPr="00DB3253">
              <w:rPr>
                <w:b/>
                <w:bCs/>
                <w:szCs w:val="22"/>
              </w:rPr>
              <w:t>Purpose of the review</w:t>
            </w:r>
          </w:p>
        </w:tc>
        <w:tc>
          <w:tcPr>
            <w:tcW w:w="561" w:type="pct"/>
          </w:tcPr>
          <w:p w14:paraId="584CD751" w14:textId="10D2808C" w:rsidR="00E52A67" w:rsidRPr="00DB3253" w:rsidRDefault="00E52A67">
            <w:pPr>
              <w:spacing w:after="120"/>
              <w:contextualSpacing/>
              <w:rPr>
                <w:b/>
                <w:bCs/>
                <w:szCs w:val="22"/>
              </w:rPr>
            </w:pPr>
            <w:r>
              <w:rPr>
                <w:b/>
                <w:bCs/>
                <w:szCs w:val="22"/>
              </w:rPr>
              <w:t>Reviewer(s)</w:t>
            </w:r>
          </w:p>
        </w:tc>
        <w:tc>
          <w:tcPr>
            <w:tcW w:w="562" w:type="pct"/>
          </w:tcPr>
          <w:p w14:paraId="16ED1306" w14:textId="77777777" w:rsidR="00E52A67" w:rsidRPr="00DB3253" w:rsidRDefault="00E52A67">
            <w:pPr>
              <w:spacing w:after="120"/>
              <w:contextualSpacing/>
              <w:rPr>
                <w:b/>
                <w:bCs/>
                <w:szCs w:val="22"/>
              </w:rPr>
            </w:pPr>
            <w:r w:rsidRPr="00DB3253">
              <w:rPr>
                <w:b/>
                <w:bCs/>
                <w:szCs w:val="22"/>
              </w:rPr>
              <w:t>Remuneration for each of the reviewer(s)</w:t>
            </w:r>
          </w:p>
        </w:tc>
        <w:tc>
          <w:tcPr>
            <w:tcW w:w="562" w:type="pct"/>
            <w:hideMark/>
          </w:tcPr>
          <w:p w14:paraId="1FFF836E" w14:textId="77777777" w:rsidR="00E52A67" w:rsidRPr="00DB3253" w:rsidRDefault="00E52A67">
            <w:pPr>
              <w:spacing w:after="120"/>
              <w:contextualSpacing/>
              <w:rPr>
                <w:szCs w:val="22"/>
              </w:rPr>
            </w:pPr>
            <w:r w:rsidRPr="00DB3253">
              <w:rPr>
                <w:b/>
                <w:bCs/>
                <w:szCs w:val="22"/>
              </w:rPr>
              <w:t xml:space="preserve">Budgeted cost of Review </w:t>
            </w:r>
          </w:p>
        </w:tc>
        <w:tc>
          <w:tcPr>
            <w:tcW w:w="562" w:type="pct"/>
          </w:tcPr>
          <w:p w14:paraId="2861D9EB" w14:textId="77777777" w:rsidR="00E52A67" w:rsidRPr="00DB3253" w:rsidRDefault="00E52A67">
            <w:pPr>
              <w:spacing w:after="120"/>
              <w:contextualSpacing/>
              <w:rPr>
                <w:b/>
                <w:bCs/>
                <w:szCs w:val="22"/>
              </w:rPr>
            </w:pPr>
            <w:r w:rsidRPr="00DB3253">
              <w:rPr>
                <w:b/>
                <w:bCs/>
                <w:szCs w:val="22"/>
              </w:rPr>
              <w:t>Amount spent to date</w:t>
            </w:r>
          </w:p>
        </w:tc>
        <w:tc>
          <w:tcPr>
            <w:tcW w:w="562" w:type="pct"/>
          </w:tcPr>
          <w:p w14:paraId="4CF1E6BC" w14:textId="77777777" w:rsidR="00E52A67" w:rsidRPr="00DB3253" w:rsidRDefault="00E52A67">
            <w:pPr>
              <w:spacing w:after="120"/>
              <w:contextualSpacing/>
              <w:rPr>
                <w:b/>
                <w:bCs/>
                <w:szCs w:val="22"/>
              </w:rPr>
            </w:pPr>
            <w:r w:rsidRPr="00DB3253">
              <w:rPr>
                <w:b/>
                <w:bCs/>
                <w:szCs w:val="22"/>
              </w:rPr>
              <w:t>Commencement date</w:t>
            </w:r>
          </w:p>
        </w:tc>
        <w:tc>
          <w:tcPr>
            <w:tcW w:w="562" w:type="pct"/>
            <w:hideMark/>
          </w:tcPr>
          <w:p w14:paraId="772D9661" w14:textId="77777777" w:rsidR="00E52A67" w:rsidRPr="00DB3253" w:rsidRDefault="00E52A67">
            <w:pPr>
              <w:spacing w:after="120"/>
              <w:contextualSpacing/>
              <w:rPr>
                <w:szCs w:val="22"/>
              </w:rPr>
            </w:pPr>
            <w:r w:rsidRPr="00DB3253">
              <w:rPr>
                <w:b/>
                <w:bCs/>
                <w:szCs w:val="22"/>
              </w:rPr>
              <w:t>Expected completion date</w:t>
            </w:r>
          </w:p>
        </w:tc>
      </w:tr>
      <w:tr w:rsidR="00E52A67" w:rsidRPr="00115390" w14:paraId="549E2C1A" w14:textId="77777777" w:rsidTr="00E52A67">
        <w:tc>
          <w:tcPr>
            <w:tcW w:w="1630" w:type="pct"/>
          </w:tcPr>
          <w:p w14:paraId="30591C13" w14:textId="0762BF3F" w:rsidR="00E52A67" w:rsidRPr="00E52A67" w:rsidRDefault="00E52A67" w:rsidP="0063502D">
            <w:pPr>
              <w:spacing w:line="288" w:lineRule="auto"/>
            </w:pPr>
            <w:r w:rsidRPr="00E52A67">
              <w:t>The project is an activity under the Safe and Supported First Action Plan 2023-2026 (Action Plan) Action 6:</w:t>
            </w:r>
          </w:p>
          <w:p w14:paraId="67DD9157" w14:textId="77777777" w:rsidR="00E52A67" w:rsidRPr="00E52A67" w:rsidRDefault="00E52A67" w:rsidP="0063502D">
            <w:pPr>
              <w:spacing w:line="288" w:lineRule="auto"/>
            </w:pPr>
            <w:r w:rsidRPr="00E52A67">
              <w:t>Review 1:</w:t>
            </w:r>
          </w:p>
          <w:p w14:paraId="3A1DA49A" w14:textId="77777777" w:rsidR="00E52A67" w:rsidRPr="00E52A67" w:rsidRDefault="00E52A67" w:rsidP="0063502D">
            <w:pPr>
              <w:pStyle w:val="ListParagraph"/>
              <w:numPr>
                <w:ilvl w:val="0"/>
                <w:numId w:val="7"/>
              </w:numPr>
              <w:spacing w:line="288" w:lineRule="auto"/>
            </w:pPr>
            <w:r w:rsidRPr="00E52A67">
              <w:t xml:space="preserve">assess carer payments for adequacy, consistency and accessibility and explore opportunities, including assessing taxation and employment related barriers, to grow </w:t>
            </w:r>
            <w:proofErr w:type="gramStart"/>
            <w:r w:rsidRPr="00E52A67">
              <w:t>family based</w:t>
            </w:r>
            <w:proofErr w:type="gramEnd"/>
            <w:r w:rsidRPr="00E52A67">
              <w:t xml:space="preserve"> care (including professional carers) </w:t>
            </w:r>
          </w:p>
          <w:p w14:paraId="1E40744D" w14:textId="77777777" w:rsidR="00E52A67" w:rsidRPr="00E52A67" w:rsidRDefault="00E52A67" w:rsidP="0063502D">
            <w:pPr>
              <w:pStyle w:val="ListParagraph"/>
              <w:numPr>
                <w:ilvl w:val="0"/>
                <w:numId w:val="7"/>
              </w:numPr>
              <w:spacing w:line="288" w:lineRule="auto"/>
            </w:pPr>
            <w:r w:rsidRPr="00E52A67">
              <w:t>assess the needs of Aboriginal and Torres Strait Islander carers</w:t>
            </w:r>
          </w:p>
          <w:p w14:paraId="29BA64F9" w14:textId="77777777" w:rsidR="00FE2936" w:rsidRDefault="00E52A67" w:rsidP="00FE2936">
            <w:pPr>
              <w:pStyle w:val="ListParagraph"/>
            </w:pPr>
            <w:r w:rsidRPr="00E52A67">
              <w:t>explore opportunities for working in partnership with Aboriginal and Torres Strait Islander community-controlled organisations (ACCOs) (including Aboriginal and Torres Strait Islander organisations in some jurisdictions) to support carers</w:t>
            </w:r>
          </w:p>
          <w:p w14:paraId="65D76807" w14:textId="615B63AE" w:rsidR="00E52A67" w:rsidRPr="00E52A67" w:rsidRDefault="00E52A67" w:rsidP="00FE2936">
            <w:pPr>
              <w:pStyle w:val="ListParagraph"/>
            </w:pPr>
            <w:r w:rsidRPr="00E52A67">
              <w:t>identify opportunities to improve awareness of and access to financial supports for carers</w:t>
            </w:r>
          </w:p>
          <w:p w14:paraId="13BEB461" w14:textId="77777777" w:rsidR="00E52A67" w:rsidRPr="00E52A67" w:rsidRDefault="00E52A67" w:rsidP="0063502D">
            <w:pPr>
              <w:pStyle w:val="ListParagraph"/>
              <w:numPr>
                <w:ilvl w:val="0"/>
                <w:numId w:val="7"/>
              </w:numPr>
              <w:spacing w:line="288" w:lineRule="auto"/>
            </w:pPr>
            <w:r w:rsidRPr="00E52A67">
              <w:t>explore ways that government can take national action to improve carer recruitment.</w:t>
            </w:r>
          </w:p>
          <w:p w14:paraId="161AACEE" w14:textId="77777777" w:rsidR="00E52A67" w:rsidRPr="00E52A67" w:rsidRDefault="00E52A67" w:rsidP="0063502D">
            <w:pPr>
              <w:spacing w:line="288" w:lineRule="auto"/>
              <w:rPr>
                <w:lang w:val="en-US"/>
              </w:rPr>
            </w:pPr>
            <w:r w:rsidRPr="00E52A67">
              <w:rPr>
                <w:lang w:val="en-US"/>
              </w:rPr>
              <w:t>Review 2:</w:t>
            </w:r>
          </w:p>
          <w:p w14:paraId="1868E913" w14:textId="77777777" w:rsidR="00E52A67" w:rsidRPr="00E52A67" w:rsidRDefault="00E52A67" w:rsidP="0063502D">
            <w:pPr>
              <w:pStyle w:val="ListParagraph"/>
              <w:numPr>
                <w:ilvl w:val="0"/>
                <w:numId w:val="7"/>
              </w:numPr>
              <w:spacing w:line="288" w:lineRule="auto"/>
            </w:pPr>
            <w:r w:rsidRPr="00E52A67">
              <w:t>assess the needs of First Nations carers without a formal care order</w:t>
            </w:r>
          </w:p>
          <w:p w14:paraId="0BC243BD" w14:textId="77777777" w:rsidR="00E52A67" w:rsidRPr="00E52A67" w:rsidRDefault="00E52A67" w:rsidP="0063502D">
            <w:pPr>
              <w:pStyle w:val="ListParagraph"/>
              <w:numPr>
                <w:ilvl w:val="0"/>
                <w:numId w:val="7"/>
              </w:numPr>
              <w:spacing w:line="288" w:lineRule="auto"/>
            </w:pPr>
            <w:r w:rsidRPr="00E52A67">
              <w:t xml:space="preserve">explore ways that governments can </w:t>
            </w:r>
            <w:proofErr w:type="gramStart"/>
            <w:r w:rsidRPr="00E52A67">
              <w:t>take action</w:t>
            </w:r>
            <w:proofErr w:type="gramEnd"/>
            <w:r w:rsidRPr="00E52A67">
              <w:t xml:space="preserve"> to better meet the needs of First Nations carers without a formal care </w:t>
            </w:r>
            <w:proofErr w:type="gramStart"/>
            <w:r w:rsidRPr="00E52A67">
              <w:t>orders</w:t>
            </w:r>
            <w:proofErr w:type="gramEnd"/>
          </w:p>
          <w:p w14:paraId="36AD683A" w14:textId="77777777" w:rsidR="00E52A67" w:rsidRPr="00E52A67" w:rsidRDefault="00E52A67" w:rsidP="0063502D">
            <w:pPr>
              <w:pStyle w:val="ListParagraph"/>
              <w:numPr>
                <w:ilvl w:val="0"/>
                <w:numId w:val="7"/>
              </w:numPr>
              <w:spacing w:line="288" w:lineRule="auto"/>
            </w:pPr>
            <w:r w:rsidRPr="00E52A67">
              <w:t>explore opportunities for working in partnership with Aboriginal and Torres Strait Islander community-controlled organisations (ACCOs) (including Aboriginal and Torres Strait Islander organisations in some jurisdictions) to support First Nations carers without a formal care order.</w:t>
            </w:r>
          </w:p>
        </w:tc>
        <w:tc>
          <w:tcPr>
            <w:tcW w:w="561" w:type="pct"/>
          </w:tcPr>
          <w:p w14:paraId="3584463F" w14:textId="77777777" w:rsidR="00E52A67" w:rsidRPr="00E52A67" w:rsidRDefault="00E52A67" w:rsidP="0063502D">
            <w:pPr>
              <w:spacing w:line="288" w:lineRule="auto"/>
              <w:rPr>
                <w:rFonts w:eastAsia="Aptos"/>
              </w:rPr>
            </w:pPr>
            <w:r w:rsidRPr="00E52A67">
              <w:t>Australian Institute of Family Studies</w:t>
            </w:r>
          </w:p>
        </w:tc>
        <w:tc>
          <w:tcPr>
            <w:tcW w:w="562" w:type="pct"/>
          </w:tcPr>
          <w:p w14:paraId="2E87BC2D" w14:textId="77777777" w:rsidR="00E52A67" w:rsidRPr="00E52A67" w:rsidRDefault="00E52A67" w:rsidP="0063502D">
            <w:pPr>
              <w:spacing w:line="288" w:lineRule="auto"/>
              <w:rPr>
                <w:rFonts w:eastAsia="Aptos"/>
              </w:rPr>
            </w:pPr>
            <w:r w:rsidRPr="00E52A67">
              <w:t>N/A</w:t>
            </w:r>
          </w:p>
        </w:tc>
        <w:tc>
          <w:tcPr>
            <w:tcW w:w="562" w:type="pct"/>
          </w:tcPr>
          <w:p w14:paraId="284AC34C" w14:textId="77777777" w:rsidR="00E52A67" w:rsidRPr="00BD14D6" w:rsidRDefault="00E52A67" w:rsidP="00BD14D6">
            <w:pPr>
              <w:spacing w:line="288" w:lineRule="auto"/>
              <w:rPr>
                <w:lang w:val="en-US"/>
              </w:rPr>
            </w:pPr>
            <w:r w:rsidRPr="00BD14D6">
              <w:rPr>
                <w:rFonts w:eastAsia="Aptos"/>
              </w:rPr>
              <w:t>$1,045,886.27 (GST inclusive)</w:t>
            </w:r>
          </w:p>
        </w:tc>
        <w:tc>
          <w:tcPr>
            <w:tcW w:w="562" w:type="pct"/>
          </w:tcPr>
          <w:p w14:paraId="5732EFE2" w14:textId="77777777" w:rsidR="00E52A67" w:rsidRPr="00E52A67" w:rsidRDefault="00E52A67" w:rsidP="0063502D">
            <w:pPr>
              <w:spacing w:line="288" w:lineRule="auto"/>
            </w:pPr>
            <w:r w:rsidRPr="00E52A67">
              <w:rPr>
                <w:rFonts w:eastAsia="Aptos"/>
              </w:rPr>
              <w:t>$1,045,886.27 (GST inclusive)</w:t>
            </w:r>
          </w:p>
          <w:p w14:paraId="5829908F" w14:textId="77777777" w:rsidR="00E52A67" w:rsidRPr="00E52A67" w:rsidRDefault="00E52A67" w:rsidP="0063502D">
            <w:pPr>
              <w:spacing w:line="288" w:lineRule="auto"/>
              <w:rPr>
                <w:lang w:val="en-US"/>
              </w:rPr>
            </w:pPr>
            <w:r w:rsidRPr="00E52A67">
              <w:rPr>
                <w:rFonts w:eastAsia="Aptos"/>
              </w:rPr>
              <w:t xml:space="preserve"> </w:t>
            </w:r>
          </w:p>
        </w:tc>
        <w:tc>
          <w:tcPr>
            <w:tcW w:w="562" w:type="pct"/>
          </w:tcPr>
          <w:p w14:paraId="4D9BA786" w14:textId="0A0BEF98" w:rsidR="00E52A67" w:rsidRPr="00E52A67" w:rsidRDefault="00E52A67" w:rsidP="0063502D">
            <w:pPr>
              <w:spacing w:line="288" w:lineRule="auto"/>
              <w:rPr>
                <w:lang w:val="en-US"/>
              </w:rPr>
            </w:pPr>
            <w:r w:rsidRPr="00E52A67">
              <w:rPr>
                <w:lang w:val="en-US"/>
              </w:rPr>
              <w:t>July 2024</w:t>
            </w:r>
          </w:p>
        </w:tc>
        <w:tc>
          <w:tcPr>
            <w:tcW w:w="562" w:type="pct"/>
          </w:tcPr>
          <w:p w14:paraId="677696E5" w14:textId="77777777" w:rsidR="00E52A67" w:rsidRPr="00E52A67" w:rsidRDefault="00E52A67" w:rsidP="0063502D">
            <w:pPr>
              <w:spacing w:line="288" w:lineRule="auto"/>
              <w:rPr>
                <w:rFonts w:eastAsia="Aptos"/>
              </w:rPr>
            </w:pPr>
            <w:r w:rsidRPr="00E52A67">
              <w:rPr>
                <w:rFonts w:eastAsia="Aptos"/>
              </w:rPr>
              <w:t>Review 1 Completed November 2025</w:t>
            </w:r>
          </w:p>
          <w:p w14:paraId="4B87B984" w14:textId="77777777" w:rsidR="00E52A67" w:rsidRPr="00E52A67" w:rsidRDefault="00E52A67" w:rsidP="0063502D">
            <w:pPr>
              <w:spacing w:line="288" w:lineRule="auto"/>
              <w:rPr>
                <w:lang w:val="en-US"/>
              </w:rPr>
            </w:pPr>
          </w:p>
          <w:p w14:paraId="30E4CD21" w14:textId="77777777" w:rsidR="00E52A67" w:rsidRPr="00E52A67" w:rsidRDefault="00E52A67" w:rsidP="0063502D">
            <w:pPr>
              <w:spacing w:line="288" w:lineRule="auto"/>
              <w:rPr>
                <w:lang w:val="en-US"/>
              </w:rPr>
            </w:pPr>
            <w:r w:rsidRPr="00E52A67">
              <w:rPr>
                <w:lang w:val="en-US"/>
              </w:rPr>
              <w:t>Review 2 expected completion is June 2027</w:t>
            </w:r>
          </w:p>
        </w:tc>
      </w:tr>
    </w:tbl>
    <w:p w14:paraId="1DD21463" w14:textId="77777777" w:rsidR="00E52A67" w:rsidRDefault="00E52A67" w:rsidP="00E52A67"/>
    <w:p w14:paraId="2CBD84A4" w14:textId="77777777" w:rsidR="00E52A67" w:rsidRDefault="00E52A67" w:rsidP="00E52A67"/>
    <w:p w14:paraId="36D21DE2" w14:textId="3702F73E" w:rsidR="00E52A67" w:rsidRDefault="00E52A67" w:rsidP="007926B1">
      <w:pPr>
        <w:pStyle w:val="Heading3"/>
      </w:pPr>
      <w:r w:rsidRPr="00115390">
        <w:t>Review of jurisdictions’ implementation of the Aboriginal and Torres Strait Islander Child Placement Principle</w:t>
      </w:r>
    </w:p>
    <w:tbl>
      <w:tblPr>
        <w:tblStyle w:val="TableGridLight"/>
        <w:tblW w:w="5000" w:type="pct"/>
        <w:tblLook w:val="04A0" w:firstRow="1" w:lastRow="0" w:firstColumn="1" w:lastColumn="0" w:noHBand="0" w:noVBand="1"/>
      </w:tblPr>
      <w:tblGrid>
        <w:gridCol w:w="7206"/>
        <w:gridCol w:w="2480"/>
        <w:gridCol w:w="2484"/>
        <w:gridCol w:w="2484"/>
        <w:gridCol w:w="2484"/>
        <w:gridCol w:w="2484"/>
        <w:gridCol w:w="2480"/>
      </w:tblGrid>
      <w:tr w:rsidR="00E52A67" w:rsidRPr="00DB3253" w14:paraId="6754154C" w14:textId="77777777" w:rsidTr="7E7CCF66">
        <w:trPr>
          <w:cnfStyle w:val="100000000000" w:firstRow="1" w:lastRow="0" w:firstColumn="0" w:lastColumn="0" w:oddVBand="0" w:evenVBand="0" w:oddHBand="0" w:evenHBand="0" w:firstRowFirstColumn="0" w:firstRowLastColumn="0" w:lastRowFirstColumn="0" w:lastRowLastColumn="0"/>
        </w:trPr>
        <w:tc>
          <w:tcPr>
            <w:tcW w:w="1630" w:type="pct"/>
          </w:tcPr>
          <w:p w14:paraId="7D965606" w14:textId="77777777" w:rsidR="00E52A67" w:rsidRPr="00DB3253" w:rsidRDefault="00E52A67">
            <w:pPr>
              <w:spacing w:after="120"/>
              <w:contextualSpacing/>
              <w:rPr>
                <w:b/>
                <w:bCs/>
                <w:szCs w:val="22"/>
              </w:rPr>
            </w:pPr>
            <w:r w:rsidRPr="00DB3253">
              <w:rPr>
                <w:b/>
                <w:bCs/>
                <w:szCs w:val="22"/>
              </w:rPr>
              <w:t>Purpose of the review</w:t>
            </w:r>
          </w:p>
        </w:tc>
        <w:tc>
          <w:tcPr>
            <w:tcW w:w="561" w:type="pct"/>
          </w:tcPr>
          <w:p w14:paraId="0B6F2B34" w14:textId="77777777" w:rsidR="00E52A67" w:rsidRPr="00DB3253" w:rsidRDefault="00E52A67">
            <w:pPr>
              <w:spacing w:after="120"/>
              <w:contextualSpacing/>
              <w:rPr>
                <w:b/>
                <w:bCs/>
                <w:szCs w:val="22"/>
              </w:rPr>
            </w:pPr>
            <w:r>
              <w:rPr>
                <w:b/>
                <w:bCs/>
                <w:szCs w:val="22"/>
              </w:rPr>
              <w:t>Reviewer(s)</w:t>
            </w:r>
          </w:p>
        </w:tc>
        <w:tc>
          <w:tcPr>
            <w:tcW w:w="562" w:type="pct"/>
          </w:tcPr>
          <w:p w14:paraId="42D929A8" w14:textId="77777777" w:rsidR="00E52A67" w:rsidRPr="00DB3253" w:rsidRDefault="00E52A67">
            <w:pPr>
              <w:spacing w:after="120"/>
              <w:contextualSpacing/>
              <w:rPr>
                <w:b/>
                <w:bCs/>
                <w:szCs w:val="22"/>
              </w:rPr>
            </w:pPr>
            <w:r w:rsidRPr="00DB3253">
              <w:rPr>
                <w:b/>
                <w:bCs/>
                <w:szCs w:val="22"/>
              </w:rPr>
              <w:t>Remuneration for each of the reviewer(s)</w:t>
            </w:r>
          </w:p>
        </w:tc>
        <w:tc>
          <w:tcPr>
            <w:tcW w:w="562" w:type="pct"/>
            <w:hideMark/>
          </w:tcPr>
          <w:p w14:paraId="201FDB9D" w14:textId="77777777" w:rsidR="00E52A67" w:rsidRPr="00DB3253" w:rsidRDefault="00E52A67">
            <w:pPr>
              <w:spacing w:after="120"/>
              <w:contextualSpacing/>
              <w:rPr>
                <w:szCs w:val="22"/>
              </w:rPr>
            </w:pPr>
            <w:r w:rsidRPr="00DB3253">
              <w:rPr>
                <w:b/>
                <w:bCs/>
                <w:szCs w:val="22"/>
              </w:rPr>
              <w:t xml:space="preserve">Budgeted cost of Review </w:t>
            </w:r>
          </w:p>
        </w:tc>
        <w:tc>
          <w:tcPr>
            <w:tcW w:w="562" w:type="pct"/>
          </w:tcPr>
          <w:p w14:paraId="0138D7C0" w14:textId="77777777" w:rsidR="00E52A67" w:rsidRPr="00DB3253" w:rsidRDefault="00E52A67">
            <w:pPr>
              <w:spacing w:after="120"/>
              <w:contextualSpacing/>
              <w:rPr>
                <w:b/>
                <w:bCs/>
                <w:szCs w:val="22"/>
              </w:rPr>
            </w:pPr>
            <w:r w:rsidRPr="00DB3253">
              <w:rPr>
                <w:b/>
                <w:bCs/>
                <w:szCs w:val="22"/>
              </w:rPr>
              <w:t>Amount spent to date</w:t>
            </w:r>
          </w:p>
        </w:tc>
        <w:tc>
          <w:tcPr>
            <w:tcW w:w="562" w:type="pct"/>
          </w:tcPr>
          <w:p w14:paraId="7CB99FB0" w14:textId="77777777" w:rsidR="00E52A67" w:rsidRPr="00DB3253" w:rsidRDefault="00E52A67">
            <w:pPr>
              <w:spacing w:after="120"/>
              <w:contextualSpacing/>
              <w:rPr>
                <w:b/>
                <w:bCs/>
                <w:szCs w:val="22"/>
              </w:rPr>
            </w:pPr>
            <w:r w:rsidRPr="00DB3253">
              <w:rPr>
                <w:b/>
                <w:bCs/>
                <w:szCs w:val="22"/>
              </w:rPr>
              <w:t>Commencement date</w:t>
            </w:r>
          </w:p>
        </w:tc>
        <w:tc>
          <w:tcPr>
            <w:tcW w:w="561" w:type="pct"/>
            <w:hideMark/>
          </w:tcPr>
          <w:p w14:paraId="783012F4" w14:textId="77777777" w:rsidR="00E52A67" w:rsidRPr="00DB3253" w:rsidRDefault="00E52A67">
            <w:pPr>
              <w:spacing w:after="120"/>
              <w:contextualSpacing/>
              <w:rPr>
                <w:szCs w:val="22"/>
              </w:rPr>
            </w:pPr>
            <w:r w:rsidRPr="00DB3253">
              <w:rPr>
                <w:b/>
                <w:bCs/>
                <w:szCs w:val="22"/>
              </w:rPr>
              <w:t>Expected completion date</w:t>
            </w:r>
          </w:p>
        </w:tc>
      </w:tr>
      <w:tr w:rsidR="00E52A67" w:rsidRPr="00115390" w14:paraId="0113B12D" w14:textId="77777777" w:rsidTr="7E7CCF66">
        <w:tc>
          <w:tcPr>
            <w:tcW w:w="1630" w:type="pct"/>
          </w:tcPr>
          <w:p w14:paraId="7BB482B3" w14:textId="7CC790C8" w:rsidR="00E52A67" w:rsidRPr="00E52A67" w:rsidRDefault="00E52A67" w:rsidP="0063502D">
            <w:pPr>
              <w:tabs>
                <w:tab w:val="left" w:pos="851"/>
              </w:tabs>
              <w:spacing w:after="120" w:line="288" w:lineRule="auto"/>
              <w:ind w:right="95"/>
              <w:contextualSpacing/>
              <w:rPr>
                <w:rFonts w:cs="Times New Roman"/>
                <w:szCs w:val="22"/>
              </w:rPr>
            </w:pPr>
            <w:r w:rsidRPr="00E52A67">
              <w:rPr>
                <w:rFonts w:cs="Times New Roman"/>
                <w:szCs w:val="22"/>
              </w:rPr>
              <w:t xml:space="preserve">The Department of Social Services is funding SNAICC – National Voice for our Children, to conduct annual reviews of State and </w:t>
            </w:r>
            <w:r w:rsidR="00253ADF" w:rsidRPr="00E52A67">
              <w:rPr>
                <w:rFonts w:cs="Times New Roman"/>
                <w:szCs w:val="22"/>
              </w:rPr>
              <w:t>Territory compliance</w:t>
            </w:r>
            <w:r w:rsidRPr="00E52A67">
              <w:rPr>
                <w:rFonts w:cs="Times New Roman"/>
                <w:szCs w:val="22"/>
              </w:rPr>
              <w:t xml:space="preserve"> with the five elements of Aboriginal and Torres Strait Islander Child Placement Principles: Prevention, Partnership, Participation, Placement, and Connection for 2024-2026. This project aligns with Commonwealth strategies:</w:t>
            </w:r>
          </w:p>
          <w:p w14:paraId="30611225" w14:textId="77777777" w:rsidR="004742C2" w:rsidRDefault="00E52A67" w:rsidP="0063502D">
            <w:pPr>
              <w:pStyle w:val="ListParagraph"/>
              <w:numPr>
                <w:ilvl w:val="0"/>
                <w:numId w:val="9"/>
              </w:numPr>
              <w:tabs>
                <w:tab w:val="left" w:pos="851"/>
              </w:tabs>
              <w:spacing w:after="120" w:line="288" w:lineRule="auto"/>
              <w:ind w:left="371" w:right="96" w:hanging="371"/>
              <w:rPr>
                <w:rFonts w:cs="Times New Roman"/>
                <w:szCs w:val="22"/>
              </w:rPr>
            </w:pPr>
            <w:r w:rsidRPr="00E52A67">
              <w:rPr>
                <w:rFonts w:cs="Times New Roman"/>
                <w:i/>
                <w:iCs/>
                <w:szCs w:val="22"/>
              </w:rPr>
              <w:t xml:space="preserve">National Framework for Protecting Australia’s Children 2021-2031, </w:t>
            </w:r>
            <w:r w:rsidRPr="00E52A67">
              <w:rPr>
                <w:rFonts w:cs="Times New Roman"/>
                <w:szCs w:val="22"/>
              </w:rPr>
              <w:t>including the Aboriginal and Torres Strait Islander First Action Plan 2023-2026.</w:t>
            </w:r>
          </w:p>
          <w:p w14:paraId="1FC1EBCA" w14:textId="5536BF98" w:rsidR="00E52A67" w:rsidRPr="004742C2" w:rsidRDefault="00E52A67" w:rsidP="0063502D">
            <w:pPr>
              <w:pStyle w:val="ListParagraph"/>
              <w:numPr>
                <w:ilvl w:val="0"/>
                <w:numId w:val="9"/>
              </w:numPr>
              <w:tabs>
                <w:tab w:val="left" w:pos="851"/>
              </w:tabs>
              <w:spacing w:after="120" w:line="288" w:lineRule="auto"/>
              <w:ind w:left="371" w:right="96" w:hanging="371"/>
              <w:rPr>
                <w:rFonts w:cs="Times New Roman"/>
                <w:szCs w:val="22"/>
              </w:rPr>
            </w:pPr>
            <w:r w:rsidRPr="004742C2">
              <w:rPr>
                <w:rFonts w:cs="Times New Roman"/>
                <w:szCs w:val="22"/>
              </w:rPr>
              <w:t>Closing the Gap Target 12 (reducing over-representation in out-of-home care) and aligns with Priority Reform 4 (improving access to relevant data).</w:t>
            </w:r>
          </w:p>
        </w:tc>
        <w:tc>
          <w:tcPr>
            <w:tcW w:w="561" w:type="pct"/>
          </w:tcPr>
          <w:p w14:paraId="6D7F5C6D" w14:textId="3A1BA298" w:rsidR="00E52A67" w:rsidRPr="00E52A67" w:rsidRDefault="00E52A67" w:rsidP="0063502D">
            <w:pPr>
              <w:spacing w:line="288" w:lineRule="auto"/>
              <w:rPr>
                <w:rFonts w:eastAsia="Aptos"/>
                <w:szCs w:val="22"/>
              </w:rPr>
            </w:pPr>
            <w:r w:rsidRPr="00E52A67">
              <w:rPr>
                <w:rFonts w:cs="Times New Roman"/>
                <w:szCs w:val="22"/>
              </w:rPr>
              <w:t xml:space="preserve">SNAICC – National Voice for our Children </w:t>
            </w:r>
          </w:p>
        </w:tc>
        <w:tc>
          <w:tcPr>
            <w:tcW w:w="562" w:type="pct"/>
          </w:tcPr>
          <w:p w14:paraId="4A09BCB4" w14:textId="513982D9" w:rsidR="00E52A67" w:rsidRPr="00E52A67" w:rsidRDefault="00E52A67" w:rsidP="0063502D">
            <w:pPr>
              <w:spacing w:line="288" w:lineRule="auto"/>
              <w:rPr>
                <w:rFonts w:eastAsia="Aptos"/>
                <w:szCs w:val="22"/>
              </w:rPr>
            </w:pPr>
            <w:r w:rsidRPr="00E52A67">
              <w:rPr>
                <w:rFonts w:cs="Times New Roman"/>
                <w:szCs w:val="22"/>
              </w:rPr>
              <w:t xml:space="preserve">N/A </w:t>
            </w:r>
          </w:p>
        </w:tc>
        <w:tc>
          <w:tcPr>
            <w:tcW w:w="562" w:type="pct"/>
          </w:tcPr>
          <w:p w14:paraId="72993003" w14:textId="265DB2AC" w:rsidR="00E52A67" w:rsidRPr="00BD14D6" w:rsidRDefault="00E52A67" w:rsidP="00BD14D6">
            <w:pPr>
              <w:spacing w:line="288" w:lineRule="auto"/>
              <w:rPr>
                <w:szCs w:val="22"/>
                <w:lang w:val="en-US"/>
              </w:rPr>
            </w:pPr>
            <w:r w:rsidRPr="00E52A67">
              <w:rPr>
                <w:rFonts w:eastAsia="Aptos" w:cs="Times New Roman"/>
                <w:szCs w:val="22"/>
              </w:rPr>
              <w:t>$686,794.20 (GST inclusive)</w:t>
            </w:r>
          </w:p>
        </w:tc>
        <w:tc>
          <w:tcPr>
            <w:tcW w:w="562" w:type="pct"/>
          </w:tcPr>
          <w:p w14:paraId="79D3CF22" w14:textId="739C4347" w:rsidR="00E52A67" w:rsidRPr="00E52A67" w:rsidRDefault="00E52A67" w:rsidP="0063502D">
            <w:pPr>
              <w:spacing w:line="288" w:lineRule="auto"/>
              <w:rPr>
                <w:szCs w:val="22"/>
                <w:lang w:val="en-US"/>
              </w:rPr>
            </w:pPr>
            <w:r w:rsidRPr="00E52A67">
              <w:rPr>
                <w:rFonts w:eastAsia="Aptos" w:cs="Times New Roman"/>
                <w:szCs w:val="22"/>
              </w:rPr>
              <w:t>$218,426.58</w:t>
            </w:r>
          </w:p>
        </w:tc>
        <w:tc>
          <w:tcPr>
            <w:tcW w:w="562" w:type="pct"/>
          </w:tcPr>
          <w:p w14:paraId="4DBE48DB" w14:textId="0C0F8342" w:rsidR="00E52A67" w:rsidRPr="00E52A67" w:rsidRDefault="7F7E26BE" w:rsidP="7E7CCF66">
            <w:pPr>
              <w:spacing w:line="288" w:lineRule="auto"/>
            </w:pPr>
            <w:r w:rsidRPr="7E7CCF66">
              <w:rPr>
                <w:rFonts w:ascii="Tahoma" w:eastAsia="Tahoma" w:hAnsi="Tahoma" w:cs="Tahoma"/>
                <w:szCs w:val="22"/>
                <w:lang w:val="en-US"/>
              </w:rPr>
              <w:t>February 2026</w:t>
            </w:r>
          </w:p>
        </w:tc>
        <w:tc>
          <w:tcPr>
            <w:tcW w:w="561" w:type="pct"/>
          </w:tcPr>
          <w:p w14:paraId="17FDDCFE" w14:textId="137C4D53" w:rsidR="00E52A67" w:rsidRPr="00E52A67" w:rsidRDefault="00E52A67" w:rsidP="0063502D">
            <w:pPr>
              <w:spacing w:line="288" w:lineRule="auto"/>
              <w:rPr>
                <w:szCs w:val="22"/>
                <w:lang w:val="en-US"/>
              </w:rPr>
            </w:pPr>
            <w:r w:rsidRPr="00E52A67">
              <w:rPr>
                <w:rFonts w:eastAsia="Aptos" w:cs="Times New Roman"/>
                <w:szCs w:val="22"/>
              </w:rPr>
              <w:t xml:space="preserve">30 June 2027 </w:t>
            </w:r>
          </w:p>
        </w:tc>
      </w:tr>
    </w:tbl>
    <w:p w14:paraId="6B80C7F6" w14:textId="77777777" w:rsidR="00E52A67" w:rsidRDefault="00E52A67" w:rsidP="00E52A67"/>
    <w:p w14:paraId="0FC55EB0" w14:textId="77777777" w:rsidR="00E52A67" w:rsidRDefault="00E52A67" w:rsidP="00E52A67"/>
    <w:p w14:paraId="15160DC2" w14:textId="1A550DDC" w:rsidR="001673C6" w:rsidRPr="007926B1" w:rsidRDefault="001673C6" w:rsidP="001673C6">
      <w:pPr>
        <w:pStyle w:val="Heading2"/>
        <w:rPr>
          <w:sz w:val="32"/>
          <w:szCs w:val="24"/>
        </w:rPr>
      </w:pPr>
      <w:r w:rsidRPr="007926B1">
        <w:rPr>
          <w:sz w:val="32"/>
          <w:szCs w:val="24"/>
        </w:rPr>
        <w:t>Evaluation of the Community-Led Sexual Violence Prevention Pilot (also known as the Partners in Prevention of Sexual Violence Project) model for</w:t>
      </w:r>
      <w:r w:rsidRPr="33398ECC">
        <w:t xml:space="preserve"> </w:t>
      </w:r>
      <w:r w:rsidRPr="007926B1">
        <w:rPr>
          <w:sz w:val="32"/>
          <w:szCs w:val="24"/>
        </w:rPr>
        <w:t>evidence gathering</w:t>
      </w:r>
    </w:p>
    <w:tbl>
      <w:tblPr>
        <w:tblStyle w:val="TableGridLight"/>
        <w:tblW w:w="5000" w:type="pct"/>
        <w:tblLook w:val="04A0" w:firstRow="1" w:lastRow="0" w:firstColumn="1" w:lastColumn="0" w:noHBand="0" w:noVBand="1"/>
      </w:tblPr>
      <w:tblGrid>
        <w:gridCol w:w="7153"/>
        <w:gridCol w:w="2428"/>
        <w:gridCol w:w="2433"/>
        <w:gridCol w:w="2793"/>
        <w:gridCol w:w="2433"/>
        <w:gridCol w:w="2433"/>
        <w:gridCol w:w="2429"/>
      </w:tblGrid>
      <w:tr w:rsidR="001673C6" w:rsidRPr="00DB3253" w14:paraId="1BEC31EF" w14:textId="77777777" w:rsidTr="001673C6">
        <w:trPr>
          <w:cnfStyle w:val="100000000000" w:firstRow="1" w:lastRow="0" w:firstColumn="0" w:lastColumn="0" w:oddVBand="0" w:evenVBand="0" w:oddHBand="0" w:evenHBand="0" w:firstRowFirstColumn="0" w:firstRowLastColumn="0" w:lastRowFirstColumn="0" w:lastRowLastColumn="0"/>
        </w:trPr>
        <w:tc>
          <w:tcPr>
            <w:tcW w:w="1630" w:type="pct"/>
          </w:tcPr>
          <w:p w14:paraId="0A1A785D" w14:textId="77777777" w:rsidR="001673C6" w:rsidRPr="00DB3253" w:rsidRDefault="001673C6">
            <w:pPr>
              <w:spacing w:after="120"/>
              <w:contextualSpacing/>
              <w:rPr>
                <w:b/>
                <w:bCs/>
                <w:szCs w:val="22"/>
              </w:rPr>
            </w:pPr>
            <w:r w:rsidRPr="00DB3253">
              <w:rPr>
                <w:b/>
                <w:bCs/>
                <w:szCs w:val="22"/>
              </w:rPr>
              <w:t>Purpose of the review</w:t>
            </w:r>
          </w:p>
        </w:tc>
        <w:tc>
          <w:tcPr>
            <w:tcW w:w="561" w:type="pct"/>
          </w:tcPr>
          <w:p w14:paraId="348833B2" w14:textId="77777777" w:rsidR="001673C6" w:rsidRPr="00DB3253" w:rsidRDefault="001673C6">
            <w:pPr>
              <w:spacing w:after="120"/>
              <w:contextualSpacing/>
              <w:rPr>
                <w:b/>
                <w:bCs/>
                <w:szCs w:val="22"/>
              </w:rPr>
            </w:pPr>
            <w:r>
              <w:rPr>
                <w:b/>
                <w:bCs/>
                <w:szCs w:val="22"/>
              </w:rPr>
              <w:t>Reviewer(s)</w:t>
            </w:r>
          </w:p>
        </w:tc>
        <w:tc>
          <w:tcPr>
            <w:tcW w:w="562" w:type="pct"/>
          </w:tcPr>
          <w:p w14:paraId="6833F812" w14:textId="77777777" w:rsidR="001673C6" w:rsidRPr="00DB3253" w:rsidRDefault="001673C6">
            <w:pPr>
              <w:spacing w:after="120"/>
              <w:contextualSpacing/>
              <w:rPr>
                <w:b/>
                <w:bCs/>
                <w:szCs w:val="22"/>
              </w:rPr>
            </w:pPr>
            <w:r w:rsidRPr="00DB3253">
              <w:rPr>
                <w:b/>
                <w:bCs/>
                <w:szCs w:val="22"/>
              </w:rPr>
              <w:t>Remuneration for each of the reviewer(s)</w:t>
            </w:r>
          </w:p>
        </w:tc>
        <w:tc>
          <w:tcPr>
            <w:tcW w:w="562" w:type="pct"/>
            <w:hideMark/>
          </w:tcPr>
          <w:p w14:paraId="2CC0C486" w14:textId="77777777" w:rsidR="001673C6" w:rsidRPr="00DB3253" w:rsidRDefault="001673C6">
            <w:pPr>
              <w:spacing w:after="120"/>
              <w:contextualSpacing/>
              <w:rPr>
                <w:szCs w:val="22"/>
              </w:rPr>
            </w:pPr>
            <w:r w:rsidRPr="00DB3253">
              <w:rPr>
                <w:b/>
                <w:bCs/>
                <w:szCs w:val="22"/>
              </w:rPr>
              <w:t xml:space="preserve">Budgeted cost of Review </w:t>
            </w:r>
          </w:p>
        </w:tc>
        <w:tc>
          <w:tcPr>
            <w:tcW w:w="562" w:type="pct"/>
          </w:tcPr>
          <w:p w14:paraId="7A40176D" w14:textId="77777777" w:rsidR="001673C6" w:rsidRPr="00DB3253" w:rsidRDefault="001673C6">
            <w:pPr>
              <w:spacing w:after="120"/>
              <w:contextualSpacing/>
              <w:rPr>
                <w:b/>
                <w:bCs/>
                <w:szCs w:val="22"/>
              </w:rPr>
            </w:pPr>
            <w:r w:rsidRPr="00DB3253">
              <w:rPr>
                <w:b/>
                <w:bCs/>
                <w:szCs w:val="22"/>
              </w:rPr>
              <w:t>Amount spent to date</w:t>
            </w:r>
          </w:p>
        </w:tc>
        <w:tc>
          <w:tcPr>
            <w:tcW w:w="562" w:type="pct"/>
          </w:tcPr>
          <w:p w14:paraId="07CFAD22" w14:textId="77777777" w:rsidR="001673C6" w:rsidRPr="00DB3253" w:rsidRDefault="001673C6">
            <w:pPr>
              <w:spacing w:after="120"/>
              <w:contextualSpacing/>
              <w:rPr>
                <w:b/>
                <w:bCs/>
                <w:szCs w:val="22"/>
              </w:rPr>
            </w:pPr>
            <w:r w:rsidRPr="00DB3253">
              <w:rPr>
                <w:b/>
                <w:bCs/>
                <w:szCs w:val="22"/>
              </w:rPr>
              <w:t>Commencement date</w:t>
            </w:r>
          </w:p>
        </w:tc>
        <w:tc>
          <w:tcPr>
            <w:tcW w:w="561" w:type="pct"/>
            <w:hideMark/>
          </w:tcPr>
          <w:p w14:paraId="4531A0A2" w14:textId="77777777" w:rsidR="001673C6" w:rsidRPr="00DB3253" w:rsidRDefault="001673C6">
            <w:pPr>
              <w:spacing w:after="120"/>
              <w:contextualSpacing/>
              <w:rPr>
                <w:szCs w:val="22"/>
              </w:rPr>
            </w:pPr>
            <w:r w:rsidRPr="00DB3253">
              <w:rPr>
                <w:b/>
                <w:bCs/>
                <w:szCs w:val="22"/>
              </w:rPr>
              <w:t>Expected completion date</w:t>
            </w:r>
          </w:p>
        </w:tc>
      </w:tr>
      <w:tr w:rsidR="001673C6" w:rsidRPr="004742C2" w14:paraId="0140F593" w14:textId="77777777" w:rsidTr="001673C6">
        <w:tc>
          <w:tcPr>
            <w:tcW w:w="1630" w:type="pct"/>
          </w:tcPr>
          <w:p w14:paraId="4F445173" w14:textId="7B2B5FF5" w:rsidR="001673C6" w:rsidRPr="004742C2" w:rsidRDefault="001673C6" w:rsidP="001673C6">
            <w:pPr>
              <w:rPr>
                <w:rFonts w:cstheme="minorHAnsi"/>
                <w:szCs w:val="22"/>
              </w:rPr>
            </w:pPr>
            <w:r w:rsidRPr="004742C2">
              <w:rPr>
                <w:rFonts w:cstheme="minorHAnsi"/>
                <w:szCs w:val="22"/>
              </w:rPr>
              <w:t xml:space="preserve">The evaluation will examine the effectiveness, cost-efficiency and appropriateness of the Community-Led Sexual Violence Prevention Pilot (the Pilot) in delivering clear, outcomes-based, empirical evidence for sexual violence prevention. </w:t>
            </w:r>
            <w:r w:rsidRPr="004742C2">
              <w:rPr>
                <w:rFonts w:eastAsia="Aptos" w:cstheme="minorHAnsi"/>
                <w:szCs w:val="22"/>
              </w:rPr>
              <w:t>These insights may then be used to support future project design, particularly for social policy areas where little to no evidence on the effectiveness of interventions exists.</w:t>
            </w:r>
          </w:p>
        </w:tc>
        <w:tc>
          <w:tcPr>
            <w:tcW w:w="561" w:type="pct"/>
          </w:tcPr>
          <w:p w14:paraId="0AF58864" w14:textId="4A0D218E" w:rsidR="001673C6" w:rsidRPr="004742C2" w:rsidRDefault="001673C6" w:rsidP="001673C6">
            <w:pPr>
              <w:rPr>
                <w:rFonts w:eastAsia="Aptos" w:cstheme="minorHAnsi"/>
                <w:szCs w:val="22"/>
              </w:rPr>
            </w:pPr>
            <w:r w:rsidRPr="004742C2">
              <w:rPr>
                <w:rFonts w:cstheme="minorHAnsi"/>
                <w:szCs w:val="22"/>
              </w:rPr>
              <w:t>ARTD Group</w:t>
            </w:r>
          </w:p>
        </w:tc>
        <w:tc>
          <w:tcPr>
            <w:tcW w:w="562" w:type="pct"/>
          </w:tcPr>
          <w:p w14:paraId="087E0F1E" w14:textId="74CD1F9F" w:rsidR="001673C6" w:rsidRPr="004742C2" w:rsidRDefault="001673C6" w:rsidP="001673C6">
            <w:pPr>
              <w:rPr>
                <w:rFonts w:eastAsia="Aptos" w:cstheme="minorHAnsi"/>
                <w:szCs w:val="22"/>
              </w:rPr>
            </w:pPr>
            <w:r w:rsidRPr="004742C2">
              <w:rPr>
                <w:rFonts w:cstheme="minorHAnsi"/>
                <w:szCs w:val="22"/>
              </w:rPr>
              <w:t>N/A</w:t>
            </w:r>
          </w:p>
        </w:tc>
        <w:tc>
          <w:tcPr>
            <w:tcW w:w="562" w:type="pct"/>
          </w:tcPr>
          <w:p w14:paraId="7C430B32" w14:textId="77777777" w:rsidR="001673C6" w:rsidRPr="004742C2" w:rsidRDefault="001673C6" w:rsidP="001673C6">
            <w:pPr>
              <w:spacing w:after="120"/>
              <w:contextualSpacing/>
              <w:rPr>
                <w:rFonts w:cstheme="minorHAnsi"/>
                <w:szCs w:val="22"/>
              </w:rPr>
            </w:pPr>
            <w:r w:rsidRPr="004742C2">
              <w:rPr>
                <w:rFonts w:cstheme="minorHAnsi"/>
                <w:szCs w:val="22"/>
              </w:rPr>
              <w:t>$335,781 (GST inclusive) </w:t>
            </w:r>
          </w:p>
          <w:p w14:paraId="331187DC" w14:textId="77777777" w:rsidR="001673C6" w:rsidRPr="004742C2" w:rsidRDefault="001673C6" w:rsidP="001673C6">
            <w:pPr>
              <w:spacing w:after="120"/>
              <w:contextualSpacing/>
              <w:rPr>
                <w:rFonts w:cstheme="minorHAnsi"/>
                <w:szCs w:val="22"/>
              </w:rPr>
            </w:pPr>
            <w:r w:rsidRPr="004742C2">
              <w:rPr>
                <w:rFonts w:cstheme="minorHAnsi"/>
                <w:szCs w:val="22"/>
              </w:rPr>
              <w:t>$305,256 (GST exclusive)</w:t>
            </w:r>
          </w:p>
          <w:p w14:paraId="67169A82" w14:textId="77777777" w:rsidR="001673C6" w:rsidRPr="00BD14D6" w:rsidRDefault="001673C6" w:rsidP="00BD14D6">
            <w:pPr>
              <w:rPr>
                <w:rFonts w:cstheme="minorHAnsi"/>
                <w:szCs w:val="22"/>
                <w:lang w:val="en-US"/>
              </w:rPr>
            </w:pPr>
          </w:p>
        </w:tc>
        <w:tc>
          <w:tcPr>
            <w:tcW w:w="562" w:type="pct"/>
          </w:tcPr>
          <w:p w14:paraId="6932584C" w14:textId="72D3B7FF" w:rsidR="001673C6" w:rsidRPr="004742C2" w:rsidRDefault="001673C6" w:rsidP="001673C6">
            <w:pPr>
              <w:rPr>
                <w:rFonts w:cstheme="minorHAnsi"/>
                <w:szCs w:val="22"/>
                <w:lang w:val="en-US"/>
              </w:rPr>
            </w:pPr>
            <w:r w:rsidRPr="004742C2">
              <w:rPr>
                <w:rFonts w:cstheme="minorHAnsi"/>
                <w:szCs w:val="22"/>
              </w:rPr>
              <w:t>$128,907.11 (GST incl</w:t>
            </w:r>
            <w:r w:rsidR="001408FB">
              <w:rPr>
                <w:rFonts w:cstheme="minorHAnsi"/>
                <w:szCs w:val="22"/>
              </w:rPr>
              <w:t>usive</w:t>
            </w:r>
            <w:r w:rsidRPr="004742C2">
              <w:rPr>
                <w:rFonts w:cstheme="minorHAnsi"/>
                <w:szCs w:val="22"/>
              </w:rPr>
              <w:t xml:space="preserve">)  </w:t>
            </w:r>
          </w:p>
        </w:tc>
        <w:tc>
          <w:tcPr>
            <w:tcW w:w="562" w:type="pct"/>
          </w:tcPr>
          <w:p w14:paraId="4B724B1A" w14:textId="05C52A3F" w:rsidR="001673C6" w:rsidRPr="004742C2" w:rsidRDefault="001673C6" w:rsidP="001673C6">
            <w:pPr>
              <w:rPr>
                <w:rFonts w:cstheme="minorHAnsi"/>
                <w:szCs w:val="22"/>
                <w:lang w:val="en-US"/>
              </w:rPr>
            </w:pPr>
            <w:r w:rsidRPr="002747D6">
              <w:rPr>
                <w:rFonts w:cstheme="minorHAnsi"/>
                <w:szCs w:val="22"/>
                <w:lang w:val="en-US"/>
              </w:rPr>
              <w:t>22 November 2024</w:t>
            </w:r>
          </w:p>
        </w:tc>
        <w:tc>
          <w:tcPr>
            <w:tcW w:w="561" w:type="pct"/>
          </w:tcPr>
          <w:p w14:paraId="7AB80912" w14:textId="77F264B6" w:rsidR="001673C6" w:rsidRPr="004742C2" w:rsidRDefault="001673C6" w:rsidP="001673C6">
            <w:pPr>
              <w:rPr>
                <w:rFonts w:cstheme="minorHAnsi"/>
                <w:szCs w:val="22"/>
                <w:lang w:val="en-US"/>
              </w:rPr>
            </w:pPr>
            <w:r w:rsidRPr="004742C2">
              <w:rPr>
                <w:rFonts w:cstheme="minorHAnsi"/>
                <w:szCs w:val="22"/>
              </w:rPr>
              <w:t>30 June 2027</w:t>
            </w:r>
          </w:p>
        </w:tc>
      </w:tr>
    </w:tbl>
    <w:p w14:paraId="3419A999" w14:textId="77777777" w:rsidR="001673C6" w:rsidRDefault="001673C6" w:rsidP="001673C6"/>
    <w:p w14:paraId="436E4D26" w14:textId="1C8F84BD" w:rsidR="00931B05" w:rsidRDefault="001673C6" w:rsidP="007926B1">
      <w:pPr>
        <w:pStyle w:val="Heading3"/>
      </w:pPr>
      <w:r w:rsidRPr="007926B1">
        <w:t>Evaluation of the Improving Multidisciplinary Response Program</w:t>
      </w:r>
    </w:p>
    <w:tbl>
      <w:tblPr>
        <w:tblStyle w:val="TableGridLight"/>
        <w:tblW w:w="5000" w:type="pct"/>
        <w:tblLook w:val="04A0" w:firstRow="1" w:lastRow="0" w:firstColumn="1" w:lastColumn="0" w:noHBand="0" w:noVBand="1"/>
      </w:tblPr>
      <w:tblGrid>
        <w:gridCol w:w="7206"/>
        <w:gridCol w:w="2480"/>
        <w:gridCol w:w="2484"/>
        <w:gridCol w:w="2484"/>
        <w:gridCol w:w="2484"/>
        <w:gridCol w:w="2484"/>
        <w:gridCol w:w="2480"/>
      </w:tblGrid>
      <w:tr w:rsidR="00931B05" w:rsidRPr="00DB3253" w14:paraId="41B97666" w14:textId="77777777" w:rsidTr="001673C6">
        <w:trPr>
          <w:cnfStyle w:val="100000000000" w:firstRow="1" w:lastRow="0" w:firstColumn="0" w:lastColumn="0" w:oddVBand="0" w:evenVBand="0" w:oddHBand="0" w:evenHBand="0" w:firstRowFirstColumn="0" w:firstRowLastColumn="0" w:lastRowFirstColumn="0" w:lastRowLastColumn="0"/>
        </w:trPr>
        <w:tc>
          <w:tcPr>
            <w:tcW w:w="1630" w:type="pct"/>
          </w:tcPr>
          <w:p w14:paraId="79928E15" w14:textId="77777777" w:rsidR="00931B05" w:rsidRPr="00DB3253" w:rsidRDefault="00931B05">
            <w:pPr>
              <w:spacing w:after="120"/>
              <w:contextualSpacing/>
              <w:rPr>
                <w:b/>
                <w:bCs/>
                <w:szCs w:val="22"/>
              </w:rPr>
            </w:pPr>
            <w:r w:rsidRPr="00DB3253">
              <w:rPr>
                <w:b/>
                <w:bCs/>
                <w:szCs w:val="22"/>
              </w:rPr>
              <w:t>Purpose of the review</w:t>
            </w:r>
          </w:p>
        </w:tc>
        <w:tc>
          <w:tcPr>
            <w:tcW w:w="561" w:type="pct"/>
          </w:tcPr>
          <w:p w14:paraId="0661AF52" w14:textId="77777777" w:rsidR="00931B05" w:rsidRPr="00DB3253" w:rsidRDefault="00931B05">
            <w:pPr>
              <w:spacing w:after="120"/>
              <w:contextualSpacing/>
              <w:rPr>
                <w:b/>
                <w:bCs/>
                <w:szCs w:val="22"/>
              </w:rPr>
            </w:pPr>
            <w:r>
              <w:rPr>
                <w:b/>
                <w:bCs/>
                <w:szCs w:val="22"/>
              </w:rPr>
              <w:t>Reviewer(s)</w:t>
            </w:r>
          </w:p>
        </w:tc>
        <w:tc>
          <w:tcPr>
            <w:tcW w:w="562" w:type="pct"/>
          </w:tcPr>
          <w:p w14:paraId="6C8FA1A5" w14:textId="77777777" w:rsidR="00931B05" w:rsidRPr="00DB3253" w:rsidRDefault="00931B05">
            <w:pPr>
              <w:spacing w:after="120"/>
              <w:contextualSpacing/>
              <w:rPr>
                <w:b/>
                <w:bCs/>
                <w:szCs w:val="22"/>
              </w:rPr>
            </w:pPr>
            <w:r w:rsidRPr="00DB3253">
              <w:rPr>
                <w:b/>
                <w:bCs/>
                <w:szCs w:val="22"/>
              </w:rPr>
              <w:t>Remuneration for each of the reviewer(s)</w:t>
            </w:r>
          </w:p>
        </w:tc>
        <w:tc>
          <w:tcPr>
            <w:tcW w:w="562" w:type="pct"/>
            <w:hideMark/>
          </w:tcPr>
          <w:p w14:paraId="5D39345F" w14:textId="77777777" w:rsidR="00931B05" w:rsidRPr="00DB3253" w:rsidRDefault="00931B05">
            <w:pPr>
              <w:spacing w:after="120"/>
              <w:contextualSpacing/>
              <w:rPr>
                <w:szCs w:val="22"/>
              </w:rPr>
            </w:pPr>
            <w:r w:rsidRPr="00DB3253">
              <w:rPr>
                <w:b/>
                <w:bCs/>
                <w:szCs w:val="22"/>
              </w:rPr>
              <w:t xml:space="preserve">Budgeted cost of Review </w:t>
            </w:r>
          </w:p>
        </w:tc>
        <w:tc>
          <w:tcPr>
            <w:tcW w:w="562" w:type="pct"/>
          </w:tcPr>
          <w:p w14:paraId="769AFD0C" w14:textId="77777777" w:rsidR="00931B05" w:rsidRPr="00DB3253" w:rsidRDefault="00931B05">
            <w:pPr>
              <w:spacing w:after="120"/>
              <w:contextualSpacing/>
              <w:rPr>
                <w:b/>
                <w:bCs/>
                <w:szCs w:val="22"/>
              </w:rPr>
            </w:pPr>
            <w:r w:rsidRPr="00DB3253">
              <w:rPr>
                <w:b/>
                <w:bCs/>
                <w:szCs w:val="22"/>
              </w:rPr>
              <w:t>Amount spent to date</w:t>
            </w:r>
          </w:p>
        </w:tc>
        <w:tc>
          <w:tcPr>
            <w:tcW w:w="562" w:type="pct"/>
          </w:tcPr>
          <w:p w14:paraId="32EA9BB6" w14:textId="77777777" w:rsidR="00931B05" w:rsidRPr="00DB3253" w:rsidRDefault="00931B05">
            <w:pPr>
              <w:spacing w:after="120"/>
              <w:contextualSpacing/>
              <w:rPr>
                <w:b/>
                <w:bCs/>
                <w:szCs w:val="22"/>
              </w:rPr>
            </w:pPr>
            <w:r w:rsidRPr="00DB3253">
              <w:rPr>
                <w:b/>
                <w:bCs/>
                <w:szCs w:val="22"/>
              </w:rPr>
              <w:t>Commencement date</w:t>
            </w:r>
          </w:p>
        </w:tc>
        <w:tc>
          <w:tcPr>
            <w:tcW w:w="561" w:type="pct"/>
            <w:hideMark/>
          </w:tcPr>
          <w:p w14:paraId="6D6473C0" w14:textId="77777777" w:rsidR="00931B05" w:rsidRPr="00DB3253" w:rsidRDefault="00931B05">
            <w:pPr>
              <w:spacing w:after="120"/>
              <w:contextualSpacing/>
              <w:rPr>
                <w:szCs w:val="22"/>
              </w:rPr>
            </w:pPr>
            <w:r w:rsidRPr="00DB3253">
              <w:rPr>
                <w:b/>
                <w:bCs/>
                <w:szCs w:val="22"/>
              </w:rPr>
              <w:t>Expected completion date</w:t>
            </w:r>
          </w:p>
        </w:tc>
      </w:tr>
      <w:tr w:rsidR="001673C6" w:rsidRPr="004742C2" w14:paraId="4345B8DC" w14:textId="77777777" w:rsidTr="001673C6">
        <w:tc>
          <w:tcPr>
            <w:tcW w:w="1630" w:type="pct"/>
          </w:tcPr>
          <w:p w14:paraId="03000565" w14:textId="073187CA" w:rsidR="001673C6" w:rsidRPr="004742C2" w:rsidRDefault="001673C6" w:rsidP="001673C6">
            <w:pPr>
              <w:rPr>
                <w:szCs w:val="22"/>
              </w:rPr>
            </w:pPr>
            <w:r w:rsidRPr="004742C2">
              <w:rPr>
                <w:rFonts w:cs="Times New Roman"/>
                <w:szCs w:val="22"/>
              </w:rPr>
              <w:t>To undertake an independent program evaluation and provide grantees evaluation support to co</w:t>
            </w:r>
            <w:r w:rsidRPr="004742C2">
              <w:rPr>
                <w:rFonts w:cs="Times New Roman"/>
                <w:szCs w:val="22"/>
              </w:rPr>
              <w:noBreakHyphen/>
              <w:t>design their individual project evaluation approaches with the local community, including defining measures of success, data collection methodologies and the narrative around the data and project outcomes.</w:t>
            </w:r>
          </w:p>
        </w:tc>
        <w:tc>
          <w:tcPr>
            <w:tcW w:w="561" w:type="pct"/>
          </w:tcPr>
          <w:p w14:paraId="32DB9B1B" w14:textId="123303B6" w:rsidR="001673C6" w:rsidRPr="004742C2" w:rsidRDefault="001673C6" w:rsidP="001673C6">
            <w:pPr>
              <w:rPr>
                <w:rFonts w:eastAsia="Aptos"/>
                <w:szCs w:val="22"/>
              </w:rPr>
            </w:pPr>
            <w:r w:rsidRPr="004742C2">
              <w:rPr>
                <w:rFonts w:cs="Times New Roman"/>
                <w:szCs w:val="22"/>
              </w:rPr>
              <w:t>Arney Chong consulting</w:t>
            </w:r>
          </w:p>
        </w:tc>
        <w:tc>
          <w:tcPr>
            <w:tcW w:w="562" w:type="pct"/>
          </w:tcPr>
          <w:p w14:paraId="2DDA231E" w14:textId="4A2220DA" w:rsidR="001673C6" w:rsidRPr="004742C2" w:rsidRDefault="001673C6" w:rsidP="001673C6">
            <w:pPr>
              <w:rPr>
                <w:rFonts w:eastAsia="Aptos"/>
                <w:szCs w:val="22"/>
              </w:rPr>
            </w:pPr>
            <w:r w:rsidRPr="004742C2">
              <w:rPr>
                <w:rFonts w:cs="Times New Roman"/>
                <w:szCs w:val="22"/>
              </w:rPr>
              <w:t>N/A</w:t>
            </w:r>
          </w:p>
        </w:tc>
        <w:tc>
          <w:tcPr>
            <w:tcW w:w="562" w:type="pct"/>
          </w:tcPr>
          <w:p w14:paraId="24820B3E" w14:textId="17525123" w:rsidR="001673C6" w:rsidRPr="00BD14D6" w:rsidRDefault="001673C6" w:rsidP="00BD14D6">
            <w:pPr>
              <w:rPr>
                <w:szCs w:val="22"/>
                <w:lang w:val="en-US"/>
              </w:rPr>
            </w:pPr>
            <w:r w:rsidRPr="004742C2">
              <w:rPr>
                <w:rFonts w:cs="Times New Roman"/>
                <w:szCs w:val="22"/>
              </w:rPr>
              <w:t>$554,834.00 (GST</w:t>
            </w:r>
            <w:r w:rsidR="004A087E">
              <w:rPr>
                <w:rFonts w:cs="Times New Roman"/>
                <w:szCs w:val="22"/>
              </w:rPr>
              <w:t xml:space="preserve"> </w:t>
            </w:r>
            <w:r w:rsidR="004A087E" w:rsidRPr="004742C2">
              <w:rPr>
                <w:rFonts w:cstheme="minorHAnsi"/>
                <w:szCs w:val="22"/>
              </w:rPr>
              <w:t>exclusive</w:t>
            </w:r>
            <w:r w:rsidRPr="004742C2">
              <w:rPr>
                <w:rFonts w:cs="Times New Roman"/>
                <w:szCs w:val="22"/>
              </w:rPr>
              <w:t>)</w:t>
            </w:r>
          </w:p>
        </w:tc>
        <w:tc>
          <w:tcPr>
            <w:tcW w:w="562" w:type="pct"/>
          </w:tcPr>
          <w:p w14:paraId="2BF61F18" w14:textId="30988B25" w:rsidR="001673C6" w:rsidRPr="004742C2" w:rsidRDefault="001673C6" w:rsidP="001673C6">
            <w:pPr>
              <w:rPr>
                <w:szCs w:val="22"/>
                <w:lang w:val="en-US"/>
              </w:rPr>
            </w:pPr>
            <w:r w:rsidRPr="004742C2">
              <w:rPr>
                <w:rFonts w:eastAsia="Aptos" w:cs="Times New Roman"/>
                <w:szCs w:val="22"/>
              </w:rPr>
              <w:t xml:space="preserve"> $234,834 (GST</w:t>
            </w:r>
            <w:r w:rsidR="004A087E">
              <w:rPr>
                <w:rFonts w:eastAsia="Aptos" w:cs="Times New Roman"/>
                <w:szCs w:val="22"/>
              </w:rPr>
              <w:t xml:space="preserve"> </w:t>
            </w:r>
            <w:r w:rsidR="004A087E" w:rsidRPr="004742C2">
              <w:rPr>
                <w:rFonts w:cstheme="minorHAnsi"/>
                <w:szCs w:val="22"/>
              </w:rPr>
              <w:t>exclusive</w:t>
            </w:r>
            <w:r w:rsidRPr="004742C2">
              <w:rPr>
                <w:rFonts w:eastAsia="Aptos" w:cs="Times New Roman"/>
                <w:szCs w:val="22"/>
              </w:rPr>
              <w:t>)</w:t>
            </w:r>
          </w:p>
        </w:tc>
        <w:tc>
          <w:tcPr>
            <w:tcW w:w="562" w:type="pct"/>
          </w:tcPr>
          <w:p w14:paraId="1C139FD5" w14:textId="7EC64A91" w:rsidR="001673C6" w:rsidRPr="004742C2" w:rsidRDefault="001673C6" w:rsidP="001673C6">
            <w:pPr>
              <w:rPr>
                <w:szCs w:val="22"/>
                <w:lang w:val="en-US"/>
              </w:rPr>
            </w:pPr>
            <w:r w:rsidRPr="004742C2">
              <w:rPr>
                <w:szCs w:val="22"/>
                <w:lang w:val="en-US"/>
              </w:rPr>
              <w:t>Nov 2023</w:t>
            </w:r>
          </w:p>
        </w:tc>
        <w:tc>
          <w:tcPr>
            <w:tcW w:w="561" w:type="pct"/>
          </w:tcPr>
          <w:p w14:paraId="37E76620" w14:textId="182791DE" w:rsidR="001673C6" w:rsidRPr="004742C2" w:rsidRDefault="001673C6" w:rsidP="001673C6">
            <w:pPr>
              <w:rPr>
                <w:szCs w:val="22"/>
                <w:lang w:val="en-US"/>
              </w:rPr>
            </w:pPr>
            <w:r w:rsidRPr="004742C2">
              <w:rPr>
                <w:rFonts w:cs="Times New Roman"/>
                <w:szCs w:val="22"/>
              </w:rPr>
              <w:t>June 2027</w:t>
            </w:r>
          </w:p>
        </w:tc>
      </w:tr>
    </w:tbl>
    <w:p w14:paraId="64D1A497" w14:textId="77777777" w:rsidR="00931B05" w:rsidRDefault="00931B05" w:rsidP="00931B05"/>
    <w:p w14:paraId="43CF546B" w14:textId="77777777" w:rsidR="001673C6" w:rsidRDefault="001673C6" w:rsidP="001673C6"/>
    <w:p w14:paraId="03E65EEC" w14:textId="164ED0DA" w:rsidR="001673C6" w:rsidRDefault="001673C6" w:rsidP="007926B1">
      <w:pPr>
        <w:pStyle w:val="Heading3"/>
      </w:pPr>
      <w:r w:rsidRPr="007926B1">
        <w:t>Evaluation of the Child and Family Intensive Support Services (CaFIS)</w:t>
      </w:r>
    </w:p>
    <w:tbl>
      <w:tblPr>
        <w:tblStyle w:val="TableGridLight"/>
        <w:tblW w:w="5000" w:type="pct"/>
        <w:tblLook w:val="04A0" w:firstRow="1" w:lastRow="0" w:firstColumn="1" w:lastColumn="0" w:noHBand="0" w:noVBand="1"/>
      </w:tblPr>
      <w:tblGrid>
        <w:gridCol w:w="7206"/>
        <w:gridCol w:w="2480"/>
        <w:gridCol w:w="2484"/>
        <w:gridCol w:w="2484"/>
        <w:gridCol w:w="2484"/>
        <w:gridCol w:w="2484"/>
        <w:gridCol w:w="2480"/>
      </w:tblGrid>
      <w:tr w:rsidR="001673C6" w:rsidRPr="00DB3253" w14:paraId="222391EA" w14:textId="77777777" w:rsidTr="001673C6">
        <w:trPr>
          <w:cnfStyle w:val="100000000000" w:firstRow="1" w:lastRow="0" w:firstColumn="0" w:lastColumn="0" w:oddVBand="0" w:evenVBand="0" w:oddHBand="0" w:evenHBand="0" w:firstRowFirstColumn="0" w:firstRowLastColumn="0" w:lastRowFirstColumn="0" w:lastRowLastColumn="0"/>
        </w:trPr>
        <w:tc>
          <w:tcPr>
            <w:tcW w:w="1630" w:type="pct"/>
          </w:tcPr>
          <w:p w14:paraId="37D4333D" w14:textId="77777777" w:rsidR="001673C6" w:rsidRPr="00DB3253" w:rsidRDefault="001673C6">
            <w:pPr>
              <w:spacing w:after="120"/>
              <w:contextualSpacing/>
              <w:rPr>
                <w:b/>
                <w:bCs/>
                <w:szCs w:val="22"/>
              </w:rPr>
            </w:pPr>
            <w:r w:rsidRPr="00DB3253">
              <w:rPr>
                <w:b/>
                <w:bCs/>
                <w:szCs w:val="22"/>
              </w:rPr>
              <w:t>Purpose of the review</w:t>
            </w:r>
          </w:p>
        </w:tc>
        <w:tc>
          <w:tcPr>
            <w:tcW w:w="561" w:type="pct"/>
          </w:tcPr>
          <w:p w14:paraId="62BE8B24" w14:textId="77777777" w:rsidR="001673C6" w:rsidRPr="00DB3253" w:rsidRDefault="001673C6">
            <w:pPr>
              <w:spacing w:after="120"/>
              <w:contextualSpacing/>
              <w:rPr>
                <w:b/>
                <w:bCs/>
                <w:szCs w:val="22"/>
              </w:rPr>
            </w:pPr>
            <w:r>
              <w:rPr>
                <w:b/>
                <w:bCs/>
                <w:szCs w:val="22"/>
              </w:rPr>
              <w:t>Reviewer(s)</w:t>
            </w:r>
          </w:p>
        </w:tc>
        <w:tc>
          <w:tcPr>
            <w:tcW w:w="562" w:type="pct"/>
          </w:tcPr>
          <w:p w14:paraId="42ECD811" w14:textId="77777777" w:rsidR="001673C6" w:rsidRPr="00DB3253" w:rsidRDefault="001673C6">
            <w:pPr>
              <w:spacing w:after="120"/>
              <w:contextualSpacing/>
              <w:rPr>
                <w:b/>
                <w:bCs/>
                <w:szCs w:val="22"/>
              </w:rPr>
            </w:pPr>
            <w:r w:rsidRPr="00DB3253">
              <w:rPr>
                <w:b/>
                <w:bCs/>
                <w:szCs w:val="22"/>
              </w:rPr>
              <w:t>Remuneration for each of the reviewer(s)</w:t>
            </w:r>
          </w:p>
        </w:tc>
        <w:tc>
          <w:tcPr>
            <w:tcW w:w="562" w:type="pct"/>
            <w:hideMark/>
          </w:tcPr>
          <w:p w14:paraId="1329E4E9" w14:textId="77777777" w:rsidR="001673C6" w:rsidRPr="00DB3253" w:rsidRDefault="001673C6">
            <w:pPr>
              <w:spacing w:after="120"/>
              <w:contextualSpacing/>
              <w:rPr>
                <w:szCs w:val="22"/>
              </w:rPr>
            </w:pPr>
            <w:r w:rsidRPr="00DB3253">
              <w:rPr>
                <w:b/>
                <w:bCs/>
                <w:szCs w:val="22"/>
              </w:rPr>
              <w:t xml:space="preserve">Budgeted cost of Review </w:t>
            </w:r>
          </w:p>
        </w:tc>
        <w:tc>
          <w:tcPr>
            <w:tcW w:w="562" w:type="pct"/>
          </w:tcPr>
          <w:p w14:paraId="493F853A" w14:textId="77777777" w:rsidR="001673C6" w:rsidRPr="00DB3253" w:rsidRDefault="001673C6">
            <w:pPr>
              <w:spacing w:after="120"/>
              <w:contextualSpacing/>
              <w:rPr>
                <w:b/>
                <w:bCs/>
                <w:szCs w:val="22"/>
              </w:rPr>
            </w:pPr>
            <w:r w:rsidRPr="00DB3253">
              <w:rPr>
                <w:b/>
                <w:bCs/>
                <w:szCs w:val="22"/>
              </w:rPr>
              <w:t>Amount spent to date</w:t>
            </w:r>
          </w:p>
        </w:tc>
        <w:tc>
          <w:tcPr>
            <w:tcW w:w="562" w:type="pct"/>
          </w:tcPr>
          <w:p w14:paraId="24E6DFF5" w14:textId="77777777" w:rsidR="001673C6" w:rsidRPr="00DB3253" w:rsidRDefault="001673C6">
            <w:pPr>
              <w:spacing w:after="120"/>
              <w:contextualSpacing/>
              <w:rPr>
                <w:b/>
                <w:bCs/>
                <w:szCs w:val="22"/>
              </w:rPr>
            </w:pPr>
            <w:r w:rsidRPr="00DB3253">
              <w:rPr>
                <w:b/>
                <w:bCs/>
                <w:szCs w:val="22"/>
              </w:rPr>
              <w:t>Commencement date</w:t>
            </w:r>
          </w:p>
        </w:tc>
        <w:tc>
          <w:tcPr>
            <w:tcW w:w="561" w:type="pct"/>
            <w:hideMark/>
          </w:tcPr>
          <w:p w14:paraId="482A8455" w14:textId="77777777" w:rsidR="001673C6" w:rsidRPr="00DB3253" w:rsidRDefault="001673C6">
            <w:pPr>
              <w:spacing w:after="120"/>
              <w:contextualSpacing/>
              <w:rPr>
                <w:szCs w:val="22"/>
              </w:rPr>
            </w:pPr>
            <w:r w:rsidRPr="00DB3253">
              <w:rPr>
                <w:b/>
                <w:bCs/>
                <w:szCs w:val="22"/>
              </w:rPr>
              <w:t>Expected completion date</w:t>
            </w:r>
          </w:p>
        </w:tc>
      </w:tr>
      <w:tr w:rsidR="001673C6" w:rsidRPr="0063502D" w14:paraId="0B8ABEF1" w14:textId="77777777" w:rsidTr="001673C6">
        <w:tc>
          <w:tcPr>
            <w:tcW w:w="1630" w:type="pct"/>
          </w:tcPr>
          <w:p w14:paraId="49A17A1A" w14:textId="038917B3" w:rsidR="001673C6" w:rsidRPr="0063502D" w:rsidRDefault="001673C6" w:rsidP="001673C6">
            <w:pPr>
              <w:rPr>
                <w:szCs w:val="22"/>
              </w:rPr>
            </w:pPr>
            <w:r w:rsidRPr="0063502D">
              <w:rPr>
                <w:rFonts w:eastAsia="Times New Roman" w:cs="Times New Roman"/>
                <w:szCs w:val="22"/>
              </w:rPr>
              <w:t>The government committed to an independent program evaluation by a provider who can demonstrate the requisite cultural competency in engaging with First Nations communities. The evaluation will provide evidence on the impact and value of this program.</w:t>
            </w:r>
          </w:p>
        </w:tc>
        <w:tc>
          <w:tcPr>
            <w:tcW w:w="561" w:type="pct"/>
          </w:tcPr>
          <w:p w14:paraId="52D604D8" w14:textId="3D5ED60A" w:rsidR="001673C6" w:rsidRPr="0063502D" w:rsidRDefault="001673C6" w:rsidP="001673C6">
            <w:pPr>
              <w:rPr>
                <w:rFonts w:eastAsia="Aptos"/>
                <w:szCs w:val="22"/>
              </w:rPr>
            </w:pPr>
            <w:r w:rsidRPr="0063502D">
              <w:rPr>
                <w:rFonts w:eastAsia="Times New Roman" w:cs="Times New Roman"/>
                <w:szCs w:val="22"/>
              </w:rPr>
              <w:t>Social Ventures Australia and Ebony Allen Consulting</w:t>
            </w:r>
          </w:p>
        </w:tc>
        <w:tc>
          <w:tcPr>
            <w:tcW w:w="562" w:type="pct"/>
          </w:tcPr>
          <w:p w14:paraId="7784C4A8" w14:textId="7A461752" w:rsidR="001673C6" w:rsidRPr="0063502D" w:rsidRDefault="001673C6" w:rsidP="001673C6">
            <w:pPr>
              <w:rPr>
                <w:rFonts w:eastAsia="Aptos"/>
                <w:szCs w:val="22"/>
              </w:rPr>
            </w:pPr>
            <w:r w:rsidRPr="0063502D">
              <w:rPr>
                <w:rFonts w:eastAsia="Times New Roman" w:cs="Times New Roman"/>
                <w:szCs w:val="22"/>
              </w:rPr>
              <w:t>N/A</w:t>
            </w:r>
          </w:p>
        </w:tc>
        <w:tc>
          <w:tcPr>
            <w:tcW w:w="562" w:type="pct"/>
          </w:tcPr>
          <w:p w14:paraId="3B795A57" w14:textId="07BFC34D" w:rsidR="001673C6" w:rsidRPr="00BD14D6" w:rsidRDefault="001673C6" w:rsidP="00BD14D6">
            <w:pPr>
              <w:rPr>
                <w:szCs w:val="22"/>
                <w:lang w:val="en-US"/>
              </w:rPr>
            </w:pPr>
            <w:r w:rsidRPr="0063502D">
              <w:rPr>
                <w:rFonts w:eastAsia="Times New Roman" w:cs="Times New Roman"/>
                <w:szCs w:val="22"/>
              </w:rPr>
              <w:t xml:space="preserve">$424,375.60 (GST </w:t>
            </w:r>
            <w:r w:rsidR="00266574">
              <w:rPr>
                <w:rFonts w:eastAsia="Times New Roman" w:cs="Times New Roman"/>
                <w:szCs w:val="22"/>
              </w:rPr>
              <w:t>i</w:t>
            </w:r>
            <w:r w:rsidRPr="0063502D">
              <w:rPr>
                <w:rFonts w:eastAsia="Times New Roman" w:cs="Times New Roman"/>
                <w:szCs w:val="22"/>
              </w:rPr>
              <w:t>nclusive)</w:t>
            </w:r>
          </w:p>
        </w:tc>
        <w:tc>
          <w:tcPr>
            <w:tcW w:w="562" w:type="pct"/>
          </w:tcPr>
          <w:p w14:paraId="398B9871" w14:textId="62B42648" w:rsidR="001673C6" w:rsidRPr="0063502D" w:rsidRDefault="001673C6" w:rsidP="001673C6">
            <w:pPr>
              <w:rPr>
                <w:szCs w:val="22"/>
                <w:lang w:val="en-US"/>
              </w:rPr>
            </w:pPr>
            <w:r w:rsidRPr="0063502D">
              <w:rPr>
                <w:rFonts w:eastAsia="Times New Roman" w:cs="Times New Roman"/>
                <w:szCs w:val="22"/>
              </w:rPr>
              <w:t xml:space="preserve">$384,225.60 (GST </w:t>
            </w:r>
            <w:r w:rsidR="00266574">
              <w:rPr>
                <w:rFonts w:eastAsia="Times New Roman" w:cs="Times New Roman"/>
                <w:szCs w:val="22"/>
              </w:rPr>
              <w:t>i</w:t>
            </w:r>
            <w:r w:rsidRPr="0063502D">
              <w:rPr>
                <w:rFonts w:eastAsia="Times New Roman" w:cs="Times New Roman"/>
                <w:szCs w:val="22"/>
              </w:rPr>
              <w:t>nclusive)</w:t>
            </w:r>
          </w:p>
        </w:tc>
        <w:tc>
          <w:tcPr>
            <w:tcW w:w="562" w:type="pct"/>
          </w:tcPr>
          <w:p w14:paraId="3B6402EA" w14:textId="342D72AC" w:rsidR="001673C6" w:rsidRPr="0063502D" w:rsidRDefault="001673C6" w:rsidP="001673C6">
            <w:pPr>
              <w:rPr>
                <w:szCs w:val="22"/>
                <w:lang w:val="en-US"/>
              </w:rPr>
            </w:pPr>
            <w:r w:rsidRPr="00BD14D6">
              <w:rPr>
                <w:szCs w:val="22"/>
                <w:lang w:val="en-US"/>
              </w:rPr>
              <w:t>September 2025</w:t>
            </w:r>
          </w:p>
        </w:tc>
        <w:tc>
          <w:tcPr>
            <w:tcW w:w="561" w:type="pct"/>
          </w:tcPr>
          <w:p w14:paraId="06D09903" w14:textId="4E94F425" w:rsidR="001673C6" w:rsidRPr="0063502D" w:rsidRDefault="001673C6" w:rsidP="001673C6">
            <w:pPr>
              <w:rPr>
                <w:szCs w:val="22"/>
                <w:lang w:val="en-US"/>
              </w:rPr>
            </w:pPr>
            <w:r w:rsidRPr="0063502D">
              <w:rPr>
                <w:rFonts w:eastAsia="Times New Roman" w:cs="Times New Roman"/>
                <w:szCs w:val="22"/>
              </w:rPr>
              <w:t>30 September 2026</w:t>
            </w:r>
          </w:p>
        </w:tc>
      </w:tr>
    </w:tbl>
    <w:p w14:paraId="64CBD587" w14:textId="77777777" w:rsidR="001673C6" w:rsidRDefault="001673C6" w:rsidP="001673C6"/>
    <w:p w14:paraId="04C714F2" w14:textId="77777777" w:rsidR="001673C6" w:rsidRDefault="001673C6" w:rsidP="001673C6"/>
    <w:p w14:paraId="59A4186F" w14:textId="72AE247E" w:rsidR="00931B05" w:rsidRDefault="001673C6" w:rsidP="007926B1">
      <w:pPr>
        <w:pStyle w:val="Heading3"/>
      </w:pPr>
      <w:r w:rsidRPr="007926B1">
        <w:t>Independent evaluation of the Home Interaction Program for Parents and Youngsters (HIPPY)</w:t>
      </w:r>
    </w:p>
    <w:tbl>
      <w:tblPr>
        <w:tblStyle w:val="TableGridLight"/>
        <w:tblW w:w="5000" w:type="pct"/>
        <w:tblLook w:val="04A0" w:firstRow="1" w:lastRow="0" w:firstColumn="1" w:lastColumn="0" w:noHBand="0" w:noVBand="1"/>
      </w:tblPr>
      <w:tblGrid>
        <w:gridCol w:w="7206"/>
        <w:gridCol w:w="2480"/>
        <w:gridCol w:w="2484"/>
        <w:gridCol w:w="2484"/>
        <w:gridCol w:w="2484"/>
        <w:gridCol w:w="2484"/>
        <w:gridCol w:w="2480"/>
      </w:tblGrid>
      <w:tr w:rsidR="00931B05" w:rsidRPr="00DB3253" w14:paraId="43ACE416" w14:textId="77777777" w:rsidTr="001673C6">
        <w:trPr>
          <w:cnfStyle w:val="100000000000" w:firstRow="1" w:lastRow="0" w:firstColumn="0" w:lastColumn="0" w:oddVBand="0" w:evenVBand="0" w:oddHBand="0" w:evenHBand="0" w:firstRowFirstColumn="0" w:firstRowLastColumn="0" w:lastRowFirstColumn="0" w:lastRowLastColumn="0"/>
        </w:trPr>
        <w:tc>
          <w:tcPr>
            <w:tcW w:w="1630" w:type="pct"/>
          </w:tcPr>
          <w:p w14:paraId="074A4387" w14:textId="77777777" w:rsidR="00931B05" w:rsidRPr="00DB3253" w:rsidRDefault="00931B05">
            <w:pPr>
              <w:spacing w:after="120"/>
              <w:contextualSpacing/>
              <w:rPr>
                <w:b/>
                <w:bCs/>
                <w:szCs w:val="22"/>
              </w:rPr>
            </w:pPr>
            <w:r w:rsidRPr="00DB3253">
              <w:rPr>
                <w:b/>
                <w:bCs/>
                <w:szCs w:val="22"/>
              </w:rPr>
              <w:t>Purpose of the review</w:t>
            </w:r>
          </w:p>
        </w:tc>
        <w:tc>
          <w:tcPr>
            <w:tcW w:w="561" w:type="pct"/>
          </w:tcPr>
          <w:p w14:paraId="470D466B" w14:textId="77777777" w:rsidR="00931B05" w:rsidRPr="00DB3253" w:rsidRDefault="00931B05">
            <w:pPr>
              <w:spacing w:after="120"/>
              <w:contextualSpacing/>
              <w:rPr>
                <w:b/>
                <w:bCs/>
                <w:szCs w:val="22"/>
              </w:rPr>
            </w:pPr>
            <w:r>
              <w:rPr>
                <w:b/>
                <w:bCs/>
                <w:szCs w:val="22"/>
              </w:rPr>
              <w:t>Reviewer(s)</w:t>
            </w:r>
          </w:p>
        </w:tc>
        <w:tc>
          <w:tcPr>
            <w:tcW w:w="562" w:type="pct"/>
          </w:tcPr>
          <w:p w14:paraId="63534F6F" w14:textId="77777777" w:rsidR="00931B05" w:rsidRPr="00DB3253" w:rsidRDefault="00931B05">
            <w:pPr>
              <w:spacing w:after="120"/>
              <w:contextualSpacing/>
              <w:rPr>
                <w:b/>
                <w:bCs/>
                <w:szCs w:val="22"/>
              </w:rPr>
            </w:pPr>
            <w:r w:rsidRPr="00DB3253">
              <w:rPr>
                <w:b/>
                <w:bCs/>
                <w:szCs w:val="22"/>
              </w:rPr>
              <w:t>Remuneration for each of the reviewer(s)</w:t>
            </w:r>
          </w:p>
        </w:tc>
        <w:tc>
          <w:tcPr>
            <w:tcW w:w="562" w:type="pct"/>
            <w:hideMark/>
          </w:tcPr>
          <w:p w14:paraId="0E1B49FE" w14:textId="77777777" w:rsidR="00931B05" w:rsidRPr="00DB3253" w:rsidRDefault="00931B05">
            <w:pPr>
              <w:spacing w:after="120"/>
              <w:contextualSpacing/>
              <w:rPr>
                <w:szCs w:val="22"/>
              </w:rPr>
            </w:pPr>
            <w:r w:rsidRPr="00DB3253">
              <w:rPr>
                <w:b/>
                <w:bCs/>
                <w:szCs w:val="22"/>
              </w:rPr>
              <w:t xml:space="preserve">Budgeted cost of Review </w:t>
            </w:r>
          </w:p>
        </w:tc>
        <w:tc>
          <w:tcPr>
            <w:tcW w:w="562" w:type="pct"/>
          </w:tcPr>
          <w:p w14:paraId="47F241A1" w14:textId="77777777" w:rsidR="00931B05" w:rsidRPr="00DB3253" w:rsidRDefault="00931B05">
            <w:pPr>
              <w:spacing w:after="120"/>
              <w:contextualSpacing/>
              <w:rPr>
                <w:b/>
                <w:bCs/>
                <w:szCs w:val="22"/>
              </w:rPr>
            </w:pPr>
            <w:r w:rsidRPr="00DB3253">
              <w:rPr>
                <w:b/>
                <w:bCs/>
                <w:szCs w:val="22"/>
              </w:rPr>
              <w:t>Amount spent to date</w:t>
            </w:r>
          </w:p>
        </w:tc>
        <w:tc>
          <w:tcPr>
            <w:tcW w:w="562" w:type="pct"/>
          </w:tcPr>
          <w:p w14:paraId="33CCABB5" w14:textId="77777777" w:rsidR="00931B05" w:rsidRPr="00DB3253" w:rsidRDefault="00931B05">
            <w:pPr>
              <w:spacing w:after="120"/>
              <w:contextualSpacing/>
              <w:rPr>
                <w:b/>
                <w:bCs/>
                <w:szCs w:val="22"/>
              </w:rPr>
            </w:pPr>
            <w:r w:rsidRPr="00DB3253">
              <w:rPr>
                <w:b/>
                <w:bCs/>
                <w:szCs w:val="22"/>
              </w:rPr>
              <w:t>Commencement date</w:t>
            </w:r>
          </w:p>
        </w:tc>
        <w:tc>
          <w:tcPr>
            <w:tcW w:w="561" w:type="pct"/>
            <w:hideMark/>
          </w:tcPr>
          <w:p w14:paraId="4DE42003" w14:textId="77777777" w:rsidR="00931B05" w:rsidRPr="00DB3253" w:rsidRDefault="00931B05">
            <w:pPr>
              <w:spacing w:after="120"/>
              <w:contextualSpacing/>
              <w:rPr>
                <w:szCs w:val="22"/>
              </w:rPr>
            </w:pPr>
            <w:r w:rsidRPr="00DB3253">
              <w:rPr>
                <w:b/>
                <w:bCs/>
                <w:szCs w:val="22"/>
              </w:rPr>
              <w:t>Expected completion date</w:t>
            </w:r>
          </w:p>
        </w:tc>
      </w:tr>
      <w:tr w:rsidR="001673C6" w:rsidRPr="0063502D" w14:paraId="5BA0A9F5" w14:textId="77777777" w:rsidTr="001673C6">
        <w:tc>
          <w:tcPr>
            <w:tcW w:w="1630" w:type="pct"/>
          </w:tcPr>
          <w:p w14:paraId="5AB70764" w14:textId="036405C5" w:rsidR="001673C6" w:rsidRPr="0063502D" w:rsidRDefault="001673C6" w:rsidP="0063502D">
            <w:pPr>
              <w:spacing w:line="288" w:lineRule="auto"/>
              <w:rPr>
                <w:szCs w:val="22"/>
              </w:rPr>
            </w:pPr>
            <w:r w:rsidRPr="0063502D">
              <w:rPr>
                <w:szCs w:val="22"/>
                <w:lang w:val="en-US"/>
              </w:rPr>
              <w:t>The purpose of the independent evaluation is to assess the impact, effectiveness, efficiency and appropriateness of HIPPY, building on previous evaluations of the program.</w:t>
            </w:r>
          </w:p>
        </w:tc>
        <w:tc>
          <w:tcPr>
            <w:tcW w:w="561" w:type="pct"/>
          </w:tcPr>
          <w:p w14:paraId="2F3DF6F0" w14:textId="77777777" w:rsidR="001673C6" w:rsidRPr="0063502D" w:rsidRDefault="001673C6" w:rsidP="0063502D">
            <w:pPr>
              <w:spacing w:line="288" w:lineRule="auto"/>
              <w:contextualSpacing/>
              <w:rPr>
                <w:rFonts w:cs="Times New Roman"/>
                <w:szCs w:val="22"/>
              </w:rPr>
            </w:pPr>
            <w:r w:rsidRPr="0063502D">
              <w:rPr>
                <w:rFonts w:cs="Times New Roman"/>
                <w:szCs w:val="22"/>
              </w:rPr>
              <w:t>Parenting Research Centre</w:t>
            </w:r>
            <w:r w:rsidRPr="0063502D">
              <w:rPr>
                <w:rFonts w:cs="Times New Roman"/>
                <w:szCs w:val="22"/>
              </w:rPr>
              <w:br/>
              <w:t>and the</w:t>
            </w:r>
          </w:p>
          <w:p w14:paraId="3AA37AA5" w14:textId="77372624" w:rsidR="001673C6" w:rsidRPr="0063502D" w:rsidRDefault="001673C6" w:rsidP="0063502D">
            <w:pPr>
              <w:spacing w:line="288" w:lineRule="auto"/>
              <w:rPr>
                <w:rFonts w:eastAsia="Aptos"/>
                <w:szCs w:val="22"/>
              </w:rPr>
            </w:pPr>
            <w:r w:rsidRPr="0063502D">
              <w:rPr>
                <w:rFonts w:cs="Times New Roman"/>
                <w:szCs w:val="22"/>
              </w:rPr>
              <w:t>Australian Centre for Evaluation (Department of the Treasury)</w:t>
            </w:r>
          </w:p>
        </w:tc>
        <w:tc>
          <w:tcPr>
            <w:tcW w:w="562" w:type="pct"/>
          </w:tcPr>
          <w:p w14:paraId="2006E480" w14:textId="77777777" w:rsidR="004742C2" w:rsidRPr="0063502D" w:rsidRDefault="001673C6" w:rsidP="0063502D">
            <w:pPr>
              <w:spacing w:line="288" w:lineRule="auto"/>
              <w:rPr>
                <w:rFonts w:cs="Times New Roman"/>
                <w:szCs w:val="22"/>
              </w:rPr>
            </w:pPr>
            <w:r w:rsidRPr="0063502D">
              <w:rPr>
                <w:rFonts w:cs="Times New Roman"/>
                <w:szCs w:val="22"/>
              </w:rPr>
              <w:t>Parenting Research Centre: $972,193.20 (GST inclusive)</w:t>
            </w:r>
          </w:p>
          <w:p w14:paraId="2CA4D453" w14:textId="1722759E" w:rsidR="001673C6" w:rsidRPr="0063502D" w:rsidRDefault="001673C6" w:rsidP="0063502D">
            <w:pPr>
              <w:spacing w:line="288" w:lineRule="auto"/>
              <w:rPr>
                <w:rFonts w:eastAsia="Aptos"/>
                <w:szCs w:val="22"/>
              </w:rPr>
            </w:pPr>
            <w:r w:rsidRPr="0063502D">
              <w:rPr>
                <w:rFonts w:cs="Times New Roman"/>
                <w:szCs w:val="22"/>
              </w:rPr>
              <w:t>Australian Centre for Evaluation: $894,000 (GST not applicable)</w:t>
            </w:r>
          </w:p>
        </w:tc>
        <w:tc>
          <w:tcPr>
            <w:tcW w:w="562" w:type="pct"/>
          </w:tcPr>
          <w:p w14:paraId="4A723976" w14:textId="549CAFC5" w:rsidR="001673C6" w:rsidRPr="00BD14D6" w:rsidRDefault="001673C6" w:rsidP="00BD14D6">
            <w:pPr>
              <w:spacing w:line="288" w:lineRule="auto"/>
              <w:rPr>
                <w:szCs w:val="22"/>
                <w:lang w:val="en-US"/>
              </w:rPr>
            </w:pPr>
            <w:r w:rsidRPr="0063502D">
              <w:rPr>
                <w:rFonts w:cs="Times New Roman"/>
                <w:szCs w:val="22"/>
              </w:rPr>
              <w:t>$1,719,000 (GST inclusive)</w:t>
            </w:r>
          </w:p>
        </w:tc>
        <w:tc>
          <w:tcPr>
            <w:tcW w:w="562" w:type="pct"/>
          </w:tcPr>
          <w:p w14:paraId="1B133E62" w14:textId="43670A1B" w:rsidR="001673C6" w:rsidRPr="0063502D" w:rsidRDefault="001673C6" w:rsidP="0063502D">
            <w:pPr>
              <w:spacing w:line="288" w:lineRule="auto"/>
              <w:rPr>
                <w:szCs w:val="22"/>
                <w:lang w:val="en-US"/>
              </w:rPr>
            </w:pPr>
            <w:r w:rsidRPr="0063502D">
              <w:rPr>
                <w:rFonts w:cs="Times New Roman"/>
                <w:szCs w:val="22"/>
              </w:rPr>
              <w:t>$1,719,000 (GST inclusive)</w:t>
            </w:r>
          </w:p>
        </w:tc>
        <w:tc>
          <w:tcPr>
            <w:tcW w:w="562" w:type="pct"/>
          </w:tcPr>
          <w:p w14:paraId="4C4CF943" w14:textId="62FB7F67" w:rsidR="001673C6" w:rsidRPr="0063502D" w:rsidRDefault="001673C6" w:rsidP="0063502D">
            <w:pPr>
              <w:spacing w:line="288" w:lineRule="auto"/>
              <w:rPr>
                <w:szCs w:val="22"/>
                <w:lang w:val="en-US"/>
              </w:rPr>
            </w:pPr>
            <w:r w:rsidRPr="0063502D">
              <w:rPr>
                <w:szCs w:val="22"/>
                <w:lang w:val="en-US"/>
              </w:rPr>
              <w:t>June 2024</w:t>
            </w:r>
          </w:p>
        </w:tc>
        <w:tc>
          <w:tcPr>
            <w:tcW w:w="561" w:type="pct"/>
          </w:tcPr>
          <w:p w14:paraId="40035A01" w14:textId="0A8184F5" w:rsidR="001673C6" w:rsidRPr="0063502D" w:rsidRDefault="000E7EFE" w:rsidP="0063502D">
            <w:pPr>
              <w:spacing w:line="288" w:lineRule="auto"/>
              <w:rPr>
                <w:szCs w:val="22"/>
                <w:lang w:val="en-US"/>
              </w:rPr>
            </w:pPr>
            <w:r>
              <w:rPr>
                <w:rFonts w:cs="Times New Roman"/>
                <w:szCs w:val="22"/>
              </w:rPr>
              <w:t>31 July 2026</w:t>
            </w:r>
          </w:p>
        </w:tc>
      </w:tr>
    </w:tbl>
    <w:p w14:paraId="3DA514CA" w14:textId="77777777" w:rsidR="00931B05" w:rsidRDefault="00931B05" w:rsidP="00931B05"/>
    <w:p w14:paraId="14C21DFC" w14:textId="77777777" w:rsidR="00931B05" w:rsidRDefault="00931B05" w:rsidP="00931B05"/>
    <w:p w14:paraId="76050604" w14:textId="0C9D7325" w:rsidR="00931B05" w:rsidRDefault="001673C6" w:rsidP="007926B1">
      <w:pPr>
        <w:pStyle w:val="Heading3"/>
      </w:pPr>
      <w:r w:rsidRPr="007926B1">
        <w:t>Evaluation of the National Consumer Protection Framework for online wagering (NCPF)</w:t>
      </w:r>
    </w:p>
    <w:tbl>
      <w:tblPr>
        <w:tblStyle w:val="TableGridLight"/>
        <w:tblW w:w="5000" w:type="pct"/>
        <w:tblLook w:val="04A0" w:firstRow="1" w:lastRow="0" w:firstColumn="1" w:lastColumn="0" w:noHBand="0" w:noVBand="1"/>
      </w:tblPr>
      <w:tblGrid>
        <w:gridCol w:w="7206"/>
        <w:gridCol w:w="2480"/>
        <w:gridCol w:w="2484"/>
        <w:gridCol w:w="2484"/>
        <w:gridCol w:w="2484"/>
        <w:gridCol w:w="2484"/>
        <w:gridCol w:w="2480"/>
      </w:tblGrid>
      <w:tr w:rsidR="00931B05" w:rsidRPr="00DB3253" w14:paraId="2E7F0834" w14:textId="77777777" w:rsidTr="001673C6">
        <w:trPr>
          <w:cnfStyle w:val="100000000000" w:firstRow="1" w:lastRow="0" w:firstColumn="0" w:lastColumn="0" w:oddVBand="0" w:evenVBand="0" w:oddHBand="0" w:evenHBand="0" w:firstRowFirstColumn="0" w:firstRowLastColumn="0" w:lastRowFirstColumn="0" w:lastRowLastColumn="0"/>
        </w:trPr>
        <w:tc>
          <w:tcPr>
            <w:tcW w:w="1630" w:type="pct"/>
          </w:tcPr>
          <w:p w14:paraId="39C4AD82" w14:textId="77777777" w:rsidR="00931B05" w:rsidRPr="00DB3253" w:rsidRDefault="00931B05">
            <w:pPr>
              <w:spacing w:after="120"/>
              <w:contextualSpacing/>
              <w:rPr>
                <w:b/>
                <w:bCs/>
                <w:szCs w:val="22"/>
              </w:rPr>
            </w:pPr>
            <w:r w:rsidRPr="00DB3253">
              <w:rPr>
                <w:b/>
                <w:bCs/>
                <w:szCs w:val="22"/>
              </w:rPr>
              <w:t>Purpose of the review</w:t>
            </w:r>
          </w:p>
        </w:tc>
        <w:tc>
          <w:tcPr>
            <w:tcW w:w="561" w:type="pct"/>
          </w:tcPr>
          <w:p w14:paraId="494116FD" w14:textId="77777777" w:rsidR="00931B05" w:rsidRPr="00DB3253" w:rsidRDefault="00931B05">
            <w:pPr>
              <w:spacing w:after="120"/>
              <w:contextualSpacing/>
              <w:rPr>
                <w:b/>
                <w:bCs/>
                <w:szCs w:val="22"/>
              </w:rPr>
            </w:pPr>
            <w:r>
              <w:rPr>
                <w:b/>
                <w:bCs/>
                <w:szCs w:val="22"/>
              </w:rPr>
              <w:t>Reviewer(s)</w:t>
            </w:r>
          </w:p>
        </w:tc>
        <w:tc>
          <w:tcPr>
            <w:tcW w:w="562" w:type="pct"/>
          </w:tcPr>
          <w:p w14:paraId="611BBBAE" w14:textId="77777777" w:rsidR="00931B05" w:rsidRPr="00DB3253" w:rsidRDefault="00931B05">
            <w:pPr>
              <w:spacing w:after="120"/>
              <w:contextualSpacing/>
              <w:rPr>
                <w:b/>
                <w:bCs/>
                <w:szCs w:val="22"/>
              </w:rPr>
            </w:pPr>
            <w:r w:rsidRPr="00DB3253">
              <w:rPr>
                <w:b/>
                <w:bCs/>
                <w:szCs w:val="22"/>
              </w:rPr>
              <w:t>Remuneration for each of the reviewer(s)</w:t>
            </w:r>
          </w:p>
        </w:tc>
        <w:tc>
          <w:tcPr>
            <w:tcW w:w="562" w:type="pct"/>
            <w:hideMark/>
          </w:tcPr>
          <w:p w14:paraId="7FFBDEE5" w14:textId="77777777" w:rsidR="00931B05" w:rsidRPr="00DB3253" w:rsidRDefault="00931B05">
            <w:pPr>
              <w:spacing w:after="120"/>
              <w:contextualSpacing/>
              <w:rPr>
                <w:szCs w:val="22"/>
              </w:rPr>
            </w:pPr>
            <w:r w:rsidRPr="00DB3253">
              <w:rPr>
                <w:b/>
                <w:bCs/>
                <w:szCs w:val="22"/>
              </w:rPr>
              <w:t xml:space="preserve">Budgeted cost of Review </w:t>
            </w:r>
          </w:p>
        </w:tc>
        <w:tc>
          <w:tcPr>
            <w:tcW w:w="562" w:type="pct"/>
          </w:tcPr>
          <w:p w14:paraId="7CA2EB7A" w14:textId="77777777" w:rsidR="00931B05" w:rsidRPr="00DB3253" w:rsidRDefault="00931B05">
            <w:pPr>
              <w:spacing w:after="120"/>
              <w:contextualSpacing/>
              <w:rPr>
                <w:b/>
                <w:bCs/>
                <w:szCs w:val="22"/>
              </w:rPr>
            </w:pPr>
            <w:r w:rsidRPr="00DB3253">
              <w:rPr>
                <w:b/>
                <w:bCs/>
                <w:szCs w:val="22"/>
              </w:rPr>
              <w:t>Amount spent to date</w:t>
            </w:r>
          </w:p>
        </w:tc>
        <w:tc>
          <w:tcPr>
            <w:tcW w:w="562" w:type="pct"/>
          </w:tcPr>
          <w:p w14:paraId="1130A3EE" w14:textId="77777777" w:rsidR="00931B05" w:rsidRPr="00DB3253" w:rsidRDefault="00931B05">
            <w:pPr>
              <w:spacing w:after="120"/>
              <w:contextualSpacing/>
              <w:rPr>
                <w:b/>
                <w:bCs/>
                <w:szCs w:val="22"/>
              </w:rPr>
            </w:pPr>
            <w:r w:rsidRPr="00DB3253">
              <w:rPr>
                <w:b/>
                <w:bCs/>
                <w:szCs w:val="22"/>
              </w:rPr>
              <w:t>Commencement date</w:t>
            </w:r>
          </w:p>
        </w:tc>
        <w:tc>
          <w:tcPr>
            <w:tcW w:w="561" w:type="pct"/>
            <w:hideMark/>
          </w:tcPr>
          <w:p w14:paraId="120D97A3" w14:textId="77777777" w:rsidR="00931B05" w:rsidRPr="00DB3253" w:rsidRDefault="00931B05">
            <w:pPr>
              <w:spacing w:after="120"/>
              <w:contextualSpacing/>
              <w:rPr>
                <w:szCs w:val="22"/>
              </w:rPr>
            </w:pPr>
            <w:r w:rsidRPr="00DB3253">
              <w:rPr>
                <w:b/>
                <w:bCs/>
                <w:szCs w:val="22"/>
              </w:rPr>
              <w:t>Expected completion date</w:t>
            </w:r>
          </w:p>
        </w:tc>
      </w:tr>
      <w:tr w:rsidR="001673C6" w:rsidRPr="0063502D" w14:paraId="24674F0E" w14:textId="77777777" w:rsidTr="001673C6">
        <w:tc>
          <w:tcPr>
            <w:tcW w:w="1630" w:type="pct"/>
          </w:tcPr>
          <w:p w14:paraId="2C46E322" w14:textId="77777777" w:rsidR="001673C6" w:rsidRPr="0063502D" w:rsidRDefault="001673C6" w:rsidP="001673C6">
            <w:pPr>
              <w:spacing w:after="120"/>
              <w:contextualSpacing/>
              <w:rPr>
                <w:rFonts w:eastAsia="Times New Roman" w:cs="Times New Roman"/>
                <w:szCs w:val="22"/>
              </w:rPr>
            </w:pPr>
            <w:r w:rsidRPr="0063502D">
              <w:rPr>
                <w:rFonts w:eastAsia="Times New Roman" w:cs="Times New Roman"/>
                <w:szCs w:val="22"/>
              </w:rPr>
              <w:t xml:space="preserve">Evaluation to: </w:t>
            </w:r>
          </w:p>
          <w:p w14:paraId="368453D6" w14:textId="77777777" w:rsidR="001673C6" w:rsidRPr="0063502D" w:rsidRDefault="001673C6" w:rsidP="001673C6">
            <w:pPr>
              <w:pStyle w:val="ListParagraph"/>
              <w:numPr>
                <w:ilvl w:val="0"/>
                <w:numId w:val="10"/>
              </w:numPr>
              <w:spacing w:after="120"/>
              <w:rPr>
                <w:rFonts w:eastAsia="Times New Roman" w:cs="Times New Roman"/>
                <w:szCs w:val="22"/>
              </w:rPr>
            </w:pPr>
            <w:r w:rsidRPr="0063502D">
              <w:rPr>
                <w:rFonts w:eastAsia="Times New Roman" w:cs="Times New Roman"/>
                <w:szCs w:val="22"/>
              </w:rPr>
              <w:t>assess the effectiveness of the NCPF measures in achieving outcomes</w:t>
            </w:r>
          </w:p>
          <w:p w14:paraId="0D911355" w14:textId="77777777" w:rsidR="001673C6" w:rsidRPr="0063502D" w:rsidRDefault="001673C6" w:rsidP="001673C6">
            <w:pPr>
              <w:pStyle w:val="ListParagraph"/>
              <w:numPr>
                <w:ilvl w:val="0"/>
                <w:numId w:val="10"/>
              </w:numPr>
              <w:spacing w:after="120"/>
              <w:rPr>
                <w:rFonts w:eastAsia="Times New Roman" w:cs="Times New Roman"/>
                <w:szCs w:val="22"/>
              </w:rPr>
            </w:pPr>
            <w:r w:rsidRPr="0063502D">
              <w:rPr>
                <w:rFonts w:eastAsia="Times New Roman" w:cs="Times New Roman"/>
                <w:szCs w:val="22"/>
              </w:rPr>
              <w:t>detect unintended consequences</w:t>
            </w:r>
          </w:p>
          <w:p w14:paraId="77EFA97B" w14:textId="77777777" w:rsidR="004742C2" w:rsidRPr="0063502D" w:rsidRDefault="001673C6" w:rsidP="001673C6">
            <w:pPr>
              <w:pStyle w:val="ListParagraph"/>
              <w:numPr>
                <w:ilvl w:val="0"/>
                <w:numId w:val="10"/>
              </w:numPr>
              <w:spacing w:after="120"/>
              <w:rPr>
                <w:rFonts w:eastAsia="Times New Roman" w:cs="Times New Roman"/>
                <w:szCs w:val="22"/>
              </w:rPr>
            </w:pPr>
            <w:r w:rsidRPr="0063502D">
              <w:rPr>
                <w:rFonts w:eastAsia="Times New Roman" w:cs="Times New Roman"/>
                <w:szCs w:val="22"/>
              </w:rPr>
              <w:t>identify weaknesses in the regulatory framework</w:t>
            </w:r>
          </w:p>
          <w:p w14:paraId="5A6A9160" w14:textId="10CBDD26" w:rsidR="001673C6" w:rsidRPr="0063502D" w:rsidRDefault="001673C6" w:rsidP="001673C6">
            <w:pPr>
              <w:pStyle w:val="ListParagraph"/>
              <w:numPr>
                <w:ilvl w:val="0"/>
                <w:numId w:val="10"/>
              </w:numPr>
              <w:spacing w:after="120"/>
              <w:rPr>
                <w:rFonts w:eastAsia="Times New Roman" w:cs="Times New Roman"/>
                <w:szCs w:val="22"/>
              </w:rPr>
            </w:pPr>
            <w:r w:rsidRPr="0063502D">
              <w:rPr>
                <w:rFonts w:eastAsia="Times New Roman" w:cs="Times New Roman"/>
                <w:szCs w:val="22"/>
              </w:rPr>
              <w:t>inform ongoing refinements to the measures.</w:t>
            </w:r>
          </w:p>
        </w:tc>
        <w:tc>
          <w:tcPr>
            <w:tcW w:w="561" w:type="pct"/>
          </w:tcPr>
          <w:p w14:paraId="4557EB96" w14:textId="5E512289" w:rsidR="001673C6" w:rsidRPr="0063502D" w:rsidRDefault="001673C6" w:rsidP="001673C6">
            <w:pPr>
              <w:rPr>
                <w:rFonts w:eastAsia="Aptos"/>
                <w:szCs w:val="22"/>
              </w:rPr>
            </w:pPr>
            <w:r w:rsidRPr="0063502D">
              <w:rPr>
                <w:rFonts w:eastAsia="Times New Roman" w:cs="Times New Roman"/>
                <w:szCs w:val="22"/>
              </w:rPr>
              <w:t>Australian Gambling Research Centre, Australian Institute of Family Studies</w:t>
            </w:r>
          </w:p>
        </w:tc>
        <w:tc>
          <w:tcPr>
            <w:tcW w:w="562" w:type="pct"/>
          </w:tcPr>
          <w:p w14:paraId="58F5BFEB" w14:textId="69A6D708" w:rsidR="001673C6" w:rsidRPr="0063502D" w:rsidRDefault="001673C6" w:rsidP="001673C6">
            <w:pPr>
              <w:rPr>
                <w:rFonts w:eastAsia="Aptos"/>
                <w:szCs w:val="22"/>
              </w:rPr>
            </w:pPr>
            <w:r w:rsidRPr="0063502D">
              <w:rPr>
                <w:rFonts w:eastAsia="Times New Roman" w:cs="Times New Roman"/>
                <w:szCs w:val="22"/>
              </w:rPr>
              <w:t>N/A</w:t>
            </w:r>
          </w:p>
        </w:tc>
        <w:tc>
          <w:tcPr>
            <w:tcW w:w="562" w:type="pct"/>
          </w:tcPr>
          <w:p w14:paraId="66D07FD2" w14:textId="2B8288F4" w:rsidR="001673C6" w:rsidRPr="00BD14D6" w:rsidRDefault="001673C6" w:rsidP="00BD14D6">
            <w:pPr>
              <w:rPr>
                <w:szCs w:val="22"/>
                <w:lang w:val="en-US"/>
              </w:rPr>
            </w:pPr>
            <w:r w:rsidRPr="0063502D">
              <w:rPr>
                <w:rFonts w:eastAsia="Times New Roman" w:cs="Times New Roman"/>
                <w:szCs w:val="22"/>
              </w:rPr>
              <w:t>$1,649,997.30 (GST incl</w:t>
            </w:r>
            <w:r w:rsidR="004A087E">
              <w:rPr>
                <w:rFonts w:eastAsia="Times New Roman" w:cs="Times New Roman"/>
                <w:szCs w:val="22"/>
              </w:rPr>
              <w:t>usive</w:t>
            </w:r>
            <w:r w:rsidRPr="0063502D">
              <w:rPr>
                <w:rFonts w:eastAsia="Times New Roman" w:cs="Times New Roman"/>
                <w:szCs w:val="22"/>
              </w:rPr>
              <w:t>)</w:t>
            </w:r>
          </w:p>
        </w:tc>
        <w:tc>
          <w:tcPr>
            <w:tcW w:w="562" w:type="pct"/>
          </w:tcPr>
          <w:p w14:paraId="67C4993E" w14:textId="65538B33" w:rsidR="001673C6" w:rsidRPr="0063502D" w:rsidRDefault="001673C6" w:rsidP="001673C6">
            <w:pPr>
              <w:rPr>
                <w:szCs w:val="22"/>
                <w:lang w:val="en-US"/>
              </w:rPr>
            </w:pPr>
            <w:r w:rsidRPr="0063502D">
              <w:rPr>
                <w:rFonts w:eastAsia="Times New Roman" w:cs="Times New Roman"/>
                <w:szCs w:val="22"/>
              </w:rPr>
              <w:t>$1,649,997.30</w:t>
            </w:r>
            <w:r w:rsidR="005C2A8E">
              <w:rPr>
                <w:rFonts w:eastAsia="Times New Roman" w:cs="Times New Roman"/>
                <w:szCs w:val="22"/>
              </w:rPr>
              <w:t xml:space="preserve"> </w:t>
            </w:r>
            <w:r w:rsidRPr="0063502D">
              <w:rPr>
                <w:rFonts w:eastAsia="Times New Roman" w:cs="Times New Roman"/>
                <w:szCs w:val="22"/>
              </w:rPr>
              <w:t>(GST incl</w:t>
            </w:r>
            <w:r w:rsidR="004A087E">
              <w:rPr>
                <w:rFonts w:eastAsia="Times New Roman" w:cs="Times New Roman"/>
                <w:szCs w:val="22"/>
              </w:rPr>
              <w:t>usive</w:t>
            </w:r>
            <w:r w:rsidRPr="0063502D">
              <w:rPr>
                <w:rFonts w:eastAsia="Times New Roman" w:cs="Times New Roman"/>
                <w:szCs w:val="22"/>
              </w:rPr>
              <w:t>)</w:t>
            </w:r>
          </w:p>
        </w:tc>
        <w:tc>
          <w:tcPr>
            <w:tcW w:w="562" w:type="pct"/>
          </w:tcPr>
          <w:p w14:paraId="7C37C652" w14:textId="51AF6FDC" w:rsidR="001673C6" w:rsidRPr="0063502D" w:rsidRDefault="001673C6" w:rsidP="001673C6">
            <w:pPr>
              <w:rPr>
                <w:szCs w:val="22"/>
                <w:lang w:val="en-US"/>
              </w:rPr>
            </w:pPr>
            <w:r w:rsidRPr="0063502D">
              <w:rPr>
                <w:szCs w:val="22"/>
                <w:lang w:val="en-US"/>
              </w:rPr>
              <w:t>June 2024</w:t>
            </w:r>
          </w:p>
        </w:tc>
        <w:tc>
          <w:tcPr>
            <w:tcW w:w="561" w:type="pct"/>
          </w:tcPr>
          <w:p w14:paraId="02C04016" w14:textId="5263261C" w:rsidR="001673C6" w:rsidRPr="0063502D" w:rsidRDefault="001673C6" w:rsidP="001673C6">
            <w:pPr>
              <w:rPr>
                <w:szCs w:val="22"/>
                <w:lang w:val="en-US"/>
              </w:rPr>
            </w:pPr>
            <w:r w:rsidRPr="0063502D">
              <w:rPr>
                <w:rFonts w:eastAsia="Times New Roman" w:cs="Times New Roman"/>
                <w:szCs w:val="22"/>
              </w:rPr>
              <w:t>30 June 2027</w:t>
            </w:r>
          </w:p>
        </w:tc>
      </w:tr>
    </w:tbl>
    <w:p w14:paraId="2A50955F" w14:textId="77777777" w:rsidR="00931B05" w:rsidRDefault="00931B05" w:rsidP="00931B05"/>
    <w:p w14:paraId="707F1A5A" w14:textId="258285F1" w:rsidR="00931B05" w:rsidRDefault="001673C6" w:rsidP="00C23776">
      <w:pPr>
        <w:pStyle w:val="Heading3"/>
        <w:pageBreakBefore/>
      </w:pPr>
      <w:r w:rsidRPr="001673C6">
        <w:lastRenderedPageBreak/>
        <w:t>Be Connected Program Evaluation 2025-2027</w:t>
      </w:r>
    </w:p>
    <w:tbl>
      <w:tblPr>
        <w:tblStyle w:val="TableGridLight"/>
        <w:tblW w:w="5000" w:type="pct"/>
        <w:tblLook w:val="04A0" w:firstRow="1" w:lastRow="0" w:firstColumn="1" w:lastColumn="0" w:noHBand="0" w:noVBand="1"/>
      </w:tblPr>
      <w:tblGrid>
        <w:gridCol w:w="7206"/>
        <w:gridCol w:w="2480"/>
        <w:gridCol w:w="2484"/>
        <w:gridCol w:w="2484"/>
        <w:gridCol w:w="2484"/>
        <w:gridCol w:w="2484"/>
        <w:gridCol w:w="2480"/>
      </w:tblGrid>
      <w:tr w:rsidR="00931B05" w:rsidRPr="00DB3253" w14:paraId="5CF46F07" w14:textId="77777777" w:rsidTr="00C23776">
        <w:trPr>
          <w:cnfStyle w:val="100000000000" w:firstRow="1" w:lastRow="0" w:firstColumn="0" w:lastColumn="0" w:oddVBand="0" w:evenVBand="0" w:oddHBand="0" w:evenHBand="0" w:firstRowFirstColumn="0" w:firstRowLastColumn="0" w:lastRowFirstColumn="0" w:lastRowLastColumn="0"/>
          <w:tblHeader/>
        </w:trPr>
        <w:tc>
          <w:tcPr>
            <w:tcW w:w="1630" w:type="pct"/>
          </w:tcPr>
          <w:p w14:paraId="5722DB6A" w14:textId="77777777" w:rsidR="00931B05" w:rsidRPr="00DB3253" w:rsidRDefault="00931B05">
            <w:pPr>
              <w:spacing w:after="120"/>
              <w:contextualSpacing/>
              <w:rPr>
                <w:b/>
                <w:bCs/>
                <w:szCs w:val="22"/>
              </w:rPr>
            </w:pPr>
            <w:r w:rsidRPr="00DB3253">
              <w:rPr>
                <w:b/>
                <w:bCs/>
                <w:szCs w:val="22"/>
              </w:rPr>
              <w:t>Purpose of the review</w:t>
            </w:r>
          </w:p>
        </w:tc>
        <w:tc>
          <w:tcPr>
            <w:tcW w:w="561" w:type="pct"/>
          </w:tcPr>
          <w:p w14:paraId="6F4860EC" w14:textId="77777777" w:rsidR="00931B05" w:rsidRPr="00DB3253" w:rsidRDefault="00931B05">
            <w:pPr>
              <w:spacing w:after="120"/>
              <w:contextualSpacing/>
              <w:rPr>
                <w:b/>
                <w:bCs/>
                <w:szCs w:val="22"/>
              </w:rPr>
            </w:pPr>
            <w:r>
              <w:rPr>
                <w:b/>
                <w:bCs/>
                <w:szCs w:val="22"/>
              </w:rPr>
              <w:t>Reviewer(s)</w:t>
            </w:r>
          </w:p>
        </w:tc>
        <w:tc>
          <w:tcPr>
            <w:tcW w:w="562" w:type="pct"/>
          </w:tcPr>
          <w:p w14:paraId="46BB41C2" w14:textId="77777777" w:rsidR="00931B05" w:rsidRPr="00DB3253" w:rsidRDefault="00931B05">
            <w:pPr>
              <w:spacing w:after="120"/>
              <w:contextualSpacing/>
              <w:rPr>
                <w:b/>
                <w:bCs/>
                <w:szCs w:val="22"/>
              </w:rPr>
            </w:pPr>
            <w:r w:rsidRPr="00DB3253">
              <w:rPr>
                <w:b/>
                <w:bCs/>
                <w:szCs w:val="22"/>
              </w:rPr>
              <w:t>Remuneration for each of the reviewer(s)</w:t>
            </w:r>
          </w:p>
        </w:tc>
        <w:tc>
          <w:tcPr>
            <w:tcW w:w="562" w:type="pct"/>
            <w:hideMark/>
          </w:tcPr>
          <w:p w14:paraId="18D68B6B" w14:textId="77777777" w:rsidR="00931B05" w:rsidRPr="00DB3253" w:rsidRDefault="00931B05">
            <w:pPr>
              <w:spacing w:after="120"/>
              <w:contextualSpacing/>
              <w:rPr>
                <w:szCs w:val="22"/>
              </w:rPr>
            </w:pPr>
            <w:r w:rsidRPr="00DB3253">
              <w:rPr>
                <w:b/>
                <w:bCs/>
                <w:szCs w:val="22"/>
              </w:rPr>
              <w:t xml:space="preserve">Budgeted cost of Review </w:t>
            </w:r>
          </w:p>
        </w:tc>
        <w:tc>
          <w:tcPr>
            <w:tcW w:w="562" w:type="pct"/>
          </w:tcPr>
          <w:p w14:paraId="79AF3679" w14:textId="77777777" w:rsidR="00931B05" w:rsidRPr="00DB3253" w:rsidRDefault="00931B05">
            <w:pPr>
              <w:spacing w:after="120"/>
              <w:contextualSpacing/>
              <w:rPr>
                <w:b/>
                <w:bCs/>
                <w:szCs w:val="22"/>
              </w:rPr>
            </w:pPr>
            <w:r w:rsidRPr="00DB3253">
              <w:rPr>
                <w:b/>
                <w:bCs/>
                <w:szCs w:val="22"/>
              </w:rPr>
              <w:t>Amount spent to date</w:t>
            </w:r>
          </w:p>
        </w:tc>
        <w:tc>
          <w:tcPr>
            <w:tcW w:w="562" w:type="pct"/>
          </w:tcPr>
          <w:p w14:paraId="51C9BF69" w14:textId="77777777" w:rsidR="00931B05" w:rsidRPr="00DB3253" w:rsidRDefault="00931B05">
            <w:pPr>
              <w:spacing w:after="120"/>
              <w:contextualSpacing/>
              <w:rPr>
                <w:b/>
                <w:bCs/>
                <w:szCs w:val="22"/>
              </w:rPr>
            </w:pPr>
            <w:r w:rsidRPr="00DB3253">
              <w:rPr>
                <w:b/>
                <w:bCs/>
                <w:szCs w:val="22"/>
              </w:rPr>
              <w:t>Commencement date</w:t>
            </w:r>
          </w:p>
        </w:tc>
        <w:tc>
          <w:tcPr>
            <w:tcW w:w="561" w:type="pct"/>
            <w:hideMark/>
          </w:tcPr>
          <w:p w14:paraId="43C0F7EF" w14:textId="77777777" w:rsidR="00931B05" w:rsidRPr="00DB3253" w:rsidRDefault="00931B05">
            <w:pPr>
              <w:spacing w:after="120"/>
              <w:contextualSpacing/>
              <w:rPr>
                <w:szCs w:val="22"/>
              </w:rPr>
            </w:pPr>
            <w:r w:rsidRPr="00DB3253">
              <w:rPr>
                <w:b/>
                <w:bCs/>
                <w:szCs w:val="22"/>
              </w:rPr>
              <w:t>Expected completion date</w:t>
            </w:r>
          </w:p>
        </w:tc>
      </w:tr>
      <w:tr w:rsidR="001673C6" w:rsidRPr="0063502D" w14:paraId="6CFC5911" w14:textId="77777777" w:rsidTr="001673C6">
        <w:tc>
          <w:tcPr>
            <w:tcW w:w="1630" w:type="pct"/>
          </w:tcPr>
          <w:p w14:paraId="28544C44" w14:textId="606B1564" w:rsidR="001673C6" w:rsidRPr="0063502D" w:rsidRDefault="001673C6" w:rsidP="001673C6">
            <w:pPr>
              <w:rPr>
                <w:szCs w:val="22"/>
              </w:rPr>
            </w:pPr>
            <w:r w:rsidRPr="0063502D">
              <w:rPr>
                <w:rFonts w:eastAsia="Times New Roman" w:cs="Times New Roman"/>
                <w:szCs w:val="22"/>
              </w:rPr>
              <w:t xml:space="preserve">To assess the appropriateness, effectiveness, and efficiency of the Digital Literacy for Older Australians Program (publicly known as Be Connected) over the 2024/25–2027/28 period. The evaluation will inform </w:t>
            </w:r>
            <w:r w:rsidRPr="00BD14D6">
              <w:rPr>
                <w:rFonts w:eastAsia="Times New Roman" w:cs="Times New Roman"/>
                <w:szCs w:val="22"/>
                <w:lang w:val="en-GB"/>
              </w:rPr>
              <w:t>continuous improvement</w:t>
            </w:r>
            <w:r w:rsidRPr="0063502D">
              <w:rPr>
                <w:rFonts w:eastAsia="Times New Roman" w:cs="Times New Roman"/>
                <w:szCs w:val="22"/>
              </w:rPr>
              <w:t xml:space="preserve">, future design, and </w:t>
            </w:r>
            <w:r w:rsidRPr="00BD14D6">
              <w:rPr>
                <w:rFonts w:eastAsia="Times New Roman" w:cs="Times New Roman"/>
                <w:szCs w:val="22"/>
                <w:lang w:val="en-GB"/>
              </w:rPr>
              <w:t>decision-making</w:t>
            </w:r>
            <w:r w:rsidRPr="0063502D">
              <w:rPr>
                <w:rFonts w:eastAsia="Times New Roman" w:cs="Times New Roman"/>
                <w:szCs w:val="22"/>
              </w:rPr>
              <w:t xml:space="preserve"> about the Program’s direction and sustainability post June 2028.</w:t>
            </w:r>
          </w:p>
        </w:tc>
        <w:tc>
          <w:tcPr>
            <w:tcW w:w="561" w:type="pct"/>
          </w:tcPr>
          <w:p w14:paraId="44FE95AF" w14:textId="15BEFE4F" w:rsidR="001673C6" w:rsidRPr="0063502D" w:rsidRDefault="001673C6" w:rsidP="001673C6">
            <w:pPr>
              <w:rPr>
                <w:rFonts w:eastAsia="Aptos"/>
                <w:szCs w:val="22"/>
              </w:rPr>
            </w:pPr>
            <w:r w:rsidRPr="0063502D">
              <w:rPr>
                <w:rFonts w:eastAsia="Times New Roman" w:cs="Times New Roman"/>
                <w:szCs w:val="22"/>
              </w:rPr>
              <w:t>Verian Group Australia Pty Ltd</w:t>
            </w:r>
          </w:p>
        </w:tc>
        <w:tc>
          <w:tcPr>
            <w:tcW w:w="562" w:type="pct"/>
          </w:tcPr>
          <w:p w14:paraId="75C13143" w14:textId="5B2ECD1A" w:rsidR="001673C6" w:rsidRPr="0063502D" w:rsidRDefault="001673C6" w:rsidP="001673C6">
            <w:pPr>
              <w:rPr>
                <w:rFonts w:eastAsia="Aptos"/>
                <w:szCs w:val="22"/>
              </w:rPr>
            </w:pPr>
            <w:r w:rsidRPr="0063502D">
              <w:rPr>
                <w:rFonts w:eastAsia="Times New Roman" w:cs="Times New Roman"/>
                <w:szCs w:val="22"/>
              </w:rPr>
              <w:t>N/a</w:t>
            </w:r>
          </w:p>
        </w:tc>
        <w:tc>
          <w:tcPr>
            <w:tcW w:w="562" w:type="pct"/>
          </w:tcPr>
          <w:p w14:paraId="0F8BDD9D" w14:textId="51101C3C" w:rsidR="001673C6" w:rsidRPr="00BD14D6" w:rsidRDefault="001673C6" w:rsidP="00BD14D6">
            <w:pPr>
              <w:rPr>
                <w:szCs w:val="22"/>
                <w:lang w:val="en-US"/>
              </w:rPr>
            </w:pPr>
            <w:r w:rsidRPr="0063502D">
              <w:rPr>
                <w:rFonts w:ascii="Arial" w:eastAsia="Arial" w:hAnsi="Arial" w:cs="Arial"/>
                <w:szCs w:val="22"/>
              </w:rPr>
              <w:t xml:space="preserve"> $708,924.29 (GST incl</w:t>
            </w:r>
            <w:r w:rsidR="004A087E">
              <w:rPr>
                <w:rFonts w:ascii="Arial" w:eastAsia="Arial" w:hAnsi="Arial" w:cs="Arial"/>
                <w:szCs w:val="22"/>
              </w:rPr>
              <w:t>usive</w:t>
            </w:r>
            <w:r w:rsidRPr="0063502D">
              <w:rPr>
                <w:rFonts w:ascii="Arial" w:eastAsia="Arial" w:hAnsi="Arial" w:cs="Arial"/>
                <w:szCs w:val="22"/>
              </w:rPr>
              <w:t>)</w:t>
            </w:r>
          </w:p>
        </w:tc>
        <w:tc>
          <w:tcPr>
            <w:tcW w:w="562" w:type="pct"/>
          </w:tcPr>
          <w:p w14:paraId="03C196B2" w14:textId="72181B89" w:rsidR="001673C6" w:rsidRPr="0063502D" w:rsidRDefault="001673C6" w:rsidP="001673C6">
            <w:pPr>
              <w:rPr>
                <w:szCs w:val="22"/>
                <w:lang w:val="en-US"/>
              </w:rPr>
            </w:pPr>
            <w:r w:rsidRPr="0063502D">
              <w:rPr>
                <w:rFonts w:ascii="Arial" w:eastAsia="Arial" w:hAnsi="Arial" w:cs="Arial"/>
                <w:szCs w:val="22"/>
              </w:rPr>
              <w:t>$363,639.29</w:t>
            </w:r>
            <w:r w:rsidRPr="0063502D">
              <w:rPr>
                <w:rFonts w:ascii="Aptos" w:eastAsia="Aptos" w:hAnsi="Aptos" w:cs="Aptos"/>
                <w:szCs w:val="22"/>
              </w:rPr>
              <w:t xml:space="preserve"> </w:t>
            </w:r>
            <w:r w:rsidRPr="0063502D">
              <w:rPr>
                <w:rFonts w:eastAsia="Times New Roman" w:cs="Times New Roman"/>
                <w:szCs w:val="22"/>
              </w:rPr>
              <w:t>(GST incl</w:t>
            </w:r>
            <w:r w:rsidR="004A087E">
              <w:rPr>
                <w:rFonts w:eastAsia="Times New Roman" w:cs="Times New Roman"/>
                <w:szCs w:val="22"/>
              </w:rPr>
              <w:t>usive</w:t>
            </w:r>
            <w:r w:rsidRPr="0063502D">
              <w:rPr>
                <w:rFonts w:eastAsia="Times New Roman" w:cs="Times New Roman"/>
                <w:szCs w:val="22"/>
              </w:rPr>
              <w:t>)</w:t>
            </w:r>
          </w:p>
        </w:tc>
        <w:tc>
          <w:tcPr>
            <w:tcW w:w="562" w:type="pct"/>
          </w:tcPr>
          <w:p w14:paraId="34BEE928" w14:textId="5A989C2A" w:rsidR="001673C6" w:rsidRPr="0063502D" w:rsidRDefault="001673C6" w:rsidP="001673C6">
            <w:pPr>
              <w:rPr>
                <w:szCs w:val="22"/>
                <w:lang w:val="en-US"/>
              </w:rPr>
            </w:pPr>
            <w:r w:rsidRPr="0063502D">
              <w:rPr>
                <w:szCs w:val="22"/>
                <w:lang w:val="en-US"/>
              </w:rPr>
              <w:t>February 2025</w:t>
            </w:r>
          </w:p>
        </w:tc>
        <w:tc>
          <w:tcPr>
            <w:tcW w:w="561" w:type="pct"/>
          </w:tcPr>
          <w:p w14:paraId="1B0369BE" w14:textId="2BABE04F" w:rsidR="001673C6" w:rsidRPr="0063502D" w:rsidRDefault="001673C6" w:rsidP="001673C6">
            <w:pPr>
              <w:rPr>
                <w:rFonts w:cstheme="minorHAnsi"/>
                <w:szCs w:val="22"/>
                <w:lang w:val="en-US"/>
              </w:rPr>
            </w:pPr>
            <w:r w:rsidRPr="0063502D">
              <w:rPr>
                <w:rFonts w:eastAsia="Times New Roman" w:cs="Times New Roman"/>
                <w:szCs w:val="22"/>
              </w:rPr>
              <w:t>26 March 2027</w:t>
            </w:r>
          </w:p>
        </w:tc>
      </w:tr>
    </w:tbl>
    <w:p w14:paraId="391F638A" w14:textId="59EDA20B" w:rsidR="00931B05" w:rsidRDefault="001673C6" w:rsidP="00C23776">
      <w:pPr>
        <w:pStyle w:val="Heading3"/>
        <w:spacing w:before="480"/>
      </w:pPr>
      <w:r w:rsidRPr="007926B1">
        <w:t>Evaluation of the Investment Strategy – Innovation Fund Grant Opportunity</w:t>
      </w:r>
    </w:p>
    <w:tbl>
      <w:tblPr>
        <w:tblStyle w:val="TableGridLight"/>
        <w:tblW w:w="5000" w:type="pct"/>
        <w:tblLook w:val="04A0" w:firstRow="1" w:lastRow="0" w:firstColumn="1" w:lastColumn="0" w:noHBand="0" w:noVBand="1"/>
      </w:tblPr>
      <w:tblGrid>
        <w:gridCol w:w="7206"/>
        <w:gridCol w:w="2480"/>
        <w:gridCol w:w="2484"/>
        <w:gridCol w:w="2484"/>
        <w:gridCol w:w="2484"/>
        <w:gridCol w:w="2484"/>
        <w:gridCol w:w="2480"/>
      </w:tblGrid>
      <w:tr w:rsidR="00931B05" w:rsidRPr="00DB3253" w14:paraId="34515F73" w14:textId="77777777" w:rsidTr="001673C6">
        <w:trPr>
          <w:cnfStyle w:val="100000000000" w:firstRow="1" w:lastRow="0" w:firstColumn="0" w:lastColumn="0" w:oddVBand="0" w:evenVBand="0" w:oddHBand="0" w:evenHBand="0" w:firstRowFirstColumn="0" w:firstRowLastColumn="0" w:lastRowFirstColumn="0" w:lastRowLastColumn="0"/>
        </w:trPr>
        <w:tc>
          <w:tcPr>
            <w:tcW w:w="1630" w:type="pct"/>
          </w:tcPr>
          <w:p w14:paraId="043A814C" w14:textId="77777777" w:rsidR="00931B05" w:rsidRPr="00DB3253" w:rsidRDefault="00931B05">
            <w:pPr>
              <w:spacing w:after="120"/>
              <w:contextualSpacing/>
              <w:rPr>
                <w:b/>
                <w:bCs/>
                <w:szCs w:val="22"/>
              </w:rPr>
            </w:pPr>
            <w:r w:rsidRPr="00DB3253">
              <w:rPr>
                <w:b/>
                <w:bCs/>
                <w:szCs w:val="22"/>
              </w:rPr>
              <w:t>Purpose of the review</w:t>
            </w:r>
          </w:p>
        </w:tc>
        <w:tc>
          <w:tcPr>
            <w:tcW w:w="561" w:type="pct"/>
          </w:tcPr>
          <w:p w14:paraId="537F041E" w14:textId="77777777" w:rsidR="00931B05" w:rsidRPr="00DB3253" w:rsidRDefault="00931B05">
            <w:pPr>
              <w:spacing w:after="120"/>
              <w:contextualSpacing/>
              <w:rPr>
                <w:b/>
                <w:bCs/>
                <w:szCs w:val="22"/>
              </w:rPr>
            </w:pPr>
            <w:r>
              <w:rPr>
                <w:b/>
                <w:bCs/>
                <w:szCs w:val="22"/>
              </w:rPr>
              <w:t>Reviewer(s)</w:t>
            </w:r>
          </w:p>
        </w:tc>
        <w:tc>
          <w:tcPr>
            <w:tcW w:w="562" w:type="pct"/>
          </w:tcPr>
          <w:p w14:paraId="4ACDE5FD" w14:textId="77777777" w:rsidR="00931B05" w:rsidRPr="00DB3253" w:rsidRDefault="00931B05">
            <w:pPr>
              <w:spacing w:after="120"/>
              <w:contextualSpacing/>
              <w:rPr>
                <w:b/>
                <w:bCs/>
                <w:szCs w:val="22"/>
              </w:rPr>
            </w:pPr>
            <w:r w:rsidRPr="00DB3253">
              <w:rPr>
                <w:b/>
                <w:bCs/>
                <w:szCs w:val="22"/>
              </w:rPr>
              <w:t>Remuneration for each of the reviewer(s)</w:t>
            </w:r>
          </w:p>
        </w:tc>
        <w:tc>
          <w:tcPr>
            <w:tcW w:w="562" w:type="pct"/>
            <w:hideMark/>
          </w:tcPr>
          <w:p w14:paraId="57FCF4BF" w14:textId="77777777" w:rsidR="00931B05" w:rsidRPr="00DB3253" w:rsidRDefault="00931B05">
            <w:pPr>
              <w:spacing w:after="120"/>
              <w:contextualSpacing/>
              <w:rPr>
                <w:szCs w:val="22"/>
              </w:rPr>
            </w:pPr>
            <w:r w:rsidRPr="00DB3253">
              <w:rPr>
                <w:b/>
                <w:bCs/>
                <w:szCs w:val="22"/>
              </w:rPr>
              <w:t xml:space="preserve">Budgeted cost of Review </w:t>
            </w:r>
          </w:p>
        </w:tc>
        <w:tc>
          <w:tcPr>
            <w:tcW w:w="562" w:type="pct"/>
          </w:tcPr>
          <w:p w14:paraId="1E463B6D" w14:textId="77777777" w:rsidR="00931B05" w:rsidRPr="00DB3253" w:rsidRDefault="00931B05">
            <w:pPr>
              <w:spacing w:after="120"/>
              <w:contextualSpacing/>
              <w:rPr>
                <w:b/>
                <w:bCs/>
                <w:szCs w:val="22"/>
              </w:rPr>
            </w:pPr>
            <w:r w:rsidRPr="00DB3253">
              <w:rPr>
                <w:b/>
                <w:bCs/>
                <w:szCs w:val="22"/>
              </w:rPr>
              <w:t>Amount spent to date</w:t>
            </w:r>
          </w:p>
        </w:tc>
        <w:tc>
          <w:tcPr>
            <w:tcW w:w="562" w:type="pct"/>
          </w:tcPr>
          <w:p w14:paraId="076277A1" w14:textId="77777777" w:rsidR="00931B05" w:rsidRPr="00DB3253" w:rsidRDefault="00931B05">
            <w:pPr>
              <w:spacing w:after="120"/>
              <w:contextualSpacing/>
              <w:rPr>
                <w:b/>
                <w:bCs/>
                <w:szCs w:val="22"/>
              </w:rPr>
            </w:pPr>
            <w:r w:rsidRPr="00DB3253">
              <w:rPr>
                <w:b/>
                <w:bCs/>
                <w:szCs w:val="22"/>
              </w:rPr>
              <w:t>Commencement date</w:t>
            </w:r>
          </w:p>
        </w:tc>
        <w:tc>
          <w:tcPr>
            <w:tcW w:w="561" w:type="pct"/>
            <w:hideMark/>
          </w:tcPr>
          <w:p w14:paraId="67940359" w14:textId="77777777" w:rsidR="00931B05" w:rsidRPr="00DB3253" w:rsidRDefault="00931B05">
            <w:pPr>
              <w:spacing w:after="120"/>
              <w:contextualSpacing/>
              <w:rPr>
                <w:szCs w:val="22"/>
              </w:rPr>
            </w:pPr>
            <w:r w:rsidRPr="00DB3253">
              <w:rPr>
                <w:b/>
                <w:bCs/>
                <w:szCs w:val="22"/>
              </w:rPr>
              <w:t>Expected completion date</w:t>
            </w:r>
          </w:p>
        </w:tc>
      </w:tr>
      <w:tr w:rsidR="001673C6" w:rsidRPr="0063502D" w14:paraId="51147D98" w14:textId="77777777" w:rsidTr="001673C6">
        <w:tc>
          <w:tcPr>
            <w:tcW w:w="1630" w:type="pct"/>
          </w:tcPr>
          <w:p w14:paraId="30C78AC2" w14:textId="2F49C228" w:rsidR="001673C6" w:rsidRPr="0063502D" w:rsidRDefault="001673C6" w:rsidP="001673C6">
            <w:pPr>
              <w:rPr>
                <w:szCs w:val="22"/>
              </w:rPr>
            </w:pPr>
            <w:r w:rsidRPr="0063502D">
              <w:rPr>
                <w:rFonts w:eastAsia="Aptos" w:cs="Times New Roman"/>
                <w:szCs w:val="22"/>
              </w:rPr>
              <w:t>A First Nations evaluator will evaluate outcomes from the Innovation Fund as well as provide evaluative capacity building for funded organisations. Outcomes from the Innovation Fund will inform the broader implementation of the upcoming National Child and Family Investment Strategy.</w:t>
            </w:r>
          </w:p>
        </w:tc>
        <w:tc>
          <w:tcPr>
            <w:tcW w:w="561" w:type="pct"/>
          </w:tcPr>
          <w:p w14:paraId="7222EEFE" w14:textId="3BAA3DFE" w:rsidR="001673C6" w:rsidRPr="0063502D" w:rsidRDefault="001673C6" w:rsidP="001673C6">
            <w:pPr>
              <w:rPr>
                <w:rFonts w:eastAsia="Aptos"/>
                <w:szCs w:val="22"/>
              </w:rPr>
            </w:pPr>
            <w:r w:rsidRPr="0063502D">
              <w:rPr>
                <w:rFonts w:eastAsia="Aptos" w:cs="Times New Roman"/>
                <w:szCs w:val="22"/>
              </w:rPr>
              <w:t>Murawin Pty Ltd (Murawin)</w:t>
            </w:r>
          </w:p>
        </w:tc>
        <w:tc>
          <w:tcPr>
            <w:tcW w:w="562" w:type="pct"/>
          </w:tcPr>
          <w:p w14:paraId="41378128" w14:textId="0D1906DD" w:rsidR="001673C6" w:rsidRPr="0063502D" w:rsidRDefault="001673C6" w:rsidP="001673C6">
            <w:pPr>
              <w:rPr>
                <w:rFonts w:eastAsia="Aptos"/>
                <w:szCs w:val="22"/>
              </w:rPr>
            </w:pPr>
            <w:r w:rsidRPr="0063502D">
              <w:rPr>
                <w:rFonts w:eastAsia="Aptos" w:cs="Times New Roman"/>
                <w:szCs w:val="22"/>
              </w:rPr>
              <w:t>N/A</w:t>
            </w:r>
          </w:p>
        </w:tc>
        <w:tc>
          <w:tcPr>
            <w:tcW w:w="562" w:type="pct"/>
          </w:tcPr>
          <w:p w14:paraId="0962B12E" w14:textId="21E54CA2" w:rsidR="001673C6" w:rsidRPr="00BD14D6" w:rsidRDefault="001673C6" w:rsidP="00BD14D6">
            <w:pPr>
              <w:rPr>
                <w:szCs w:val="22"/>
                <w:lang w:val="en-US"/>
              </w:rPr>
            </w:pPr>
            <w:r w:rsidRPr="0063502D">
              <w:rPr>
                <w:rFonts w:eastAsia="Aptos" w:cs="Times New Roman"/>
                <w:szCs w:val="22"/>
              </w:rPr>
              <w:t>$503,590 (GST</w:t>
            </w:r>
            <w:r w:rsidR="004A087E">
              <w:rPr>
                <w:rFonts w:eastAsia="Aptos" w:cs="Times New Roman"/>
                <w:szCs w:val="22"/>
              </w:rPr>
              <w:t xml:space="preserve"> inclusive</w:t>
            </w:r>
            <w:r w:rsidRPr="0063502D">
              <w:rPr>
                <w:rFonts w:eastAsia="Aptos" w:cs="Times New Roman"/>
                <w:szCs w:val="22"/>
              </w:rPr>
              <w:t>)</w:t>
            </w:r>
          </w:p>
        </w:tc>
        <w:tc>
          <w:tcPr>
            <w:tcW w:w="562" w:type="pct"/>
          </w:tcPr>
          <w:p w14:paraId="2A33D66D" w14:textId="2DF8A460" w:rsidR="001673C6" w:rsidRPr="0063502D" w:rsidRDefault="001673C6" w:rsidP="001673C6">
            <w:pPr>
              <w:rPr>
                <w:szCs w:val="22"/>
                <w:lang w:val="en-US"/>
              </w:rPr>
            </w:pPr>
            <w:r w:rsidRPr="0063502D">
              <w:rPr>
                <w:rFonts w:eastAsia="Aptos" w:cs="Times New Roman"/>
                <w:szCs w:val="22"/>
              </w:rPr>
              <w:t>$366,751.14 (GST</w:t>
            </w:r>
            <w:r w:rsidR="004A087E">
              <w:rPr>
                <w:rFonts w:eastAsia="Aptos" w:cs="Times New Roman"/>
                <w:szCs w:val="22"/>
              </w:rPr>
              <w:t xml:space="preserve"> inclusive</w:t>
            </w:r>
            <w:r w:rsidRPr="0063502D">
              <w:rPr>
                <w:rFonts w:eastAsia="Aptos" w:cs="Times New Roman"/>
                <w:szCs w:val="22"/>
              </w:rPr>
              <w:t>)</w:t>
            </w:r>
          </w:p>
        </w:tc>
        <w:tc>
          <w:tcPr>
            <w:tcW w:w="562" w:type="pct"/>
          </w:tcPr>
          <w:p w14:paraId="21B5ED97" w14:textId="36C6B644" w:rsidR="001673C6" w:rsidRPr="0063502D" w:rsidRDefault="001673C6" w:rsidP="001673C6">
            <w:pPr>
              <w:rPr>
                <w:szCs w:val="22"/>
                <w:lang w:val="en-US"/>
              </w:rPr>
            </w:pPr>
            <w:r w:rsidRPr="0063502D">
              <w:rPr>
                <w:szCs w:val="22"/>
                <w:lang w:val="en-US"/>
              </w:rPr>
              <w:t>June 2025</w:t>
            </w:r>
          </w:p>
        </w:tc>
        <w:tc>
          <w:tcPr>
            <w:tcW w:w="561" w:type="pct"/>
          </w:tcPr>
          <w:p w14:paraId="5B687319" w14:textId="004B1BCF" w:rsidR="001673C6" w:rsidRPr="0063502D" w:rsidRDefault="001673C6" w:rsidP="001673C6">
            <w:pPr>
              <w:rPr>
                <w:szCs w:val="22"/>
                <w:lang w:val="en-US"/>
              </w:rPr>
            </w:pPr>
            <w:r w:rsidRPr="0063502D">
              <w:rPr>
                <w:rFonts w:eastAsia="Aptos" w:cs="Times New Roman"/>
                <w:szCs w:val="22"/>
              </w:rPr>
              <w:t>September 2027</w:t>
            </w:r>
          </w:p>
        </w:tc>
      </w:tr>
    </w:tbl>
    <w:p w14:paraId="1A22FF32" w14:textId="77777777" w:rsidR="00931B05" w:rsidRDefault="00931B05" w:rsidP="00931B05"/>
    <w:p w14:paraId="4BA4E5DF" w14:textId="74BA4399" w:rsidR="00931B05" w:rsidRDefault="001673C6" w:rsidP="007926B1">
      <w:pPr>
        <w:pStyle w:val="Heading3"/>
      </w:pPr>
      <w:r w:rsidRPr="007926B1">
        <w:t>Evaluation of the Strong and Resilient Communities (SARC) Activity</w:t>
      </w:r>
    </w:p>
    <w:tbl>
      <w:tblPr>
        <w:tblStyle w:val="TableGridLight"/>
        <w:tblW w:w="5000" w:type="pct"/>
        <w:tblLook w:val="04A0" w:firstRow="1" w:lastRow="0" w:firstColumn="1" w:lastColumn="0" w:noHBand="0" w:noVBand="1"/>
      </w:tblPr>
      <w:tblGrid>
        <w:gridCol w:w="7206"/>
        <w:gridCol w:w="2480"/>
        <w:gridCol w:w="2484"/>
        <w:gridCol w:w="2484"/>
        <w:gridCol w:w="2484"/>
        <w:gridCol w:w="2484"/>
        <w:gridCol w:w="2480"/>
      </w:tblGrid>
      <w:tr w:rsidR="00931B05" w:rsidRPr="00DB3253" w14:paraId="7568C012" w14:textId="77777777" w:rsidTr="001673C6">
        <w:trPr>
          <w:cnfStyle w:val="100000000000" w:firstRow="1" w:lastRow="0" w:firstColumn="0" w:lastColumn="0" w:oddVBand="0" w:evenVBand="0" w:oddHBand="0" w:evenHBand="0" w:firstRowFirstColumn="0" w:firstRowLastColumn="0" w:lastRowFirstColumn="0" w:lastRowLastColumn="0"/>
        </w:trPr>
        <w:tc>
          <w:tcPr>
            <w:tcW w:w="1630" w:type="pct"/>
          </w:tcPr>
          <w:p w14:paraId="10138B82" w14:textId="77777777" w:rsidR="00931B05" w:rsidRPr="00DB3253" w:rsidRDefault="00931B05">
            <w:pPr>
              <w:spacing w:after="120"/>
              <w:contextualSpacing/>
              <w:rPr>
                <w:b/>
                <w:bCs/>
                <w:szCs w:val="22"/>
              </w:rPr>
            </w:pPr>
            <w:r w:rsidRPr="00DB3253">
              <w:rPr>
                <w:b/>
                <w:bCs/>
                <w:szCs w:val="22"/>
              </w:rPr>
              <w:t>Purpose of the review</w:t>
            </w:r>
          </w:p>
        </w:tc>
        <w:tc>
          <w:tcPr>
            <w:tcW w:w="561" w:type="pct"/>
          </w:tcPr>
          <w:p w14:paraId="58DBB87E" w14:textId="77777777" w:rsidR="00931B05" w:rsidRPr="00DB3253" w:rsidRDefault="00931B05">
            <w:pPr>
              <w:spacing w:after="120"/>
              <w:contextualSpacing/>
              <w:rPr>
                <w:b/>
                <w:bCs/>
                <w:szCs w:val="22"/>
              </w:rPr>
            </w:pPr>
            <w:r>
              <w:rPr>
                <w:b/>
                <w:bCs/>
                <w:szCs w:val="22"/>
              </w:rPr>
              <w:t>Reviewer(s)</w:t>
            </w:r>
          </w:p>
        </w:tc>
        <w:tc>
          <w:tcPr>
            <w:tcW w:w="562" w:type="pct"/>
          </w:tcPr>
          <w:p w14:paraId="00419172" w14:textId="77777777" w:rsidR="00931B05" w:rsidRPr="00DB3253" w:rsidRDefault="00931B05">
            <w:pPr>
              <w:spacing w:after="120"/>
              <w:contextualSpacing/>
              <w:rPr>
                <w:b/>
                <w:bCs/>
                <w:szCs w:val="22"/>
              </w:rPr>
            </w:pPr>
            <w:r w:rsidRPr="00DB3253">
              <w:rPr>
                <w:b/>
                <w:bCs/>
                <w:szCs w:val="22"/>
              </w:rPr>
              <w:t>Remuneration for each of the reviewer(s)</w:t>
            </w:r>
          </w:p>
        </w:tc>
        <w:tc>
          <w:tcPr>
            <w:tcW w:w="562" w:type="pct"/>
            <w:hideMark/>
          </w:tcPr>
          <w:p w14:paraId="6E756374" w14:textId="77777777" w:rsidR="00931B05" w:rsidRPr="00DB3253" w:rsidRDefault="00931B05">
            <w:pPr>
              <w:spacing w:after="120"/>
              <w:contextualSpacing/>
              <w:rPr>
                <w:szCs w:val="22"/>
              </w:rPr>
            </w:pPr>
            <w:r w:rsidRPr="00DB3253">
              <w:rPr>
                <w:b/>
                <w:bCs/>
                <w:szCs w:val="22"/>
              </w:rPr>
              <w:t xml:space="preserve">Budgeted cost of Review </w:t>
            </w:r>
          </w:p>
        </w:tc>
        <w:tc>
          <w:tcPr>
            <w:tcW w:w="562" w:type="pct"/>
          </w:tcPr>
          <w:p w14:paraId="28755D51" w14:textId="77777777" w:rsidR="00931B05" w:rsidRPr="00DB3253" w:rsidRDefault="00931B05">
            <w:pPr>
              <w:spacing w:after="120"/>
              <w:contextualSpacing/>
              <w:rPr>
                <w:b/>
                <w:bCs/>
                <w:szCs w:val="22"/>
              </w:rPr>
            </w:pPr>
            <w:r w:rsidRPr="00DB3253">
              <w:rPr>
                <w:b/>
                <w:bCs/>
                <w:szCs w:val="22"/>
              </w:rPr>
              <w:t>Amount spent to date</w:t>
            </w:r>
          </w:p>
        </w:tc>
        <w:tc>
          <w:tcPr>
            <w:tcW w:w="562" w:type="pct"/>
          </w:tcPr>
          <w:p w14:paraId="3989BE2C" w14:textId="77777777" w:rsidR="00931B05" w:rsidRPr="00DB3253" w:rsidRDefault="00931B05">
            <w:pPr>
              <w:spacing w:after="120"/>
              <w:contextualSpacing/>
              <w:rPr>
                <w:b/>
                <w:bCs/>
                <w:szCs w:val="22"/>
              </w:rPr>
            </w:pPr>
            <w:r w:rsidRPr="00DB3253">
              <w:rPr>
                <w:b/>
                <w:bCs/>
                <w:szCs w:val="22"/>
              </w:rPr>
              <w:t>Commencement date</w:t>
            </w:r>
          </w:p>
        </w:tc>
        <w:tc>
          <w:tcPr>
            <w:tcW w:w="561" w:type="pct"/>
            <w:hideMark/>
          </w:tcPr>
          <w:p w14:paraId="74517E57" w14:textId="77777777" w:rsidR="00931B05" w:rsidRPr="00DB3253" w:rsidRDefault="00931B05">
            <w:pPr>
              <w:spacing w:after="120"/>
              <w:contextualSpacing/>
              <w:rPr>
                <w:szCs w:val="22"/>
              </w:rPr>
            </w:pPr>
            <w:r w:rsidRPr="00DB3253">
              <w:rPr>
                <w:b/>
                <w:bCs/>
                <w:szCs w:val="22"/>
              </w:rPr>
              <w:t>Expected completion date</w:t>
            </w:r>
          </w:p>
        </w:tc>
      </w:tr>
      <w:tr w:rsidR="001673C6" w:rsidRPr="004742C2" w14:paraId="2AC2BCCC" w14:textId="77777777" w:rsidTr="001673C6">
        <w:tc>
          <w:tcPr>
            <w:tcW w:w="1630" w:type="pct"/>
          </w:tcPr>
          <w:p w14:paraId="7A8B1AF7" w14:textId="77777777" w:rsidR="001673C6" w:rsidRPr="004742C2" w:rsidRDefault="001673C6" w:rsidP="001673C6">
            <w:pPr>
              <w:spacing w:after="120"/>
              <w:contextualSpacing/>
              <w:rPr>
                <w:szCs w:val="22"/>
              </w:rPr>
            </w:pPr>
            <w:r w:rsidRPr="004742C2">
              <w:rPr>
                <w:rFonts w:cs="Times New Roman"/>
                <w:szCs w:val="22"/>
              </w:rPr>
              <w:t>An Evaluation was undertaken to</w:t>
            </w:r>
            <w:r w:rsidRPr="00BD14D6">
              <w:rPr>
                <w:rFonts w:eastAsiaTheme="minorEastAsia"/>
                <w:szCs w:val="22"/>
              </w:rPr>
              <w:t xml:space="preserve"> inform future reforms </w:t>
            </w:r>
            <w:r w:rsidRPr="004742C2">
              <w:rPr>
                <w:szCs w:val="22"/>
              </w:rPr>
              <w:t>and</w:t>
            </w:r>
            <w:r w:rsidRPr="00BD14D6">
              <w:rPr>
                <w:rFonts w:eastAsiaTheme="minorEastAsia"/>
                <w:szCs w:val="22"/>
              </w:rPr>
              <w:t xml:space="preserve"> program improvements</w:t>
            </w:r>
            <w:r w:rsidRPr="004742C2">
              <w:rPr>
                <w:szCs w:val="22"/>
              </w:rPr>
              <w:t xml:space="preserve"> to the Strong and Resilient Communities Inclusive Communities (SARC – IC) activity</w:t>
            </w:r>
            <w:r w:rsidRPr="00BD14D6">
              <w:rPr>
                <w:rFonts w:eastAsiaTheme="minorEastAsia"/>
                <w:szCs w:val="22"/>
              </w:rPr>
              <w:t xml:space="preserve">. </w:t>
            </w:r>
          </w:p>
          <w:p w14:paraId="4E9D651B" w14:textId="190129B1" w:rsidR="001673C6" w:rsidRPr="004742C2" w:rsidRDefault="001673C6" w:rsidP="002725DA">
            <w:pPr>
              <w:spacing w:after="120"/>
              <w:contextualSpacing/>
              <w:rPr>
                <w:rFonts w:cs="Times New Roman"/>
                <w:szCs w:val="22"/>
              </w:rPr>
            </w:pPr>
            <w:r w:rsidRPr="004742C2">
              <w:rPr>
                <w:rFonts w:cs="Times New Roman"/>
                <w:szCs w:val="22"/>
              </w:rPr>
              <w:t>The purpose is to understand and assess the extent to which the Commonwealth’s investment in the program supported its intended objectives; complemented related programs funded by Commonwealth, State and Territory governments; and identified opportunities for continuous improvement.</w:t>
            </w:r>
          </w:p>
        </w:tc>
        <w:tc>
          <w:tcPr>
            <w:tcW w:w="561" w:type="pct"/>
          </w:tcPr>
          <w:p w14:paraId="073C8C50" w14:textId="281DE8FE" w:rsidR="001673C6" w:rsidRPr="004742C2" w:rsidRDefault="001673C6" w:rsidP="001673C6">
            <w:pPr>
              <w:rPr>
                <w:rFonts w:eastAsia="Aptos"/>
                <w:szCs w:val="22"/>
              </w:rPr>
            </w:pPr>
            <w:r w:rsidRPr="004742C2">
              <w:rPr>
                <w:rFonts w:eastAsia="Aptos" w:cs="Times New Roman"/>
                <w:szCs w:val="22"/>
              </w:rPr>
              <w:t>Nous Group</w:t>
            </w:r>
          </w:p>
        </w:tc>
        <w:tc>
          <w:tcPr>
            <w:tcW w:w="562" w:type="pct"/>
          </w:tcPr>
          <w:p w14:paraId="38DF81D3" w14:textId="1E802DFE" w:rsidR="001673C6" w:rsidRPr="004742C2" w:rsidRDefault="001673C6" w:rsidP="001673C6">
            <w:pPr>
              <w:rPr>
                <w:rFonts w:eastAsia="Aptos"/>
                <w:szCs w:val="22"/>
              </w:rPr>
            </w:pPr>
            <w:r w:rsidRPr="004742C2">
              <w:rPr>
                <w:rFonts w:eastAsia="Aptos" w:cs="Times New Roman"/>
                <w:szCs w:val="22"/>
              </w:rPr>
              <w:t>N/A</w:t>
            </w:r>
          </w:p>
        </w:tc>
        <w:tc>
          <w:tcPr>
            <w:tcW w:w="562" w:type="pct"/>
          </w:tcPr>
          <w:p w14:paraId="71844E4C" w14:textId="1CDAC85B" w:rsidR="001673C6" w:rsidRPr="00BD14D6" w:rsidRDefault="001673C6" w:rsidP="00BD14D6">
            <w:pPr>
              <w:rPr>
                <w:szCs w:val="22"/>
                <w:lang w:val="en-US"/>
              </w:rPr>
            </w:pPr>
            <w:r w:rsidRPr="004742C2">
              <w:rPr>
                <w:rFonts w:eastAsia="Aptos" w:cs="Times New Roman"/>
                <w:szCs w:val="22"/>
              </w:rPr>
              <w:t>$555,162 (GST</w:t>
            </w:r>
            <w:r w:rsidR="004A087E" w:rsidRPr="004742C2">
              <w:rPr>
                <w:rFonts w:cstheme="minorHAnsi"/>
                <w:szCs w:val="22"/>
              </w:rPr>
              <w:t xml:space="preserve"> exclusive</w:t>
            </w:r>
            <w:r w:rsidRPr="004742C2">
              <w:rPr>
                <w:rFonts w:eastAsia="Aptos" w:cs="Times New Roman"/>
                <w:szCs w:val="22"/>
              </w:rPr>
              <w:t>)</w:t>
            </w:r>
          </w:p>
        </w:tc>
        <w:tc>
          <w:tcPr>
            <w:tcW w:w="562" w:type="pct"/>
          </w:tcPr>
          <w:p w14:paraId="7BBCA0DB" w14:textId="5CA923B8" w:rsidR="001673C6" w:rsidRPr="004742C2" w:rsidRDefault="001673C6" w:rsidP="001673C6">
            <w:pPr>
              <w:rPr>
                <w:szCs w:val="22"/>
                <w:lang w:val="en-US"/>
              </w:rPr>
            </w:pPr>
            <w:r w:rsidRPr="004742C2">
              <w:rPr>
                <w:rFonts w:eastAsia="Aptos" w:cs="Times New Roman"/>
                <w:szCs w:val="22"/>
              </w:rPr>
              <w:t>$282,878 (GST</w:t>
            </w:r>
            <w:r w:rsidR="00375341">
              <w:rPr>
                <w:rFonts w:eastAsia="Aptos" w:cs="Times New Roman"/>
                <w:szCs w:val="22"/>
              </w:rPr>
              <w:t xml:space="preserve"> </w:t>
            </w:r>
            <w:r w:rsidR="00375341" w:rsidRPr="004742C2">
              <w:rPr>
                <w:rFonts w:cstheme="minorHAnsi"/>
                <w:szCs w:val="22"/>
              </w:rPr>
              <w:t>exclusive</w:t>
            </w:r>
            <w:r w:rsidRPr="004742C2">
              <w:rPr>
                <w:rFonts w:eastAsia="Aptos" w:cs="Times New Roman"/>
                <w:szCs w:val="22"/>
              </w:rPr>
              <w:t>)</w:t>
            </w:r>
          </w:p>
        </w:tc>
        <w:tc>
          <w:tcPr>
            <w:tcW w:w="562" w:type="pct"/>
          </w:tcPr>
          <w:p w14:paraId="0E73FD74" w14:textId="5FCC416D" w:rsidR="001673C6" w:rsidRPr="004742C2" w:rsidRDefault="001673C6" w:rsidP="001673C6">
            <w:pPr>
              <w:rPr>
                <w:szCs w:val="22"/>
                <w:lang w:val="en-US"/>
              </w:rPr>
            </w:pPr>
            <w:r w:rsidRPr="004742C2">
              <w:rPr>
                <w:szCs w:val="22"/>
                <w:lang w:val="en-US"/>
              </w:rPr>
              <w:t>June 2025</w:t>
            </w:r>
          </w:p>
        </w:tc>
        <w:tc>
          <w:tcPr>
            <w:tcW w:w="561" w:type="pct"/>
          </w:tcPr>
          <w:p w14:paraId="38B89E14" w14:textId="39F6EEE8" w:rsidR="001673C6" w:rsidRPr="004742C2" w:rsidRDefault="001673C6" w:rsidP="001673C6">
            <w:pPr>
              <w:spacing w:after="120"/>
              <w:contextualSpacing/>
              <w:rPr>
                <w:szCs w:val="22"/>
              </w:rPr>
            </w:pPr>
            <w:r w:rsidRPr="004F41F1">
              <w:rPr>
                <w:rFonts w:eastAsia="Aptos" w:cs="Times New Roman"/>
                <w:szCs w:val="22"/>
              </w:rPr>
              <w:t>July 2026</w:t>
            </w:r>
          </w:p>
          <w:p w14:paraId="1D954600" w14:textId="77777777" w:rsidR="001673C6" w:rsidRPr="004742C2" w:rsidRDefault="001673C6" w:rsidP="001673C6">
            <w:pPr>
              <w:spacing w:after="120"/>
              <w:contextualSpacing/>
              <w:rPr>
                <w:rFonts w:eastAsia="Aptos" w:cs="Times New Roman"/>
                <w:szCs w:val="22"/>
              </w:rPr>
            </w:pPr>
          </w:p>
          <w:p w14:paraId="12CF036A" w14:textId="77777777" w:rsidR="001673C6" w:rsidRPr="004742C2" w:rsidRDefault="001673C6" w:rsidP="001673C6">
            <w:pPr>
              <w:rPr>
                <w:szCs w:val="22"/>
                <w:lang w:val="en-US"/>
              </w:rPr>
            </w:pPr>
          </w:p>
        </w:tc>
      </w:tr>
    </w:tbl>
    <w:p w14:paraId="0BD195EF" w14:textId="77777777" w:rsidR="00931B05" w:rsidRDefault="00931B05" w:rsidP="00931B05"/>
    <w:p w14:paraId="0271B1AB" w14:textId="7CCB3CDF" w:rsidR="00931B05" w:rsidRDefault="001673C6" w:rsidP="007926B1">
      <w:pPr>
        <w:pStyle w:val="Heading3"/>
      </w:pPr>
      <w:r w:rsidRPr="00BD14D6">
        <w:t>Family, Domestic and Sexual Violence Workforce Survey</w:t>
      </w:r>
    </w:p>
    <w:tbl>
      <w:tblPr>
        <w:tblStyle w:val="TableGridLight"/>
        <w:tblW w:w="5000" w:type="pct"/>
        <w:tblLook w:val="04A0" w:firstRow="1" w:lastRow="0" w:firstColumn="1" w:lastColumn="0" w:noHBand="0" w:noVBand="1"/>
      </w:tblPr>
      <w:tblGrid>
        <w:gridCol w:w="7206"/>
        <w:gridCol w:w="2480"/>
        <w:gridCol w:w="2484"/>
        <w:gridCol w:w="2484"/>
        <w:gridCol w:w="2484"/>
        <w:gridCol w:w="2484"/>
        <w:gridCol w:w="2480"/>
      </w:tblGrid>
      <w:tr w:rsidR="00931B05" w:rsidRPr="00DB3253" w14:paraId="2C440AC5" w14:textId="77777777" w:rsidTr="00C23776">
        <w:trPr>
          <w:cnfStyle w:val="100000000000" w:firstRow="1" w:lastRow="0" w:firstColumn="0" w:lastColumn="0" w:oddVBand="0" w:evenVBand="0" w:oddHBand="0" w:evenHBand="0" w:firstRowFirstColumn="0" w:firstRowLastColumn="0" w:lastRowFirstColumn="0" w:lastRowLastColumn="0"/>
          <w:tblHeader/>
        </w:trPr>
        <w:tc>
          <w:tcPr>
            <w:tcW w:w="1630" w:type="pct"/>
          </w:tcPr>
          <w:p w14:paraId="5EB9974E" w14:textId="77777777" w:rsidR="00931B05" w:rsidRPr="00DB3253" w:rsidRDefault="00931B05">
            <w:pPr>
              <w:spacing w:after="120"/>
              <w:contextualSpacing/>
              <w:rPr>
                <w:b/>
                <w:bCs/>
                <w:szCs w:val="22"/>
              </w:rPr>
            </w:pPr>
            <w:r w:rsidRPr="00DB3253">
              <w:rPr>
                <w:b/>
                <w:bCs/>
                <w:szCs w:val="22"/>
              </w:rPr>
              <w:t>Purpose of the review</w:t>
            </w:r>
          </w:p>
        </w:tc>
        <w:tc>
          <w:tcPr>
            <w:tcW w:w="561" w:type="pct"/>
          </w:tcPr>
          <w:p w14:paraId="10EE6F4C" w14:textId="77777777" w:rsidR="00931B05" w:rsidRPr="00DB3253" w:rsidRDefault="00931B05">
            <w:pPr>
              <w:spacing w:after="120"/>
              <w:contextualSpacing/>
              <w:rPr>
                <w:b/>
                <w:bCs/>
                <w:szCs w:val="22"/>
              </w:rPr>
            </w:pPr>
            <w:r>
              <w:rPr>
                <w:b/>
                <w:bCs/>
                <w:szCs w:val="22"/>
              </w:rPr>
              <w:t>Reviewer(s)</w:t>
            </w:r>
          </w:p>
        </w:tc>
        <w:tc>
          <w:tcPr>
            <w:tcW w:w="562" w:type="pct"/>
          </w:tcPr>
          <w:p w14:paraId="26306691" w14:textId="77777777" w:rsidR="00931B05" w:rsidRPr="00DB3253" w:rsidRDefault="00931B05">
            <w:pPr>
              <w:spacing w:after="120"/>
              <w:contextualSpacing/>
              <w:rPr>
                <w:b/>
                <w:bCs/>
                <w:szCs w:val="22"/>
              </w:rPr>
            </w:pPr>
            <w:r w:rsidRPr="00DB3253">
              <w:rPr>
                <w:b/>
                <w:bCs/>
                <w:szCs w:val="22"/>
              </w:rPr>
              <w:t>Remuneration for each of the reviewer(s)</w:t>
            </w:r>
          </w:p>
        </w:tc>
        <w:tc>
          <w:tcPr>
            <w:tcW w:w="562" w:type="pct"/>
            <w:hideMark/>
          </w:tcPr>
          <w:p w14:paraId="29DB85BE" w14:textId="77777777" w:rsidR="00931B05" w:rsidRPr="00DB3253" w:rsidRDefault="00931B05">
            <w:pPr>
              <w:spacing w:after="120"/>
              <w:contextualSpacing/>
              <w:rPr>
                <w:szCs w:val="22"/>
              </w:rPr>
            </w:pPr>
            <w:r w:rsidRPr="00DB3253">
              <w:rPr>
                <w:b/>
                <w:bCs/>
                <w:szCs w:val="22"/>
              </w:rPr>
              <w:t xml:space="preserve">Budgeted cost of Review </w:t>
            </w:r>
          </w:p>
        </w:tc>
        <w:tc>
          <w:tcPr>
            <w:tcW w:w="562" w:type="pct"/>
          </w:tcPr>
          <w:p w14:paraId="65A6A549" w14:textId="77777777" w:rsidR="00931B05" w:rsidRPr="00DB3253" w:rsidRDefault="00931B05">
            <w:pPr>
              <w:spacing w:after="120"/>
              <w:contextualSpacing/>
              <w:rPr>
                <w:b/>
                <w:bCs/>
                <w:szCs w:val="22"/>
              </w:rPr>
            </w:pPr>
            <w:r w:rsidRPr="00DB3253">
              <w:rPr>
                <w:b/>
                <w:bCs/>
                <w:szCs w:val="22"/>
              </w:rPr>
              <w:t>Amount spent to date</w:t>
            </w:r>
          </w:p>
        </w:tc>
        <w:tc>
          <w:tcPr>
            <w:tcW w:w="562" w:type="pct"/>
          </w:tcPr>
          <w:p w14:paraId="451FC480" w14:textId="77777777" w:rsidR="00931B05" w:rsidRPr="00DB3253" w:rsidRDefault="00931B05">
            <w:pPr>
              <w:spacing w:after="120"/>
              <w:contextualSpacing/>
              <w:rPr>
                <w:b/>
                <w:bCs/>
                <w:szCs w:val="22"/>
              </w:rPr>
            </w:pPr>
            <w:r w:rsidRPr="00DB3253">
              <w:rPr>
                <w:b/>
                <w:bCs/>
                <w:szCs w:val="22"/>
              </w:rPr>
              <w:t>Commencement date</w:t>
            </w:r>
          </w:p>
        </w:tc>
        <w:tc>
          <w:tcPr>
            <w:tcW w:w="561" w:type="pct"/>
            <w:hideMark/>
          </w:tcPr>
          <w:p w14:paraId="6EC23A50" w14:textId="77777777" w:rsidR="00931B05" w:rsidRPr="00DB3253" w:rsidRDefault="00931B05">
            <w:pPr>
              <w:spacing w:after="120"/>
              <w:contextualSpacing/>
              <w:rPr>
                <w:szCs w:val="22"/>
              </w:rPr>
            </w:pPr>
            <w:r w:rsidRPr="00DB3253">
              <w:rPr>
                <w:b/>
                <w:bCs/>
                <w:szCs w:val="22"/>
              </w:rPr>
              <w:t>Expected completion date</w:t>
            </w:r>
          </w:p>
        </w:tc>
      </w:tr>
      <w:tr w:rsidR="001673C6" w:rsidRPr="004742C2" w14:paraId="51A78F3E" w14:textId="77777777" w:rsidTr="001673C6">
        <w:tc>
          <w:tcPr>
            <w:tcW w:w="1630" w:type="pct"/>
          </w:tcPr>
          <w:p w14:paraId="495DFD36" w14:textId="6E1543DF" w:rsidR="001673C6" w:rsidRPr="004742C2" w:rsidRDefault="001673C6" w:rsidP="001673C6">
            <w:pPr>
              <w:rPr>
                <w:rFonts w:cstheme="minorHAnsi"/>
                <w:szCs w:val="22"/>
              </w:rPr>
            </w:pPr>
            <w:r w:rsidRPr="00BD14D6">
              <w:rPr>
                <w:rFonts w:cstheme="minorHAnsi"/>
                <w:szCs w:val="22"/>
                <w:lang w:val="en-US"/>
              </w:rPr>
              <w:t xml:space="preserve">The National FDSV Workforce Survey aims to strengthen understanding of the workforce that prevents and responds to family and domestic violence and sexual violence across Australia. The study will identify workforce characteristics, key challenges, capacity and capability constraints, and the factors that support workforce effectiveness, wellbeing and sustainability. Its findings will provide </w:t>
            </w:r>
            <w:proofErr w:type="gramStart"/>
            <w:r w:rsidRPr="00BD14D6">
              <w:rPr>
                <w:rFonts w:cstheme="minorHAnsi"/>
                <w:szCs w:val="22"/>
                <w:lang w:val="en-US"/>
              </w:rPr>
              <w:t>an evidence</w:t>
            </w:r>
            <w:proofErr w:type="gramEnd"/>
            <w:r w:rsidRPr="00BD14D6">
              <w:rPr>
                <w:rFonts w:cstheme="minorHAnsi"/>
                <w:szCs w:val="22"/>
                <w:lang w:val="en-US"/>
              </w:rPr>
              <w:t xml:space="preserve"> base to inform policy, planning and investment decisions that enhance workforce capacity, improve service accessibility and quality, and support a sustainable and effective national response.</w:t>
            </w:r>
          </w:p>
        </w:tc>
        <w:tc>
          <w:tcPr>
            <w:tcW w:w="561" w:type="pct"/>
          </w:tcPr>
          <w:p w14:paraId="35C7CBB2" w14:textId="40D9B1BB" w:rsidR="001673C6" w:rsidRPr="004742C2" w:rsidRDefault="001673C6" w:rsidP="001673C6">
            <w:pPr>
              <w:rPr>
                <w:rFonts w:eastAsia="Aptos" w:cstheme="minorHAnsi"/>
                <w:szCs w:val="22"/>
              </w:rPr>
            </w:pPr>
            <w:r w:rsidRPr="00BD14D6">
              <w:rPr>
                <w:rFonts w:cstheme="minorHAnsi"/>
                <w:szCs w:val="22"/>
                <w:lang w:val="en-US"/>
              </w:rPr>
              <w:t>Social Research Centre</w:t>
            </w:r>
          </w:p>
        </w:tc>
        <w:tc>
          <w:tcPr>
            <w:tcW w:w="562" w:type="pct"/>
          </w:tcPr>
          <w:p w14:paraId="4CDE45A7" w14:textId="7A84262D" w:rsidR="001673C6" w:rsidRPr="004742C2" w:rsidRDefault="001673C6" w:rsidP="001673C6">
            <w:pPr>
              <w:rPr>
                <w:rFonts w:eastAsia="Aptos" w:cstheme="minorHAnsi"/>
                <w:szCs w:val="22"/>
              </w:rPr>
            </w:pPr>
            <w:r w:rsidRPr="00BD14D6">
              <w:rPr>
                <w:rFonts w:cstheme="minorHAnsi"/>
                <w:szCs w:val="22"/>
                <w:lang w:val="en-US"/>
              </w:rPr>
              <w:t>N/A</w:t>
            </w:r>
          </w:p>
        </w:tc>
        <w:tc>
          <w:tcPr>
            <w:tcW w:w="562" w:type="pct"/>
          </w:tcPr>
          <w:p w14:paraId="0622F748" w14:textId="754351CE" w:rsidR="001673C6" w:rsidRPr="00BD14D6" w:rsidRDefault="001673C6" w:rsidP="00BD14D6">
            <w:pPr>
              <w:rPr>
                <w:rFonts w:cstheme="minorHAnsi"/>
                <w:szCs w:val="22"/>
                <w:lang w:val="en-US"/>
              </w:rPr>
            </w:pPr>
            <w:r w:rsidRPr="00BD14D6">
              <w:rPr>
                <w:rFonts w:eastAsia="Roboto" w:cstheme="minorHAnsi"/>
                <w:szCs w:val="22"/>
                <w:lang w:val="en-US"/>
              </w:rPr>
              <w:t>$1,392,000.00 (GST excl</w:t>
            </w:r>
            <w:r w:rsidR="00375341">
              <w:rPr>
                <w:rFonts w:eastAsia="Roboto" w:cstheme="minorHAnsi"/>
                <w:szCs w:val="22"/>
                <w:lang w:val="en-US"/>
              </w:rPr>
              <w:t>usive</w:t>
            </w:r>
            <w:r w:rsidRPr="00BD14D6">
              <w:rPr>
                <w:rFonts w:eastAsia="Roboto" w:cstheme="minorHAnsi"/>
                <w:szCs w:val="22"/>
                <w:lang w:val="en-US"/>
              </w:rPr>
              <w:t>)</w:t>
            </w:r>
          </w:p>
        </w:tc>
        <w:tc>
          <w:tcPr>
            <w:tcW w:w="562" w:type="pct"/>
          </w:tcPr>
          <w:p w14:paraId="06752FF2" w14:textId="13A06861" w:rsidR="001673C6" w:rsidRPr="004742C2" w:rsidRDefault="001673C6" w:rsidP="001673C6">
            <w:pPr>
              <w:rPr>
                <w:rFonts w:cstheme="minorHAnsi"/>
                <w:szCs w:val="22"/>
                <w:lang w:val="en-US"/>
              </w:rPr>
            </w:pPr>
            <w:r w:rsidRPr="00BD14D6">
              <w:rPr>
                <w:rFonts w:eastAsia="Roboto" w:cstheme="minorHAnsi"/>
                <w:szCs w:val="22"/>
                <w:lang w:val="en-US"/>
              </w:rPr>
              <w:t>$1,392,000.00 (GST excl</w:t>
            </w:r>
            <w:r w:rsidR="00375341">
              <w:rPr>
                <w:rFonts w:eastAsia="Roboto" w:cstheme="minorHAnsi"/>
                <w:szCs w:val="22"/>
                <w:lang w:val="en-US"/>
              </w:rPr>
              <w:t>usive</w:t>
            </w:r>
            <w:r w:rsidRPr="00BD14D6">
              <w:rPr>
                <w:rFonts w:eastAsia="Roboto" w:cstheme="minorHAnsi"/>
                <w:szCs w:val="22"/>
                <w:lang w:val="en-US"/>
              </w:rPr>
              <w:t>)</w:t>
            </w:r>
          </w:p>
        </w:tc>
        <w:tc>
          <w:tcPr>
            <w:tcW w:w="562" w:type="pct"/>
          </w:tcPr>
          <w:p w14:paraId="58BCFF86" w14:textId="6C35F795" w:rsidR="001673C6" w:rsidRPr="004742C2" w:rsidRDefault="001673C6" w:rsidP="001673C6">
            <w:pPr>
              <w:rPr>
                <w:rFonts w:cstheme="minorHAnsi"/>
                <w:szCs w:val="22"/>
                <w:lang w:val="en-US"/>
              </w:rPr>
            </w:pPr>
            <w:r w:rsidRPr="00BD14D6">
              <w:rPr>
                <w:rFonts w:cstheme="minorHAnsi"/>
                <w:szCs w:val="22"/>
                <w:lang w:val="en-US"/>
              </w:rPr>
              <w:t>May 2024</w:t>
            </w:r>
          </w:p>
        </w:tc>
        <w:tc>
          <w:tcPr>
            <w:tcW w:w="561" w:type="pct"/>
          </w:tcPr>
          <w:p w14:paraId="65A3A2C0" w14:textId="494122BC" w:rsidR="001673C6" w:rsidRPr="004F41F1" w:rsidRDefault="001673C6" w:rsidP="001673C6">
            <w:pPr>
              <w:rPr>
                <w:rFonts w:cstheme="minorHAnsi"/>
                <w:szCs w:val="22"/>
                <w:lang w:val="en-US"/>
              </w:rPr>
            </w:pPr>
            <w:r w:rsidRPr="004F41F1">
              <w:rPr>
                <w:rFonts w:cstheme="minorHAnsi"/>
                <w:szCs w:val="22"/>
                <w:lang w:val="en-US"/>
              </w:rPr>
              <w:t xml:space="preserve">July 2026 </w:t>
            </w:r>
          </w:p>
        </w:tc>
      </w:tr>
    </w:tbl>
    <w:p w14:paraId="629321A3" w14:textId="20764DD3" w:rsidR="00931B05" w:rsidRDefault="00931B05" w:rsidP="00E52A67"/>
    <w:p w14:paraId="5C2B2625" w14:textId="5BB87CE0" w:rsidR="00931B05" w:rsidRDefault="00931B05" w:rsidP="007926B1">
      <w:pPr>
        <w:pStyle w:val="Heading3"/>
      </w:pPr>
      <w:r>
        <w:lastRenderedPageBreak/>
        <w:t>Australia’s National Research Organisation for Women’s Safety (ANROWS)</w:t>
      </w:r>
    </w:p>
    <w:tbl>
      <w:tblPr>
        <w:tblStyle w:val="TableGridLight"/>
        <w:tblW w:w="5000" w:type="pct"/>
        <w:tblLook w:val="04A0" w:firstRow="1" w:lastRow="0" w:firstColumn="1" w:lastColumn="0" w:noHBand="0" w:noVBand="1"/>
      </w:tblPr>
      <w:tblGrid>
        <w:gridCol w:w="7206"/>
        <w:gridCol w:w="2480"/>
        <w:gridCol w:w="2484"/>
        <w:gridCol w:w="2484"/>
        <w:gridCol w:w="2484"/>
        <w:gridCol w:w="2484"/>
        <w:gridCol w:w="2480"/>
      </w:tblGrid>
      <w:tr w:rsidR="00931B05" w:rsidRPr="00DB3253" w14:paraId="729DB6B2" w14:textId="77777777" w:rsidTr="00931B05">
        <w:trPr>
          <w:cnfStyle w:val="100000000000" w:firstRow="1" w:lastRow="0" w:firstColumn="0" w:lastColumn="0" w:oddVBand="0" w:evenVBand="0" w:oddHBand="0" w:evenHBand="0" w:firstRowFirstColumn="0" w:firstRowLastColumn="0" w:lastRowFirstColumn="0" w:lastRowLastColumn="0"/>
        </w:trPr>
        <w:tc>
          <w:tcPr>
            <w:tcW w:w="1630" w:type="pct"/>
          </w:tcPr>
          <w:p w14:paraId="7E633CB8" w14:textId="77777777" w:rsidR="00931B05" w:rsidRPr="00DB3253" w:rsidRDefault="00931B05">
            <w:pPr>
              <w:spacing w:after="120"/>
              <w:contextualSpacing/>
              <w:rPr>
                <w:b/>
                <w:bCs/>
                <w:szCs w:val="22"/>
              </w:rPr>
            </w:pPr>
            <w:r w:rsidRPr="00DB3253">
              <w:rPr>
                <w:b/>
                <w:bCs/>
                <w:szCs w:val="22"/>
              </w:rPr>
              <w:t>Purpose of the review</w:t>
            </w:r>
          </w:p>
        </w:tc>
        <w:tc>
          <w:tcPr>
            <w:tcW w:w="561" w:type="pct"/>
          </w:tcPr>
          <w:p w14:paraId="401D5289" w14:textId="77777777" w:rsidR="00931B05" w:rsidRPr="00DB3253" w:rsidRDefault="00931B05">
            <w:pPr>
              <w:spacing w:after="120"/>
              <w:contextualSpacing/>
              <w:rPr>
                <w:b/>
                <w:bCs/>
                <w:szCs w:val="22"/>
              </w:rPr>
            </w:pPr>
            <w:r>
              <w:rPr>
                <w:b/>
                <w:bCs/>
                <w:szCs w:val="22"/>
              </w:rPr>
              <w:t>Reviewer(s)</w:t>
            </w:r>
          </w:p>
        </w:tc>
        <w:tc>
          <w:tcPr>
            <w:tcW w:w="562" w:type="pct"/>
          </w:tcPr>
          <w:p w14:paraId="3FF416A1" w14:textId="77777777" w:rsidR="00931B05" w:rsidRPr="00DB3253" w:rsidRDefault="00931B05">
            <w:pPr>
              <w:spacing w:after="120"/>
              <w:contextualSpacing/>
              <w:rPr>
                <w:b/>
                <w:bCs/>
                <w:szCs w:val="22"/>
              </w:rPr>
            </w:pPr>
            <w:r w:rsidRPr="00DB3253">
              <w:rPr>
                <w:b/>
                <w:bCs/>
                <w:szCs w:val="22"/>
              </w:rPr>
              <w:t>Remuneration for each of the reviewer(s)</w:t>
            </w:r>
          </w:p>
        </w:tc>
        <w:tc>
          <w:tcPr>
            <w:tcW w:w="562" w:type="pct"/>
            <w:hideMark/>
          </w:tcPr>
          <w:p w14:paraId="1214F58F" w14:textId="77777777" w:rsidR="00931B05" w:rsidRPr="00DB3253" w:rsidRDefault="00931B05">
            <w:pPr>
              <w:spacing w:after="120"/>
              <w:contextualSpacing/>
              <w:rPr>
                <w:szCs w:val="22"/>
              </w:rPr>
            </w:pPr>
            <w:r w:rsidRPr="00DB3253">
              <w:rPr>
                <w:b/>
                <w:bCs/>
                <w:szCs w:val="22"/>
              </w:rPr>
              <w:t xml:space="preserve">Budgeted cost of Review </w:t>
            </w:r>
          </w:p>
        </w:tc>
        <w:tc>
          <w:tcPr>
            <w:tcW w:w="562" w:type="pct"/>
          </w:tcPr>
          <w:p w14:paraId="491D24F9" w14:textId="77777777" w:rsidR="00931B05" w:rsidRPr="00DB3253" w:rsidRDefault="00931B05">
            <w:pPr>
              <w:spacing w:after="120"/>
              <w:contextualSpacing/>
              <w:rPr>
                <w:b/>
                <w:bCs/>
                <w:szCs w:val="22"/>
              </w:rPr>
            </w:pPr>
            <w:r w:rsidRPr="00DB3253">
              <w:rPr>
                <w:b/>
                <w:bCs/>
                <w:szCs w:val="22"/>
              </w:rPr>
              <w:t>Amount spent to date</w:t>
            </w:r>
          </w:p>
        </w:tc>
        <w:tc>
          <w:tcPr>
            <w:tcW w:w="562" w:type="pct"/>
          </w:tcPr>
          <w:p w14:paraId="7E203CDE" w14:textId="77777777" w:rsidR="00931B05" w:rsidRPr="00DB3253" w:rsidRDefault="00931B05">
            <w:pPr>
              <w:spacing w:after="120"/>
              <w:contextualSpacing/>
              <w:rPr>
                <w:b/>
                <w:bCs/>
                <w:szCs w:val="22"/>
              </w:rPr>
            </w:pPr>
            <w:r w:rsidRPr="00DB3253">
              <w:rPr>
                <w:b/>
                <w:bCs/>
                <w:szCs w:val="22"/>
              </w:rPr>
              <w:t>Commencement date</w:t>
            </w:r>
          </w:p>
        </w:tc>
        <w:tc>
          <w:tcPr>
            <w:tcW w:w="561" w:type="pct"/>
            <w:hideMark/>
          </w:tcPr>
          <w:p w14:paraId="35CC1DBD" w14:textId="77777777" w:rsidR="00931B05" w:rsidRPr="00DB3253" w:rsidRDefault="00931B05">
            <w:pPr>
              <w:spacing w:after="120"/>
              <w:contextualSpacing/>
              <w:rPr>
                <w:szCs w:val="22"/>
              </w:rPr>
            </w:pPr>
            <w:r w:rsidRPr="00DB3253">
              <w:rPr>
                <w:b/>
                <w:bCs/>
                <w:szCs w:val="22"/>
              </w:rPr>
              <w:t>Expected completion date</w:t>
            </w:r>
          </w:p>
        </w:tc>
      </w:tr>
      <w:tr w:rsidR="00931B05" w:rsidRPr="004742C2" w14:paraId="29D5C700" w14:textId="77777777" w:rsidTr="00931B05">
        <w:tc>
          <w:tcPr>
            <w:tcW w:w="1630" w:type="pct"/>
          </w:tcPr>
          <w:p w14:paraId="2776BF1B" w14:textId="12FF5D0D" w:rsidR="00931B05" w:rsidRPr="004742C2" w:rsidRDefault="00931B05" w:rsidP="002725DA">
            <w:pPr>
              <w:spacing w:after="0" w:line="300" w:lineRule="atLeast"/>
              <w:rPr>
                <w:rFonts w:eastAsia="Times New Roman" w:cs="Segoe UI"/>
                <w:szCs w:val="22"/>
                <w:lang w:eastAsia="en-AU"/>
              </w:rPr>
            </w:pPr>
            <w:r w:rsidRPr="004742C2">
              <w:rPr>
                <w:rFonts w:eastAsia="Times New Roman" w:cs="Segoe UI"/>
                <w:szCs w:val="22"/>
                <w:lang w:eastAsia="en-AU"/>
              </w:rPr>
              <w:t>To assess ANROWS’ effectiveness in delivering its constitutional objectives, supporting government policy and program development, and translating evidence into practice, and to identify opportunities to strengthen its future impact and operations. The review is being conducted in accordance with Commonwealth–state and territory MoU that jointly funds ANROWS’ core operations.</w:t>
            </w:r>
          </w:p>
        </w:tc>
        <w:tc>
          <w:tcPr>
            <w:tcW w:w="561" w:type="pct"/>
          </w:tcPr>
          <w:p w14:paraId="118E2CC7" w14:textId="1B7D9AA5" w:rsidR="00931B05" w:rsidRPr="004742C2" w:rsidRDefault="00931B05" w:rsidP="00931B05">
            <w:pPr>
              <w:rPr>
                <w:rFonts w:eastAsia="Aptos"/>
                <w:szCs w:val="22"/>
              </w:rPr>
            </w:pPr>
            <w:r w:rsidRPr="004742C2">
              <w:rPr>
                <w:szCs w:val="22"/>
              </w:rPr>
              <w:t>Australian Government Consulting (AGC) at the Department of Prime Minister and Cabinet (PM&amp;C)</w:t>
            </w:r>
          </w:p>
        </w:tc>
        <w:tc>
          <w:tcPr>
            <w:tcW w:w="562" w:type="pct"/>
          </w:tcPr>
          <w:p w14:paraId="16588A17" w14:textId="3CA27D2A" w:rsidR="00931B05" w:rsidRPr="004742C2" w:rsidRDefault="00931B05" w:rsidP="00931B05">
            <w:pPr>
              <w:rPr>
                <w:rFonts w:eastAsia="Aptos"/>
                <w:szCs w:val="22"/>
              </w:rPr>
            </w:pPr>
            <w:r w:rsidRPr="004742C2">
              <w:rPr>
                <w:szCs w:val="22"/>
              </w:rPr>
              <w:t>n/a</w:t>
            </w:r>
          </w:p>
        </w:tc>
        <w:tc>
          <w:tcPr>
            <w:tcW w:w="562" w:type="pct"/>
          </w:tcPr>
          <w:p w14:paraId="5DB645E2" w14:textId="7D88DC59" w:rsidR="00931B05" w:rsidRPr="00BD14D6" w:rsidRDefault="00931B05" w:rsidP="00BD14D6">
            <w:pPr>
              <w:rPr>
                <w:szCs w:val="22"/>
                <w:lang w:val="en-US"/>
              </w:rPr>
            </w:pPr>
            <w:r w:rsidRPr="004742C2">
              <w:rPr>
                <w:szCs w:val="22"/>
              </w:rPr>
              <w:t>$294,000</w:t>
            </w:r>
            <w:r w:rsidR="007926B1">
              <w:rPr>
                <w:szCs w:val="22"/>
              </w:rPr>
              <w:t xml:space="preserve"> </w:t>
            </w:r>
            <w:r w:rsidRPr="004742C2">
              <w:rPr>
                <w:szCs w:val="22"/>
              </w:rPr>
              <w:t>(GST exclusive)</w:t>
            </w:r>
          </w:p>
        </w:tc>
        <w:tc>
          <w:tcPr>
            <w:tcW w:w="562" w:type="pct"/>
          </w:tcPr>
          <w:p w14:paraId="34A3CB6A" w14:textId="1CCAAD7B" w:rsidR="00931B05" w:rsidRPr="004742C2" w:rsidRDefault="00931B05" w:rsidP="00931B05">
            <w:pPr>
              <w:rPr>
                <w:szCs w:val="22"/>
                <w:lang w:val="en-US"/>
              </w:rPr>
            </w:pPr>
            <w:r w:rsidRPr="004742C2">
              <w:rPr>
                <w:szCs w:val="22"/>
              </w:rPr>
              <w:t>nil</w:t>
            </w:r>
          </w:p>
        </w:tc>
        <w:tc>
          <w:tcPr>
            <w:tcW w:w="562" w:type="pct"/>
          </w:tcPr>
          <w:p w14:paraId="0ABF72F5" w14:textId="266E1131" w:rsidR="00931B05" w:rsidRPr="004742C2" w:rsidRDefault="00931B05" w:rsidP="00931B05">
            <w:pPr>
              <w:rPr>
                <w:szCs w:val="22"/>
                <w:lang w:val="en-US"/>
              </w:rPr>
            </w:pPr>
            <w:r w:rsidRPr="004742C2">
              <w:rPr>
                <w:szCs w:val="22"/>
              </w:rPr>
              <w:t>22 June 2026</w:t>
            </w:r>
          </w:p>
        </w:tc>
        <w:tc>
          <w:tcPr>
            <w:tcW w:w="561" w:type="pct"/>
          </w:tcPr>
          <w:p w14:paraId="6DA9E57C" w14:textId="67963F8B" w:rsidR="00931B05" w:rsidRPr="004742C2" w:rsidRDefault="00931B05" w:rsidP="00931B05">
            <w:pPr>
              <w:rPr>
                <w:szCs w:val="22"/>
                <w:lang w:val="en-US"/>
              </w:rPr>
            </w:pPr>
            <w:r w:rsidRPr="004742C2">
              <w:rPr>
                <w:szCs w:val="22"/>
              </w:rPr>
              <w:t>30 September 2026</w:t>
            </w:r>
          </w:p>
        </w:tc>
      </w:tr>
    </w:tbl>
    <w:p w14:paraId="094015B5" w14:textId="77777777" w:rsidR="00931B05" w:rsidRDefault="00931B05" w:rsidP="00931B05"/>
    <w:p w14:paraId="7A8D77E6" w14:textId="66731638" w:rsidR="00931B05" w:rsidRDefault="00422987" w:rsidP="007926B1">
      <w:pPr>
        <w:pStyle w:val="Heading3"/>
      </w:pPr>
      <w:r w:rsidRPr="00422987">
        <w:t>National Plan to End Violence against Women and Children 2022–2032</w:t>
      </w:r>
      <w:r w:rsidR="001673C6" w:rsidRPr="002725DA">
        <w:t xml:space="preserve"> mid-term review</w:t>
      </w:r>
    </w:p>
    <w:tbl>
      <w:tblPr>
        <w:tblStyle w:val="TableGridLight"/>
        <w:tblW w:w="5000" w:type="pct"/>
        <w:tblLook w:val="04A0" w:firstRow="1" w:lastRow="0" w:firstColumn="1" w:lastColumn="0" w:noHBand="0" w:noVBand="1"/>
      </w:tblPr>
      <w:tblGrid>
        <w:gridCol w:w="7206"/>
        <w:gridCol w:w="2480"/>
        <w:gridCol w:w="2484"/>
        <w:gridCol w:w="2484"/>
        <w:gridCol w:w="2484"/>
        <w:gridCol w:w="2484"/>
        <w:gridCol w:w="2480"/>
      </w:tblGrid>
      <w:tr w:rsidR="00931B05" w:rsidRPr="00DB3253" w14:paraId="0C46CAC3" w14:textId="77777777" w:rsidTr="1E361FF1">
        <w:trPr>
          <w:cnfStyle w:val="100000000000" w:firstRow="1" w:lastRow="0" w:firstColumn="0" w:lastColumn="0" w:oddVBand="0" w:evenVBand="0" w:oddHBand="0" w:evenHBand="0" w:firstRowFirstColumn="0" w:firstRowLastColumn="0" w:lastRowFirstColumn="0" w:lastRowLastColumn="0"/>
        </w:trPr>
        <w:tc>
          <w:tcPr>
            <w:tcW w:w="1630" w:type="pct"/>
          </w:tcPr>
          <w:p w14:paraId="203DA6C5" w14:textId="77777777" w:rsidR="00931B05" w:rsidRPr="00DB3253" w:rsidRDefault="00931B05">
            <w:pPr>
              <w:spacing w:after="120"/>
              <w:contextualSpacing/>
              <w:rPr>
                <w:b/>
                <w:bCs/>
                <w:szCs w:val="22"/>
              </w:rPr>
            </w:pPr>
            <w:r w:rsidRPr="00DB3253">
              <w:rPr>
                <w:b/>
                <w:bCs/>
                <w:szCs w:val="22"/>
              </w:rPr>
              <w:t>Purpose of the review</w:t>
            </w:r>
          </w:p>
        </w:tc>
        <w:tc>
          <w:tcPr>
            <w:tcW w:w="561" w:type="pct"/>
          </w:tcPr>
          <w:p w14:paraId="7833A2EA" w14:textId="77777777" w:rsidR="00931B05" w:rsidRPr="00DB3253" w:rsidRDefault="00931B05">
            <w:pPr>
              <w:spacing w:after="120"/>
              <w:contextualSpacing/>
              <w:rPr>
                <w:b/>
                <w:bCs/>
                <w:szCs w:val="22"/>
              </w:rPr>
            </w:pPr>
            <w:r>
              <w:rPr>
                <w:b/>
                <w:bCs/>
                <w:szCs w:val="22"/>
              </w:rPr>
              <w:t>Reviewer(s)</w:t>
            </w:r>
          </w:p>
        </w:tc>
        <w:tc>
          <w:tcPr>
            <w:tcW w:w="562" w:type="pct"/>
          </w:tcPr>
          <w:p w14:paraId="6FFDD28E" w14:textId="77777777" w:rsidR="00931B05" w:rsidRPr="00DB3253" w:rsidRDefault="00931B05">
            <w:pPr>
              <w:spacing w:after="120"/>
              <w:contextualSpacing/>
              <w:rPr>
                <w:b/>
                <w:bCs/>
                <w:szCs w:val="22"/>
              </w:rPr>
            </w:pPr>
            <w:r w:rsidRPr="00DB3253">
              <w:rPr>
                <w:b/>
                <w:bCs/>
                <w:szCs w:val="22"/>
              </w:rPr>
              <w:t>Remuneration for each of the reviewer(s)</w:t>
            </w:r>
          </w:p>
        </w:tc>
        <w:tc>
          <w:tcPr>
            <w:tcW w:w="562" w:type="pct"/>
            <w:hideMark/>
          </w:tcPr>
          <w:p w14:paraId="778392FC" w14:textId="77777777" w:rsidR="00931B05" w:rsidRPr="00DB3253" w:rsidRDefault="00931B05">
            <w:pPr>
              <w:spacing w:after="120"/>
              <w:contextualSpacing/>
              <w:rPr>
                <w:szCs w:val="22"/>
              </w:rPr>
            </w:pPr>
            <w:r w:rsidRPr="00DB3253">
              <w:rPr>
                <w:b/>
                <w:bCs/>
                <w:szCs w:val="22"/>
              </w:rPr>
              <w:t xml:space="preserve">Budgeted cost of Review </w:t>
            </w:r>
          </w:p>
        </w:tc>
        <w:tc>
          <w:tcPr>
            <w:tcW w:w="562" w:type="pct"/>
          </w:tcPr>
          <w:p w14:paraId="0DAAC210" w14:textId="77777777" w:rsidR="00931B05" w:rsidRPr="00DB3253" w:rsidRDefault="00931B05">
            <w:pPr>
              <w:spacing w:after="120"/>
              <w:contextualSpacing/>
              <w:rPr>
                <w:b/>
                <w:bCs/>
                <w:szCs w:val="22"/>
              </w:rPr>
            </w:pPr>
            <w:r w:rsidRPr="00DB3253">
              <w:rPr>
                <w:b/>
                <w:bCs/>
                <w:szCs w:val="22"/>
              </w:rPr>
              <w:t>Amount spent to date</w:t>
            </w:r>
          </w:p>
        </w:tc>
        <w:tc>
          <w:tcPr>
            <w:tcW w:w="562" w:type="pct"/>
          </w:tcPr>
          <w:p w14:paraId="6AE3A4AB" w14:textId="77777777" w:rsidR="00931B05" w:rsidRPr="00DB3253" w:rsidRDefault="00931B05">
            <w:pPr>
              <w:spacing w:after="120"/>
              <w:contextualSpacing/>
              <w:rPr>
                <w:b/>
                <w:bCs/>
                <w:szCs w:val="22"/>
              </w:rPr>
            </w:pPr>
            <w:r w:rsidRPr="00DB3253">
              <w:rPr>
                <w:b/>
                <w:bCs/>
                <w:szCs w:val="22"/>
              </w:rPr>
              <w:t>Commencement date</w:t>
            </w:r>
          </w:p>
        </w:tc>
        <w:tc>
          <w:tcPr>
            <w:tcW w:w="561" w:type="pct"/>
            <w:hideMark/>
          </w:tcPr>
          <w:p w14:paraId="3A31318D" w14:textId="77777777" w:rsidR="00931B05" w:rsidRPr="00DB3253" w:rsidRDefault="00931B05">
            <w:pPr>
              <w:spacing w:after="120"/>
              <w:contextualSpacing/>
              <w:rPr>
                <w:szCs w:val="22"/>
              </w:rPr>
            </w:pPr>
            <w:r w:rsidRPr="00DB3253">
              <w:rPr>
                <w:b/>
                <w:bCs/>
                <w:szCs w:val="22"/>
              </w:rPr>
              <w:t>Expected completion date</w:t>
            </w:r>
          </w:p>
        </w:tc>
      </w:tr>
      <w:tr w:rsidR="001673C6" w:rsidRPr="004742C2" w14:paraId="4D4E7727" w14:textId="77777777" w:rsidTr="1E361FF1">
        <w:tc>
          <w:tcPr>
            <w:tcW w:w="1630" w:type="pct"/>
          </w:tcPr>
          <w:p w14:paraId="2E5D5CF1" w14:textId="77777777" w:rsidR="001673C6" w:rsidRPr="004742C2" w:rsidRDefault="001673C6" w:rsidP="001673C6">
            <w:pPr>
              <w:spacing w:after="120"/>
              <w:rPr>
                <w:rFonts w:cstheme="minorHAnsi"/>
                <w:color w:val="000000" w:themeColor="text1"/>
                <w:szCs w:val="22"/>
              </w:rPr>
            </w:pPr>
            <w:r w:rsidRPr="004742C2">
              <w:rPr>
                <w:rFonts w:cstheme="minorHAnsi"/>
                <w:color w:val="000000" w:themeColor="text1"/>
                <w:szCs w:val="22"/>
              </w:rPr>
              <w:t>To measure the overall impact of the National Plan, two evaluations are being conducted – a mid-term evaluation by the end of 2026 and a final evaluation by 2031-32.</w:t>
            </w:r>
          </w:p>
          <w:p w14:paraId="12DD5AD5" w14:textId="49855F32" w:rsidR="001673C6" w:rsidRPr="004742C2" w:rsidRDefault="001673C6" w:rsidP="002725DA">
            <w:pPr>
              <w:spacing w:after="120"/>
              <w:rPr>
                <w:rFonts w:cstheme="minorHAnsi"/>
                <w:color w:val="000000" w:themeColor="text1"/>
                <w:szCs w:val="22"/>
              </w:rPr>
            </w:pPr>
            <w:r w:rsidRPr="004742C2">
              <w:rPr>
                <w:rFonts w:cstheme="minorHAnsi"/>
                <w:color w:val="000000" w:themeColor="text1"/>
                <w:szCs w:val="22"/>
              </w:rPr>
              <w:t>*As a part of mid-term review the department engaged AIFS, ANROWS and AIHW to review research, data and evaluation evidence related to the National Plan. The report will inform on the effectiveness of the National Plan and identify emerging insights, evidence gaps, and areas of promising practice.</w:t>
            </w:r>
          </w:p>
        </w:tc>
        <w:tc>
          <w:tcPr>
            <w:tcW w:w="561" w:type="pct"/>
          </w:tcPr>
          <w:p w14:paraId="50F25580" w14:textId="3755F5AF" w:rsidR="001673C6" w:rsidRPr="004742C2" w:rsidRDefault="001673C6" w:rsidP="001673C6">
            <w:pPr>
              <w:rPr>
                <w:rFonts w:eastAsia="Aptos" w:cstheme="minorHAnsi"/>
                <w:szCs w:val="22"/>
              </w:rPr>
            </w:pPr>
            <w:r w:rsidRPr="004742C2">
              <w:rPr>
                <w:rFonts w:cstheme="minorHAnsi"/>
                <w:color w:val="000000" w:themeColor="text1"/>
                <w:szCs w:val="22"/>
              </w:rPr>
              <w:t>Australian Institute of Family Studies (AIFS) supported by Australia's’ National Research Organisation for Women’s Safety (ANROWS) and Australian Institute of Family Studies (AIFS)</w:t>
            </w:r>
          </w:p>
        </w:tc>
        <w:tc>
          <w:tcPr>
            <w:tcW w:w="562" w:type="pct"/>
          </w:tcPr>
          <w:p w14:paraId="77BF0E7E" w14:textId="1989FA18" w:rsidR="001673C6" w:rsidRPr="004742C2" w:rsidRDefault="001673C6" w:rsidP="001673C6">
            <w:pPr>
              <w:spacing w:after="120"/>
              <w:rPr>
                <w:rFonts w:cstheme="minorHAnsi"/>
                <w:color w:val="000000" w:themeColor="text1"/>
                <w:szCs w:val="22"/>
              </w:rPr>
            </w:pPr>
            <w:r w:rsidRPr="004742C2">
              <w:rPr>
                <w:rFonts w:cstheme="minorHAnsi"/>
                <w:color w:val="000000" w:themeColor="text1"/>
                <w:szCs w:val="22"/>
              </w:rPr>
              <w:t>AIFS</w:t>
            </w:r>
            <w:r w:rsidR="007926B1">
              <w:rPr>
                <w:rFonts w:cstheme="minorHAnsi"/>
                <w:color w:val="000000" w:themeColor="text1"/>
                <w:szCs w:val="22"/>
              </w:rPr>
              <w:t xml:space="preserve"> </w:t>
            </w:r>
            <w:r w:rsidRPr="004742C2">
              <w:rPr>
                <w:rFonts w:cstheme="minorHAnsi"/>
                <w:color w:val="000000" w:themeColor="text1"/>
                <w:szCs w:val="22"/>
              </w:rPr>
              <w:t>-</w:t>
            </w:r>
            <w:r w:rsidR="007926B1">
              <w:rPr>
                <w:rFonts w:cstheme="minorHAnsi"/>
                <w:color w:val="000000" w:themeColor="text1"/>
                <w:szCs w:val="22"/>
              </w:rPr>
              <w:t xml:space="preserve"> </w:t>
            </w:r>
            <w:r w:rsidRPr="004742C2">
              <w:rPr>
                <w:rFonts w:cstheme="minorHAnsi"/>
                <w:color w:val="000000" w:themeColor="text1"/>
                <w:szCs w:val="22"/>
              </w:rPr>
              <w:t>$274,913 (GST exclusive)</w:t>
            </w:r>
          </w:p>
          <w:p w14:paraId="7BC6EB35" w14:textId="5D4C3725" w:rsidR="001673C6" w:rsidRPr="004742C2" w:rsidRDefault="001673C6" w:rsidP="001673C6">
            <w:pPr>
              <w:rPr>
                <w:rFonts w:eastAsia="Aptos" w:cstheme="minorHAnsi"/>
                <w:szCs w:val="22"/>
              </w:rPr>
            </w:pPr>
            <w:r w:rsidRPr="004742C2">
              <w:rPr>
                <w:rFonts w:cstheme="minorHAnsi"/>
                <w:color w:val="000000" w:themeColor="text1"/>
                <w:szCs w:val="22"/>
              </w:rPr>
              <w:t>AIHW</w:t>
            </w:r>
            <w:r w:rsidR="007926B1">
              <w:rPr>
                <w:rFonts w:cstheme="minorHAnsi"/>
                <w:color w:val="000000" w:themeColor="text1"/>
                <w:szCs w:val="22"/>
              </w:rPr>
              <w:t xml:space="preserve"> </w:t>
            </w:r>
            <w:r w:rsidRPr="004742C2">
              <w:rPr>
                <w:rFonts w:cstheme="minorHAnsi"/>
                <w:color w:val="000000" w:themeColor="text1"/>
                <w:szCs w:val="22"/>
              </w:rPr>
              <w:t>- $325,530 (GST exclusive)</w:t>
            </w:r>
          </w:p>
        </w:tc>
        <w:tc>
          <w:tcPr>
            <w:tcW w:w="562" w:type="pct"/>
          </w:tcPr>
          <w:p w14:paraId="193A5D0C" w14:textId="324928D0" w:rsidR="001673C6" w:rsidRPr="00BD14D6" w:rsidRDefault="001673C6" w:rsidP="00BD14D6">
            <w:pPr>
              <w:rPr>
                <w:rFonts w:cstheme="minorHAnsi"/>
                <w:szCs w:val="22"/>
                <w:lang w:val="en-US"/>
              </w:rPr>
            </w:pPr>
            <w:r w:rsidRPr="004742C2">
              <w:rPr>
                <w:rFonts w:cstheme="minorHAnsi"/>
                <w:color w:val="000000" w:themeColor="text1"/>
                <w:szCs w:val="22"/>
              </w:rPr>
              <w:t>$600,443 (includes budget for AIHW and AIFS)</w:t>
            </w:r>
          </w:p>
        </w:tc>
        <w:tc>
          <w:tcPr>
            <w:tcW w:w="562" w:type="pct"/>
          </w:tcPr>
          <w:p w14:paraId="6F105485" w14:textId="3BAF9199" w:rsidR="001673C6" w:rsidRPr="004742C2" w:rsidRDefault="001673C6" w:rsidP="001673C6">
            <w:pPr>
              <w:rPr>
                <w:rFonts w:cstheme="minorHAnsi"/>
                <w:szCs w:val="22"/>
                <w:lang w:val="en-US"/>
              </w:rPr>
            </w:pPr>
            <w:r w:rsidRPr="004742C2">
              <w:rPr>
                <w:rFonts w:cstheme="minorHAnsi"/>
                <w:color w:val="000000" w:themeColor="text1"/>
                <w:szCs w:val="22"/>
              </w:rPr>
              <w:t>$350,330</w:t>
            </w:r>
          </w:p>
        </w:tc>
        <w:tc>
          <w:tcPr>
            <w:tcW w:w="562" w:type="pct"/>
          </w:tcPr>
          <w:p w14:paraId="6087773D" w14:textId="597172D9" w:rsidR="001673C6" w:rsidRPr="004742C2" w:rsidRDefault="001673C6" w:rsidP="001673C6">
            <w:pPr>
              <w:rPr>
                <w:rFonts w:cstheme="minorHAnsi"/>
                <w:szCs w:val="22"/>
                <w:lang w:val="en-US"/>
              </w:rPr>
            </w:pPr>
            <w:r w:rsidRPr="004742C2">
              <w:rPr>
                <w:rFonts w:cstheme="minorHAnsi"/>
                <w:color w:val="000000" w:themeColor="text1"/>
                <w:szCs w:val="22"/>
              </w:rPr>
              <w:t>December 2025</w:t>
            </w:r>
          </w:p>
        </w:tc>
        <w:tc>
          <w:tcPr>
            <w:tcW w:w="561" w:type="pct"/>
          </w:tcPr>
          <w:p w14:paraId="47F641FE" w14:textId="41EED2F7" w:rsidR="001673C6" w:rsidRPr="004742C2" w:rsidRDefault="002725DA" w:rsidP="002725DA">
            <w:pPr>
              <w:spacing w:after="120"/>
              <w:contextualSpacing/>
              <w:rPr>
                <w:rFonts w:eastAsia="Aptos" w:cstheme="minorHAnsi"/>
                <w:szCs w:val="22"/>
              </w:rPr>
            </w:pPr>
            <w:r w:rsidRPr="004742C2">
              <w:rPr>
                <w:rFonts w:eastAsia="Aptos" w:cstheme="minorHAnsi"/>
                <w:color w:val="000000" w:themeColor="text1"/>
                <w:szCs w:val="22"/>
              </w:rPr>
              <w:t>30 September 2026</w:t>
            </w:r>
          </w:p>
        </w:tc>
      </w:tr>
    </w:tbl>
    <w:p w14:paraId="3C0E1359" w14:textId="533091C8" w:rsidR="1E361FF1" w:rsidRDefault="1E361FF1"/>
    <w:p w14:paraId="78D8CFA7" w14:textId="42275ECE" w:rsidR="00931B05" w:rsidRDefault="00931B05" w:rsidP="007926B1">
      <w:pPr>
        <w:pStyle w:val="Heading3"/>
      </w:pPr>
      <w:r>
        <w:t xml:space="preserve">Review of Keeping Women Safe </w:t>
      </w:r>
      <w:proofErr w:type="gramStart"/>
      <w:r>
        <w:t>In</w:t>
      </w:r>
      <w:proofErr w:type="gramEnd"/>
      <w:r>
        <w:t xml:space="preserve"> Their Homes</w:t>
      </w:r>
    </w:p>
    <w:tbl>
      <w:tblPr>
        <w:tblStyle w:val="TableGridLight"/>
        <w:tblW w:w="5001" w:type="pct"/>
        <w:tblLook w:val="04A0" w:firstRow="1" w:lastRow="0" w:firstColumn="1" w:lastColumn="0" w:noHBand="0" w:noVBand="1"/>
      </w:tblPr>
      <w:tblGrid>
        <w:gridCol w:w="7206"/>
        <w:gridCol w:w="2480"/>
        <w:gridCol w:w="2485"/>
        <w:gridCol w:w="2485"/>
        <w:gridCol w:w="2485"/>
        <w:gridCol w:w="2485"/>
        <w:gridCol w:w="2480"/>
      </w:tblGrid>
      <w:tr w:rsidR="00931B05" w:rsidRPr="00DB3253" w14:paraId="32CA779B" w14:textId="77777777" w:rsidTr="1E361FF1">
        <w:trPr>
          <w:cnfStyle w:val="100000000000" w:firstRow="1" w:lastRow="0" w:firstColumn="0" w:lastColumn="0" w:oddVBand="0" w:evenVBand="0" w:oddHBand="0" w:evenHBand="0" w:firstRowFirstColumn="0" w:firstRowLastColumn="0" w:lastRowFirstColumn="0" w:lastRowLastColumn="0"/>
        </w:trPr>
        <w:tc>
          <w:tcPr>
            <w:tcW w:w="1630" w:type="pct"/>
          </w:tcPr>
          <w:p w14:paraId="30A31F7F" w14:textId="77777777" w:rsidR="00931B05" w:rsidRPr="00DB3253" w:rsidRDefault="00931B05">
            <w:pPr>
              <w:spacing w:after="120"/>
              <w:contextualSpacing/>
              <w:rPr>
                <w:b/>
                <w:bCs/>
                <w:szCs w:val="22"/>
              </w:rPr>
            </w:pPr>
            <w:r w:rsidRPr="00DB3253">
              <w:rPr>
                <w:b/>
                <w:bCs/>
                <w:szCs w:val="22"/>
              </w:rPr>
              <w:t>Purpose of the review</w:t>
            </w:r>
          </w:p>
        </w:tc>
        <w:tc>
          <w:tcPr>
            <w:tcW w:w="561" w:type="pct"/>
          </w:tcPr>
          <w:p w14:paraId="7CFC1F47" w14:textId="77777777" w:rsidR="00931B05" w:rsidRPr="00DB3253" w:rsidRDefault="00931B05">
            <w:pPr>
              <w:spacing w:after="120"/>
              <w:contextualSpacing/>
              <w:rPr>
                <w:b/>
                <w:bCs/>
                <w:szCs w:val="22"/>
              </w:rPr>
            </w:pPr>
            <w:r>
              <w:rPr>
                <w:b/>
                <w:bCs/>
                <w:szCs w:val="22"/>
              </w:rPr>
              <w:t>Reviewer(s)</w:t>
            </w:r>
          </w:p>
        </w:tc>
        <w:tc>
          <w:tcPr>
            <w:tcW w:w="562" w:type="pct"/>
          </w:tcPr>
          <w:p w14:paraId="6F48E652" w14:textId="77777777" w:rsidR="00931B05" w:rsidRPr="00DB3253" w:rsidRDefault="00931B05">
            <w:pPr>
              <w:spacing w:after="120"/>
              <w:contextualSpacing/>
              <w:rPr>
                <w:b/>
                <w:bCs/>
                <w:szCs w:val="22"/>
              </w:rPr>
            </w:pPr>
            <w:r w:rsidRPr="00DB3253">
              <w:rPr>
                <w:b/>
                <w:bCs/>
                <w:szCs w:val="22"/>
              </w:rPr>
              <w:t>Remuneration for each of the reviewer(s)</w:t>
            </w:r>
          </w:p>
        </w:tc>
        <w:tc>
          <w:tcPr>
            <w:tcW w:w="562" w:type="pct"/>
            <w:hideMark/>
          </w:tcPr>
          <w:p w14:paraId="5AB8B79F" w14:textId="77777777" w:rsidR="00931B05" w:rsidRPr="00DB3253" w:rsidRDefault="00931B05">
            <w:pPr>
              <w:spacing w:after="120"/>
              <w:contextualSpacing/>
              <w:rPr>
                <w:szCs w:val="22"/>
              </w:rPr>
            </w:pPr>
            <w:r w:rsidRPr="00DB3253">
              <w:rPr>
                <w:b/>
                <w:bCs/>
                <w:szCs w:val="22"/>
              </w:rPr>
              <w:t xml:space="preserve">Budgeted cost of Review </w:t>
            </w:r>
          </w:p>
        </w:tc>
        <w:tc>
          <w:tcPr>
            <w:tcW w:w="562" w:type="pct"/>
          </w:tcPr>
          <w:p w14:paraId="7B6934E3" w14:textId="77777777" w:rsidR="00931B05" w:rsidRPr="00DB3253" w:rsidRDefault="00931B05">
            <w:pPr>
              <w:spacing w:after="120"/>
              <w:contextualSpacing/>
              <w:rPr>
                <w:b/>
                <w:bCs/>
                <w:szCs w:val="22"/>
              </w:rPr>
            </w:pPr>
            <w:r w:rsidRPr="00DB3253">
              <w:rPr>
                <w:b/>
                <w:bCs/>
                <w:szCs w:val="22"/>
              </w:rPr>
              <w:t>Amount spent to date</w:t>
            </w:r>
          </w:p>
        </w:tc>
        <w:tc>
          <w:tcPr>
            <w:tcW w:w="562" w:type="pct"/>
          </w:tcPr>
          <w:p w14:paraId="0E1ED869" w14:textId="77777777" w:rsidR="00931B05" w:rsidRPr="00DB3253" w:rsidRDefault="00931B05">
            <w:pPr>
              <w:spacing w:after="120"/>
              <w:contextualSpacing/>
              <w:rPr>
                <w:b/>
                <w:bCs/>
                <w:szCs w:val="22"/>
              </w:rPr>
            </w:pPr>
            <w:r w:rsidRPr="00DB3253">
              <w:rPr>
                <w:b/>
                <w:bCs/>
                <w:szCs w:val="22"/>
              </w:rPr>
              <w:t>Commencement date</w:t>
            </w:r>
          </w:p>
        </w:tc>
        <w:tc>
          <w:tcPr>
            <w:tcW w:w="561" w:type="pct"/>
            <w:hideMark/>
          </w:tcPr>
          <w:p w14:paraId="5060F601" w14:textId="77777777" w:rsidR="00931B05" w:rsidRPr="00DB3253" w:rsidRDefault="00931B05">
            <w:pPr>
              <w:spacing w:after="120"/>
              <w:contextualSpacing/>
              <w:rPr>
                <w:szCs w:val="22"/>
              </w:rPr>
            </w:pPr>
            <w:r w:rsidRPr="00DB3253">
              <w:rPr>
                <w:b/>
                <w:bCs/>
                <w:szCs w:val="22"/>
              </w:rPr>
              <w:t>Expected completion date</w:t>
            </w:r>
          </w:p>
        </w:tc>
      </w:tr>
      <w:tr w:rsidR="00931B05" w:rsidRPr="004742C2" w14:paraId="748507F5" w14:textId="2707CE07" w:rsidTr="1E361FF1">
        <w:tc>
          <w:tcPr>
            <w:tcW w:w="1630" w:type="pct"/>
          </w:tcPr>
          <w:p w14:paraId="1C5B36B9" w14:textId="36138B10" w:rsidR="00931B05" w:rsidRPr="004742C2" w:rsidRDefault="00931B05" w:rsidP="00931B05">
            <w:pPr>
              <w:spacing w:after="0"/>
              <w:rPr>
                <w:rFonts w:eastAsia="Aptos" w:cstheme="minorHAnsi"/>
                <w:szCs w:val="22"/>
              </w:rPr>
            </w:pPr>
            <w:r w:rsidRPr="004742C2">
              <w:rPr>
                <w:rFonts w:eastAsia="Aptos" w:cstheme="minorHAnsi"/>
                <w:szCs w:val="22"/>
              </w:rPr>
              <w:t>The evaluation seeks to understand outcomes for the current program, the data that exists to support these and to refine program logic</w:t>
            </w:r>
            <w:r w:rsidR="00CF2199">
              <w:rPr>
                <w:rFonts w:eastAsia="Aptos" w:cstheme="minorHAnsi"/>
                <w:szCs w:val="22"/>
              </w:rPr>
              <w:t>.</w:t>
            </w:r>
          </w:p>
        </w:tc>
        <w:tc>
          <w:tcPr>
            <w:tcW w:w="561" w:type="pct"/>
          </w:tcPr>
          <w:p w14:paraId="724F20A2" w14:textId="7E66189A" w:rsidR="00931B05" w:rsidRPr="004742C2" w:rsidRDefault="00931B05" w:rsidP="00931B05">
            <w:pPr>
              <w:rPr>
                <w:rFonts w:eastAsia="Aptos" w:cstheme="minorHAnsi"/>
                <w:szCs w:val="22"/>
              </w:rPr>
            </w:pPr>
            <w:r w:rsidRPr="004742C2">
              <w:rPr>
                <w:rFonts w:eastAsia="Aptos" w:cstheme="minorHAnsi"/>
                <w:szCs w:val="22"/>
              </w:rPr>
              <w:t xml:space="preserve">Australian Institute of Family Studies (AIFS) </w:t>
            </w:r>
          </w:p>
        </w:tc>
        <w:tc>
          <w:tcPr>
            <w:tcW w:w="562" w:type="pct"/>
          </w:tcPr>
          <w:p w14:paraId="2DCACE2C" w14:textId="77777777" w:rsidR="00931B05" w:rsidRPr="004742C2" w:rsidRDefault="00931B05" w:rsidP="00931B05">
            <w:pPr>
              <w:spacing w:after="0"/>
              <w:rPr>
                <w:rFonts w:eastAsia="Aptos" w:cstheme="minorHAnsi"/>
                <w:szCs w:val="22"/>
              </w:rPr>
            </w:pPr>
            <w:r w:rsidRPr="004742C2">
              <w:rPr>
                <w:rFonts w:eastAsia="Aptos" w:cstheme="minorHAnsi"/>
                <w:szCs w:val="22"/>
              </w:rPr>
              <w:t>$515,321.26 (GST inclusive)</w:t>
            </w:r>
          </w:p>
          <w:p w14:paraId="60A3E75A" w14:textId="58543C22" w:rsidR="00931B05" w:rsidRPr="004742C2" w:rsidRDefault="00931B05" w:rsidP="00931B05">
            <w:pPr>
              <w:rPr>
                <w:rFonts w:eastAsia="Aptos" w:cstheme="minorHAnsi"/>
                <w:szCs w:val="22"/>
              </w:rPr>
            </w:pPr>
            <w:r w:rsidRPr="004742C2">
              <w:rPr>
                <w:rFonts w:eastAsia="Aptos" w:cstheme="minorHAnsi"/>
                <w:szCs w:val="22"/>
              </w:rPr>
              <w:t xml:space="preserve"> </w:t>
            </w:r>
          </w:p>
        </w:tc>
        <w:tc>
          <w:tcPr>
            <w:tcW w:w="562" w:type="pct"/>
          </w:tcPr>
          <w:p w14:paraId="0AEF5552" w14:textId="129CDC8D" w:rsidR="00931B05" w:rsidRPr="00BD14D6" w:rsidRDefault="00931B05" w:rsidP="00BD14D6">
            <w:pPr>
              <w:spacing w:after="0"/>
              <w:rPr>
                <w:rFonts w:eastAsia="Aptos" w:cstheme="minorHAnsi"/>
                <w:szCs w:val="22"/>
              </w:rPr>
            </w:pPr>
            <w:r w:rsidRPr="004742C2">
              <w:rPr>
                <w:rFonts w:eastAsia="Aptos" w:cstheme="minorHAnsi"/>
                <w:szCs w:val="22"/>
              </w:rPr>
              <w:t>$515,321.26 (GST inclusive)</w:t>
            </w:r>
          </w:p>
        </w:tc>
        <w:tc>
          <w:tcPr>
            <w:tcW w:w="562" w:type="pct"/>
          </w:tcPr>
          <w:p w14:paraId="1AA8D44D" w14:textId="47E59965" w:rsidR="00931B05" w:rsidRPr="004742C2" w:rsidRDefault="00931B05" w:rsidP="00931B05">
            <w:pPr>
              <w:rPr>
                <w:rFonts w:cstheme="minorHAnsi"/>
                <w:szCs w:val="22"/>
                <w:lang w:val="en-US"/>
              </w:rPr>
            </w:pPr>
            <w:r w:rsidRPr="004742C2">
              <w:rPr>
                <w:rFonts w:eastAsia="Aptos" w:cstheme="minorHAnsi"/>
                <w:szCs w:val="22"/>
              </w:rPr>
              <w:t>$154,596.38 (GST inclusive)</w:t>
            </w:r>
          </w:p>
        </w:tc>
        <w:tc>
          <w:tcPr>
            <w:tcW w:w="562" w:type="pct"/>
          </w:tcPr>
          <w:p w14:paraId="59E55993" w14:textId="2C74404A" w:rsidR="00931B05" w:rsidRPr="007926B1" w:rsidRDefault="00931B05" w:rsidP="007926B1">
            <w:pPr>
              <w:spacing w:after="0"/>
              <w:rPr>
                <w:rFonts w:eastAsia="Aptos" w:cstheme="minorHAnsi"/>
                <w:szCs w:val="22"/>
              </w:rPr>
            </w:pPr>
            <w:r w:rsidRPr="004742C2">
              <w:rPr>
                <w:rFonts w:eastAsia="Aptos" w:cstheme="minorHAnsi"/>
                <w:szCs w:val="22"/>
              </w:rPr>
              <w:t>May 2026</w:t>
            </w:r>
          </w:p>
        </w:tc>
        <w:tc>
          <w:tcPr>
            <w:tcW w:w="561" w:type="pct"/>
          </w:tcPr>
          <w:p w14:paraId="4EAA40CE" w14:textId="47B13FDD" w:rsidR="00931B05" w:rsidRPr="004742C2" w:rsidRDefault="00931B05" w:rsidP="00931B05">
            <w:pPr>
              <w:rPr>
                <w:rFonts w:cstheme="minorHAnsi"/>
                <w:szCs w:val="22"/>
                <w:lang w:val="en-US"/>
              </w:rPr>
            </w:pPr>
            <w:r w:rsidRPr="004742C2">
              <w:rPr>
                <w:rFonts w:eastAsia="Aptos" w:cstheme="minorHAnsi"/>
                <w:szCs w:val="22"/>
              </w:rPr>
              <w:t>TBD</w:t>
            </w:r>
          </w:p>
        </w:tc>
      </w:tr>
    </w:tbl>
    <w:p w14:paraId="368F07A0" w14:textId="37243322" w:rsidR="1E361FF1" w:rsidRDefault="1E361FF1"/>
    <w:p w14:paraId="705F49DB" w14:textId="77777777" w:rsidR="00E61853" w:rsidRDefault="00E61853">
      <w:pPr>
        <w:spacing w:after="240"/>
        <w:rPr>
          <w:rFonts w:asciiTheme="majorHAnsi" w:eastAsiaTheme="majorEastAsia" w:hAnsiTheme="majorHAnsi" w:cstheme="majorBidi"/>
          <w:bCs/>
          <w:color w:val="005A70" w:themeColor="accent1"/>
          <w:sz w:val="40"/>
          <w:szCs w:val="26"/>
        </w:rPr>
      </w:pPr>
      <w:r>
        <w:br w:type="page"/>
      </w:r>
    </w:p>
    <w:p w14:paraId="159FF7FC" w14:textId="7B2A1662" w:rsidR="006E47A4" w:rsidRPr="00E61853" w:rsidRDefault="00E42835" w:rsidP="00E42835">
      <w:pPr>
        <w:pStyle w:val="Heading2"/>
        <w:rPr>
          <w:b/>
          <w:bCs w:val="0"/>
        </w:rPr>
      </w:pPr>
      <w:r w:rsidRPr="00E61853">
        <w:rPr>
          <w:b/>
          <w:bCs w:val="0"/>
        </w:rPr>
        <w:lastRenderedPageBreak/>
        <w:t>Reviews completed/released from 1 March 2026 to 30 June 2026</w:t>
      </w:r>
    </w:p>
    <w:p w14:paraId="590013FF" w14:textId="77777777" w:rsidR="001673C6" w:rsidRDefault="001673C6" w:rsidP="00E52A67"/>
    <w:p w14:paraId="77F03412" w14:textId="77777777" w:rsidR="007A3507" w:rsidRDefault="007A3507" w:rsidP="007A3507">
      <w:pPr>
        <w:pStyle w:val="Heading3"/>
      </w:pPr>
      <w:r w:rsidRPr="007926B1">
        <w:t>National Model of Care (NMoC)</w:t>
      </w:r>
    </w:p>
    <w:tbl>
      <w:tblPr>
        <w:tblStyle w:val="TableGridLight"/>
        <w:tblW w:w="5000" w:type="pct"/>
        <w:tblLook w:val="04A0" w:firstRow="1" w:lastRow="0" w:firstColumn="1" w:lastColumn="0" w:noHBand="0" w:noVBand="1"/>
      </w:tblPr>
      <w:tblGrid>
        <w:gridCol w:w="3325"/>
        <w:gridCol w:w="3086"/>
        <w:gridCol w:w="2162"/>
        <w:gridCol w:w="2007"/>
        <w:gridCol w:w="2002"/>
        <w:gridCol w:w="1697"/>
        <w:gridCol w:w="1697"/>
        <w:gridCol w:w="2621"/>
        <w:gridCol w:w="1697"/>
        <w:gridCol w:w="1808"/>
      </w:tblGrid>
      <w:tr w:rsidR="007A3507" w:rsidRPr="00B65CB9" w14:paraId="197BF7F3" w14:textId="77777777">
        <w:trPr>
          <w:cnfStyle w:val="100000000000" w:firstRow="1" w:lastRow="0" w:firstColumn="0" w:lastColumn="0" w:oddVBand="0" w:evenVBand="0" w:oddHBand="0" w:evenHBand="0" w:firstRowFirstColumn="0" w:firstRowLastColumn="0" w:lastRowFirstColumn="0" w:lastRowLastColumn="0"/>
        </w:trPr>
        <w:tc>
          <w:tcPr>
            <w:tcW w:w="752" w:type="pct"/>
          </w:tcPr>
          <w:p w14:paraId="550A850F" w14:textId="77777777" w:rsidR="007A3507" w:rsidRPr="00B65CB9" w:rsidRDefault="007A3507">
            <w:pPr>
              <w:spacing w:after="120"/>
              <w:contextualSpacing/>
              <w:rPr>
                <w:b/>
                <w:bCs/>
                <w:szCs w:val="22"/>
              </w:rPr>
            </w:pPr>
            <w:r w:rsidRPr="00B65CB9">
              <w:rPr>
                <w:b/>
                <w:bCs/>
                <w:szCs w:val="22"/>
              </w:rPr>
              <w:t>Purpose of the review</w:t>
            </w:r>
          </w:p>
        </w:tc>
        <w:tc>
          <w:tcPr>
            <w:tcW w:w="698" w:type="pct"/>
          </w:tcPr>
          <w:p w14:paraId="0F9F674B" w14:textId="77777777" w:rsidR="007A3507" w:rsidRPr="00B65CB9" w:rsidRDefault="007A3507">
            <w:pPr>
              <w:spacing w:after="120"/>
              <w:contextualSpacing/>
              <w:rPr>
                <w:b/>
                <w:bCs/>
                <w:szCs w:val="22"/>
              </w:rPr>
            </w:pPr>
            <w:r w:rsidRPr="00B65CB9">
              <w:rPr>
                <w:b/>
                <w:bCs/>
                <w:szCs w:val="22"/>
              </w:rPr>
              <w:t>Who is undertaking review / Name or names of reviewers</w:t>
            </w:r>
          </w:p>
        </w:tc>
        <w:tc>
          <w:tcPr>
            <w:tcW w:w="489" w:type="pct"/>
          </w:tcPr>
          <w:p w14:paraId="714A6FBA" w14:textId="77777777" w:rsidR="007A3507" w:rsidRPr="00B65CB9" w:rsidRDefault="007A3507">
            <w:pPr>
              <w:spacing w:after="120"/>
              <w:contextualSpacing/>
              <w:rPr>
                <w:b/>
                <w:bCs/>
                <w:szCs w:val="22"/>
              </w:rPr>
            </w:pPr>
            <w:r w:rsidRPr="00B65CB9">
              <w:rPr>
                <w:b/>
                <w:bCs/>
                <w:szCs w:val="22"/>
              </w:rPr>
              <w:t>Remuneration for each of the reviewer(s)</w:t>
            </w:r>
          </w:p>
        </w:tc>
        <w:tc>
          <w:tcPr>
            <w:tcW w:w="454" w:type="pct"/>
            <w:hideMark/>
          </w:tcPr>
          <w:p w14:paraId="4FAD1759" w14:textId="77777777" w:rsidR="007A3507" w:rsidRPr="00B65CB9" w:rsidRDefault="007A3507">
            <w:pPr>
              <w:spacing w:after="120"/>
              <w:contextualSpacing/>
              <w:rPr>
                <w:szCs w:val="22"/>
              </w:rPr>
            </w:pPr>
            <w:r w:rsidRPr="00B65CB9">
              <w:rPr>
                <w:b/>
                <w:bCs/>
                <w:szCs w:val="22"/>
              </w:rPr>
              <w:t xml:space="preserve">Budgeted cost of Review </w:t>
            </w:r>
          </w:p>
        </w:tc>
        <w:tc>
          <w:tcPr>
            <w:tcW w:w="453" w:type="pct"/>
          </w:tcPr>
          <w:p w14:paraId="3E659703" w14:textId="77777777" w:rsidR="007A3507" w:rsidRPr="00B65CB9" w:rsidRDefault="007A3507">
            <w:pPr>
              <w:spacing w:after="120"/>
              <w:contextualSpacing/>
              <w:rPr>
                <w:b/>
                <w:bCs/>
                <w:szCs w:val="22"/>
              </w:rPr>
            </w:pPr>
            <w:r w:rsidRPr="00B65CB9">
              <w:rPr>
                <w:b/>
                <w:bCs/>
                <w:szCs w:val="22"/>
              </w:rPr>
              <w:t>Amount spent to date</w:t>
            </w:r>
          </w:p>
        </w:tc>
        <w:tc>
          <w:tcPr>
            <w:tcW w:w="384" w:type="pct"/>
          </w:tcPr>
          <w:p w14:paraId="5A5F1439" w14:textId="77777777" w:rsidR="007A3507" w:rsidRPr="00B65CB9" w:rsidRDefault="007A3507">
            <w:pPr>
              <w:spacing w:after="120"/>
              <w:contextualSpacing/>
              <w:rPr>
                <w:b/>
                <w:bCs/>
                <w:szCs w:val="22"/>
              </w:rPr>
            </w:pPr>
            <w:r w:rsidRPr="00B65CB9">
              <w:rPr>
                <w:b/>
                <w:bCs/>
                <w:szCs w:val="22"/>
              </w:rPr>
              <w:t xml:space="preserve">Date due to be completed </w:t>
            </w:r>
          </w:p>
        </w:tc>
        <w:tc>
          <w:tcPr>
            <w:tcW w:w="384" w:type="pct"/>
          </w:tcPr>
          <w:p w14:paraId="0C97A926" w14:textId="77777777" w:rsidR="007A3507" w:rsidRPr="00B65CB9" w:rsidRDefault="007A3507">
            <w:pPr>
              <w:spacing w:after="120"/>
              <w:contextualSpacing/>
              <w:rPr>
                <w:b/>
                <w:bCs/>
                <w:szCs w:val="22"/>
              </w:rPr>
            </w:pPr>
            <w:r w:rsidRPr="00B65CB9">
              <w:rPr>
                <w:b/>
                <w:bCs/>
                <w:szCs w:val="22"/>
              </w:rPr>
              <w:t>Date Completed</w:t>
            </w:r>
          </w:p>
        </w:tc>
        <w:tc>
          <w:tcPr>
            <w:tcW w:w="593" w:type="pct"/>
            <w:hideMark/>
          </w:tcPr>
          <w:p w14:paraId="3140D37F" w14:textId="77777777" w:rsidR="007A3507" w:rsidRPr="00B65CB9" w:rsidRDefault="007A3507">
            <w:pPr>
              <w:spacing w:after="120"/>
              <w:contextualSpacing/>
              <w:rPr>
                <w:szCs w:val="22"/>
              </w:rPr>
            </w:pPr>
            <w:r w:rsidRPr="00B65CB9">
              <w:rPr>
                <w:b/>
                <w:bCs/>
                <w:szCs w:val="22"/>
              </w:rPr>
              <w:t>The date the review was provided to the Department</w:t>
            </w:r>
          </w:p>
        </w:tc>
        <w:tc>
          <w:tcPr>
            <w:tcW w:w="384" w:type="pct"/>
          </w:tcPr>
          <w:p w14:paraId="1EFE8DEC" w14:textId="77777777" w:rsidR="007A3507" w:rsidRPr="00B65CB9" w:rsidRDefault="007A3507">
            <w:pPr>
              <w:spacing w:after="120"/>
              <w:contextualSpacing/>
              <w:rPr>
                <w:b/>
                <w:bCs/>
                <w:szCs w:val="22"/>
              </w:rPr>
            </w:pPr>
            <w:r w:rsidRPr="00B65CB9">
              <w:rPr>
                <w:b/>
                <w:bCs/>
                <w:szCs w:val="22"/>
              </w:rPr>
              <w:t>Date to Minister</w:t>
            </w:r>
          </w:p>
        </w:tc>
        <w:tc>
          <w:tcPr>
            <w:tcW w:w="409" w:type="pct"/>
          </w:tcPr>
          <w:p w14:paraId="269767F5" w14:textId="77777777" w:rsidR="007A3507" w:rsidRPr="00B65CB9" w:rsidRDefault="007A3507">
            <w:pPr>
              <w:spacing w:after="120"/>
              <w:contextualSpacing/>
              <w:rPr>
                <w:b/>
                <w:bCs/>
                <w:szCs w:val="22"/>
              </w:rPr>
            </w:pPr>
            <w:r w:rsidRPr="00B65CB9">
              <w:rPr>
                <w:b/>
                <w:bCs/>
                <w:szCs w:val="22"/>
              </w:rPr>
              <w:t>Date to Minister’s Office</w:t>
            </w:r>
          </w:p>
        </w:tc>
      </w:tr>
      <w:tr w:rsidR="007A3507" w:rsidRPr="00B65CB9" w14:paraId="5FCEA6F6" w14:textId="77777777">
        <w:tc>
          <w:tcPr>
            <w:tcW w:w="752" w:type="pct"/>
          </w:tcPr>
          <w:p w14:paraId="43E3E5DE" w14:textId="77777777" w:rsidR="007A3507" w:rsidRPr="00B65CB9" w:rsidRDefault="007A3507">
            <w:pPr>
              <w:spacing w:after="120"/>
              <w:contextualSpacing/>
              <w:rPr>
                <w:rFonts w:cstheme="minorHAnsi"/>
                <w:szCs w:val="22"/>
                <w:lang w:val="en-US"/>
              </w:rPr>
            </w:pPr>
            <w:r w:rsidRPr="004742C2">
              <w:rPr>
                <w:rFonts w:cstheme="minorHAnsi"/>
                <w:szCs w:val="22"/>
              </w:rPr>
              <w:t>The NMoC is designed for governments and community sector organisations to guide how services can deliver the desired experience, as defined by children and young people, to more effectively support the safety, recovery, healing and long-term wellbeing of children and young people with experiences of family, domestic and sexual violence (FDSV). It is a practical tool for services that can be applied across universal, specialist and community settings to identify and support children and young people impacted by FDSV.</w:t>
            </w:r>
          </w:p>
        </w:tc>
        <w:tc>
          <w:tcPr>
            <w:tcW w:w="698" w:type="pct"/>
          </w:tcPr>
          <w:p w14:paraId="18F63F28" w14:textId="77777777" w:rsidR="007A3507" w:rsidRPr="00B65CB9" w:rsidRDefault="007A3507">
            <w:pPr>
              <w:spacing w:after="120"/>
              <w:contextualSpacing/>
              <w:rPr>
                <w:rFonts w:cstheme="minorHAnsi"/>
                <w:szCs w:val="22"/>
                <w:lang w:val="en-US"/>
              </w:rPr>
            </w:pPr>
            <w:r w:rsidRPr="004742C2">
              <w:rPr>
                <w:rFonts w:cstheme="minorHAnsi"/>
                <w:szCs w:val="22"/>
              </w:rPr>
              <w:t>Nous Group</w:t>
            </w:r>
          </w:p>
        </w:tc>
        <w:tc>
          <w:tcPr>
            <w:tcW w:w="489" w:type="pct"/>
          </w:tcPr>
          <w:p w14:paraId="39E19C47" w14:textId="77777777" w:rsidR="007A3507" w:rsidRPr="00B65CB9" w:rsidRDefault="007A3507">
            <w:pPr>
              <w:spacing w:after="120"/>
              <w:contextualSpacing/>
              <w:rPr>
                <w:rFonts w:cstheme="minorHAnsi"/>
                <w:szCs w:val="22"/>
                <w:lang w:val="en-US"/>
              </w:rPr>
            </w:pPr>
            <w:r w:rsidRPr="004742C2">
              <w:rPr>
                <w:rFonts w:cstheme="minorHAnsi"/>
                <w:szCs w:val="22"/>
              </w:rPr>
              <w:t>N/A</w:t>
            </w:r>
          </w:p>
        </w:tc>
        <w:tc>
          <w:tcPr>
            <w:tcW w:w="454" w:type="pct"/>
          </w:tcPr>
          <w:p w14:paraId="1F3512DB" w14:textId="77777777" w:rsidR="007A3507" w:rsidRPr="00B65CB9" w:rsidRDefault="007A3507">
            <w:pPr>
              <w:spacing w:after="120"/>
              <w:contextualSpacing/>
              <w:rPr>
                <w:rFonts w:cstheme="minorHAnsi"/>
                <w:szCs w:val="22"/>
                <w:lang w:val="en-US"/>
              </w:rPr>
            </w:pPr>
            <w:r w:rsidRPr="004742C2">
              <w:rPr>
                <w:rFonts w:cstheme="minorHAnsi"/>
                <w:szCs w:val="22"/>
              </w:rPr>
              <w:t>$1,914,000 (GST inclusive)</w:t>
            </w:r>
          </w:p>
        </w:tc>
        <w:tc>
          <w:tcPr>
            <w:tcW w:w="453" w:type="pct"/>
          </w:tcPr>
          <w:p w14:paraId="522124D6" w14:textId="77777777" w:rsidR="007A3507" w:rsidRPr="00B65CB9" w:rsidRDefault="007A3507">
            <w:pPr>
              <w:spacing w:after="120"/>
              <w:contextualSpacing/>
              <w:rPr>
                <w:rFonts w:cstheme="minorHAnsi"/>
                <w:szCs w:val="22"/>
                <w:lang w:val="en-US"/>
              </w:rPr>
            </w:pPr>
            <w:r w:rsidRPr="004742C2">
              <w:rPr>
                <w:rFonts w:cstheme="minorHAnsi"/>
                <w:szCs w:val="22"/>
              </w:rPr>
              <w:t>$1,778,405.43, (GST inclusive)</w:t>
            </w:r>
          </w:p>
        </w:tc>
        <w:tc>
          <w:tcPr>
            <w:tcW w:w="384" w:type="pct"/>
          </w:tcPr>
          <w:p w14:paraId="5C8F184E" w14:textId="77777777" w:rsidR="007A3507" w:rsidRPr="00F63E6B" w:rsidRDefault="007A3507">
            <w:pPr>
              <w:spacing w:after="120"/>
              <w:contextualSpacing/>
              <w:rPr>
                <w:rFonts w:cstheme="minorHAnsi"/>
                <w:szCs w:val="22"/>
                <w:lang w:val="en-US"/>
              </w:rPr>
            </w:pPr>
            <w:r w:rsidRPr="00F63E6B">
              <w:rPr>
                <w:rFonts w:cstheme="minorHAnsi"/>
                <w:szCs w:val="22"/>
              </w:rPr>
              <w:t>30 June 2026</w:t>
            </w:r>
          </w:p>
        </w:tc>
        <w:tc>
          <w:tcPr>
            <w:tcW w:w="384" w:type="pct"/>
          </w:tcPr>
          <w:p w14:paraId="78A45E1F" w14:textId="77777777" w:rsidR="007A3507" w:rsidRPr="00F63E6B" w:rsidRDefault="007A3507">
            <w:pPr>
              <w:spacing w:after="120"/>
              <w:contextualSpacing/>
              <w:rPr>
                <w:rFonts w:cstheme="minorHAnsi"/>
                <w:szCs w:val="22"/>
                <w:lang w:val="en-US"/>
              </w:rPr>
            </w:pPr>
            <w:r w:rsidRPr="00F63E6B">
              <w:rPr>
                <w:rFonts w:cstheme="minorHAnsi"/>
                <w:szCs w:val="22"/>
                <w:lang w:val="en-US"/>
              </w:rPr>
              <w:t>29 June 2026</w:t>
            </w:r>
          </w:p>
        </w:tc>
        <w:tc>
          <w:tcPr>
            <w:tcW w:w="593" w:type="pct"/>
          </w:tcPr>
          <w:p w14:paraId="54BBB9C8" w14:textId="77777777" w:rsidR="007A3507" w:rsidRPr="00F63E6B" w:rsidRDefault="007A3507">
            <w:pPr>
              <w:spacing w:after="120"/>
              <w:contextualSpacing/>
              <w:rPr>
                <w:rFonts w:cstheme="minorHAnsi"/>
                <w:szCs w:val="22"/>
                <w:lang w:val="en-US"/>
              </w:rPr>
            </w:pPr>
            <w:r>
              <w:rPr>
                <w:rFonts w:cstheme="minorHAnsi"/>
                <w:szCs w:val="22"/>
                <w:lang w:val="en-US"/>
              </w:rPr>
              <w:t>5 June 2026</w:t>
            </w:r>
          </w:p>
        </w:tc>
        <w:tc>
          <w:tcPr>
            <w:tcW w:w="384" w:type="pct"/>
          </w:tcPr>
          <w:p w14:paraId="40D30480" w14:textId="77777777" w:rsidR="007A3507" w:rsidRPr="00F63E6B" w:rsidRDefault="007A3507">
            <w:pPr>
              <w:spacing w:after="120"/>
              <w:contextualSpacing/>
              <w:rPr>
                <w:rFonts w:cstheme="minorHAnsi"/>
                <w:szCs w:val="22"/>
                <w:lang w:val="en-US"/>
              </w:rPr>
            </w:pPr>
            <w:r>
              <w:rPr>
                <w:rStyle w:val="eop"/>
              </w:rPr>
              <w:t>TBC</w:t>
            </w:r>
          </w:p>
        </w:tc>
        <w:tc>
          <w:tcPr>
            <w:tcW w:w="409" w:type="pct"/>
          </w:tcPr>
          <w:p w14:paraId="7A6069FA" w14:textId="77777777" w:rsidR="007A3507" w:rsidRPr="00F63E6B" w:rsidRDefault="007A3507">
            <w:pPr>
              <w:spacing w:after="120"/>
              <w:contextualSpacing/>
              <w:rPr>
                <w:rFonts w:cstheme="minorHAnsi"/>
                <w:szCs w:val="22"/>
                <w:lang w:val="en-US"/>
              </w:rPr>
            </w:pPr>
            <w:r>
              <w:rPr>
                <w:rStyle w:val="eop"/>
              </w:rPr>
              <w:t>23 July 2026 (as part of briefing for CYP Deep Dive currently scheduled for 27 July 2026)</w:t>
            </w:r>
          </w:p>
        </w:tc>
      </w:tr>
    </w:tbl>
    <w:p w14:paraId="7B68A0DD" w14:textId="77777777" w:rsidR="007A3507" w:rsidRDefault="007A3507" w:rsidP="00E52A67"/>
    <w:p w14:paraId="597D965E" w14:textId="434EDADB" w:rsidR="001673C6" w:rsidRDefault="00C33F5D" w:rsidP="00C13340">
      <w:pPr>
        <w:pStyle w:val="Heading3"/>
      </w:pPr>
      <w:r w:rsidRPr="00BD14D6">
        <w:t>1800RESPECT Digital Assets Refresh Project Discovery Phase</w:t>
      </w:r>
      <w:r w:rsidR="00FC3B69">
        <w:t xml:space="preserve"> 2</w:t>
      </w:r>
    </w:p>
    <w:tbl>
      <w:tblPr>
        <w:tblStyle w:val="TableGridLight"/>
        <w:tblW w:w="5000" w:type="pct"/>
        <w:tblLook w:val="04A0" w:firstRow="1" w:lastRow="0" w:firstColumn="1" w:lastColumn="0" w:noHBand="0" w:noVBand="1"/>
      </w:tblPr>
      <w:tblGrid>
        <w:gridCol w:w="3325"/>
        <w:gridCol w:w="3086"/>
        <w:gridCol w:w="2162"/>
        <w:gridCol w:w="2007"/>
        <w:gridCol w:w="2002"/>
        <w:gridCol w:w="1697"/>
        <w:gridCol w:w="1697"/>
        <w:gridCol w:w="2621"/>
        <w:gridCol w:w="1697"/>
        <w:gridCol w:w="1808"/>
      </w:tblGrid>
      <w:tr w:rsidR="00C13340" w:rsidRPr="00B65CB9" w14:paraId="2DFDC982" w14:textId="77777777" w:rsidTr="00C13340">
        <w:trPr>
          <w:cnfStyle w:val="100000000000" w:firstRow="1" w:lastRow="0" w:firstColumn="0" w:lastColumn="0" w:oddVBand="0" w:evenVBand="0" w:oddHBand="0" w:evenHBand="0" w:firstRowFirstColumn="0" w:firstRowLastColumn="0" w:lastRowFirstColumn="0" w:lastRowLastColumn="0"/>
        </w:trPr>
        <w:tc>
          <w:tcPr>
            <w:tcW w:w="683" w:type="pct"/>
          </w:tcPr>
          <w:p w14:paraId="4C6CDBD7" w14:textId="77777777" w:rsidR="00C13340" w:rsidRPr="00B65CB9" w:rsidRDefault="00C13340">
            <w:pPr>
              <w:spacing w:after="120"/>
              <w:contextualSpacing/>
              <w:rPr>
                <w:b/>
                <w:bCs/>
                <w:szCs w:val="22"/>
              </w:rPr>
            </w:pPr>
            <w:r w:rsidRPr="00B65CB9">
              <w:rPr>
                <w:b/>
                <w:bCs/>
                <w:szCs w:val="22"/>
              </w:rPr>
              <w:t>Purpose of the review</w:t>
            </w:r>
          </w:p>
        </w:tc>
        <w:tc>
          <w:tcPr>
            <w:tcW w:w="634" w:type="pct"/>
          </w:tcPr>
          <w:p w14:paraId="073AA239" w14:textId="77777777" w:rsidR="00C13340" w:rsidRPr="00B65CB9" w:rsidRDefault="00C13340">
            <w:pPr>
              <w:spacing w:after="120"/>
              <w:contextualSpacing/>
              <w:rPr>
                <w:b/>
                <w:bCs/>
                <w:szCs w:val="22"/>
              </w:rPr>
            </w:pPr>
            <w:r w:rsidRPr="00B65CB9">
              <w:rPr>
                <w:b/>
                <w:bCs/>
                <w:szCs w:val="22"/>
              </w:rPr>
              <w:t>Who is undertaking review / Name or names of reviewers</w:t>
            </w:r>
          </w:p>
        </w:tc>
        <w:tc>
          <w:tcPr>
            <w:tcW w:w="444" w:type="pct"/>
          </w:tcPr>
          <w:p w14:paraId="6F6E1363" w14:textId="77777777" w:rsidR="00C13340" w:rsidRPr="00B65CB9" w:rsidRDefault="00C13340">
            <w:pPr>
              <w:spacing w:after="120"/>
              <w:contextualSpacing/>
              <w:rPr>
                <w:b/>
                <w:bCs/>
                <w:szCs w:val="22"/>
              </w:rPr>
            </w:pPr>
            <w:r w:rsidRPr="00B65CB9">
              <w:rPr>
                <w:b/>
                <w:bCs/>
                <w:szCs w:val="22"/>
              </w:rPr>
              <w:t>Remuneration for each of the reviewer(s)</w:t>
            </w:r>
          </w:p>
        </w:tc>
        <w:tc>
          <w:tcPr>
            <w:tcW w:w="413" w:type="pct"/>
            <w:hideMark/>
          </w:tcPr>
          <w:p w14:paraId="6CEA9D05" w14:textId="77777777" w:rsidR="00C13340" w:rsidRPr="00B65CB9" w:rsidRDefault="00C13340">
            <w:pPr>
              <w:spacing w:after="120"/>
              <w:contextualSpacing/>
              <w:rPr>
                <w:szCs w:val="22"/>
              </w:rPr>
            </w:pPr>
            <w:r w:rsidRPr="00B65CB9">
              <w:rPr>
                <w:b/>
                <w:bCs/>
                <w:szCs w:val="22"/>
              </w:rPr>
              <w:t xml:space="preserve">Budgeted cost of Review </w:t>
            </w:r>
          </w:p>
        </w:tc>
        <w:tc>
          <w:tcPr>
            <w:tcW w:w="412" w:type="pct"/>
          </w:tcPr>
          <w:p w14:paraId="7F96C3EC" w14:textId="77777777" w:rsidR="00C13340" w:rsidRPr="00B65CB9" w:rsidRDefault="00C13340">
            <w:pPr>
              <w:spacing w:after="120"/>
              <w:contextualSpacing/>
              <w:rPr>
                <w:b/>
                <w:bCs/>
                <w:szCs w:val="22"/>
              </w:rPr>
            </w:pPr>
            <w:r w:rsidRPr="00B65CB9">
              <w:rPr>
                <w:b/>
                <w:bCs/>
                <w:szCs w:val="22"/>
              </w:rPr>
              <w:t>Amount spent to date</w:t>
            </w:r>
          </w:p>
        </w:tc>
        <w:tc>
          <w:tcPr>
            <w:tcW w:w="349" w:type="pct"/>
          </w:tcPr>
          <w:p w14:paraId="55E71F5B" w14:textId="77777777" w:rsidR="00C13340" w:rsidRPr="00B65CB9" w:rsidRDefault="00C13340">
            <w:pPr>
              <w:spacing w:after="120"/>
              <w:contextualSpacing/>
              <w:rPr>
                <w:b/>
                <w:bCs/>
                <w:szCs w:val="22"/>
              </w:rPr>
            </w:pPr>
            <w:r w:rsidRPr="00B65CB9">
              <w:rPr>
                <w:b/>
                <w:bCs/>
                <w:szCs w:val="22"/>
              </w:rPr>
              <w:t xml:space="preserve">Date due to be completed </w:t>
            </w:r>
          </w:p>
        </w:tc>
        <w:tc>
          <w:tcPr>
            <w:tcW w:w="349" w:type="pct"/>
          </w:tcPr>
          <w:p w14:paraId="1EAAD22F" w14:textId="77777777" w:rsidR="00C13340" w:rsidRPr="00B65CB9" w:rsidRDefault="00C13340">
            <w:pPr>
              <w:spacing w:after="120"/>
              <w:contextualSpacing/>
              <w:rPr>
                <w:b/>
                <w:bCs/>
                <w:szCs w:val="22"/>
              </w:rPr>
            </w:pPr>
            <w:r w:rsidRPr="00B65CB9">
              <w:rPr>
                <w:b/>
                <w:bCs/>
                <w:szCs w:val="22"/>
              </w:rPr>
              <w:t>Date Completed</w:t>
            </w:r>
          </w:p>
        </w:tc>
        <w:tc>
          <w:tcPr>
            <w:tcW w:w="539" w:type="pct"/>
            <w:hideMark/>
          </w:tcPr>
          <w:p w14:paraId="1A4E0CAC" w14:textId="77777777" w:rsidR="00C13340" w:rsidRPr="00B65CB9" w:rsidRDefault="00C13340">
            <w:pPr>
              <w:spacing w:after="120"/>
              <w:contextualSpacing/>
              <w:rPr>
                <w:szCs w:val="22"/>
              </w:rPr>
            </w:pPr>
            <w:r w:rsidRPr="00B65CB9">
              <w:rPr>
                <w:b/>
                <w:bCs/>
                <w:szCs w:val="22"/>
              </w:rPr>
              <w:t>The date the review was provided to the Department</w:t>
            </w:r>
          </w:p>
        </w:tc>
        <w:tc>
          <w:tcPr>
            <w:tcW w:w="349" w:type="pct"/>
          </w:tcPr>
          <w:p w14:paraId="3F48F3C8" w14:textId="77777777" w:rsidR="00C13340" w:rsidRPr="00B65CB9" w:rsidRDefault="00C13340">
            <w:pPr>
              <w:spacing w:after="120"/>
              <w:contextualSpacing/>
              <w:rPr>
                <w:b/>
                <w:bCs/>
                <w:szCs w:val="22"/>
              </w:rPr>
            </w:pPr>
            <w:r w:rsidRPr="00B65CB9">
              <w:rPr>
                <w:b/>
                <w:bCs/>
                <w:szCs w:val="22"/>
              </w:rPr>
              <w:t>Date to Minister</w:t>
            </w:r>
          </w:p>
        </w:tc>
        <w:tc>
          <w:tcPr>
            <w:tcW w:w="372" w:type="pct"/>
          </w:tcPr>
          <w:p w14:paraId="6CBD1C91" w14:textId="77777777" w:rsidR="00C13340" w:rsidRPr="00B65CB9" w:rsidRDefault="00C13340">
            <w:pPr>
              <w:spacing w:after="120"/>
              <w:contextualSpacing/>
              <w:rPr>
                <w:b/>
                <w:bCs/>
                <w:szCs w:val="22"/>
              </w:rPr>
            </w:pPr>
            <w:r w:rsidRPr="00B65CB9">
              <w:rPr>
                <w:b/>
                <w:bCs/>
                <w:szCs w:val="22"/>
              </w:rPr>
              <w:t>Date to Minister’s Office</w:t>
            </w:r>
          </w:p>
        </w:tc>
      </w:tr>
      <w:tr w:rsidR="00C13340" w:rsidRPr="00B65CB9" w14:paraId="306B4C80" w14:textId="77777777" w:rsidTr="00C13340">
        <w:tc>
          <w:tcPr>
            <w:tcW w:w="683" w:type="pct"/>
          </w:tcPr>
          <w:p w14:paraId="30B2AB44" w14:textId="01FFF2A1" w:rsidR="00C13340" w:rsidRPr="00B65CB9" w:rsidRDefault="00C13340">
            <w:pPr>
              <w:spacing w:after="120"/>
              <w:contextualSpacing/>
              <w:rPr>
                <w:szCs w:val="22"/>
              </w:rPr>
            </w:pPr>
            <w:r w:rsidRPr="00B65CB9">
              <w:rPr>
                <w:szCs w:val="22"/>
                <w:lang w:val="en-US"/>
              </w:rPr>
              <w:t xml:space="preserve">The Department and Telstra Health undertook a project to </w:t>
            </w:r>
            <w:r w:rsidRPr="00B65CB9">
              <w:rPr>
                <w:szCs w:val="22"/>
              </w:rPr>
              <w:t xml:space="preserve">project to research and consult on the improvements to the 1800RESPECT’s existing website (including the service directory) and the digital applications (the Sunny and Daisy apps) including areas surrounding usability, accessibility and inclusivity. </w:t>
            </w:r>
          </w:p>
        </w:tc>
        <w:tc>
          <w:tcPr>
            <w:tcW w:w="634" w:type="pct"/>
          </w:tcPr>
          <w:p w14:paraId="5161208D" w14:textId="77777777" w:rsidR="00C13340" w:rsidRPr="00B65CB9" w:rsidRDefault="00C13340">
            <w:pPr>
              <w:spacing w:after="120"/>
              <w:contextualSpacing/>
              <w:rPr>
                <w:szCs w:val="22"/>
                <w:lang w:val="en-US"/>
              </w:rPr>
            </w:pPr>
            <w:r w:rsidRPr="00B65CB9">
              <w:rPr>
                <w:szCs w:val="22"/>
                <w:lang w:val="en-US"/>
              </w:rPr>
              <w:t>Versent, in collaboration with the Department and Telstra Health (the provider of 1800RESPECT)</w:t>
            </w:r>
          </w:p>
        </w:tc>
        <w:tc>
          <w:tcPr>
            <w:tcW w:w="444" w:type="pct"/>
          </w:tcPr>
          <w:p w14:paraId="162A9AB1" w14:textId="77777777" w:rsidR="00C13340" w:rsidRPr="00B65CB9" w:rsidRDefault="00C13340">
            <w:pPr>
              <w:spacing w:after="120"/>
              <w:contextualSpacing/>
              <w:rPr>
                <w:szCs w:val="22"/>
                <w:lang w:val="en-US"/>
              </w:rPr>
            </w:pPr>
          </w:p>
        </w:tc>
        <w:tc>
          <w:tcPr>
            <w:tcW w:w="413" w:type="pct"/>
          </w:tcPr>
          <w:p w14:paraId="7B7D2721" w14:textId="77777777" w:rsidR="00C13340" w:rsidRPr="00B65CB9" w:rsidRDefault="00C13340">
            <w:pPr>
              <w:spacing w:after="120"/>
              <w:contextualSpacing/>
              <w:rPr>
                <w:szCs w:val="22"/>
                <w:lang w:val="en-US"/>
              </w:rPr>
            </w:pPr>
            <w:r w:rsidRPr="00B65CB9">
              <w:rPr>
                <w:szCs w:val="22"/>
                <w:lang w:val="en-US"/>
              </w:rPr>
              <w:t>$396,000 (GST inclusive)</w:t>
            </w:r>
          </w:p>
        </w:tc>
        <w:tc>
          <w:tcPr>
            <w:tcW w:w="412" w:type="pct"/>
          </w:tcPr>
          <w:p w14:paraId="0B530AFD" w14:textId="77777777" w:rsidR="00C13340" w:rsidRPr="00B65CB9" w:rsidRDefault="00C13340">
            <w:pPr>
              <w:spacing w:after="120"/>
              <w:contextualSpacing/>
              <w:rPr>
                <w:szCs w:val="22"/>
                <w:lang w:val="en-US"/>
              </w:rPr>
            </w:pPr>
            <w:r w:rsidRPr="00B65CB9">
              <w:rPr>
                <w:szCs w:val="22"/>
                <w:lang w:val="en-US"/>
              </w:rPr>
              <w:t>$396,000 (GST inclusive)</w:t>
            </w:r>
          </w:p>
        </w:tc>
        <w:tc>
          <w:tcPr>
            <w:tcW w:w="349" w:type="pct"/>
          </w:tcPr>
          <w:p w14:paraId="0BD931E7" w14:textId="77777777" w:rsidR="00C13340" w:rsidRPr="00B65CB9" w:rsidRDefault="00C13340">
            <w:pPr>
              <w:spacing w:after="120"/>
              <w:contextualSpacing/>
              <w:rPr>
                <w:szCs w:val="22"/>
                <w:lang w:val="en-US"/>
              </w:rPr>
            </w:pPr>
            <w:r w:rsidRPr="00B65CB9">
              <w:rPr>
                <w:szCs w:val="22"/>
                <w:lang w:val="en-US"/>
              </w:rPr>
              <w:t>20 May 2026</w:t>
            </w:r>
          </w:p>
        </w:tc>
        <w:tc>
          <w:tcPr>
            <w:tcW w:w="349" w:type="pct"/>
          </w:tcPr>
          <w:p w14:paraId="265C21EB" w14:textId="77777777" w:rsidR="00C13340" w:rsidRPr="00B65CB9" w:rsidRDefault="00C13340">
            <w:pPr>
              <w:spacing w:after="120"/>
              <w:contextualSpacing/>
              <w:rPr>
                <w:szCs w:val="22"/>
                <w:lang w:val="en-US"/>
              </w:rPr>
            </w:pPr>
            <w:r w:rsidRPr="00B65CB9">
              <w:rPr>
                <w:szCs w:val="22"/>
                <w:lang w:val="en-US"/>
              </w:rPr>
              <w:t>19 May 2026</w:t>
            </w:r>
          </w:p>
        </w:tc>
        <w:tc>
          <w:tcPr>
            <w:tcW w:w="539" w:type="pct"/>
          </w:tcPr>
          <w:p w14:paraId="378DF449" w14:textId="77777777" w:rsidR="00C13340" w:rsidRPr="00B65CB9" w:rsidRDefault="00C13340">
            <w:pPr>
              <w:spacing w:after="120"/>
              <w:contextualSpacing/>
              <w:rPr>
                <w:szCs w:val="22"/>
                <w:lang w:val="en-US"/>
              </w:rPr>
            </w:pPr>
            <w:r w:rsidRPr="00B65CB9">
              <w:rPr>
                <w:szCs w:val="22"/>
                <w:lang w:val="en-US"/>
              </w:rPr>
              <w:t>19 May 2026</w:t>
            </w:r>
          </w:p>
        </w:tc>
        <w:tc>
          <w:tcPr>
            <w:tcW w:w="349" w:type="pct"/>
          </w:tcPr>
          <w:p w14:paraId="5BE16C09" w14:textId="77777777" w:rsidR="00C13340" w:rsidRPr="00B65CB9" w:rsidRDefault="00C13340">
            <w:pPr>
              <w:spacing w:after="120"/>
              <w:contextualSpacing/>
              <w:rPr>
                <w:szCs w:val="22"/>
                <w:lang w:val="en-US"/>
              </w:rPr>
            </w:pPr>
            <w:r w:rsidRPr="00B65CB9">
              <w:rPr>
                <w:szCs w:val="22"/>
                <w:lang w:val="en-US"/>
              </w:rPr>
              <w:t>N/A</w:t>
            </w:r>
          </w:p>
        </w:tc>
        <w:tc>
          <w:tcPr>
            <w:tcW w:w="372" w:type="pct"/>
          </w:tcPr>
          <w:p w14:paraId="71FA751A" w14:textId="77777777" w:rsidR="00C13340" w:rsidRPr="00B65CB9" w:rsidRDefault="00C13340">
            <w:pPr>
              <w:spacing w:after="120"/>
              <w:contextualSpacing/>
              <w:rPr>
                <w:szCs w:val="22"/>
                <w:lang w:val="en-US"/>
              </w:rPr>
            </w:pPr>
            <w:r w:rsidRPr="00B65CB9">
              <w:rPr>
                <w:szCs w:val="22"/>
                <w:lang w:val="en-US"/>
              </w:rPr>
              <w:t>N/A</w:t>
            </w:r>
          </w:p>
        </w:tc>
      </w:tr>
    </w:tbl>
    <w:p w14:paraId="1D7C467C" w14:textId="77777777" w:rsidR="001673C6" w:rsidRDefault="001673C6" w:rsidP="00E52A67"/>
    <w:p w14:paraId="15BD6EA0" w14:textId="77777777" w:rsidR="00BD659F" w:rsidRDefault="00BD659F" w:rsidP="00C23776">
      <w:pPr>
        <w:pStyle w:val="Heading3"/>
        <w:pageBreakBefore/>
      </w:pPr>
      <w:r w:rsidRPr="007926B1">
        <w:lastRenderedPageBreak/>
        <w:t>Joint Evaluation of Family and Relationship Services (FaRS) and Specialised Family Violence Services (SFVS)</w:t>
      </w:r>
    </w:p>
    <w:tbl>
      <w:tblPr>
        <w:tblStyle w:val="TableGridLight"/>
        <w:tblW w:w="5000" w:type="pct"/>
        <w:tblLook w:val="04A0" w:firstRow="1" w:lastRow="0" w:firstColumn="1" w:lastColumn="0" w:noHBand="0" w:noVBand="1"/>
      </w:tblPr>
      <w:tblGrid>
        <w:gridCol w:w="3325"/>
        <w:gridCol w:w="3086"/>
        <w:gridCol w:w="2162"/>
        <w:gridCol w:w="2007"/>
        <w:gridCol w:w="2002"/>
        <w:gridCol w:w="1697"/>
        <w:gridCol w:w="1697"/>
        <w:gridCol w:w="2621"/>
        <w:gridCol w:w="1697"/>
        <w:gridCol w:w="1808"/>
      </w:tblGrid>
      <w:tr w:rsidR="00BD659F" w:rsidRPr="00B65CB9" w14:paraId="6D0ABAEF" w14:textId="77777777" w:rsidTr="00C23776">
        <w:trPr>
          <w:cnfStyle w:val="100000000000" w:firstRow="1" w:lastRow="0" w:firstColumn="0" w:lastColumn="0" w:oddVBand="0" w:evenVBand="0" w:oddHBand="0" w:evenHBand="0" w:firstRowFirstColumn="0" w:firstRowLastColumn="0" w:lastRowFirstColumn="0" w:lastRowLastColumn="0"/>
          <w:tblHeader/>
        </w:trPr>
        <w:tc>
          <w:tcPr>
            <w:tcW w:w="752" w:type="pct"/>
          </w:tcPr>
          <w:p w14:paraId="6768919A" w14:textId="77777777" w:rsidR="00BD659F" w:rsidRPr="00B65CB9" w:rsidRDefault="00BD659F">
            <w:pPr>
              <w:spacing w:after="120"/>
              <w:contextualSpacing/>
              <w:rPr>
                <w:b/>
                <w:bCs/>
                <w:szCs w:val="22"/>
              </w:rPr>
            </w:pPr>
            <w:r w:rsidRPr="00B65CB9">
              <w:rPr>
                <w:b/>
                <w:bCs/>
                <w:szCs w:val="22"/>
              </w:rPr>
              <w:t>Purpose of the review</w:t>
            </w:r>
          </w:p>
        </w:tc>
        <w:tc>
          <w:tcPr>
            <w:tcW w:w="698" w:type="pct"/>
          </w:tcPr>
          <w:p w14:paraId="31A6A20E" w14:textId="77777777" w:rsidR="00BD659F" w:rsidRPr="00B65CB9" w:rsidRDefault="00BD659F">
            <w:pPr>
              <w:spacing w:after="120"/>
              <w:contextualSpacing/>
              <w:rPr>
                <w:b/>
                <w:bCs/>
                <w:szCs w:val="22"/>
              </w:rPr>
            </w:pPr>
            <w:r w:rsidRPr="00B65CB9">
              <w:rPr>
                <w:b/>
                <w:bCs/>
                <w:szCs w:val="22"/>
              </w:rPr>
              <w:t>Who is undertaking review / Name or names of reviewers</w:t>
            </w:r>
          </w:p>
        </w:tc>
        <w:tc>
          <w:tcPr>
            <w:tcW w:w="489" w:type="pct"/>
          </w:tcPr>
          <w:p w14:paraId="60A3B625" w14:textId="77777777" w:rsidR="00BD659F" w:rsidRPr="00B65CB9" w:rsidRDefault="00BD659F">
            <w:pPr>
              <w:spacing w:after="120"/>
              <w:contextualSpacing/>
              <w:rPr>
                <w:b/>
                <w:bCs/>
                <w:szCs w:val="22"/>
              </w:rPr>
            </w:pPr>
            <w:r w:rsidRPr="00B65CB9">
              <w:rPr>
                <w:b/>
                <w:bCs/>
                <w:szCs w:val="22"/>
              </w:rPr>
              <w:t>Remuneration for each of the reviewer(s)</w:t>
            </w:r>
          </w:p>
        </w:tc>
        <w:tc>
          <w:tcPr>
            <w:tcW w:w="454" w:type="pct"/>
            <w:hideMark/>
          </w:tcPr>
          <w:p w14:paraId="038F9917" w14:textId="77777777" w:rsidR="00BD659F" w:rsidRPr="00B65CB9" w:rsidRDefault="00BD659F">
            <w:pPr>
              <w:spacing w:after="120"/>
              <w:contextualSpacing/>
              <w:rPr>
                <w:szCs w:val="22"/>
              </w:rPr>
            </w:pPr>
            <w:r w:rsidRPr="00B65CB9">
              <w:rPr>
                <w:b/>
                <w:bCs/>
                <w:szCs w:val="22"/>
              </w:rPr>
              <w:t xml:space="preserve">Budgeted cost of Review </w:t>
            </w:r>
          </w:p>
        </w:tc>
        <w:tc>
          <w:tcPr>
            <w:tcW w:w="453" w:type="pct"/>
          </w:tcPr>
          <w:p w14:paraId="36F0AD32" w14:textId="77777777" w:rsidR="00BD659F" w:rsidRPr="00B65CB9" w:rsidRDefault="00BD659F">
            <w:pPr>
              <w:spacing w:after="120"/>
              <w:contextualSpacing/>
              <w:rPr>
                <w:b/>
                <w:bCs/>
                <w:szCs w:val="22"/>
              </w:rPr>
            </w:pPr>
            <w:r w:rsidRPr="00B65CB9">
              <w:rPr>
                <w:b/>
                <w:bCs/>
                <w:szCs w:val="22"/>
              </w:rPr>
              <w:t>Amount spent to date</w:t>
            </w:r>
          </w:p>
        </w:tc>
        <w:tc>
          <w:tcPr>
            <w:tcW w:w="384" w:type="pct"/>
          </w:tcPr>
          <w:p w14:paraId="4A312696" w14:textId="77777777" w:rsidR="00BD659F" w:rsidRPr="00B65CB9" w:rsidRDefault="00BD659F">
            <w:pPr>
              <w:spacing w:after="120"/>
              <w:contextualSpacing/>
              <w:rPr>
                <w:b/>
                <w:bCs/>
                <w:szCs w:val="22"/>
              </w:rPr>
            </w:pPr>
            <w:r w:rsidRPr="00B65CB9">
              <w:rPr>
                <w:b/>
                <w:bCs/>
                <w:szCs w:val="22"/>
              </w:rPr>
              <w:t xml:space="preserve">Date due to be completed </w:t>
            </w:r>
          </w:p>
        </w:tc>
        <w:tc>
          <w:tcPr>
            <w:tcW w:w="384" w:type="pct"/>
          </w:tcPr>
          <w:p w14:paraId="5AA23703" w14:textId="77777777" w:rsidR="00BD659F" w:rsidRPr="00B65CB9" w:rsidRDefault="00BD659F">
            <w:pPr>
              <w:spacing w:after="120"/>
              <w:contextualSpacing/>
              <w:rPr>
                <w:b/>
                <w:bCs/>
                <w:szCs w:val="22"/>
              </w:rPr>
            </w:pPr>
            <w:r w:rsidRPr="00B65CB9">
              <w:rPr>
                <w:b/>
                <w:bCs/>
                <w:szCs w:val="22"/>
              </w:rPr>
              <w:t>Date Completed</w:t>
            </w:r>
          </w:p>
        </w:tc>
        <w:tc>
          <w:tcPr>
            <w:tcW w:w="593" w:type="pct"/>
            <w:hideMark/>
          </w:tcPr>
          <w:p w14:paraId="1C2544DC" w14:textId="77777777" w:rsidR="00BD659F" w:rsidRPr="00B65CB9" w:rsidRDefault="00BD659F">
            <w:pPr>
              <w:spacing w:after="120"/>
              <w:contextualSpacing/>
              <w:rPr>
                <w:szCs w:val="22"/>
              </w:rPr>
            </w:pPr>
            <w:r w:rsidRPr="00B65CB9">
              <w:rPr>
                <w:b/>
                <w:bCs/>
                <w:szCs w:val="22"/>
              </w:rPr>
              <w:t>The date the review was provided to the Department</w:t>
            </w:r>
          </w:p>
        </w:tc>
        <w:tc>
          <w:tcPr>
            <w:tcW w:w="384" w:type="pct"/>
          </w:tcPr>
          <w:p w14:paraId="5CCF6C6F" w14:textId="77777777" w:rsidR="00BD659F" w:rsidRPr="00B65CB9" w:rsidRDefault="00BD659F">
            <w:pPr>
              <w:spacing w:after="120"/>
              <w:contextualSpacing/>
              <w:rPr>
                <w:b/>
                <w:bCs/>
                <w:szCs w:val="22"/>
              </w:rPr>
            </w:pPr>
            <w:r w:rsidRPr="00B65CB9">
              <w:rPr>
                <w:b/>
                <w:bCs/>
                <w:szCs w:val="22"/>
              </w:rPr>
              <w:t>Date to Minister</w:t>
            </w:r>
          </w:p>
        </w:tc>
        <w:tc>
          <w:tcPr>
            <w:tcW w:w="409" w:type="pct"/>
          </w:tcPr>
          <w:p w14:paraId="1C7FC73A" w14:textId="77777777" w:rsidR="00BD659F" w:rsidRPr="00B65CB9" w:rsidRDefault="00BD659F">
            <w:pPr>
              <w:spacing w:after="120"/>
              <w:contextualSpacing/>
              <w:rPr>
                <w:b/>
                <w:bCs/>
                <w:szCs w:val="22"/>
              </w:rPr>
            </w:pPr>
            <w:r w:rsidRPr="00B65CB9">
              <w:rPr>
                <w:b/>
                <w:bCs/>
                <w:szCs w:val="22"/>
              </w:rPr>
              <w:t>Date to Minister’s Office</w:t>
            </w:r>
          </w:p>
        </w:tc>
      </w:tr>
      <w:tr w:rsidR="00BD659F" w:rsidRPr="00B65CB9" w14:paraId="12FC0186" w14:textId="77777777" w:rsidTr="00BD659F">
        <w:tc>
          <w:tcPr>
            <w:tcW w:w="752" w:type="pct"/>
          </w:tcPr>
          <w:p w14:paraId="4FB24BE0" w14:textId="5905F32A" w:rsidR="00BD659F" w:rsidRPr="00B65CB9" w:rsidRDefault="00BD659F" w:rsidP="00BD659F">
            <w:pPr>
              <w:spacing w:after="120"/>
              <w:contextualSpacing/>
              <w:rPr>
                <w:szCs w:val="22"/>
              </w:rPr>
            </w:pPr>
            <w:r w:rsidRPr="004742C2">
              <w:rPr>
                <w:rFonts w:cs="Times New Roman"/>
                <w:szCs w:val="22"/>
              </w:rPr>
              <w:t>The Department of Social Services has commissioned an independent evaluation of the Family and Relationship Service (FaRS) and Specialised Family Violence Service (SFVS) Programs. An evaluation of both programs, with findings relevant for each, will provide the Government with evidence on the impact of these programs, and inform future policy decisions.</w:t>
            </w:r>
          </w:p>
        </w:tc>
        <w:tc>
          <w:tcPr>
            <w:tcW w:w="698" w:type="pct"/>
          </w:tcPr>
          <w:p w14:paraId="06159D55" w14:textId="0135CD65" w:rsidR="00BD659F" w:rsidRPr="00B65CB9" w:rsidRDefault="00BD659F" w:rsidP="00BD659F">
            <w:pPr>
              <w:spacing w:after="120"/>
              <w:contextualSpacing/>
              <w:rPr>
                <w:szCs w:val="22"/>
                <w:lang w:val="en-US"/>
              </w:rPr>
            </w:pPr>
            <w:r w:rsidRPr="004742C2">
              <w:rPr>
                <w:rFonts w:cs="Times New Roman"/>
                <w:szCs w:val="22"/>
              </w:rPr>
              <w:t>Allen + Clarke Consulting</w:t>
            </w:r>
          </w:p>
        </w:tc>
        <w:tc>
          <w:tcPr>
            <w:tcW w:w="489" w:type="pct"/>
          </w:tcPr>
          <w:p w14:paraId="064167E6" w14:textId="14FD95F1" w:rsidR="00BD659F" w:rsidRPr="00B65CB9" w:rsidRDefault="00BD659F" w:rsidP="00BD659F">
            <w:pPr>
              <w:spacing w:after="120"/>
              <w:contextualSpacing/>
              <w:rPr>
                <w:szCs w:val="22"/>
                <w:lang w:val="en-US"/>
              </w:rPr>
            </w:pPr>
            <w:r>
              <w:rPr>
                <w:szCs w:val="22"/>
                <w:lang w:val="en-US"/>
              </w:rPr>
              <w:t>N/A</w:t>
            </w:r>
          </w:p>
        </w:tc>
        <w:tc>
          <w:tcPr>
            <w:tcW w:w="454" w:type="pct"/>
          </w:tcPr>
          <w:p w14:paraId="163BA7DE" w14:textId="4A80FCAC" w:rsidR="00BD659F" w:rsidRPr="00B65CB9" w:rsidRDefault="00BD659F" w:rsidP="00BD659F">
            <w:pPr>
              <w:spacing w:after="120"/>
              <w:contextualSpacing/>
              <w:rPr>
                <w:szCs w:val="22"/>
                <w:lang w:val="en-US"/>
              </w:rPr>
            </w:pPr>
            <w:r w:rsidRPr="004742C2">
              <w:rPr>
                <w:rFonts w:cs="Times New Roman"/>
                <w:szCs w:val="22"/>
              </w:rPr>
              <w:t>$998,891.03 (GST inclusive)</w:t>
            </w:r>
          </w:p>
        </w:tc>
        <w:tc>
          <w:tcPr>
            <w:tcW w:w="453" w:type="pct"/>
          </w:tcPr>
          <w:p w14:paraId="09A3A3CD" w14:textId="516A329E" w:rsidR="00BD659F" w:rsidRPr="00B65CB9" w:rsidRDefault="00BD659F" w:rsidP="00BD659F">
            <w:pPr>
              <w:spacing w:after="120"/>
              <w:contextualSpacing/>
              <w:rPr>
                <w:szCs w:val="22"/>
                <w:lang w:val="en-US"/>
              </w:rPr>
            </w:pPr>
            <w:r w:rsidRPr="004742C2">
              <w:rPr>
                <w:rFonts w:cs="Times New Roman"/>
                <w:szCs w:val="22"/>
              </w:rPr>
              <w:t>$998,891.03 (GST inclusive)</w:t>
            </w:r>
          </w:p>
        </w:tc>
        <w:tc>
          <w:tcPr>
            <w:tcW w:w="384" w:type="pct"/>
          </w:tcPr>
          <w:p w14:paraId="65CFB322" w14:textId="3BFAC2E3" w:rsidR="00BD659F" w:rsidRPr="00B65CB9" w:rsidRDefault="00F268DC" w:rsidP="00BD659F">
            <w:pPr>
              <w:spacing w:after="120"/>
              <w:contextualSpacing/>
              <w:rPr>
                <w:szCs w:val="22"/>
                <w:lang w:val="en-US"/>
              </w:rPr>
            </w:pPr>
            <w:r w:rsidRPr="00F268DC">
              <w:rPr>
                <w:rFonts w:cs="Times New Roman"/>
                <w:szCs w:val="22"/>
              </w:rPr>
              <w:t>30 April 2026</w:t>
            </w:r>
          </w:p>
        </w:tc>
        <w:tc>
          <w:tcPr>
            <w:tcW w:w="384" w:type="pct"/>
          </w:tcPr>
          <w:p w14:paraId="6C17FA03" w14:textId="27D9A266" w:rsidR="00BD659F" w:rsidRPr="00B65CB9" w:rsidRDefault="00F268DC" w:rsidP="00BD659F">
            <w:pPr>
              <w:spacing w:after="120"/>
              <w:contextualSpacing/>
              <w:rPr>
                <w:szCs w:val="22"/>
                <w:lang w:val="en-US"/>
              </w:rPr>
            </w:pPr>
            <w:r>
              <w:rPr>
                <w:szCs w:val="22"/>
                <w:lang w:val="en-US"/>
              </w:rPr>
              <w:t>30 April 2026</w:t>
            </w:r>
          </w:p>
        </w:tc>
        <w:tc>
          <w:tcPr>
            <w:tcW w:w="593" w:type="pct"/>
          </w:tcPr>
          <w:p w14:paraId="2C18B965" w14:textId="77777777" w:rsidR="007A2AA5" w:rsidRDefault="00297512" w:rsidP="00297512">
            <w:pPr>
              <w:spacing w:after="120"/>
              <w:contextualSpacing/>
              <w:rPr>
                <w:szCs w:val="22"/>
              </w:rPr>
            </w:pPr>
            <w:r w:rsidRPr="00297512">
              <w:rPr>
                <w:szCs w:val="22"/>
              </w:rPr>
              <w:t>Evaluation Report </w:t>
            </w:r>
          </w:p>
          <w:p w14:paraId="7C317011" w14:textId="2CD96C33" w:rsidR="007A2AA5" w:rsidRDefault="00297512" w:rsidP="00297512">
            <w:pPr>
              <w:spacing w:after="120"/>
              <w:contextualSpacing/>
              <w:rPr>
                <w:szCs w:val="22"/>
              </w:rPr>
            </w:pPr>
            <w:r w:rsidRPr="00297512">
              <w:rPr>
                <w:szCs w:val="22"/>
              </w:rPr>
              <w:t>(Phase 1): </w:t>
            </w:r>
          </w:p>
          <w:p w14:paraId="455F07F7" w14:textId="28D48650" w:rsidR="00297512" w:rsidRPr="00297512" w:rsidRDefault="00297512" w:rsidP="00297512">
            <w:pPr>
              <w:spacing w:after="120"/>
              <w:contextualSpacing/>
              <w:rPr>
                <w:szCs w:val="22"/>
              </w:rPr>
            </w:pPr>
            <w:r w:rsidRPr="00297512">
              <w:rPr>
                <w:szCs w:val="22"/>
              </w:rPr>
              <w:t>1 September 2025  </w:t>
            </w:r>
          </w:p>
          <w:p w14:paraId="69C1633F" w14:textId="77777777" w:rsidR="00297512" w:rsidRPr="00297512" w:rsidRDefault="00297512" w:rsidP="00297512">
            <w:pPr>
              <w:spacing w:after="120"/>
              <w:contextualSpacing/>
              <w:rPr>
                <w:szCs w:val="22"/>
              </w:rPr>
            </w:pPr>
            <w:r w:rsidRPr="00297512">
              <w:rPr>
                <w:szCs w:val="22"/>
              </w:rPr>
              <w:t> </w:t>
            </w:r>
          </w:p>
          <w:p w14:paraId="2DC4477E" w14:textId="77777777" w:rsidR="00313AAA" w:rsidRDefault="00297512" w:rsidP="00297512">
            <w:pPr>
              <w:spacing w:after="120"/>
              <w:contextualSpacing/>
              <w:rPr>
                <w:szCs w:val="22"/>
              </w:rPr>
            </w:pPr>
            <w:r w:rsidRPr="00297512">
              <w:rPr>
                <w:szCs w:val="22"/>
              </w:rPr>
              <w:t xml:space="preserve">Modelling </w:t>
            </w:r>
            <w:r w:rsidR="00313AAA">
              <w:rPr>
                <w:szCs w:val="22"/>
              </w:rPr>
              <w:t>R</w:t>
            </w:r>
            <w:r w:rsidRPr="00297512">
              <w:rPr>
                <w:szCs w:val="22"/>
              </w:rPr>
              <w:t>eport </w:t>
            </w:r>
          </w:p>
          <w:p w14:paraId="141F02F3" w14:textId="77777777" w:rsidR="00313AAA" w:rsidRDefault="00297512" w:rsidP="00297512">
            <w:pPr>
              <w:spacing w:after="120"/>
              <w:contextualSpacing/>
              <w:rPr>
                <w:szCs w:val="22"/>
              </w:rPr>
            </w:pPr>
            <w:r w:rsidRPr="00297512">
              <w:rPr>
                <w:szCs w:val="22"/>
              </w:rPr>
              <w:t>(Phase 2): </w:t>
            </w:r>
          </w:p>
          <w:p w14:paraId="3B0963E5" w14:textId="081476D2" w:rsidR="00297512" w:rsidRPr="00297512" w:rsidRDefault="00297512" w:rsidP="00297512">
            <w:pPr>
              <w:spacing w:after="120"/>
              <w:contextualSpacing/>
              <w:rPr>
                <w:szCs w:val="22"/>
              </w:rPr>
            </w:pPr>
            <w:r w:rsidRPr="00297512">
              <w:rPr>
                <w:szCs w:val="22"/>
              </w:rPr>
              <w:t>06 March 2026 </w:t>
            </w:r>
          </w:p>
          <w:p w14:paraId="6EDF3D0C" w14:textId="39C7F48E" w:rsidR="00BD659F" w:rsidRPr="00B65CB9" w:rsidRDefault="00BD659F" w:rsidP="00BD659F">
            <w:pPr>
              <w:spacing w:after="120"/>
              <w:contextualSpacing/>
              <w:rPr>
                <w:szCs w:val="22"/>
                <w:lang w:val="en-US"/>
              </w:rPr>
            </w:pPr>
          </w:p>
        </w:tc>
        <w:tc>
          <w:tcPr>
            <w:tcW w:w="384" w:type="pct"/>
          </w:tcPr>
          <w:p w14:paraId="0B6E427E" w14:textId="77777777" w:rsidR="00313AAA" w:rsidRDefault="00313AAA" w:rsidP="00313AAA">
            <w:pPr>
              <w:spacing w:after="120"/>
              <w:contextualSpacing/>
              <w:rPr>
                <w:szCs w:val="22"/>
              </w:rPr>
            </w:pPr>
            <w:r w:rsidRPr="00313AAA">
              <w:rPr>
                <w:szCs w:val="22"/>
              </w:rPr>
              <w:t>Phase 1: </w:t>
            </w:r>
          </w:p>
          <w:p w14:paraId="486B63BD" w14:textId="773D72E9" w:rsidR="00313AAA" w:rsidRPr="00313AAA" w:rsidRDefault="00313AAA" w:rsidP="00313AAA">
            <w:pPr>
              <w:spacing w:after="120"/>
              <w:contextualSpacing/>
              <w:rPr>
                <w:szCs w:val="22"/>
              </w:rPr>
            </w:pPr>
            <w:r w:rsidRPr="00313AAA">
              <w:rPr>
                <w:szCs w:val="22"/>
              </w:rPr>
              <w:t>5 December 2025 </w:t>
            </w:r>
          </w:p>
          <w:p w14:paraId="5ADE358E" w14:textId="77777777" w:rsidR="00313AAA" w:rsidRPr="00313AAA" w:rsidRDefault="00313AAA" w:rsidP="00313AAA">
            <w:pPr>
              <w:spacing w:after="120"/>
              <w:contextualSpacing/>
              <w:rPr>
                <w:szCs w:val="22"/>
              </w:rPr>
            </w:pPr>
            <w:r w:rsidRPr="00313AAA">
              <w:rPr>
                <w:szCs w:val="22"/>
              </w:rPr>
              <w:t> </w:t>
            </w:r>
          </w:p>
          <w:p w14:paraId="4B88A062" w14:textId="77777777" w:rsidR="00313AAA" w:rsidRDefault="00313AAA" w:rsidP="00313AAA">
            <w:pPr>
              <w:spacing w:after="120"/>
              <w:contextualSpacing/>
              <w:rPr>
                <w:szCs w:val="22"/>
              </w:rPr>
            </w:pPr>
            <w:r w:rsidRPr="00313AAA">
              <w:rPr>
                <w:szCs w:val="22"/>
              </w:rPr>
              <w:t>Phase 2: </w:t>
            </w:r>
          </w:p>
          <w:p w14:paraId="0CCE407E" w14:textId="38650F5B" w:rsidR="00313AAA" w:rsidRDefault="00313AAA" w:rsidP="00313AAA">
            <w:pPr>
              <w:spacing w:after="120"/>
              <w:contextualSpacing/>
              <w:rPr>
                <w:szCs w:val="22"/>
              </w:rPr>
            </w:pPr>
            <w:r w:rsidRPr="00313AAA">
              <w:rPr>
                <w:szCs w:val="22"/>
              </w:rPr>
              <w:t>N/A </w:t>
            </w:r>
            <w:r>
              <w:rPr>
                <w:szCs w:val="22"/>
              </w:rPr>
              <w:t>–</w:t>
            </w:r>
            <w:r w:rsidRPr="00313AAA">
              <w:rPr>
                <w:szCs w:val="22"/>
              </w:rPr>
              <w:t> </w:t>
            </w:r>
          </w:p>
          <w:p w14:paraId="537CD214" w14:textId="77777777" w:rsidR="00313AAA" w:rsidRDefault="00313AAA" w:rsidP="00313AAA">
            <w:pPr>
              <w:spacing w:after="120"/>
              <w:contextualSpacing/>
              <w:rPr>
                <w:szCs w:val="22"/>
              </w:rPr>
            </w:pPr>
            <w:r w:rsidRPr="00313AAA">
              <w:rPr>
                <w:szCs w:val="22"/>
              </w:rPr>
              <w:t>internal use </w:t>
            </w:r>
          </w:p>
          <w:p w14:paraId="19B97802" w14:textId="31B3A2E4" w:rsidR="00313AAA" w:rsidRPr="00313AAA" w:rsidRDefault="00313AAA" w:rsidP="00313AAA">
            <w:pPr>
              <w:spacing w:after="120"/>
              <w:contextualSpacing/>
              <w:rPr>
                <w:szCs w:val="22"/>
              </w:rPr>
            </w:pPr>
            <w:r w:rsidRPr="00313AAA">
              <w:rPr>
                <w:szCs w:val="22"/>
              </w:rPr>
              <w:t>only. </w:t>
            </w:r>
          </w:p>
          <w:p w14:paraId="0535EE39" w14:textId="695D425E" w:rsidR="00BD659F" w:rsidRPr="00B65CB9" w:rsidRDefault="00BD659F" w:rsidP="00BD659F">
            <w:pPr>
              <w:spacing w:after="120"/>
              <w:contextualSpacing/>
              <w:rPr>
                <w:szCs w:val="22"/>
                <w:lang w:val="en-US"/>
              </w:rPr>
            </w:pPr>
          </w:p>
        </w:tc>
        <w:tc>
          <w:tcPr>
            <w:tcW w:w="409" w:type="pct"/>
          </w:tcPr>
          <w:p w14:paraId="708F82CA" w14:textId="77777777" w:rsidR="00BB3090" w:rsidRDefault="00BB3090" w:rsidP="00BB3090">
            <w:pPr>
              <w:spacing w:after="120"/>
              <w:contextualSpacing/>
              <w:rPr>
                <w:szCs w:val="22"/>
              </w:rPr>
            </w:pPr>
            <w:r w:rsidRPr="00BB3090">
              <w:rPr>
                <w:szCs w:val="22"/>
              </w:rPr>
              <w:t>5 December 2025</w:t>
            </w:r>
          </w:p>
          <w:p w14:paraId="2B35B1CE" w14:textId="77777777" w:rsidR="00BB3090" w:rsidRPr="00BB3090" w:rsidRDefault="00BB3090" w:rsidP="00BB3090">
            <w:pPr>
              <w:spacing w:after="120"/>
              <w:contextualSpacing/>
              <w:rPr>
                <w:szCs w:val="22"/>
              </w:rPr>
            </w:pPr>
            <w:r w:rsidRPr="00BB3090">
              <w:rPr>
                <w:szCs w:val="22"/>
              </w:rPr>
              <w:t> </w:t>
            </w:r>
          </w:p>
          <w:p w14:paraId="17BB11D1" w14:textId="77777777" w:rsidR="00BB3090" w:rsidRDefault="00BB3090" w:rsidP="00BB3090">
            <w:pPr>
              <w:spacing w:after="120"/>
              <w:contextualSpacing/>
              <w:rPr>
                <w:szCs w:val="22"/>
              </w:rPr>
            </w:pPr>
            <w:r w:rsidRPr="00BB3090">
              <w:rPr>
                <w:szCs w:val="22"/>
              </w:rPr>
              <w:t>Minister agreed to publish on </w:t>
            </w:r>
          </w:p>
          <w:p w14:paraId="0100B3BD" w14:textId="14CEC006" w:rsidR="00BD659F" w:rsidRPr="00B65CB9" w:rsidRDefault="00BB3090" w:rsidP="003F425B">
            <w:pPr>
              <w:spacing w:after="120"/>
              <w:contextualSpacing/>
              <w:rPr>
                <w:szCs w:val="22"/>
                <w:lang w:val="en-US"/>
              </w:rPr>
            </w:pPr>
            <w:r w:rsidRPr="00BB3090">
              <w:rPr>
                <w:szCs w:val="22"/>
              </w:rPr>
              <w:t>12/12/2025</w:t>
            </w:r>
          </w:p>
        </w:tc>
      </w:tr>
    </w:tbl>
    <w:p w14:paraId="77CB4DA3" w14:textId="77777777" w:rsidR="00BD659F" w:rsidRDefault="00BD659F" w:rsidP="00BD659F"/>
    <w:p w14:paraId="11079C2E" w14:textId="489E174B" w:rsidR="001673C6" w:rsidRPr="00BC41A0" w:rsidRDefault="00BC41A0" w:rsidP="00B65CB9">
      <w:pPr>
        <w:pStyle w:val="Heading3"/>
      </w:pPr>
      <w:r w:rsidRPr="6EC6413E">
        <w:t>Evaluation of the Paid Parental Leave (PPL) Scheme – Phase 2</w:t>
      </w:r>
    </w:p>
    <w:tbl>
      <w:tblPr>
        <w:tblStyle w:val="TableGridLight"/>
        <w:tblW w:w="5000" w:type="pct"/>
        <w:tblLook w:val="04A0" w:firstRow="1" w:lastRow="0" w:firstColumn="1" w:lastColumn="0" w:noHBand="0" w:noVBand="1"/>
      </w:tblPr>
      <w:tblGrid>
        <w:gridCol w:w="3325"/>
        <w:gridCol w:w="3086"/>
        <w:gridCol w:w="2162"/>
        <w:gridCol w:w="2007"/>
        <w:gridCol w:w="2002"/>
        <w:gridCol w:w="1697"/>
        <w:gridCol w:w="1697"/>
        <w:gridCol w:w="2621"/>
        <w:gridCol w:w="1697"/>
        <w:gridCol w:w="1808"/>
      </w:tblGrid>
      <w:tr w:rsidR="009B0E8B" w:rsidRPr="00B65CB9" w14:paraId="5C10C03A" w14:textId="77777777" w:rsidTr="00B65CB9">
        <w:trPr>
          <w:cnfStyle w:val="100000000000" w:firstRow="1" w:lastRow="0" w:firstColumn="0" w:lastColumn="0" w:oddVBand="0" w:evenVBand="0" w:oddHBand="0" w:evenHBand="0" w:firstRowFirstColumn="0" w:firstRowLastColumn="0" w:lastRowFirstColumn="0" w:lastRowLastColumn="0"/>
        </w:trPr>
        <w:tc>
          <w:tcPr>
            <w:tcW w:w="752" w:type="pct"/>
          </w:tcPr>
          <w:p w14:paraId="3FA9984D" w14:textId="77777777" w:rsidR="009B0E8B" w:rsidRPr="00B65CB9" w:rsidRDefault="009B0E8B">
            <w:pPr>
              <w:spacing w:after="120"/>
              <w:contextualSpacing/>
              <w:rPr>
                <w:b/>
                <w:bCs/>
                <w:szCs w:val="22"/>
              </w:rPr>
            </w:pPr>
            <w:r w:rsidRPr="00B65CB9">
              <w:rPr>
                <w:b/>
                <w:bCs/>
                <w:szCs w:val="22"/>
              </w:rPr>
              <w:t>Purpose of the review</w:t>
            </w:r>
          </w:p>
        </w:tc>
        <w:tc>
          <w:tcPr>
            <w:tcW w:w="698" w:type="pct"/>
          </w:tcPr>
          <w:p w14:paraId="68449D15" w14:textId="77777777" w:rsidR="009B0E8B" w:rsidRPr="00B65CB9" w:rsidRDefault="009B0E8B">
            <w:pPr>
              <w:spacing w:after="120"/>
              <w:contextualSpacing/>
              <w:rPr>
                <w:b/>
                <w:bCs/>
                <w:szCs w:val="22"/>
              </w:rPr>
            </w:pPr>
            <w:r w:rsidRPr="00B65CB9">
              <w:rPr>
                <w:b/>
                <w:bCs/>
                <w:szCs w:val="22"/>
              </w:rPr>
              <w:t>Who is undertaking review / Name or names of reviewers</w:t>
            </w:r>
          </w:p>
        </w:tc>
        <w:tc>
          <w:tcPr>
            <w:tcW w:w="489" w:type="pct"/>
          </w:tcPr>
          <w:p w14:paraId="2B4B2A0A" w14:textId="77777777" w:rsidR="009B0E8B" w:rsidRPr="00B65CB9" w:rsidRDefault="009B0E8B">
            <w:pPr>
              <w:spacing w:after="120"/>
              <w:contextualSpacing/>
              <w:rPr>
                <w:b/>
                <w:bCs/>
                <w:szCs w:val="22"/>
              </w:rPr>
            </w:pPr>
            <w:r w:rsidRPr="00B65CB9">
              <w:rPr>
                <w:b/>
                <w:bCs/>
                <w:szCs w:val="22"/>
              </w:rPr>
              <w:t>Remuneration for each of the reviewer(s)</w:t>
            </w:r>
          </w:p>
        </w:tc>
        <w:tc>
          <w:tcPr>
            <w:tcW w:w="454" w:type="pct"/>
            <w:hideMark/>
          </w:tcPr>
          <w:p w14:paraId="7D987B53" w14:textId="77777777" w:rsidR="009B0E8B" w:rsidRPr="00B65CB9" w:rsidRDefault="009B0E8B">
            <w:pPr>
              <w:spacing w:after="120"/>
              <w:contextualSpacing/>
              <w:rPr>
                <w:szCs w:val="22"/>
              </w:rPr>
            </w:pPr>
            <w:r w:rsidRPr="00B65CB9">
              <w:rPr>
                <w:b/>
                <w:bCs/>
                <w:szCs w:val="22"/>
              </w:rPr>
              <w:t xml:space="preserve">Budgeted cost of Review </w:t>
            </w:r>
          </w:p>
        </w:tc>
        <w:tc>
          <w:tcPr>
            <w:tcW w:w="453" w:type="pct"/>
          </w:tcPr>
          <w:p w14:paraId="5DC01A1C" w14:textId="77777777" w:rsidR="009B0E8B" w:rsidRPr="00B65CB9" w:rsidRDefault="009B0E8B">
            <w:pPr>
              <w:spacing w:after="120"/>
              <w:contextualSpacing/>
              <w:rPr>
                <w:b/>
                <w:bCs/>
                <w:szCs w:val="22"/>
              </w:rPr>
            </w:pPr>
            <w:r w:rsidRPr="00B65CB9">
              <w:rPr>
                <w:b/>
                <w:bCs/>
                <w:szCs w:val="22"/>
              </w:rPr>
              <w:t>Amount spent to date</w:t>
            </w:r>
          </w:p>
        </w:tc>
        <w:tc>
          <w:tcPr>
            <w:tcW w:w="384" w:type="pct"/>
          </w:tcPr>
          <w:p w14:paraId="2DB680DC" w14:textId="77777777" w:rsidR="009B0E8B" w:rsidRPr="00B65CB9" w:rsidRDefault="009B0E8B">
            <w:pPr>
              <w:spacing w:after="120"/>
              <w:contextualSpacing/>
              <w:rPr>
                <w:b/>
                <w:bCs/>
                <w:szCs w:val="22"/>
              </w:rPr>
            </w:pPr>
            <w:r w:rsidRPr="00B65CB9">
              <w:rPr>
                <w:b/>
                <w:bCs/>
                <w:szCs w:val="22"/>
              </w:rPr>
              <w:t xml:space="preserve">Date due to be completed </w:t>
            </w:r>
          </w:p>
        </w:tc>
        <w:tc>
          <w:tcPr>
            <w:tcW w:w="384" w:type="pct"/>
          </w:tcPr>
          <w:p w14:paraId="4D7A45D9" w14:textId="77777777" w:rsidR="009B0E8B" w:rsidRPr="00B65CB9" w:rsidRDefault="009B0E8B">
            <w:pPr>
              <w:spacing w:after="120"/>
              <w:contextualSpacing/>
              <w:rPr>
                <w:b/>
                <w:bCs/>
                <w:szCs w:val="22"/>
              </w:rPr>
            </w:pPr>
            <w:r w:rsidRPr="00B65CB9">
              <w:rPr>
                <w:b/>
                <w:bCs/>
                <w:szCs w:val="22"/>
              </w:rPr>
              <w:t>Date Completed</w:t>
            </w:r>
          </w:p>
        </w:tc>
        <w:tc>
          <w:tcPr>
            <w:tcW w:w="593" w:type="pct"/>
            <w:hideMark/>
          </w:tcPr>
          <w:p w14:paraId="66D66C13" w14:textId="77777777" w:rsidR="009B0E8B" w:rsidRPr="00B65CB9" w:rsidRDefault="009B0E8B">
            <w:pPr>
              <w:spacing w:after="120"/>
              <w:contextualSpacing/>
              <w:rPr>
                <w:szCs w:val="22"/>
              </w:rPr>
            </w:pPr>
            <w:r w:rsidRPr="00B65CB9">
              <w:rPr>
                <w:b/>
                <w:bCs/>
                <w:szCs w:val="22"/>
              </w:rPr>
              <w:t>The date the review was provided to the Department</w:t>
            </w:r>
          </w:p>
        </w:tc>
        <w:tc>
          <w:tcPr>
            <w:tcW w:w="384" w:type="pct"/>
          </w:tcPr>
          <w:p w14:paraId="4AFCF15D" w14:textId="77777777" w:rsidR="009B0E8B" w:rsidRPr="00B65CB9" w:rsidRDefault="009B0E8B">
            <w:pPr>
              <w:spacing w:after="120"/>
              <w:contextualSpacing/>
              <w:rPr>
                <w:b/>
                <w:bCs/>
                <w:szCs w:val="22"/>
              </w:rPr>
            </w:pPr>
            <w:r w:rsidRPr="00B65CB9">
              <w:rPr>
                <w:b/>
                <w:bCs/>
                <w:szCs w:val="22"/>
              </w:rPr>
              <w:t>Date to Minister</w:t>
            </w:r>
          </w:p>
        </w:tc>
        <w:tc>
          <w:tcPr>
            <w:tcW w:w="409" w:type="pct"/>
          </w:tcPr>
          <w:p w14:paraId="64C45C2B" w14:textId="77777777" w:rsidR="009B0E8B" w:rsidRPr="00B65CB9" w:rsidRDefault="009B0E8B">
            <w:pPr>
              <w:spacing w:after="120"/>
              <w:contextualSpacing/>
              <w:rPr>
                <w:b/>
                <w:bCs/>
                <w:szCs w:val="22"/>
              </w:rPr>
            </w:pPr>
            <w:r w:rsidRPr="00B65CB9">
              <w:rPr>
                <w:b/>
                <w:bCs/>
                <w:szCs w:val="22"/>
              </w:rPr>
              <w:t>Date to Minister’s Office</w:t>
            </w:r>
          </w:p>
        </w:tc>
      </w:tr>
      <w:tr w:rsidR="00B65CB9" w:rsidRPr="00B65CB9" w14:paraId="055B2388" w14:textId="77777777" w:rsidTr="00B65CB9">
        <w:tc>
          <w:tcPr>
            <w:tcW w:w="752" w:type="pct"/>
          </w:tcPr>
          <w:p w14:paraId="6643DA80" w14:textId="77777777" w:rsidR="00B65CB9" w:rsidRPr="00B65CB9" w:rsidRDefault="00B65CB9" w:rsidP="00B65CB9">
            <w:pPr>
              <w:rPr>
                <w:rFonts w:cstheme="minorHAnsi"/>
                <w:szCs w:val="22"/>
                <w:lang w:val="en-US"/>
              </w:rPr>
            </w:pPr>
            <w:r w:rsidRPr="00B65CB9">
              <w:rPr>
                <w:rFonts w:cstheme="minorHAnsi"/>
                <w:szCs w:val="22"/>
                <w:lang w:val="en-US"/>
              </w:rPr>
              <w:t>A multi-year evaluation is underway to assess the impact of reforms to the PPL scheme from 1 July 2023.</w:t>
            </w:r>
          </w:p>
          <w:p w14:paraId="09AB4C69" w14:textId="54225098" w:rsidR="00B65CB9" w:rsidRPr="00B65CB9" w:rsidRDefault="00B65CB9" w:rsidP="00B65CB9">
            <w:pPr>
              <w:spacing w:after="120"/>
              <w:contextualSpacing/>
              <w:rPr>
                <w:rFonts w:cstheme="minorHAnsi"/>
                <w:szCs w:val="22"/>
                <w:lang w:val="en-US"/>
              </w:rPr>
            </w:pPr>
            <w:r w:rsidRPr="00B65CB9">
              <w:rPr>
                <w:rFonts w:cstheme="minorHAnsi"/>
                <w:szCs w:val="22"/>
                <w:lang w:val="en-US"/>
              </w:rPr>
              <w:t xml:space="preserve">Phase 2 was designed to assess the reach and equity of the PPL scheme; establish a baseline of parental leave-taking behaviours; examine the interactions between PPL and employer-funded leave; and assess knowledge about, and support for, the PPL scheme. </w:t>
            </w:r>
          </w:p>
        </w:tc>
        <w:tc>
          <w:tcPr>
            <w:tcW w:w="698" w:type="pct"/>
          </w:tcPr>
          <w:p w14:paraId="0B9F1BBC" w14:textId="437AA6DE" w:rsidR="00B65CB9" w:rsidRPr="00B65CB9" w:rsidRDefault="00B65CB9" w:rsidP="00B65CB9">
            <w:pPr>
              <w:spacing w:after="120"/>
              <w:contextualSpacing/>
              <w:rPr>
                <w:rFonts w:cstheme="minorHAnsi"/>
                <w:szCs w:val="22"/>
                <w:lang w:val="en-US"/>
              </w:rPr>
            </w:pPr>
            <w:r w:rsidRPr="00B65CB9">
              <w:rPr>
                <w:rFonts w:cstheme="minorHAnsi"/>
                <w:szCs w:val="22"/>
                <w:lang w:val="en-US"/>
              </w:rPr>
              <w:t>Australian National University</w:t>
            </w:r>
          </w:p>
        </w:tc>
        <w:tc>
          <w:tcPr>
            <w:tcW w:w="489" w:type="pct"/>
          </w:tcPr>
          <w:p w14:paraId="71F7A8A0" w14:textId="53606FB5" w:rsidR="00B65CB9" w:rsidRPr="00B65CB9" w:rsidRDefault="00B65CB9" w:rsidP="00B65CB9">
            <w:pPr>
              <w:spacing w:after="120"/>
              <w:contextualSpacing/>
              <w:rPr>
                <w:rFonts w:cstheme="minorHAnsi"/>
                <w:szCs w:val="22"/>
                <w:lang w:val="en-US"/>
              </w:rPr>
            </w:pPr>
            <w:r w:rsidRPr="00B65CB9">
              <w:rPr>
                <w:rFonts w:cstheme="minorHAnsi"/>
                <w:szCs w:val="22"/>
                <w:lang w:val="en-US"/>
              </w:rPr>
              <w:t>N/A</w:t>
            </w:r>
          </w:p>
        </w:tc>
        <w:tc>
          <w:tcPr>
            <w:tcW w:w="454" w:type="pct"/>
          </w:tcPr>
          <w:p w14:paraId="450CFE35" w14:textId="35AA6386" w:rsidR="00B65CB9" w:rsidRPr="00B65CB9" w:rsidRDefault="00B65CB9" w:rsidP="00B65CB9">
            <w:pPr>
              <w:spacing w:after="120"/>
              <w:contextualSpacing/>
              <w:rPr>
                <w:rFonts w:cstheme="minorHAnsi"/>
                <w:szCs w:val="22"/>
                <w:lang w:val="en-US"/>
              </w:rPr>
            </w:pPr>
            <w:r w:rsidRPr="00B65CB9">
              <w:rPr>
                <w:rFonts w:cstheme="minorHAnsi"/>
                <w:szCs w:val="22"/>
              </w:rPr>
              <w:t>366,485.00 (GST inclusive)</w:t>
            </w:r>
          </w:p>
        </w:tc>
        <w:tc>
          <w:tcPr>
            <w:tcW w:w="453" w:type="pct"/>
          </w:tcPr>
          <w:p w14:paraId="1E81094E" w14:textId="64B8CD51" w:rsidR="00B65CB9" w:rsidRPr="00B65CB9" w:rsidRDefault="00B65CB9" w:rsidP="00B65CB9">
            <w:pPr>
              <w:spacing w:after="120"/>
              <w:contextualSpacing/>
              <w:rPr>
                <w:rFonts w:cstheme="minorHAnsi"/>
                <w:szCs w:val="22"/>
                <w:lang w:val="en-US"/>
              </w:rPr>
            </w:pPr>
            <w:r w:rsidRPr="00B65CB9">
              <w:rPr>
                <w:rFonts w:cstheme="minorHAnsi"/>
                <w:szCs w:val="22"/>
              </w:rPr>
              <w:t>366,485.00 (GST inclusive)</w:t>
            </w:r>
          </w:p>
        </w:tc>
        <w:tc>
          <w:tcPr>
            <w:tcW w:w="384" w:type="pct"/>
          </w:tcPr>
          <w:p w14:paraId="574EA4D7" w14:textId="20A97AC3" w:rsidR="00B65CB9" w:rsidRPr="00B65CB9" w:rsidRDefault="00B65CB9" w:rsidP="00B65CB9">
            <w:pPr>
              <w:spacing w:after="120"/>
              <w:contextualSpacing/>
              <w:rPr>
                <w:rFonts w:cstheme="minorHAnsi"/>
                <w:szCs w:val="22"/>
                <w:lang w:val="en-US"/>
              </w:rPr>
            </w:pPr>
            <w:r w:rsidRPr="00B65CB9">
              <w:rPr>
                <w:rFonts w:cstheme="minorHAnsi"/>
                <w:szCs w:val="22"/>
                <w:lang w:val="en-US"/>
              </w:rPr>
              <w:t>30 September 2025</w:t>
            </w:r>
          </w:p>
        </w:tc>
        <w:tc>
          <w:tcPr>
            <w:tcW w:w="384" w:type="pct"/>
          </w:tcPr>
          <w:p w14:paraId="7F16AC16" w14:textId="20D7589E" w:rsidR="00B65CB9" w:rsidRPr="00B65CB9" w:rsidRDefault="00B65CB9" w:rsidP="00B65CB9">
            <w:pPr>
              <w:spacing w:after="120"/>
              <w:contextualSpacing/>
              <w:rPr>
                <w:rFonts w:cstheme="minorHAnsi"/>
                <w:szCs w:val="22"/>
                <w:lang w:val="en-US"/>
              </w:rPr>
            </w:pPr>
            <w:r w:rsidRPr="00B65CB9">
              <w:rPr>
                <w:rFonts w:cstheme="minorHAnsi"/>
                <w:szCs w:val="22"/>
                <w:lang w:val="en-US"/>
              </w:rPr>
              <w:t>17 March 2026</w:t>
            </w:r>
          </w:p>
        </w:tc>
        <w:tc>
          <w:tcPr>
            <w:tcW w:w="593" w:type="pct"/>
          </w:tcPr>
          <w:p w14:paraId="23D4BBFC" w14:textId="006F6DB5" w:rsidR="00B65CB9" w:rsidRPr="00B65CB9" w:rsidRDefault="00B65CB9" w:rsidP="00B65CB9">
            <w:pPr>
              <w:spacing w:after="120"/>
              <w:contextualSpacing/>
              <w:rPr>
                <w:rFonts w:cstheme="minorHAnsi"/>
                <w:szCs w:val="22"/>
                <w:lang w:val="en-US"/>
              </w:rPr>
            </w:pPr>
            <w:r w:rsidRPr="00B65CB9">
              <w:rPr>
                <w:rFonts w:cstheme="minorHAnsi"/>
                <w:szCs w:val="22"/>
                <w:lang w:val="en-US"/>
              </w:rPr>
              <w:t>17 March 2026</w:t>
            </w:r>
          </w:p>
        </w:tc>
        <w:tc>
          <w:tcPr>
            <w:tcW w:w="384" w:type="pct"/>
          </w:tcPr>
          <w:p w14:paraId="333C6CEB" w14:textId="4DD07718" w:rsidR="00B65CB9" w:rsidRPr="00B65CB9" w:rsidRDefault="00B65CB9" w:rsidP="00B65CB9">
            <w:pPr>
              <w:spacing w:after="120"/>
              <w:contextualSpacing/>
              <w:rPr>
                <w:rFonts w:cstheme="minorHAnsi"/>
                <w:szCs w:val="22"/>
                <w:lang w:val="en-US"/>
              </w:rPr>
            </w:pPr>
            <w:r w:rsidRPr="00B65CB9">
              <w:rPr>
                <w:rFonts w:cstheme="minorHAnsi"/>
                <w:szCs w:val="22"/>
                <w:lang w:val="en-US"/>
              </w:rPr>
              <w:t>N/A</w:t>
            </w:r>
          </w:p>
        </w:tc>
        <w:tc>
          <w:tcPr>
            <w:tcW w:w="409" w:type="pct"/>
          </w:tcPr>
          <w:p w14:paraId="302B39F4" w14:textId="5175B25B" w:rsidR="00B65CB9" w:rsidRPr="00B65CB9" w:rsidRDefault="00B65CB9" w:rsidP="00B65CB9">
            <w:pPr>
              <w:spacing w:after="120"/>
              <w:contextualSpacing/>
              <w:rPr>
                <w:rFonts w:cstheme="minorHAnsi"/>
                <w:szCs w:val="22"/>
                <w:lang w:val="en-US"/>
              </w:rPr>
            </w:pPr>
            <w:r w:rsidRPr="00B65CB9">
              <w:rPr>
                <w:rFonts w:cstheme="minorHAnsi"/>
                <w:szCs w:val="22"/>
                <w:lang w:val="en-US"/>
              </w:rPr>
              <w:t>N/A</w:t>
            </w:r>
          </w:p>
        </w:tc>
      </w:tr>
    </w:tbl>
    <w:p w14:paraId="64B29CA2" w14:textId="77777777" w:rsidR="009B0E8B" w:rsidRDefault="009B0E8B" w:rsidP="001673C6"/>
    <w:p w14:paraId="06623A66" w14:textId="77777777" w:rsidR="00883640" w:rsidRDefault="00883640" w:rsidP="00883640"/>
    <w:p w14:paraId="4ADDA9A2" w14:textId="6100C4A9" w:rsidR="00E92741" w:rsidRPr="00E61853" w:rsidRDefault="005F0359" w:rsidP="00E92741">
      <w:pPr>
        <w:pStyle w:val="Heading2"/>
        <w:rPr>
          <w:b/>
          <w:bCs w:val="0"/>
        </w:rPr>
      </w:pPr>
      <w:r w:rsidRPr="00E61853">
        <w:rPr>
          <w:b/>
          <w:bCs w:val="0"/>
        </w:rPr>
        <w:t>I</w:t>
      </w:r>
      <w:r w:rsidR="00E92741" w:rsidRPr="00E61853">
        <w:rPr>
          <w:b/>
          <w:bCs w:val="0"/>
        </w:rPr>
        <w:t>nternal reviews were completed between 1 March 2026 to 30 June 2026.</w:t>
      </w:r>
    </w:p>
    <w:p w14:paraId="1A9F3913" w14:textId="772EDE45" w:rsidR="005F0359" w:rsidRPr="005F0359" w:rsidRDefault="005F0359" w:rsidP="005F0359">
      <w:r>
        <w:t xml:space="preserve">Nil. </w:t>
      </w:r>
      <w:bookmarkEnd w:id="2"/>
      <w:bookmarkEnd w:id="3"/>
    </w:p>
    <w:sectPr w:rsidR="005F0359" w:rsidRPr="005F0359" w:rsidSect="00C3515D">
      <w:footerReference w:type="default" r:id="rId9"/>
      <w:footerReference w:type="first" r:id="rId10"/>
      <w:type w:val="continuous"/>
      <w:pgSz w:w="23814" w:h="16840"/>
      <w:pgMar w:top="851" w:right="851" w:bottom="851"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6A0D" w14:textId="77777777" w:rsidR="00F75629" w:rsidRDefault="00F75629" w:rsidP="008F3023">
      <w:pPr>
        <w:spacing w:after="0" w:line="240" w:lineRule="auto"/>
      </w:pPr>
      <w:r>
        <w:separator/>
      </w:r>
    </w:p>
  </w:endnote>
  <w:endnote w:type="continuationSeparator" w:id="0">
    <w:p w14:paraId="6663DA0B" w14:textId="77777777" w:rsidR="00F75629" w:rsidRDefault="00F75629" w:rsidP="008F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29123"/>
      <w:docPartObj>
        <w:docPartGallery w:val="Page Numbers (Bottom of Page)"/>
        <w:docPartUnique/>
      </w:docPartObj>
    </w:sdtPr>
    <w:sdtEndPr/>
    <w:sdtContent>
      <w:sdt>
        <w:sdtPr>
          <w:id w:val="-1769616900"/>
          <w:docPartObj>
            <w:docPartGallery w:val="Page Numbers (Top of Page)"/>
            <w:docPartUnique/>
          </w:docPartObj>
        </w:sdtPr>
        <w:sdtEndPr/>
        <w:sdtContent>
          <w:p w14:paraId="7EBDCF32" w14:textId="77777777" w:rsidR="00C3515D" w:rsidRDefault="00C3515D">
            <w:pPr>
              <w:pStyle w:val="Footer"/>
              <w:jc w:val="right"/>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p w14:paraId="44768C45" w14:textId="77777777" w:rsidR="00C3515D" w:rsidRDefault="00C3515D">
            <w:pPr>
              <w:pStyle w:val="Footer"/>
              <w:jc w:val="right"/>
              <w:rPr>
                <w:b/>
                <w:bCs/>
                <w:sz w:val="24"/>
              </w:rPr>
            </w:pPr>
          </w:p>
          <w:p w14:paraId="3D8F391A" w14:textId="77777777" w:rsidR="00622CD5" w:rsidRDefault="00622CD5">
            <w:pPr>
              <w:pStyle w:val="Footer"/>
              <w:jc w:val="right"/>
              <w:rPr>
                <w:b/>
                <w:bCs/>
                <w:sz w:val="24"/>
              </w:rPr>
            </w:pPr>
          </w:p>
          <w:p w14:paraId="54373947" w14:textId="1A6F1017" w:rsidR="00C3515D" w:rsidRDefault="00C3515D">
            <w:pPr>
              <w:pStyle w:val="Footer"/>
              <w:jc w:val="right"/>
            </w:pPr>
            <w:r>
              <w:rPr>
                <w:noProof/>
                <w:lang w:eastAsia="en-AU"/>
              </w:rPr>
              <w:drawing>
                <wp:anchor distT="0" distB="0" distL="114300" distR="114300" simplePos="0" relativeHeight="251658241" behindDoc="1" locked="1" layoutInCell="1" allowOverlap="1" wp14:anchorId="31C91514" wp14:editId="74BB5A8C">
                  <wp:simplePos x="0" y="0"/>
                  <wp:positionH relativeFrom="page">
                    <wp:posOffset>13579475</wp:posOffset>
                  </wp:positionH>
                  <wp:positionV relativeFrom="page">
                    <wp:posOffset>9582785</wp:posOffset>
                  </wp:positionV>
                  <wp:extent cx="1522730" cy="1094105"/>
                  <wp:effectExtent l="0" t="0" r="1270" b="0"/>
                  <wp:wrapNone/>
                  <wp:docPr id="903461319" name="MicrosoftTeams-image (15).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61319" name="MicrosoftTeams-image (15).png">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730" cy="1094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sdtContent>
  </w:sdt>
  <w:p w14:paraId="60EC1F9A" w14:textId="5456A6C1" w:rsidR="00FB119D" w:rsidRDefault="00FB119D" w:rsidP="00FB119D">
    <w:pPr>
      <w:pStyle w:val="Spac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601D" w14:textId="77777777" w:rsidR="00281DFB" w:rsidRDefault="00765A7C" w:rsidP="00A81138">
    <w:pPr>
      <w:pStyle w:val="Spacer"/>
    </w:pPr>
    <w:r>
      <w:rPr>
        <w:noProof/>
        <w:lang w:eastAsia="en-AU"/>
      </w:rPr>
      <w:drawing>
        <wp:anchor distT="0" distB="0" distL="114300" distR="114300" simplePos="0" relativeHeight="251658240" behindDoc="1" locked="1" layoutInCell="1" allowOverlap="1" wp14:anchorId="2778CA3C" wp14:editId="5FF324A8">
          <wp:simplePos x="0" y="0"/>
          <wp:positionH relativeFrom="page">
            <wp:align>right</wp:align>
          </wp:positionH>
          <wp:positionV relativeFrom="page">
            <wp:align>bottom</wp:align>
          </wp:positionV>
          <wp:extent cx="1522800" cy="1094400"/>
          <wp:effectExtent l="0" t="0" r="127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800" cy="109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3F2FE6" w14:textId="77777777" w:rsidR="00F85669" w:rsidRDefault="00F85669"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D01F1" w14:textId="77777777" w:rsidR="00F75629" w:rsidRDefault="00F75629" w:rsidP="008F3023">
      <w:pPr>
        <w:spacing w:after="0" w:line="240" w:lineRule="auto"/>
      </w:pPr>
      <w:r>
        <w:separator/>
      </w:r>
    </w:p>
  </w:footnote>
  <w:footnote w:type="continuationSeparator" w:id="0">
    <w:p w14:paraId="03D7F6CA" w14:textId="77777777" w:rsidR="00F75629" w:rsidRDefault="00F75629" w:rsidP="008F3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ED7"/>
    <w:multiLevelType w:val="hybridMultilevel"/>
    <w:tmpl w:val="C638DE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48C2EA5"/>
    <w:multiLevelType w:val="hybridMultilevel"/>
    <w:tmpl w:val="6660D6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7C4A6C4"/>
    <w:multiLevelType w:val="hybridMultilevel"/>
    <w:tmpl w:val="A07C6000"/>
    <w:lvl w:ilvl="0" w:tplc="5950DF88">
      <w:start w:val="1"/>
      <w:numFmt w:val="bullet"/>
      <w:lvlText w:val=""/>
      <w:lvlJc w:val="left"/>
      <w:pPr>
        <w:ind w:left="360" w:hanging="360"/>
      </w:pPr>
      <w:rPr>
        <w:rFonts w:ascii="Symbol" w:hAnsi="Symbol" w:hint="default"/>
      </w:rPr>
    </w:lvl>
    <w:lvl w:ilvl="1" w:tplc="FD10D88A">
      <w:start w:val="1"/>
      <w:numFmt w:val="bullet"/>
      <w:lvlText w:val="o"/>
      <w:lvlJc w:val="left"/>
      <w:pPr>
        <w:ind w:left="1440" w:hanging="360"/>
      </w:pPr>
      <w:rPr>
        <w:rFonts w:ascii="Courier New" w:hAnsi="Courier New" w:hint="default"/>
      </w:rPr>
    </w:lvl>
    <w:lvl w:ilvl="2" w:tplc="C9A66FA2">
      <w:start w:val="1"/>
      <w:numFmt w:val="bullet"/>
      <w:lvlText w:val=""/>
      <w:lvlJc w:val="left"/>
      <w:pPr>
        <w:ind w:left="2160" w:hanging="360"/>
      </w:pPr>
      <w:rPr>
        <w:rFonts w:ascii="Wingdings" w:hAnsi="Wingdings" w:hint="default"/>
      </w:rPr>
    </w:lvl>
    <w:lvl w:ilvl="3" w:tplc="0220E448">
      <w:start w:val="1"/>
      <w:numFmt w:val="bullet"/>
      <w:lvlText w:val=""/>
      <w:lvlJc w:val="left"/>
      <w:pPr>
        <w:ind w:left="2880" w:hanging="360"/>
      </w:pPr>
      <w:rPr>
        <w:rFonts w:ascii="Symbol" w:hAnsi="Symbol" w:hint="default"/>
      </w:rPr>
    </w:lvl>
    <w:lvl w:ilvl="4" w:tplc="1FB60DC2">
      <w:start w:val="1"/>
      <w:numFmt w:val="bullet"/>
      <w:lvlText w:val="o"/>
      <w:lvlJc w:val="left"/>
      <w:pPr>
        <w:ind w:left="3600" w:hanging="360"/>
      </w:pPr>
      <w:rPr>
        <w:rFonts w:ascii="Courier New" w:hAnsi="Courier New" w:hint="default"/>
      </w:rPr>
    </w:lvl>
    <w:lvl w:ilvl="5" w:tplc="2FDEABB6">
      <w:start w:val="1"/>
      <w:numFmt w:val="bullet"/>
      <w:lvlText w:val=""/>
      <w:lvlJc w:val="left"/>
      <w:pPr>
        <w:ind w:left="4320" w:hanging="360"/>
      </w:pPr>
      <w:rPr>
        <w:rFonts w:ascii="Wingdings" w:hAnsi="Wingdings" w:hint="default"/>
      </w:rPr>
    </w:lvl>
    <w:lvl w:ilvl="6" w:tplc="FE4C3B26">
      <w:start w:val="1"/>
      <w:numFmt w:val="bullet"/>
      <w:lvlText w:val=""/>
      <w:lvlJc w:val="left"/>
      <w:pPr>
        <w:ind w:left="5040" w:hanging="360"/>
      </w:pPr>
      <w:rPr>
        <w:rFonts w:ascii="Symbol" w:hAnsi="Symbol" w:hint="default"/>
      </w:rPr>
    </w:lvl>
    <w:lvl w:ilvl="7" w:tplc="ABEC1E5A">
      <w:start w:val="1"/>
      <w:numFmt w:val="bullet"/>
      <w:lvlText w:val="o"/>
      <w:lvlJc w:val="left"/>
      <w:pPr>
        <w:ind w:left="5760" w:hanging="360"/>
      </w:pPr>
      <w:rPr>
        <w:rFonts w:ascii="Courier New" w:hAnsi="Courier New" w:hint="default"/>
      </w:rPr>
    </w:lvl>
    <w:lvl w:ilvl="8" w:tplc="A5507562">
      <w:start w:val="1"/>
      <w:numFmt w:val="bullet"/>
      <w:lvlText w:val=""/>
      <w:lvlJc w:val="left"/>
      <w:pPr>
        <w:ind w:left="6480" w:hanging="360"/>
      </w:pPr>
      <w:rPr>
        <w:rFonts w:ascii="Wingdings" w:hAnsi="Wingdings" w:hint="default"/>
      </w:rPr>
    </w:lvl>
  </w:abstractNum>
  <w:abstractNum w:abstractNumId="3" w15:restartNumberingAfterBreak="0">
    <w:nsid w:val="482B663C"/>
    <w:multiLevelType w:val="hybridMultilevel"/>
    <w:tmpl w:val="B562E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9C5140"/>
    <w:multiLevelType w:val="multilevel"/>
    <w:tmpl w:val="34064D7C"/>
    <w:lvl w:ilvl="0">
      <w:start w:val="1"/>
      <w:numFmt w:val="bullet"/>
      <w:pStyle w:val="ListParagraph"/>
      <w:lvlText w:val=""/>
      <w:lvlJc w:val="left"/>
      <w:pPr>
        <w:ind w:left="360" w:hanging="360"/>
      </w:pPr>
      <w:rPr>
        <w:rFonts w:ascii="Symbol" w:hAnsi="Symbol"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DC81459"/>
    <w:multiLevelType w:val="multilevel"/>
    <w:tmpl w:val="68224E6C"/>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19C60B6"/>
    <w:multiLevelType w:val="hybridMultilevel"/>
    <w:tmpl w:val="FD123B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0AC4A92"/>
    <w:multiLevelType w:val="hybridMultilevel"/>
    <w:tmpl w:val="B6BE4D6C"/>
    <w:lvl w:ilvl="0" w:tplc="FFFFFFFF">
      <w:start w:val="1"/>
      <w:numFmt w:val="bullet"/>
      <w:lvlText w:val=""/>
      <w:lvlJc w:val="left"/>
      <w:pPr>
        <w:ind w:left="450" w:hanging="360"/>
      </w:pPr>
      <w:rPr>
        <w:rFonts w:ascii="Symbol" w:hAnsi="Symbol" w:hint="default"/>
      </w:rPr>
    </w:lvl>
    <w:lvl w:ilvl="1" w:tplc="0C090003">
      <w:start w:val="1"/>
      <w:numFmt w:val="bullet"/>
      <w:lvlText w:val="o"/>
      <w:lvlJc w:val="left"/>
      <w:pPr>
        <w:ind w:left="1170" w:hanging="360"/>
      </w:pPr>
      <w:rPr>
        <w:rFonts w:ascii="Courier New" w:hAnsi="Courier New" w:cs="Courier New" w:hint="default"/>
      </w:rPr>
    </w:lvl>
    <w:lvl w:ilvl="2" w:tplc="FFFFFFFF">
      <w:start w:val="1"/>
      <w:numFmt w:val="bullet"/>
      <w:lvlText w:val=""/>
      <w:lvlJc w:val="left"/>
      <w:pPr>
        <w:ind w:left="1890" w:hanging="360"/>
      </w:pPr>
      <w:rPr>
        <w:rFonts w:ascii="Wingdings" w:hAnsi="Wingdings" w:hint="default"/>
      </w:rPr>
    </w:lvl>
    <w:lvl w:ilvl="3" w:tplc="FFFFFFFF">
      <w:start w:val="1"/>
      <w:numFmt w:val="bullet"/>
      <w:lvlText w:val=""/>
      <w:lvlJc w:val="left"/>
      <w:pPr>
        <w:ind w:left="2610" w:hanging="360"/>
      </w:pPr>
      <w:rPr>
        <w:rFonts w:ascii="Symbol" w:hAnsi="Symbol" w:hint="default"/>
      </w:rPr>
    </w:lvl>
    <w:lvl w:ilvl="4" w:tplc="FFFFFFFF">
      <w:start w:val="1"/>
      <w:numFmt w:val="bullet"/>
      <w:lvlText w:val="o"/>
      <w:lvlJc w:val="left"/>
      <w:pPr>
        <w:ind w:left="3330" w:hanging="360"/>
      </w:pPr>
      <w:rPr>
        <w:rFonts w:ascii="Courier New" w:hAnsi="Courier New" w:cs="Courier New" w:hint="default"/>
      </w:rPr>
    </w:lvl>
    <w:lvl w:ilvl="5" w:tplc="FFFFFFFF">
      <w:start w:val="1"/>
      <w:numFmt w:val="bullet"/>
      <w:lvlText w:val=""/>
      <w:lvlJc w:val="left"/>
      <w:pPr>
        <w:ind w:left="4050" w:hanging="360"/>
      </w:pPr>
      <w:rPr>
        <w:rFonts w:ascii="Wingdings" w:hAnsi="Wingdings" w:hint="default"/>
      </w:rPr>
    </w:lvl>
    <w:lvl w:ilvl="6" w:tplc="FFFFFFFF">
      <w:start w:val="1"/>
      <w:numFmt w:val="bullet"/>
      <w:lvlText w:val=""/>
      <w:lvlJc w:val="left"/>
      <w:pPr>
        <w:ind w:left="4770" w:hanging="360"/>
      </w:pPr>
      <w:rPr>
        <w:rFonts w:ascii="Symbol" w:hAnsi="Symbol" w:hint="default"/>
      </w:rPr>
    </w:lvl>
    <w:lvl w:ilvl="7" w:tplc="FFFFFFFF">
      <w:start w:val="1"/>
      <w:numFmt w:val="bullet"/>
      <w:lvlText w:val="o"/>
      <w:lvlJc w:val="left"/>
      <w:pPr>
        <w:ind w:left="5490" w:hanging="360"/>
      </w:pPr>
      <w:rPr>
        <w:rFonts w:ascii="Courier New" w:hAnsi="Courier New" w:cs="Courier New" w:hint="default"/>
      </w:rPr>
    </w:lvl>
    <w:lvl w:ilvl="8" w:tplc="FFFFFFFF">
      <w:start w:val="1"/>
      <w:numFmt w:val="bullet"/>
      <w:lvlText w:val=""/>
      <w:lvlJc w:val="left"/>
      <w:pPr>
        <w:ind w:left="6210" w:hanging="360"/>
      </w:pPr>
      <w:rPr>
        <w:rFonts w:ascii="Wingdings" w:hAnsi="Wingdings" w:hint="default"/>
      </w:rPr>
    </w:lvl>
  </w:abstractNum>
  <w:abstractNum w:abstractNumId="8"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9" w15:restartNumberingAfterBreak="0">
    <w:nsid w:val="7EE86FC5"/>
    <w:multiLevelType w:val="multilevel"/>
    <w:tmpl w:val="38126A0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Tahoma" w:hAnsi="Tahoma" w:hint="default"/>
      </w:rPr>
    </w:lvl>
    <w:lvl w:ilvl="2">
      <w:start w:val="1"/>
      <w:numFmt w:val="bullet"/>
      <w:pStyle w:val="ListBullet3"/>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1276790422">
    <w:abstractNumId w:val="8"/>
  </w:num>
  <w:num w:numId="2" w16cid:durableId="501120408">
    <w:abstractNumId w:val="9"/>
  </w:num>
  <w:num w:numId="3" w16cid:durableId="467674953">
    <w:abstractNumId w:val="4"/>
  </w:num>
  <w:num w:numId="4" w16cid:durableId="167907941">
    <w:abstractNumId w:val="5"/>
  </w:num>
  <w:num w:numId="5" w16cid:durableId="565456613">
    <w:abstractNumId w:val="7"/>
  </w:num>
  <w:num w:numId="6" w16cid:durableId="232161029">
    <w:abstractNumId w:val="3"/>
  </w:num>
  <w:num w:numId="7" w16cid:durableId="1652560398">
    <w:abstractNumId w:val="6"/>
  </w:num>
  <w:num w:numId="8" w16cid:durableId="122238116">
    <w:abstractNumId w:val="1"/>
  </w:num>
  <w:num w:numId="9" w16cid:durableId="155851515">
    <w:abstractNumId w:val="0"/>
  </w:num>
  <w:num w:numId="10" w16cid:durableId="116157907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67"/>
    <w:rsid w:val="00001993"/>
    <w:rsid w:val="000135AF"/>
    <w:rsid w:val="000140B8"/>
    <w:rsid w:val="000143CD"/>
    <w:rsid w:val="000317E3"/>
    <w:rsid w:val="00033D8F"/>
    <w:rsid w:val="00043728"/>
    <w:rsid w:val="00044684"/>
    <w:rsid w:val="00046C84"/>
    <w:rsid w:val="0006185B"/>
    <w:rsid w:val="00062B78"/>
    <w:rsid w:val="00064140"/>
    <w:rsid w:val="000750D2"/>
    <w:rsid w:val="00081610"/>
    <w:rsid w:val="000826C8"/>
    <w:rsid w:val="00091761"/>
    <w:rsid w:val="00091ABE"/>
    <w:rsid w:val="00094AB3"/>
    <w:rsid w:val="00095FB0"/>
    <w:rsid w:val="000B20EA"/>
    <w:rsid w:val="000C1697"/>
    <w:rsid w:val="000C2470"/>
    <w:rsid w:val="000C4A0F"/>
    <w:rsid w:val="000D5965"/>
    <w:rsid w:val="000D7FCB"/>
    <w:rsid w:val="000E6227"/>
    <w:rsid w:val="000E7EFE"/>
    <w:rsid w:val="000F6545"/>
    <w:rsid w:val="000F7266"/>
    <w:rsid w:val="000F75FC"/>
    <w:rsid w:val="00100337"/>
    <w:rsid w:val="0010625C"/>
    <w:rsid w:val="00125754"/>
    <w:rsid w:val="00131835"/>
    <w:rsid w:val="001408FB"/>
    <w:rsid w:val="001430B2"/>
    <w:rsid w:val="001510D7"/>
    <w:rsid w:val="001574ED"/>
    <w:rsid w:val="00161696"/>
    <w:rsid w:val="001673C6"/>
    <w:rsid w:val="001832E4"/>
    <w:rsid w:val="00190957"/>
    <w:rsid w:val="00195FBC"/>
    <w:rsid w:val="001A7461"/>
    <w:rsid w:val="001C187F"/>
    <w:rsid w:val="001C1C81"/>
    <w:rsid w:val="001C3054"/>
    <w:rsid w:val="001C75E9"/>
    <w:rsid w:val="001D0F6D"/>
    <w:rsid w:val="001E35E6"/>
    <w:rsid w:val="001E630D"/>
    <w:rsid w:val="001F6546"/>
    <w:rsid w:val="00203380"/>
    <w:rsid w:val="002238D5"/>
    <w:rsid w:val="002346B5"/>
    <w:rsid w:val="00240A6E"/>
    <w:rsid w:val="00245F60"/>
    <w:rsid w:val="00247092"/>
    <w:rsid w:val="002511D9"/>
    <w:rsid w:val="00253ADF"/>
    <w:rsid w:val="00261EF7"/>
    <w:rsid w:val="00262CDD"/>
    <w:rsid w:val="00266574"/>
    <w:rsid w:val="002725DA"/>
    <w:rsid w:val="002747D6"/>
    <w:rsid w:val="00275EA9"/>
    <w:rsid w:val="00281130"/>
    <w:rsid w:val="00281DFB"/>
    <w:rsid w:val="00282835"/>
    <w:rsid w:val="002934C5"/>
    <w:rsid w:val="002949FB"/>
    <w:rsid w:val="00295934"/>
    <w:rsid w:val="00297512"/>
    <w:rsid w:val="002B3CC6"/>
    <w:rsid w:val="002B7002"/>
    <w:rsid w:val="002C12A7"/>
    <w:rsid w:val="002C6BBF"/>
    <w:rsid w:val="002D12E2"/>
    <w:rsid w:val="002D2323"/>
    <w:rsid w:val="002D29AB"/>
    <w:rsid w:val="00311FC7"/>
    <w:rsid w:val="00313AAA"/>
    <w:rsid w:val="0031490B"/>
    <w:rsid w:val="003331C9"/>
    <w:rsid w:val="00335A14"/>
    <w:rsid w:val="00337926"/>
    <w:rsid w:val="0034399F"/>
    <w:rsid w:val="003471DC"/>
    <w:rsid w:val="003475B3"/>
    <w:rsid w:val="00347FE0"/>
    <w:rsid w:val="003646FD"/>
    <w:rsid w:val="0037075A"/>
    <w:rsid w:val="003738BB"/>
    <w:rsid w:val="00375341"/>
    <w:rsid w:val="0038044C"/>
    <w:rsid w:val="003A70C3"/>
    <w:rsid w:val="003B0D19"/>
    <w:rsid w:val="003B22B5"/>
    <w:rsid w:val="003B2BB8"/>
    <w:rsid w:val="003B7424"/>
    <w:rsid w:val="003D34FF"/>
    <w:rsid w:val="003E0A57"/>
    <w:rsid w:val="003E10A6"/>
    <w:rsid w:val="003E2B62"/>
    <w:rsid w:val="003F3F15"/>
    <w:rsid w:val="003F425B"/>
    <w:rsid w:val="003F70AA"/>
    <w:rsid w:val="00403055"/>
    <w:rsid w:val="00412AEF"/>
    <w:rsid w:val="00415B6C"/>
    <w:rsid w:val="00422423"/>
    <w:rsid w:val="00422987"/>
    <w:rsid w:val="004243F2"/>
    <w:rsid w:val="004354E6"/>
    <w:rsid w:val="00440CB8"/>
    <w:rsid w:val="004417E4"/>
    <w:rsid w:val="00441FD7"/>
    <w:rsid w:val="00444059"/>
    <w:rsid w:val="0045365D"/>
    <w:rsid w:val="00453ED0"/>
    <w:rsid w:val="00465BD2"/>
    <w:rsid w:val="00471456"/>
    <w:rsid w:val="0047261D"/>
    <w:rsid w:val="004742C2"/>
    <w:rsid w:val="004837A4"/>
    <w:rsid w:val="00490F3B"/>
    <w:rsid w:val="00492A41"/>
    <w:rsid w:val="004A087E"/>
    <w:rsid w:val="004A2151"/>
    <w:rsid w:val="004A4044"/>
    <w:rsid w:val="004A5A95"/>
    <w:rsid w:val="004B3D71"/>
    <w:rsid w:val="004B4519"/>
    <w:rsid w:val="004B54CA"/>
    <w:rsid w:val="004B5F09"/>
    <w:rsid w:val="004B648E"/>
    <w:rsid w:val="004B653B"/>
    <w:rsid w:val="004C1D78"/>
    <w:rsid w:val="004E5CBF"/>
    <w:rsid w:val="004E704E"/>
    <w:rsid w:val="004F41F1"/>
    <w:rsid w:val="004F77F4"/>
    <w:rsid w:val="00502CB1"/>
    <w:rsid w:val="00502F5A"/>
    <w:rsid w:val="00503BA1"/>
    <w:rsid w:val="005072B0"/>
    <w:rsid w:val="00515ED5"/>
    <w:rsid w:val="00517AE4"/>
    <w:rsid w:val="005312DA"/>
    <w:rsid w:val="00532FD0"/>
    <w:rsid w:val="00537E51"/>
    <w:rsid w:val="00541691"/>
    <w:rsid w:val="0054713E"/>
    <w:rsid w:val="005543A8"/>
    <w:rsid w:val="00567053"/>
    <w:rsid w:val="00584FC1"/>
    <w:rsid w:val="00586246"/>
    <w:rsid w:val="005877DC"/>
    <w:rsid w:val="0059023E"/>
    <w:rsid w:val="005909AF"/>
    <w:rsid w:val="00597852"/>
    <w:rsid w:val="005A2208"/>
    <w:rsid w:val="005A4859"/>
    <w:rsid w:val="005B06DE"/>
    <w:rsid w:val="005C2A8E"/>
    <w:rsid w:val="005C3AA9"/>
    <w:rsid w:val="005D6069"/>
    <w:rsid w:val="005E0FD7"/>
    <w:rsid w:val="005E3A4A"/>
    <w:rsid w:val="005F0359"/>
    <w:rsid w:val="005F2041"/>
    <w:rsid w:val="005F4919"/>
    <w:rsid w:val="005F5EEF"/>
    <w:rsid w:val="005F79D3"/>
    <w:rsid w:val="0060568D"/>
    <w:rsid w:val="00605AC8"/>
    <w:rsid w:val="0060600D"/>
    <w:rsid w:val="00611965"/>
    <w:rsid w:val="00613437"/>
    <w:rsid w:val="00613486"/>
    <w:rsid w:val="0062133F"/>
    <w:rsid w:val="00622CD5"/>
    <w:rsid w:val="00626821"/>
    <w:rsid w:val="00631A2C"/>
    <w:rsid w:val="00632AC1"/>
    <w:rsid w:val="006339C7"/>
    <w:rsid w:val="0063502D"/>
    <w:rsid w:val="00651F52"/>
    <w:rsid w:val="00656605"/>
    <w:rsid w:val="00686716"/>
    <w:rsid w:val="006A4CE7"/>
    <w:rsid w:val="006A67B5"/>
    <w:rsid w:val="006A7BA4"/>
    <w:rsid w:val="006A7DD3"/>
    <w:rsid w:val="006B02E5"/>
    <w:rsid w:val="006B2D84"/>
    <w:rsid w:val="006C1C66"/>
    <w:rsid w:val="006D2DA3"/>
    <w:rsid w:val="006D4511"/>
    <w:rsid w:val="006D622A"/>
    <w:rsid w:val="006E47A4"/>
    <w:rsid w:val="006E4994"/>
    <w:rsid w:val="006F3D9C"/>
    <w:rsid w:val="007065F3"/>
    <w:rsid w:val="0072447F"/>
    <w:rsid w:val="0073320E"/>
    <w:rsid w:val="00734966"/>
    <w:rsid w:val="007555F5"/>
    <w:rsid w:val="00765A7C"/>
    <w:rsid w:val="00777F7A"/>
    <w:rsid w:val="0078146A"/>
    <w:rsid w:val="00785261"/>
    <w:rsid w:val="0079036D"/>
    <w:rsid w:val="007926B1"/>
    <w:rsid w:val="00795CEA"/>
    <w:rsid w:val="0079653A"/>
    <w:rsid w:val="007A2AA5"/>
    <w:rsid w:val="007A3507"/>
    <w:rsid w:val="007A4F78"/>
    <w:rsid w:val="007B0256"/>
    <w:rsid w:val="007B36C1"/>
    <w:rsid w:val="007C5086"/>
    <w:rsid w:val="007C6F35"/>
    <w:rsid w:val="007D1C2F"/>
    <w:rsid w:val="007D30A2"/>
    <w:rsid w:val="007D5987"/>
    <w:rsid w:val="007E007C"/>
    <w:rsid w:val="007E16DA"/>
    <w:rsid w:val="007E1FAC"/>
    <w:rsid w:val="007E3959"/>
    <w:rsid w:val="007E3B8B"/>
    <w:rsid w:val="00801C94"/>
    <w:rsid w:val="0080363D"/>
    <w:rsid w:val="00813748"/>
    <w:rsid w:val="00815A31"/>
    <w:rsid w:val="00826377"/>
    <w:rsid w:val="00837F4E"/>
    <w:rsid w:val="00840D0C"/>
    <w:rsid w:val="0084227C"/>
    <w:rsid w:val="00842CAF"/>
    <w:rsid w:val="00850DBA"/>
    <w:rsid w:val="008565DF"/>
    <w:rsid w:val="0085710F"/>
    <w:rsid w:val="00873DF9"/>
    <w:rsid w:val="00874643"/>
    <w:rsid w:val="00876CA6"/>
    <w:rsid w:val="00877018"/>
    <w:rsid w:val="0088070D"/>
    <w:rsid w:val="00883640"/>
    <w:rsid w:val="00886C04"/>
    <w:rsid w:val="008916D6"/>
    <w:rsid w:val="00894F67"/>
    <w:rsid w:val="00895DCC"/>
    <w:rsid w:val="0089713B"/>
    <w:rsid w:val="008B0B14"/>
    <w:rsid w:val="008B24A0"/>
    <w:rsid w:val="008B339C"/>
    <w:rsid w:val="008B47E6"/>
    <w:rsid w:val="008C3726"/>
    <w:rsid w:val="008E0C72"/>
    <w:rsid w:val="008F3023"/>
    <w:rsid w:val="008F32CB"/>
    <w:rsid w:val="00911A8D"/>
    <w:rsid w:val="009225F0"/>
    <w:rsid w:val="00931B05"/>
    <w:rsid w:val="0094563F"/>
    <w:rsid w:val="00957749"/>
    <w:rsid w:val="0096742D"/>
    <w:rsid w:val="00982743"/>
    <w:rsid w:val="009876AE"/>
    <w:rsid w:val="00987714"/>
    <w:rsid w:val="00990AC5"/>
    <w:rsid w:val="009B01FC"/>
    <w:rsid w:val="009B0E8B"/>
    <w:rsid w:val="009B326E"/>
    <w:rsid w:val="009B5AB3"/>
    <w:rsid w:val="009D1603"/>
    <w:rsid w:val="009D198D"/>
    <w:rsid w:val="009D2662"/>
    <w:rsid w:val="009D2DF8"/>
    <w:rsid w:val="009D3CCB"/>
    <w:rsid w:val="009D405F"/>
    <w:rsid w:val="009F0260"/>
    <w:rsid w:val="00A13549"/>
    <w:rsid w:val="00A362D6"/>
    <w:rsid w:val="00A43E66"/>
    <w:rsid w:val="00A4462B"/>
    <w:rsid w:val="00A6317F"/>
    <w:rsid w:val="00A66C6B"/>
    <w:rsid w:val="00A74769"/>
    <w:rsid w:val="00A75B4E"/>
    <w:rsid w:val="00A80DE0"/>
    <w:rsid w:val="00A81138"/>
    <w:rsid w:val="00A85365"/>
    <w:rsid w:val="00A92F9A"/>
    <w:rsid w:val="00A952EA"/>
    <w:rsid w:val="00AA0F3A"/>
    <w:rsid w:val="00AA6FB0"/>
    <w:rsid w:val="00AA7226"/>
    <w:rsid w:val="00AB1B09"/>
    <w:rsid w:val="00AB41D7"/>
    <w:rsid w:val="00AD627F"/>
    <w:rsid w:val="00AD6DDF"/>
    <w:rsid w:val="00AF20B6"/>
    <w:rsid w:val="00AF77F3"/>
    <w:rsid w:val="00B10EA9"/>
    <w:rsid w:val="00B10EB1"/>
    <w:rsid w:val="00B246E8"/>
    <w:rsid w:val="00B25125"/>
    <w:rsid w:val="00B31D33"/>
    <w:rsid w:val="00B33B54"/>
    <w:rsid w:val="00B36B86"/>
    <w:rsid w:val="00B37603"/>
    <w:rsid w:val="00B40206"/>
    <w:rsid w:val="00B40F02"/>
    <w:rsid w:val="00B413E1"/>
    <w:rsid w:val="00B44F9B"/>
    <w:rsid w:val="00B47099"/>
    <w:rsid w:val="00B532C3"/>
    <w:rsid w:val="00B6325E"/>
    <w:rsid w:val="00B65A9F"/>
    <w:rsid w:val="00B65CB9"/>
    <w:rsid w:val="00B66B01"/>
    <w:rsid w:val="00B71EDF"/>
    <w:rsid w:val="00B772ED"/>
    <w:rsid w:val="00B81D52"/>
    <w:rsid w:val="00B820CD"/>
    <w:rsid w:val="00B85379"/>
    <w:rsid w:val="00B96BFF"/>
    <w:rsid w:val="00BA2DB9"/>
    <w:rsid w:val="00BA5842"/>
    <w:rsid w:val="00BA6A09"/>
    <w:rsid w:val="00BB03A8"/>
    <w:rsid w:val="00BB27FA"/>
    <w:rsid w:val="00BB3090"/>
    <w:rsid w:val="00BC04D2"/>
    <w:rsid w:val="00BC0A30"/>
    <w:rsid w:val="00BC41A0"/>
    <w:rsid w:val="00BC79CD"/>
    <w:rsid w:val="00BD14D6"/>
    <w:rsid w:val="00BD2ADA"/>
    <w:rsid w:val="00BD659F"/>
    <w:rsid w:val="00BE7148"/>
    <w:rsid w:val="00BF115A"/>
    <w:rsid w:val="00BF4983"/>
    <w:rsid w:val="00C01E6D"/>
    <w:rsid w:val="00C027B8"/>
    <w:rsid w:val="00C13340"/>
    <w:rsid w:val="00C175D2"/>
    <w:rsid w:val="00C21B44"/>
    <w:rsid w:val="00C23776"/>
    <w:rsid w:val="00C33F5D"/>
    <w:rsid w:val="00C3515D"/>
    <w:rsid w:val="00C36523"/>
    <w:rsid w:val="00C4058D"/>
    <w:rsid w:val="00C438A6"/>
    <w:rsid w:val="00C45AE5"/>
    <w:rsid w:val="00C55B33"/>
    <w:rsid w:val="00C55DE7"/>
    <w:rsid w:val="00C57001"/>
    <w:rsid w:val="00C5796B"/>
    <w:rsid w:val="00C76B3D"/>
    <w:rsid w:val="00C76BD2"/>
    <w:rsid w:val="00CA5D88"/>
    <w:rsid w:val="00CA6408"/>
    <w:rsid w:val="00CB718C"/>
    <w:rsid w:val="00CB74B3"/>
    <w:rsid w:val="00CD25FB"/>
    <w:rsid w:val="00CD7488"/>
    <w:rsid w:val="00CE1CB4"/>
    <w:rsid w:val="00CF2199"/>
    <w:rsid w:val="00D22A8A"/>
    <w:rsid w:val="00D32A88"/>
    <w:rsid w:val="00D353BC"/>
    <w:rsid w:val="00D40593"/>
    <w:rsid w:val="00D44CE2"/>
    <w:rsid w:val="00D53568"/>
    <w:rsid w:val="00D57291"/>
    <w:rsid w:val="00D60A6B"/>
    <w:rsid w:val="00D71C54"/>
    <w:rsid w:val="00D83A7C"/>
    <w:rsid w:val="00D84814"/>
    <w:rsid w:val="00D86E50"/>
    <w:rsid w:val="00D90D3C"/>
    <w:rsid w:val="00DA2856"/>
    <w:rsid w:val="00DA33DB"/>
    <w:rsid w:val="00DA66C1"/>
    <w:rsid w:val="00DA7A03"/>
    <w:rsid w:val="00DA7B4A"/>
    <w:rsid w:val="00DB012A"/>
    <w:rsid w:val="00DB145C"/>
    <w:rsid w:val="00DB33E4"/>
    <w:rsid w:val="00DB535F"/>
    <w:rsid w:val="00DC61A0"/>
    <w:rsid w:val="00DC7348"/>
    <w:rsid w:val="00DD13FA"/>
    <w:rsid w:val="00DD17EA"/>
    <w:rsid w:val="00DD3B53"/>
    <w:rsid w:val="00DE1B40"/>
    <w:rsid w:val="00E0726A"/>
    <w:rsid w:val="00E12368"/>
    <w:rsid w:val="00E30C3C"/>
    <w:rsid w:val="00E34102"/>
    <w:rsid w:val="00E37288"/>
    <w:rsid w:val="00E42835"/>
    <w:rsid w:val="00E51EF1"/>
    <w:rsid w:val="00E52A67"/>
    <w:rsid w:val="00E53BD9"/>
    <w:rsid w:val="00E5574A"/>
    <w:rsid w:val="00E577CC"/>
    <w:rsid w:val="00E61853"/>
    <w:rsid w:val="00E643E0"/>
    <w:rsid w:val="00E702E2"/>
    <w:rsid w:val="00E708BB"/>
    <w:rsid w:val="00E761A2"/>
    <w:rsid w:val="00E82B90"/>
    <w:rsid w:val="00E858A7"/>
    <w:rsid w:val="00E92741"/>
    <w:rsid w:val="00E9285A"/>
    <w:rsid w:val="00E956B6"/>
    <w:rsid w:val="00EA550A"/>
    <w:rsid w:val="00EA5BDC"/>
    <w:rsid w:val="00EA66F0"/>
    <w:rsid w:val="00EC2959"/>
    <w:rsid w:val="00EC5FB2"/>
    <w:rsid w:val="00ED37F1"/>
    <w:rsid w:val="00EE3834"/>
    <w:rsid w:val="00EE5D6C"/>
    <w:rsid w:val="00EE67D9"/>
    <w:rsid w:val="00EF3823"/>
    <w:rsid w:val="00F07D2D"/>
    <w:rsid w:val="00F10DE7"/>
    <w:rsid w:val="00F148C2"/>
    <w:rsid w:val="00F212CF"/>
    <w:rsid w:val="00F268DC"/>
    <w:rsid w:val="00F30908"/>
    <w:rsid w:val="00F3276A"/>
    <w:rsid w:val="00F33C6B"/>
    <w:rsid w:val="00F34654"/>
    <w:rsid w:val="00F40788"/>
    <w:rsid w:val="00F4798C"/>
    <w:rsid w:val="00F50121"/>
    <w:rsid w:val="00F61CE3"/>
    <w:rsid w:val="00F63E6B"/>
    <w:rsid w:val="00F75629"/>
    <w:rsid w:val="00F85669"/>
    <w:rsid w:val="00FA1012"/>
    <w:rsid w:val="00FB10FB"/>
    <w:rsid w:val="00FB119D"/>
    <w:rsid w:val="00FC143A"/>
    <w:rsid w:val="00FC1E37"/>
    <w:rsid w:val="00FC3B69"/>
    <w:rsid w:val="00FE2936"/>
    <w:rsid w:val="00FE4157"/>
    <w:rsid w:val="00FE5391"/>
    <w:rsid w:val="00FF0F39"/>
    <w:rsid w:val="14873833"/>
    <w:rsid w:val="1E361FF1"/>
    <w:rsid w:val="2D772BFA"/>
    <w:rsid w:val="38E38D5D"/>
    <w:rsid w:val="3D99DFFB"/>
    <w:rsid w:val="3EF7CDEA"/>
    <w:rsid w:val="4FD78DC1"/>
    <w:rsid w:val="51310CA1"/>
    <w:rsid w:val="674A27F3"/>
    <w:rsid w:val="6858C3C0"/>
    <w:rsid w:val="7AFEB5AF"/>
    <w:rsid w:val="7E7CCF66"/>
    <w:rsid w:val="7F7E26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F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92F9A"/>
    <w:pPr>
      <w:spacing w:after="200"/>
    </w:pPr>
    <w:rPr>
      <w:spacing w:val="3"/>
      <w:sz w:val="22"/>
    </w:rPr>
  </w:style>
  <w:style w:type="paragraph" w:styleId="Heading1">
    <w:name w:val="heading 1"/>
    <w:basedOn w:val="Normal"/>
    <w:next w:val="Normal"/>
    <w:link w:val="Heading1Char"/>
    <w:uiPriority w:val="2"/>
    <w:qFormat/>
    <w:rsid w:val="00062B78"/>
    <w:pPr>
      <w:keepNext/>
      <w:keepLines/>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062B78"/>
    <w:pPr>
      <w:keepNext/>
      <w:keepLines/>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062B78"/>
    <w:pPr>
      <w:keepNext/>
      <w:keepLines/>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062B78"/>
    <w:pPr>
      <w:keepNext/>
      <w:keepLines/>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062B78"/>
    <w:pPr>
      <w:keepNext/>
      <w:keepLines/>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semiHidden/>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semiHidden/>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semiHidden/>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semiHidden/>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62B78"/>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062B78"/>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062B78"/>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062B78"/>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062B78"/>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semiHidden/>
    <w:rsid w:val="00A92F9A"/>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semiHidden/>
    <w:rsid w:val="00A92F9A"/>
    <w:rPr>
      <w:rFonts w:eastAsiaTheme="majorEastAsia" w:cstheme="majorBidi"/>
      <w:iCs/>
      <w:spacing w:val="3"/>
      <w:sz w:val="22"/>
    </w:rPr>
  </w:style>
  <w:style w:type="character" w:customStyle="1" w:styleId="Heading8Char">
    <w:name w:val="Heading 8 Char"/>
    <w:basedOn w:val="DefaultParagraphFont"/>
    <w:link w:val="Heading8"/>
    <w:uiPriority w:val="10"/>
    <w:semiHidden/>
    <w:rsid w:val="00A92F9A"/>
    <w:rPr>
      <w:rFonts w:eastAsiaTheme="majorEastAsia" w:cstheme="majorBidi"/>
      <w:spacing w:val="3"/>
      <w:sz w:val="22"/>
      <w:szCs w:val="20"/>
    </w:rPr>
  </w:style>
  <w:style w:type="character" w:customStyle="1" w:styleId="Heading9Char">
    <w:name w:val="Heading 9 Char"/>
    <w:basedOn w:val="DefaultParagraphFont"/>
    <w:link w:val="Heading9"/>
    <w:uiPriority w:val="10"/>
    <w:semiHidden/>
    <w:rsid w:val="00A92F9A"/>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semiHidden/>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next w:val="Normal"/>
    <w:uiPriority w:val="7"/>
    <w:qFormat/>
    <w:rsid w:val="0045365D"/>
    <w:pPr>
      <w:shd w:val="clear" w:color="auto" w:fill="F2F2F2" w:themeFill="background1" w:themeFillShade="F2"/>
    </w:pPr>
  </w:style>
  <w:style w:type="paragraph" w:customStyle="1" w:styleId="Focus-warning">
    <w:name w:val="Focus - warning"/>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70C0" w:themeColor="followedHyperlink"/>
      <w:u w:val="single"/>
    </w:rPr>
  </w:style>
  <w:style w:type="paragraph" w:styleId="Footer">
    <w:name w:val="footer"/>
    <w:basedOn w:val="Normal"/>
    <w:link w:val="FooterChar"/>
    <w:uiPriority w:val="99"/>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F9A"/>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45365D"/>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semiHidden/>
    <w:rsid w:val="00A92F9A"/>
    <w:rPr>
      <w:rFonts w:ascii="Georgia" w:hAnsi="Georgia"/>
      <w:color w:val="24596E"/>
      <w:spacing w:val="3"/>
      <w:sz w:val="22"/>
    </w:rPr>
  </w:style>
  <w:style w:type="paragraph" w:customStyle="1" w:styleId="Heading1withsubtitle">
    <w:name w:val="Heading 1 (with subtitle)"/>
    <w:basedOn w:val="Heading1"/>
    <w:next w:val="Subtitle"/>
    <w:uiPriority w:val="2"/>
    <w:qFormat/>
    <w:rsid w:val="000750D2"/>
    <w:pPr>
      <w:spacing w:after="0"/>
    </w:pPr>
  </w:style>
  <w:style w:type="paragraph" w:styleId="Subtitle">
    <w:name w:val="Subtitle"/>
    <w:basedOn w:val="Normal"/>
    <w:next w:val="Normal"/>
    <w:link w:val="SubtitleChar"/>
    <w:uiPriority w:val="10"/>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10"/>
    <w:rsid w:val="00A92F9A"/>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4"/>
    <w:unhideWhenUsed/>
    <w:qFormat/>
    <w:rsid w:val="00A92F9A"/>
    <w:pPr>
      <w:numPr>
        <w:numId w:val="2"/>
      </w:numPr>
    </w:pPr>
  </w:style>
  <w:style w:type="paragraph" w:styleId="ListParagraph">
    <w:name w:val="List Paragraph"/>
    <w:aliases w:val="0Bullet,AR bullet 1,Bullet point,CV text,Dot pt,F5 List Paragraph,FooterText,L,List Paragraph1,List Paragraph11,List Paragraph111,List Paragraph2,Medium Grid 1 - Accent 21,NFP GP Bulleted List,Numbered Paragraph,Table text,numbered,列,列出段"/>
    <w:basedOn w:val="Normal"/>
    <w:link w:val="ListParagraphChar"/>
    <w:uiPriority w:val="34"/>
    <w:qFormat/>
    <w:rsid w:val="00AA6FB0"/>
    <w:pPr>
      <w:numPr>
        <w:numId w:val="3"/>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A92F9A"/>
    <w:pPr>
      <w:keepLines/>
      <w:pBdr>
        <w:left w:val="single" w:sz="18" w:space="16" w:color="00B0B9" w:themeColor="accent2"/>
      </w:pBdr>
      <w:shd w:val="clear" w:color="auto" w:fill="FFFFFF" w:themeFill="background1"/>
      <w:spacing w:before="280" w:after="280"/>
      <w:ind w:left="567"/>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A92F9A"/>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iPriority w:val="39"/>
    <w:semiHidden/>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semiHidden/>
    <w:rsid w:val="0045365D"/>
    <w:pPr>
      <w:spacing w:after="100"/>
    </w:pPr>
  </w:style>
  <w:style w:type="paragraph" w:styleId="TOC2">
    <w:name w:val="toc 2"/>
    <w:basedOn w:val="Normal"/>
    <w:next w:val="Normal"/>
    <w:autoRedefine/>
    <w:uiPriority w:val="39"/>
    <w:semiHidden/>
    <w:rsid w:val="0045365D"/>
    <w:pPr>
      <w:spacing w:after="100"/>
      <w:ind w:left="200"/>
    </w:pPr>
  </w:style>
  <w:style w:type="paragraph" w:styleId="TOC3">
    <w:name w:val="toc 3"/>
    <w:basedOn w:val="Normal"/>
    <w:next w:val="Normal"/>
    <w:autoRedefine/>
    <w:uiPriority w:val="39"/>
    <w:semiHidden/>
    <w:rsid w:val="0045365D"/>
    <w:pPr>
      <w:spacing w:after="100"/>
      <w:ind w:left="400"/>
    </w:pPr>
  </w:style>
  <w:style w:type="paragraph" w:styleId="TOCHeading">
    <w:name w:val="TOC Heading"/>
    <w:basedOn w:val="Heading2"/>
    <w:next w:val="Normal"/>
    <w:uiPriority w:val="39"/>
    <w:semiHidden/>
    <w:qFormat/>
    <w:rsid w:val="0045365D"/>
  </w:style>
  <w:style w:type="paragraph" w:customStyle="1" w:styleId="Spacer">
    <w:name w:val="Spacer"/>
    <w:basedOn w:val="Normal"/>
    <w:uiPriority w:val="39"/>
    <w:semiHidden/>
    <w:qFormat/>
    <w:rsid w:val="00A81138"/>
    <w:pPr>
      <w:spacing w:after="0" w:line="240" w:lineRule="auto"/>
    </w:pPr>
    <w:rPr>
      <w:sz w:val="2"/>
    </w:rPr>
  </w:style>
  <w:style w:type="character" w:styleId="PlaceholderText">
    <w:name w:val="Placeholder Text"/>
    <w:basedOn w:val="DefaultParagraphFont"/>
    <w:uiPriority w:val="99"/>
    <w:semiHidden/>
    <w:rsid w:val="00A81138"/>
    <w:rPr>
      <w:color w:val="666666"/>
    </w:rPr>
  </w:style>
  <w:style w:type="paragraph" w:styleId="ListBullet2">
    <w:name w:val="List Bullet 2"/>
    <w:basedOn w:val="ListBullet"/>
    <w:uiPriority w:val="4"/>
    <w:rsid w:val="00A92F9A"/>
    <w:pPr>
      <w:numPr>
        <w:ilvl w:val="1"/>
      </w:numPr>
    </w:pPr>
  </w:style>
  <w:style w:type="paragraph" w:styleId="ListNumber">
    <w:name w:val="List Number"/>
    <w:basedOn w:val="Normal"/>
    <w:uiPriority w:val="99"/>
    <w:qFormat/>
    <w:rsid w:val="00840D0C"/>
    <w:pPr>
      <w:numPr>
        <w:numId w:val="4"/>
      </w:numPr>
      <w:contextualSpacing/>
    </w:pPr>
  </w:style>
  <w:style w:type="paragraph" w:styleId="ListNumber2">
    <w:name w:val="List Number 2"/>
    <w:basedOn w:val="ListNumber"/>
    <w:uiPriority w:val="4"/>
    <w:rsid w:val="00A92F9A"/>
  </w:style>
  <w:style w:type="paragraph" w:styleId="ListBullet3">
    <w:name w:val="List Bullet 3"/>
    <w:basedOn w:val="ListBullet2"/>
    <w:uiPriority w:val="4"/>
    <w:rsid w:val="00A92F9A"/>
    <w:pPr>
      <w:numPr>
        <w:ilvl w:val="2"/>
      </w:numPr>
    </w:pPr>
  </w:style>
  <w:style w:type="paragraph" w:styleId="ListNumber3">
    <w:name w:val="List Number 3"/>
    <w:basedOn w:val="ListNumber2"/>
    <w:uiPriority w:val="4"/>
    <w:rsid w:val="00A92F9A"/>
    <w:pPr>
      <w:numPr>
        <w:ilvl w:val="2"/>
      </w:numPr>
    </w:pPr>
  </w:style>
  <w:style w:type="character" w:styleId="CommentReference">
    <w:name w:val="annotation reference"/>
    <w:basedOn w:val="DefaultParagraphFont"/>
    <w:uiPriority w:val="99"/>
    <w:semiHidden/>
    <w:unhideWhenUsed/>
    <w:rsid w:val="000135AF"/>
    <w:rPr>
      <w:sz w:val="16"/>
      <w:szCs w:val="16"/>
    </w:rPr>
  </w:style>
  <w:style w:type="paragraph" w:styleId="CommentText">
    <w:name w:val="annotation text"/>
    <w:basedOn w:val="Normal"/>
    <w:link w:val="CommentTextChar"/>
    <w:uiPriority w:val="99"/>
    <w:unhideWhenUsed/>
    <w:rsid w:val="000135AF"/>
    <w:pPr>
      <w:spacing w:line="240" w:lineRule="auto"/>
    </w:pPr>
    <w:rPr>
      <w:sz w:val="20"/>
      <w:szCs w:val="20"/>
    </w:rPr>
  </w:style>
  <w:style w:type="character" w:customStyle="1" w:styleId="CommentTextChar">
    <w:name w:val="Comment Text Char"/>
    <w:basedOn w:val="DefaultParagraphFont"/>
    <w:link w:val="CommentText"/>
    <w:uiPriority w:val="99"/>
    <w:rsid w:val="000135AF"/>
    <w:rPr>
      <w:spacing w:val="3"/>
      <w:sz w:val="20"/>
      <w:szCs w:val="20"/>
    </w:rPr>
  </w:style>
  <w:style w:type="character" w:styleId="UnresolvedMention">
    <w:name w:val="Unresolved Mention"/>
    <w:basedOn w:val="DefaultParagraphFont"/>
    <w:uiPriority w:val="99"/>
    <w:semiHidden/>
    <w:unhideWhenUsed/>
    <w:rsid w:val="00537E51"/>
    <w:rPr>
      <w:color w:val="605E5C"/>
      <w:shd w:val="clear" w:color="auto" w:fill="E1DFDD"/>
    </w:rPr>
  </w:style>
  <w:style w:type="character" w:customStyle="1" w:styleId="ListParagraphChar">
    <w:name w:val="List Paragraph Char"/>
    <w:aliases w:val="0Bullet Char,AR bullet 1 Char,Bullet point Char,CV text Char,Dot pt Char,F5 List Paragraph Char,FooterText Char,L Char,List Paragraph1 Char,List Paragraph11 Char,List Paragraph111 Char,List Paragraph2 Char,NFP GP Bulleted List Char"/>
    <w:basedOn w:val="DefaultParagraphFont"/>
    <w:link w:val="ListParagraph"/>
    <w:uiPriority w:val="34"/>
    <w:qFormat/>
    <w:locked/>
    <w:rsid w:val="00E52A67"/>
    <w:rPr>
      <w:spacing w:val="3"/>
      <w:sz w:val="22"/>
    </w:rPr>
  </w:style>
  <w:style w:type="paragraph" w:styleId="Revision">
    <w:name w:val="Revision"/>
    <w:hidden/>
    <w:uiPriority w:val="99"/>
    <w:semiHidden/>
    <w:rsid w:val="004C1D78"/>
    <w:pPr>
      <w:spacing w:after="0" w:line="240" w:lineRule="auto"/>
    </w:pPr>
    <w:rPr>
      <w:spacing w:val="3"/>
      <w:sz w:val="22"/>
    </w:rPr>
  </w:style>
  <w:style w:type="character" w:customStyle="1" w:styleId="normaltextrun">
    <w:name w:val="normaltextrun"/>
    <w:basedOn w:val="DefaultParagraphFont"/>
    <w:rsid w:val="00E61853"/>
  </w:style>
  <w:style w:type="character" w:customStyle="1" w:styleId="eop">
    <w:name w:val="eop"/>
    <w:basedOn w:val="DefaultParagraphFont"/>
    <w:rsid w:val="00E61853"/>
  </w:style>
  <w:style w:type="paragraph" w:customStyle="1" w:styleId="paragraph">
    <w:name w:val="paragraph"/>
    <w:basedOn w:val="Normal"/>
    <w:rsid w:val="00297512"/>
    <w:pPr>
      <w:spacing w:before="100" w:beforeAutospacing="1" w:after="100" w:afterAutospacing="1" w:line="240" w:lineRule="auto"/>
    </w:pPr>
    <w:rPr>
      <w:rFonts w:ascii="Times New Roman" w:eastAsia="Times New Roman" w:hAnsi="Times New Roman" w:cs="Times New Roman"/>
      <w:spacing w:val="0"/>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70C0"/>
      </a:hlink>
      <a:folHlink>
        <a:srgbClr val="0070C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23FDD-B040-45FF-A27B-F3E23CA3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2256</Words>
  <Characters>13382</Characters>
  <Application>Microsoft Office Word</Application>
  <DocSecurity>0</DocSecurity>
  <Lines>743</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Reviews</dc:title>
  <dc:subject/>
  <dc:creator/>
  <cp:keywords/>
  <cp:lastModifiedBy/>
  <cp:revision>1</cp:revision>
  <dcterms:created xsi:type="dcterms:W3CDTF">2026-07-22T05:57:00Z</dcterms:created>
  <dcterms:modified xsi:type="dcterms:W3CDTF">2026-07-22T05:57:00Z</dcterms:modified>
  <cp:category/>
</cp:coreProperties>
</file>