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06829" w14:textId="77777777" w:rsidR="005D2C33" w:rsidRDefault="005D2C33" w:rsidP="005D2C33">
      <w:pPr>
        <w:pStyle w:val="CrestwithRule0"/>
        <w:sectPr w:rsidR="005D2C33" w:rsidSect="00634D7A">
          <w:footerReference w:type="default" r:id="rId8"/>
          <w:footerReference w:type="first" r:id="rId9"/>
          <w:pgSz w:w="11906" w:h="16838"/>
          <w:pgMar w:top="851" w:right="851" w:bottom="851" w:left="851" w:header="283" w:footer="283" w:gutter="0"/>
          <w:pgNumType w:start="0"/>
          <w:cols w:space="708"/>
          <w:titlePg/>
          <w:docGrid w:linePitch="360"/>
        </w:sectPr>
      </w:pPr>
      <w:bookmarkStart w:id="0" w:name="_Toc391890680"/>
      <w:bookmarkStart w:id="1" w:name="_Toc140757167"/>
      <w:bookmarkStart w:id="2" w:name="_Toc144375362"/>
      <w:bookmarkStart w:id="3" w:name="_Toc161056818"/>
      <w:r>
        <w:rPr>
          <w:noProof/>
        </w:rPr>
        <w:drawing>
          <wp:inline distT="0" distB="0" distL="0" distR="0" wp14:anchorId="74FC3397" wp14:editId="218DC7FB">
            <wp:extent cx="3219450" cy="752475"/>
            <wp:effectExtent l="0" t="0" r="0" b="9525"/>
            <wp:docPr id="1529021460" name="Picture 1"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3225963" cy="753997"/>
                    </a:xfrm>
                    <a:prstGeom prst="rect">
                      <a:avLst/>
                    </a:prstGeom>
                    <a:ln>
                      <a:noFill/>
                    </a:ln>
                    <a:extLst>
                      <a:ext uri="{53640926-AAD7-44D8-BBD7-CCE9431645EC}">
                        <a14:shadowObscured xmlns:a14="http://schemas.microsoft.com/office/drawing/2010/main"/>
                      </a:ext>
                    </a:extLst>
                  </pic:spPr>
                </pic:pic>
              </a:graphicData>
            </a:graphic>
          </wp:inline>
        </w:drawing>
      </w:r>
    </w:p>
    <w:p w14:paraId="0BE8C6D0" w14:textId="0C962C1E" w:rsidR="005D2C33" w:rsidRPr="00AF6DAF" w:rsidRDefault="00560A69" w:rsidP="005D2C33">
      <w:pPr>
        <w:pStyle w:val="Heading1"/>
      </w:pPr>
      <w:bookmarkStart w:id="4" w:name="_Toc228537289"/>
      <w:r>
        <w:t>Department of Social Services Fraud and Corruption Control Plan</w:t>
      </w:r>
      <w:bookmarkEnd w:id="4"/>
    </w:p>
    <w:p w14:paraId="6ADBCC5F" w14:textId="2333057D" w:rsidR="005D2C33" w:rsidRDefault="00560A69" w:rsidP="00560A69">
      <w:pPr>
        <w:pStyle w:val="Subtitle"/>
      </w:pPr>
      <w:r>
        <w:t>2026-2028</w:t>
      </w:r>
    </w:p>
    <w:p w14:paraId="0D3C4DA1" w14:textId="77777777" w:rsidR="00520543" w:rsidRDefault="00520543" w:rsidP="005D2C33">
      <w:pPr>
        <w:pStyle w:val="Smalltext"/>
      </w:pPr>
    </w:p>
    <w:bookmarkEnd w:id="0"/>
    <w:bookmarkEnd w:id="1"/>
    <w:bookmarkEnd w:id="2"/>
    <w:bookmarkEnd w:id="3"/>
    <w:p w14:paraId="5D7AC95E" w14:textId="6451F800" w:rsidR="00294EA1" w:rsidRDefault="00294EA1" w:rsidP="007E6A02">
      <w:pPr>
        <w:pStyle w:val="IntroductionQuote"/>
      </w:pPr>
    </w:p>
    <w:p w14:paraId="441D6BE3" w14:textId="77777777" w:rsidR="009C29AE" w:rsidRDefault="00294EA1" w:rsidP="004D6380">
      <w:pPr>
        <w:spacing w:after="240"/>
      </w:pPr>
      <w:r>
        <w:br w:type="page"/>
      </w:r>
    </w:p>
    <w:p w14:paraId="07EF652F" w14:textId="21D0035B" w:rsidR="001016D7" w:rsidRDefault="002119D3" w:rsidP="004D6380">
      <w:pPr>
        <w:spacing w:after="240"/>
      </w:pPr>
      <w:r w:rsidRPr="008A60E8">
        <w:rPr>
          <w:rFonts w:asciiTheme="majorHAnsi" w:eastAsiaTheme="majorEastAsia" w:hAnsiTheme="majorHAnsi" w:cstheme="majorBidi"/>
          <w:bCs/>
          <w:noProof/>
          <w:color w:val="005A70" w:themeColor="accent1"/>
          <w:sz w:val="40"/>
          <w:szCs w:val="26"/>
        </w:rPr>
        <w:lastRenderedPageBreak/>
        <mc:AlternateContent>
          <mc:Choice Requires="wpg">
            <w:drawing>
              <wp:anchor distT="45720" distB="45720" distL="182880" distR="182880" simplePos="0" relativeHeight="251672576" behindDoc="0" locked="0" layoutInCell="1" allowOverlap="1" wp14:anchorId="60BEC985" wp14:editId="1272478F">
                <wp:simplePos x="0" y="0"/>
                <wp:positionH relativeFrom="margin">
                  <wp:align>left</wp:align>
                </wp:positionH>
                <wp:positionV relativeFrom="margin">
                  <wp:posOffset>-273685</wp:posOffset>
                </wp:positionV>
                <wp:extent cx="6429375" cy="2619375"/>
                <wp:effectExtent l="0" t="0" r="9525" b="9525"/>
                <wp:wrapSquare wrapText="bothSides"/>
                <wp:docPr id="198" name="Group 64"/>
                <wp:cNvGraphicFramePr/>
                <a:graphic xmlns:a="http://schemas.openxmlformats.org/drawingml/2006/main">
                  <a:graphicData uri="http://schemas.microsoft.com/office/word/2010/wordprocessingGroup">
                    <wpg:wgp>
                      <wpg:cNvGrpSpPr/>
                      <wpg:grpSpPr>
                        <a:xfrm>
                          <a:off x="0" y="0"/>
                          <a:ext cx="6429375" cy="2619375"/>
                          <a:chOff x="0" y="0"/>
                          <a:chExt cx="3567448" cy="2489962"/>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BFB933" w14:textId="77777777" w:rsidR="001016D7" w:rsidRDefault="001016D7" w:rsidP="001016D7">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2"/>
                            <a:ext cx="3567448" cy="2237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308BBB" w14:textId="77777777" w:rsidR="001016D7" w:rsidRPr="00255CB6" w:rsidRDefault="001016D7" w:rsidP="00905799">
                              <w:pPr>
                                <w:spacing w:after="240"/>
                                <w:jc w:val="center"/>
                                <w:rPr>
                                  <w:rFonts w:asciiTheme="majorHAnsi" w:eastAsiaTheme="majorEastAsia" w:hAnsiTheme="majorHAnsi" w:cstheme="majorBidi"/>
                                  <w:bCs/>
                                  <w:color w:val="005A70" w:themeColor="accent1"/>
                                  <w:sz w:val="40"/>
                                  <w:szCs w:val="26"/>
                                </w:rPr>
                              </w:pPr>
                              <w:r w:rsidRPr="00255CB6">
                                <w:rPr>
                                  <w:rFonts w:asciiTheme="majorHAnsi" w:eastAsiaTheme="majorEastAsia" w:hAnsiTheme="majorHAnsi" w:cstheme="majorBidi"/>
                                  <w:bCs/>
                                  <w:color w:val="005A70" w:themeColor="accent1"/>
                                  <w:sz w:val="40"/>
                                  <w:szCs w:val="26"/>
                                </w:rPr>
                                <w:t>Acknowledgement of Country</w:t>
                              </w:r>
                            </w:p>
                            <w:p w14:paraId="676D533B" w14:textId="77777777" w:rsidR="001016D7" w:rsidRDefault="001016D7" w:rsidP="00905799">
                              <w:pPr>
                                <w:pBdr>
                                  <w:bottom w:val="single" w:sz="6" w:space="1" w:color="auto"/>
                                </w:pBdr>
                                <w:spacing w:after="240"/>
                                <w:jc w:val="center"/>
                              </w:pPr>
                              <w:r w:rsidRPr="00255CB6">
                                <w:t>The department acknowledges the Traditional Owners and Custodians of Country throughout Australia and acknowledges their continuing connection to land, waters and community. We pay our respects to the Elders both past and present.</w:t>
                              </w:r>
                            </w:p>
                            <w:p w14:paraId="681EF784" w14:textId="77777777" w:rsidR="001016D7" w:rsidRDefault="001016D7" w:rsidP="001016D7">
                              <w:pPr>
                                <w:pBdr>
                                  <w:bottom w:val="single" w:sz="6" w:space="1" w:color="auto"/>
                                </w:pBdr>
                                <w:spacing w:after="240"/>
                              </w:pPr>
                            </w:p>
                            <w:p w14:paraId="070A712D" w14:textId="77777777" w:rsidR="001016D7" w:rsidRDefault="001016D7" w:rsidP="001016D7">
                              <w:pPr>
                                <w:rPr>
                                  <w:caps/>
                                  <w:color w:val="005A70"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BEC985" id="Group 64" o:spid="_x0000_s1026" style="position:absolute;margin-left:0;margin-top:-21.55pt;width:506.25pt;height:206.25pt;z-index:251672576;mso-wrap-distance-left:14.4pt;mso-wrap-distance-top:3.6pt;mso-wrap-distance-right:14.4pt;mso-wrap-distance-bottom:3.6pt;mso-position-horizontal:left;mso-position-horizontal-relative:margin;mso-position-vertical-relative:margin;mso-width-relative:margin;mso-height-relative:margin" coordsize="35674,24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" fillcolor="#005a70 [3204]" stroked="f" strokeweight=".73403mm">
                  <v:textbox>
                    <w:txbxContent>
                      <w:p w14:paraId="08BFB933" w14:textId="77777777" w:rsidR="001016D7" w:rsidRDefault="001016D7" w:rsidP="001016D7">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22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3E308BBB" w14:textId="77777777" w:rsidR="001016D7" w:rsidRPr="00255CB6" w:rsidRDefault="001016D7" w:rsidP="00905799">
                        <w:pPr>
                          <w:spacing w:after="240"/>
                          <w:jc w:val="center"/>
                          <w:rPr>
                            <w:rFonts w:asciiTheme="majorHAnsi" w:eastAsiaTheme="majorEastAsia" w:hAnsiTheme="majorHAnsi" w:cstheme="majorBidi"/>
                            <w:bCs/>
                            <w:color w:val="005A70" w:themeColor="accent1"/>
                            <w:sz w:val="40"/>
                            <w:szCs w:val="26"/>
                          </w:rPr>
                        </w:pPr>
                        <w:r w:rsidRPr="00255CB6">
                          <w:rPr>
                            <w:rFonts w:asciiTheme="majorHAnsi" w:eastAsiaTheme="majorEastAsia" w:hAnsiTheme="majorHAnsi" w:cstheme="majorBidi"/>
                            <w:bCs/>
                            <w:color w:val="005A70" w:themeColor="accent1"/>
                            <w:sz w:val="40"/>
                            <w:szCs w:val="26"/>
                          </w:rPr>
                          <w:t>Acknowledgement of Country</w:t>
                        </w:r>
                      </w:p>
                      <w:p w14:paraId="676D533B" w14:textId="77777777" w:rsidR="001016D7" w:rsidRDefault="001016D7" w:rsidP="00905799">
                        <w:pPr>
                          <w:pBdr>
                            <w:bottom w:val="single" w:sz="6" w:space="1" w:color="auto"/>
                          </w:pBdr>
                          <w:spacing w:after="240"/>
                          <w:jc w:val="center"/>
                        </w:pPr>
                        <w:r w:rsidRPr="00255CB6">
                          <w:t>The department acknowledges the Traditional Owners and Custodians of Country throughout Australia and acknowledges their continuing connection to land, waters and community. We pay our respects to the Elders both past and present.</w:t>
                        </w:r>
                      </w:p>
                      <w:p w14:paraId="681EF784" w14:textId="77777777" w:rsidR="001016D7" w:rsidRDefault="001016D7" w:rsidP="001016D7">
                        <w:pPr>
                          <w:pBdr>
                            <w:bottom w:val="single" w:sz="6" w:space="1" w:color="auto"/>
                          </w:pBdr>
                          <w:spacing w:after="240"/>
                        </w:pPr>
                      </w:p>
                      <w:p w14:paraId="070A712D" w14:textId="77777777" w:rsidR="001016D7" w:rsidRDefault="001016D7" w:rsidP="001016D7">
                        <w:pPr>
                          <w:rPr>
                            <w:caps/>
                            <w:color w:val="005A70" w:themeColor="accent1"/>
                            <w:sz w:val="26"/>
                            <w:szCs w:val="26"/>
                          </w:rPr>
                        </w:pPr>
                      </w:p>
                    </w:txbxContent>
                  </v:textbox>
                </v:shape>
                <w10:wrap type="square" anchorx="margin" anchory="margin"/>
              </v:group>
            </w:pict>
          </mc:Fallback>
        </mc:AlternateContent>
      </w:r>
    </w:p>
    <w:p w14:paraId="325CCDA8" w14:textId="38B4C8B9" w:rsidR="001016D7" w:rsidRDefault="001016D7" w:rsidP="004D6380">
      <w:pPr>
        <w:spacing w:after="240"/>
      </w:pPr>
    </w:p>
    <w:sdt>
      <w:sdtPr>
        <w:rPr>
          <w:rFonts w:asciiTheme="minorHAnsi" w:eastAsiaTheme="minorHAnsi" w:hAnsiTheme="minorHAnsi" w:cstheme="minorBidi"/>
          <w:b/>
          <w:bCs w:val="0"/>
          <w:color w:val="auto"/>
          <w:spacing w:val="0"/>
          <w:kern w:val="2"/>
          <w:sz w:val="22"/>
          <w:szCs w:val="24"/>
          <w:lang w:eastAsia="en-AU"/>
          <w14:ligatures w14:val="standardContextual"/>
        </w:rPr>
        <w:id w:val="1449820834"/>
        <w:docPartObj>
          <w:docPartGallery w:val="Table of Contents"/>
          <w:docPartUnique/>
        </w:docPartObj>
      </w:sdtPr>
      <w:sdtEndPr>
        <w:rPr>
          <w:b w:val="0"/>
          <w:noProof/>
          <w:spacing w:val="3"/>
          <w:kern w:val="0"/>
          <w:lang w:eastAsia="en-US"/>
          <w14:ligatures w14:val="none"/>
        </w:rPr>
      </w:sdtEndPr>
      <w:sdtContent>
        <w:p w14:paraId="0019FC91" w14:textId="394C535A" w:rsidR="001016D7" w:rsidRDefault="001016D7" w:rsidP="00B209E5">
          <w:pPr>
            <w:pStyle w:val="TOAHeading"/>
          </w:pPr>
          <w:r>
            <w:t>Contents</w:t>
          </w:r>
        </w:p>
        <w:p w14:paraId="30C42C07" w14:textId="07E44F59" w:rsidR="00752CE9" w:rsidRDefault="001016D7">
          <w:pPr>
            <w:pStyle w:val="TOC1"/>
            <w:tabs>
              <w:tab w:val="right" w:leader="dot" w:pos="10194"/>
            </w:tabs>
            <w:rPr>
              <w:rFonts w:eastAsiaTheme="minorEastAsia"/>
              <w:noProof/>
              <w:spacing w:val="0"/>
              <w:kern w:val="2"/>
              <w:sz w:val="24"/>
              <w:lang w:eastAsia="en-AU"/>
              <w14:ligatures w14:val="standardContextual"/>
            </w:rPr>
          </w:pPr>
          <w:r>
            <w:fldChar w:fldCharType="begin"/>
          </w:r>
          <w:r>
            <w:instrText xml:space="preserve"> TOC \h \z \t "Heading 2,1" </w:instrText>
          </w:r>
          <w:r>
            <w:fldChar w:fldCharType="separate"/>
          </w:r>
          <w:hyperlink w:anchor="_Toc230351759" w:history="1">
            <w:r w:rsidR="00752CE9" w:rsidRPr="00982730">
              <w:rPr>
                <w:rStyle w:val="Hyperlink"/>
                <w:b/>
                <w:noProof/>
              </w:rPr>
              <w:t>Secretary’s statement</w:t>
            </w:r>
            <w:r w:rsidR="00752CE9">
              <w:rPr>
                <w:noProof/>
                <w:webHidden/>
              </w:rPr>
              <w:tab/>
            </w:r>
            <w:r w:rsidR="00752CE9">
              <w:rPr>
                <w:noProof/>
                <w:webHidden/>
              </w:rPr>
              <w:fldChar w:fldCharType="begin"/>
            </w:r>
            <w:r w:rsidR="00752CE9">
              <w:rPr>
                <w:noProof/>
                <w:webHidden/>
              </w:rPr>
              <w:instrText xml:space="preserve"> PAGEREF _Toc230351759 \h </w:instrText>
            </w:r>
            <w:r w:rsidR="00752CE9">
              <w:rPr>
                <w:noProof/>
                <w:webHidden/>
              </w:rPr>
            </w:r>
            <w:r w:rsidR="00752CE9">
              <w:rPr>
                <w:noProof/>
                <w:webHidden/>
              </w:rPr>
              <w:fldChar w:fldCharType="separate"/>
            </w:r>
            <w:r w:rsidR="00752CE9">
              <w:rPr>
                <w:noProof/>
                <w:webHidden/>
              </w:rPr>
              <w:t>2</w:t>
            </w:r>
            <w:r w:rsidR="00752CE9">
              <w:rPr>
                <w:noProof/>
                <w:webHidden/>
              </w:rPr>
              <w:fldChar w:fldCharType="end"/>
            </w:r>
          </w:hyperlink>
        </w:p>
        <w:p w14:paraId="70D9CA8D" w14:textId="0138F223" w:rsidR="00752CE9" w:rsidRDefault="00752CE9">
          <w:pPr>
            <w:pStyle w:val="TOC1"/>
            <w:tabs>
              <w:tab w:val="right" w:leader="dot" w:pos="10194"/>
            </w:tabs>
            <w:rPr>
              <w:rFonts w:eastAsiaTheme="minorEastAsia"/>
              <w:noProof/>
              <w:spacing w:val="0"/>
              <w:kern w:val="2"/>
              <w:sz w:val="24"/>
              <w:lang w:eastAsia="en-AU"/>
              <w14:ligatures w14:val="standardContextual"/>
            </w:rPr>
          </w:pPr>
          <w:hyperlink w:anchor="_Toc230351760" w:history="1">
            <w:r w:rsidRPr="00982730">
              <w:rPr>
                <w:rStyle w:val="Hyperlink"/>
                <w:b/>
                <w:noProof/>
              </w:rPr>
              <w:t>Purpose</w:t>
            </w:r>
            <w:r>
              <w:rPr>
                <w:noProof/>
                <w:webHidden/>
              </w:rPr>
              <w:tab/>
            </w:r>
            <w:r>
              <w:rPr>
                <w:noProof/>
                <w:webHidden/>
              </w:rPr>
              <w:fldChar w:fldCharType="begin"/>
            </w:r>
            <w:r>
              <w:rPr>
                <w:noProof/>
                <w:webHidden/>
              </w:rPr>
              <w:instrText xml:space="preserve"> PAGEREF _Toc230351760 \h </w:instrText>
            </w:r>
            <w:r>
              <w:rPr>
                <w:noProof/>
                <w:webHidden/>
              </w:rPr>
            </w:r>
            <w:r>
              <w:rPr>
                <w:noProof/>
                <w:webHidden/>
              </w:rPr>
              <w:fldChar w:fldCharType="separate"/>
            </w:r>
            <w:r>
              <w:rPr>
                <w:noProof/>
                <w:webHidden/>
              </w:rPr>
              <w:t>3</w:t>
            </w:r>
            <w:r>
              <w:rPr>
                <w:noProof/>
                <w:webHidden/>
              </w:rPr>
              <w:fldChar w:fldCharType="end"/>
            </w:r>
          </w:hyperlink>
        </w:p>
        <w:p w14:paraId="6E3C8466" w14:textId="26F6ABB8" w:rsidR="00752CE9" w:rsidRDefault="00752CE9">
          <w:pPr>
            <w:pStyle w:val="TOC1"/>
            <w:tabs>
              <w:tab w:val="right" w:leader="dot" w:pos="10194"/>
            </w:tabs>
            <w:rPr>
              <w:rFonts w:eastAsiaTheme="minorEastAsia"/>
              <w:noProof/>
              <w:spacing w:val="0"/>
              <w:kern w:val="2"/>
              <w:sz w:val="24"/>
              <w:lang w:eastAsia="en-AU"/>
              <w14:ligatures w14:val="standardContextual"/>
            </w:rPr>
          </w:pPr>
          <w:hyperlink w:anchor="_Toc230351761" w:history="1">
            <w:r w:rsidRPr="00982730">
              <w:rPr>
                <w:rStyle w:val="Hyperlink"/>
                <w:b/>
                <w:noProof/>
              </w:rPr>
              <w:t>Fraud and corruption landscape</w:t>
            </w:r>
            <w:r>
              <w:rPr>
                <w:noProof/>
                <w:webHidden/>
              </w:rPr>
              <w:tab/>
            </w:r>
            <w:r>
              <w:rPr>
                <w:noProof/>
                <w:webHidden/>
              </w:rPr>
              <w:fldChar w:fldCharType="begin"/>
            </w:r>
            <w:r>
              <w:rPr>
                <w:noProof/>
                <w:webHidden/>
              </w:rPr>
              <w:instrText xml:space="preserve"> PAGEREF _Toc230351761 \h </w:instrText>
            </w:r>
            <w:r>
              <w:rPr>
                <w:noProof/>
                <w:webHidden/>
              </w:rPr>
            </w:r>
            <w:r>
              <w:rPr>
                <w:noProof/>
                <w:webHidden/>
              </w:rPr>
              <w:fldChar w:fldCharType="separate"/>
            </w:r>
            <w:r>
              <w:rPr>
                <w:noProof/>
                <w:webHidden/>
              </w:rPr>
              <w:t>3</w:t>
            </w:r>
            <w:r>
              <w:rPr>
                <w:noProof/>
                <w:webHidden/>
              </w:rPr>
              <w:fldChar w:fldCharType="end"/>
            </w:r>
          </w:hyperlink>
        </w:p>
        <w:p w14:paraId="22B01C97" w14:textId="406F12D4" w:rsidR="00752CE9" w:rsidRDefault="00752CE9">
          <w:pPr>
            <w:pStyle w:val="TOC1"/>
            <w:tabs>
              <w:tab w:val="right" w:leader="dot" w:pos="10194"/>
            </w:tabs>
            <w:rPr>
              <w:rFonts w:eastAsiaTheme="minorEastAsia"/>
              <w:noProof/>
              <w:spacing w:val="0"/>
              <w:kern w:val="2"/>
              <w:sz w:val="24"/>
              <w:lang w:eastAsia="en-AU"/>
              <w14:ligatures w14:val="standardContextual"/>
            </w:rPr>
          </w:pPr>
          <w:hyperlink w:anchor="_Toc230351762" w:history="1">
            <w:r w:rsidRPr="00982730">
              <w:rPr>
                <w:rStyle w:val="Hyperlink"/>
                <w:b/>
                <w:noProof/>
              </w:rPr>
              <w:t>Department of Social Services’ Fraud and Corruption Control System</w:t>
            </w:r>
            <w:r>
              <w:rPr>
                <w:noProof/>
                <w:webHidden/>
              </w:rPr>
              <w:tab/>
            </w:r>
            <w:r>
              <w:rPr>
                <w:noProof/>
                <w:webHidden/>
              </w:rPr>
              <w:fldChar w:fldCharType="begin"/>
            </w:r>
            <w:r>
              <w:rPr>
                <w:noProof/>
                <w:webHidden/>
              </w:rPr>
              <w:instrText xml:space="preserve"> PAGEREF _Toc230351762 \h </w:instrText>
            </w:r>
            <w:r>
              <w:rPr>
                <w:noProof/>
                <w:webHidden/>
              </w:rPr>
            </w:r>
            <w:r>
              <w:rPr>
                <w:noProof/>
                <w:webHidden/>
              </w:rPr>
              <w:fldChar w:fldCharType="separate"/>
            </w:r>
            <w:r>
              <w:rPr>
                <w:noProof/>
                <w:webHidden/>
              </w:rPr>
              <w:t>4</w:t>
            </w:r>
            <w:r>
              <w:rPr>
                <w:noProof/>
                <w:webHidden/>
              </w:rPr>
              <w:fldChar w:fldCharType="end"/>
            </w:r>
          </w:hyperlink>
        </w:p>
        <w:p w14:paraId="5945971C" w14:textId="1D706117" w:rsidR="00752CE9" w:rsidRDefault="00752CE9">
          <w:pPr>
            <w:pStyle w:val="TOC1"/>
            <w:tabs>
              <w:tab w:val="right" w:leader="dot" w:pos="10194"/>
            </w:tabs>
            <w:rPr>
              <w:rFonts w:eastAsiaTheme="minorEastAsia"/>
              <w:noProof/>
              <w:spacing w:val="0"/>
              <w:kern w:val="2"/>
              <w:sz w:val="24"/>
              <w:lang w:eastAsia="en-AU"/>
              <w14:ligatures w14:val="standardContextual"/>
            </w:rPr>
          </w:pPr>
          <w:hyperlink w:anchor="_Toc230351763" w:history="1">
            <w:r w:rsidRPr="00982730">
              <w:rPr>
                <w:rStyle w:val="Hyperlink"/>
                <w:b/>
                <w:noProof/>
              </w:rPr>
              <w:t>Definitions</w:t>
            </w:r>
            <w:r>
              <w:rPr>
                <w:noProof/>
                <w:webHidden/>
              </w:rPr>
              <w:tab/>
            </w:r>
            <w:r>
              <w:rPr>
                <w:noProof/>
                <w:webHidden/>
              </w:rPr>
              <w:fldChar w:fldCharType="begin"/>
            </w:r>
            <w:r>
              <w:rPr>
                <w:noProof/>
                <w:webHidden/>
              </w:rPr>
              <w:instrText xml:space="preserve"> PAGEREF _Toc230351763 \h </w:instrText>
            </w:r>
            <w:r>
              <w:rPr>
                <w:noProof/>
                <w:webHidden/>
              </w:rPr>
            </w:r>
            <w:r>
              <w:rPr>
                <w:noProof/>
                <w:webHidden/>
              </w:rPr>
              <w:fldChar w:fldCharType="separate"/>
            </w:r>
            <w:r>
              <w:rPr>
                <w:noProof/>
                <w:webHidden/>
              </w:rPr>
              <w:t>6</w:t>
            </w:r>
            <w:r>
              <w:rPr>
                <w:noProof/>
                <w:webHidden/>
              </w:rPr>
              <w:fldChar w:fldCharType="end"/>
            </w:r>
          </w:hyperlink>
        </w:p>
        <w:p w14:paraId="5DC2E73C" w14:textId="4A333BFF" w:rsidR="00752CE9" w:rsidRDefault="00752CE9">
          <w:pPr>
            <w:pStyle w:val="TOC1"/>
            <w:tabs>
              <w:tab w:val="right" w:leader="dot" w:pos="10194"/>
            </w:tabs>
            <w:rPr>
              <w:rFonts w:eastAsiaTheme="minorEastAsia"/>
              <w:noProof/>
              <w:spacing w:val="0"/>
              <w:kern w:val="2"/>
              <w:sz w:val="24"/>
              <w:lang w:eastAsia="en-AU"/>
              <w14:ligatures w14:val="standardContextual"/>
            </w:rPr>
          </w:pPr>
          <w:hyperlink w:anchor="_Toc230351764" w:history="1">
            <w:r w:rsidRPr="00982730">
              <w:rPr>
                <w:rStyle w:val="Hyperlink"/>
                <w:b/>
                <w:noProof/>
              </w:rPr>
              <w:t>Fraud and corruption risks</w:t>
            </w:r>
            <w:r>
              <w:rPr>
                <w:noProof/>
                <w:webHidden/>
              </w:rPr>
              <w:tab/>
            </w:r>
            <w:r>
              <w:rPr>
                <w:noProof/>
                <w:webHidden/>
              </w:rPr>
              <w:fldChar w:fldCharType="begin"/>
            </w:r>
            <w:r>
              <w:rPr>
                <w:noProof/>
                <w:webHidden/>
              </w:rPr>
              <w:instrText xml:space="preserve"> PAGEREF _Toc230351764 \h </w:instrText>
            </w:r>
            <w:r>
              <w:rPr>
                <w:noProof/>
                <w:webHidden/>
              </w:rPr>
            </w:r>
            <w:r>
              <w:rPr>
                <w:noProof/>
                <w:webHidden/>
              </w:rPr>
              <w:fldChar w:fldCharType="separate"/>
            </w:r>
            <w:r>
              <w:rPr>
                <w:noProof/>
                <w:webHidden/>
              </w:rPr>
              <w:t>7</w:t>
            </w:r>
            <w:r>
              <w:rPr>
                <w:noProof/>
                <w:webHidden/>
              </w:rPr>
              <w:fldChar w:fldCharType="end"/>
            </w:r>
          </w:hyperlink>
        </w:p>
        <w:p w14:paraId="192DCF60" w14:textId="2AF6BB71" w:rsidR="00752CE9" w:rsidRDefault="00752CE9">
          <w:pPr>
            <w:pStyle w:val="TOC1"/>
            <w:tabs>
              <w:tab w:val="right" w:leader="dot" w:pos="10194"/>
            </w:tabs>
            <w:rPr>
              <w:rFonts w:eastAsiaTheme="minorEastAsia"/>
              <w:noProof/>
              <w:spacing w:val="0"/>
              <w:kern w:val="2"/>
              <w:sz w:val="24"/>
              <w:lang w:eastAsia="en-AU"/>
              <w14:ligatures w14:val="standardContextual"/>
            </w:rPr>
          </w:pPr>
          <w:hyperlink w:anchor="_Toc230351765" w:history="1">
            <w:r w:rsidRPr="00982730">
              <w:rPr>
                <w:rStyle w:val="Hyperlink"/>
                <w:b/>
                <w:noProof/>
              </w:rPr>
              <w:t>Fraud and corruption control strategies</w:t>
            </w:r>
            <w:r>
              <w:rPr>
                <w:noProof/>
                <w:webHidden/>
              </w:rPr>
              <w:tab/>
            </w:r>
            <w:r>
              <w:rPr>
                <w:noProof/>
                <w:webHidden/>
              </w:rPr>
              <w:fldChar w:fldCharType="begin"/>
            </w:r>
            <w:r>
              <w:rPr>
                <w:noProof/>
                <w:webHidden/>
              </w:rPr>
              <w:instrText xml:space="preserve"> PAGEREF _Toc230351765 \h </w:instrText>
            </w:r>
            <w:r>
              <w:rPr>
                <w:noProof/>
                <w:webHidden/>
              </w:rPr>
            </w:r>
            <w:r>
              <w:rPr>
                <w:noProof/>
                <w:webHidden/>
              </w:rPr>
              <w:fldChar w:fldCharType="separate"/>
            </w:r>
            <w:r>
              <w:rPr>
                <w:noProof/>
                <w:webHidden/>
              </w:rPr>
              <w:t>8</w:t>
            </w:r>
            <w:r>
              <w:rPr>
                <w:noProof/>
                <w:webHidden/>
              </w:rPr>
              <w:fldChar w:fldCharType="end"/>
            </w:r>
          </w:hyperlink>
        </w:p>
        <w:p w14:paraId="0D7962E8" w14:textId="47BDCB6A" w:rsidR="00752CE9" w:rsidRDefault="00752CE9">
          <w:pPr>
            <w:pStyle w:val="TOC1"/>
            <w:tabs>
              <w:tab w:val="right" w:leader="dot" w:pos="10194"/>
            </w:tabs>
            <w:rPr>
              <w:rFonts w:eastAsiaTheme="minorEastAsia"/>
              <w:noProof/>
              <w:spacing w:val="0"/>
              <w:kern w:val="2"/>
              <w:sz w:val="24"/>
              <w:lang w:eastAsia="en-AU"/>
              <w14:ligatures w14:val="standardContextual"/>
            </w:rPr>
          </w:pPr>
          <w:hyperlink w:anchor="_Toc230351766" w:history="1">
            <w:r w:rsidRPr="00982730">
              <w:rPr>
                <w:rStyle w:val="Hyperlink"/>
                <w:b/>
                <w:noProof/>
              </w:rPr>
              <w:t>Roles and responsibilities</w:t>
            </w:r>
            <w:r>
              <w:rPr>
                <w:noProof/>
                <w:webHidden/>
              </w:rPr>
              <w:tab/>
            </w:r>
            <w:r>
              <w:rPr>
                <w:noProof/>
                <w:webHidden/>
              </w:rPr>
              <w:fldChar w:fldCharType="begin"/>
            </w:r>
            <w:r>
              <w:rPr>
                <w:noProof/>
                <w:webHidden/>
              </w:rPr>
              <w:instrText xml:space="preserve"> PAGEREF _Toc230351766 \h </w:instrText>
            </w:r>
            <w:r>
              <w:rPr>
                <w:noProof/>
                <w:webHidden/>
              </w:rPr>
            </w:r>
            <w:r>
              <w:rPr>
                <w:noProof/>
                <w:webHidden/>
              </w:rPr>
              <w:fldChar w:fldCharType="separate"/>
            </w:r>
            <w:r>
              <w:rPr>
                <w:noProof/>
                <w:webHidden/>
              </w:rPr>
              <w:t>12</w:t>
            </w:r>
            <w:r>
              <w:rPr>
                <w:noProof/>
                <w:webHidden/>
              </w:rPr>
              <w:fldChar w:fldCharType="end"/>
            </w:r>
          </w:hyperlink>
        </w:p>
        <w:p w14:paraId="04D40745" w14:textId="2363B3D4" w:rsidR="00752CE9" w:rsidRDefault="00752CE9">
          <w:pPr>
            <w:pStyle w:val="TOC1"/>
            <w:tabs>
              <w:tab w:val="right" w:leader="dot" w:pos="10194"/>
            </w:tabs>
            <w:rPr>
              <w:rFonts w:eastAsiaTheme="minorEastAsia"/>
              <w:noProof/>
              <w:spacing w:val="0"/>
              <w:kern w:val="2"/>
              <w:sz w:val="24"/>
              <w:lang w:eastAsia="en-AU"/>
              <w14:ligatures w14:val="standardContextual"/>
            </w:rPr>
          </w:pPr>
          <w:hyperlink w:anchor="_Toc230351767" w:history="1">
            <w:r w:rsidRPr="00982730">
              <w:rPr>
                <w:rStyle w:val="Hyperlink"/>
                <w:b/>
                <w:noProof/>
              </w:rPr>
              <w:t>Governance</w:t>
            </w:r>
            <w:r>
              <w:rPr>
                <w:noProof/>
                <w:webHidden/>
              </w:rPr>
              <w:tab/>
            </w:r>
            <w:r>
              <w:rPr>
                <w:noProof/>
                <w:webHidden/>
              </w:rPr>
              <w:fldChar w:fldCharType="begin"/>
            </w:r>
            <w:r>
              <w:rPr>
                <w:noProof/>
                <w:webHidden/>
              </w:rPr>
              <w:instrText xml:space="preserve"> PAGEREF _Toc230351767 \h </w:instrText>
            </w:r>
            <w:r>
              <w:rPr>
                <w:noProof/>
                <w:webHidden/>
              </w:rPr>
            </w:r>
            <w:r>
              <w:rPr>
                <w:noProof/>
                <w:webHidden/>
              </w:rPr>
              <w:fldChar w:fldCharType="separate"/>
            </w:r>
            <w:r>
              <w:rPr>
                <w:noProof/>
                <w:webHidden/>
              </w:rPr>
              <w:t>13</w:t>
            </w:r>
            <w:r>
              <w:rPr>
                <w:noProof/>
                <w:webHidden/>
              </w:rPr>
              <w:fldChar w:fldCharType="end"/>
            </w:r>
          </w:hyperlink>
        </w:p>
        <w:p w14:paraId="5527A341" w14:textId="09F2637F" w:rsidR="00752CE9" w:rsidRDefault="00752CE9">
          <w:pPr>
            <w:pStyle w:val="TOC1"/>
            <w:tabs>
              <w:tab w:val="right" w:leader="dot" w:pos="10194"/>
            </w:tabs>
            <w:rPr>
              <w:rFonts w:eastAsiaTheme="minorEastAsia"/>
              <w:noProof/>
              <w:spacing w:val="0"/>
              <w:kern w:val="2"/>
              <w:sz w:val="24"/>
              <w:lang w:eastAsia="en-AU"/>
              <w14:ligatures w14:val="standardContextual"/>
            </w:rPr>
          </w:pPr>
          <w:hyperlink w:anchor="_Toc230351768" w:history="1">
            <w:r w:rsidRPr="00982730">
              <w:rPr>
                <w:rStyle w:val="Hyperlink"/>
                <w:b/>
                <w:noProof/>
              </w:rPr>
              <w:t>Reporting mechanisms for fraud and corruption</w:t>
            </w:r>
            <w:r>
              <w:rPr>
                <w:noProof/>
                <w:webHidden/>
              </w:rPr>
              <w:tab/>
            </w:r>
            <w:r>
              <w:rPr>
                <w:noProof/>
                <w:webHidden/>
              </w:rPr>
              <w:fldChar w:fldCharType="begin"/>
            </w:r>
            <w:r>
              <w:rPr>
                <w:noProof/>
                <w:webHidden/>
              </w:rPr>
              <w:instrText xml:space="preserve"> PAGEREF _Toc230351768 \h </w:instrText>
            </w:r>
            <w:r>
              <w:rPr>
                <w:noProof/>
                <w:webHidden/>
              </w:rPr>
            </w:r>
            <w:r>
              <w:rPr>
                <w:noProof/>
                <w:webHidden/>
              </w:rPr>
              <w:fldChar w:fldCharType="separate"/>
            </w:r>
            <w:r>
              <w:rPr>
                <w:noProof/>
                <w:webHidden/>
              </w:rPr>
              <w:t>15</w:t>
            </w:r>
            <w:r>
              <w:rPr>
                <w:noProof/>
                <w:webHidden/>
              </w:rPr>
              <w:fldChar w:fldCharType="end"/>
            </w:r>
          </w:hyperlink>
        </w:p>
        <w:p w14:paraId="6CAECF80" w14:textId="48E598F3" w:rsidR="00752CE9" w:rsidRDefault="00752CE9">
          <w:pPr>
            <w:pStyle w:val="TOC1"/>
            <w:tabs>
              <w:tab w:val="right" w:leader="dot" w:pos="10194"/>
            </w:tabs>
            <w:rPr>
              <w:rFonts w:eastAsiaTheme="minorEastAsia"/>
              <w:noProof/>
              <w:spacing w:val="0"/>
              <w:kern w:val="2"/>
              <w:sz w:val="24"/>
              <w:lang w:eastAsia="en-AU"/>
              <w14:ligatures w14:val="standardContextual"/>
            </w:rPr>
          </w:pPr>
          <w:hyperlink w:anchor="_Toc230351769" w:history="1">
            <w:r w:rsidRPr="00982730">
              <w:rPr>
                <w:rStyle w:val="Hyperlink"/>
                <w:b/>
                <w:noProof/>
              </w:rPr>
              <w:t>Privacy</w:t>
            </w:r>
            <w:r>
              <w:rPr>
                <w:noProof/>
                <w:webHidden/>
              </w:rPr>
              <w:tab/>
            </w:r>
            <w:r>
              <w:rPr>
                <w:noProof/>
                <w:webHidden/>
              </w:rPr>
              <w:fldChar w:fldCharType="begin"/>
            </w:r>
            <w:r>
              <w:rPr>
                <w:noProof/>
                <w:webHidden/>
              </w:rPr>
              <w:instrText xml:space="preserve"> PAGEREF _Toc230351769 \h </w:instrText>
            </w:r>
            <w:r>
              <w:rPr>
                <w:noProof/>
                <w:webHidden/>
              </w:rPr>
            </w:r>
            <w:r>
              <w:rPr>
                <w:noProof/>
                <w:webHidden/>
              </w:rPr>
              <w:fldChar w:fldCharType="separate"/>
            </w:r>
            <w:r>
              <w:rPr>
                <w:noProof/>
                <w:webHidden/>
              </w:rPr>
              <w:t>15</w:t>
            </w:r>
            <w:r>
              <w:rPr>
                <w:noProof/>
                <w:webHidden/>
              </w:rPr>
              <w:fldChar w:fldCharType="end"/>
            </w:r>
          </w:hyperlink>
        </w:p>
        <w:p w14:paraId="095B4801" w14:textId="74377DCA" w:rsidR="00752CE9" w:rsidRDefault="00752CE9">
          <w:pPr>
            <w:pStyle w:val="TOC1"/>
            <w:tabs>
              <w:tab w:val="right" w:leader="dot" w:pos="10194"/>
            </w:tabs>
            <w:rPr>
              <w:rFonts w:eastAsiaTheme="minorEastAsia"/>
              <w:noProof/>
              <w:spacing w:val="0"/>
              <w:kern w:val="2"/>
              <w:sz w:val="24"/>
              <w:lang w:eastAsia="en-AU"/>
              <w14:ligatures w14:val="standardContextual"/>
            </w:rPr>
          </w:pPr>
          <w:hyperlink w:anchor="_Toc230351770" w:history="1">
            <w:r w:rsidRPr="00982730">
              <w:rPr>
                <w:rStyle w:val="Hyperlink"/>
                <w:b/>
                <w:noProof/>
              </w:rPr>
              <w:t>Associated Documents and Legislation</w:t>
            </w:r>
            <w:r>
              <w:rPr>
                <w:noProof/>
                <w:webHidden/>
              </w:rPr>
              <w:tab/>
            </w:r>
            <w:r>
              <w:rPr>
                <w:noProof/>
                <w:webHidden/>
              </w:rPr>
              <w:fldChar w:fldCharType="begin"/>
            </w:r>
            <w:r>
              <w:rPr>
                <w:noProof/>
                <w:webHidden/>
              </w:rPr>
              <w:instrText xml:space="preserve"> PAGEREF _Toc230351770 \h </w:instrText>
            </w:r>
            <w:r>
              <w:rPr>
                <w:noProof/>
                <w:webHidden/>
              </w:rPr>
            </w:r>
            <w:r>
              <w:rPr>
                <w:noProof/>
                <w:webHidden/>
              </w:rPr>
              <w:fldChar w:fldCharType="separate"/>
            </w:r>
            <w:r>
              <w:rPr>
                <w:noProof/>
                <w:webHidden/>
              </w:rPr>
              <w:t>16</w:t>
            </w:r>
            <w:r>
              <w:rPr>
                <w:noProof/>
                <w:webHidden/>
              </w:rPr>
              <w:fldChar w:fldCharType="end"/>
            </w:r>
          </w:hyperlink>
        </w:p>
        <w:p w14:paraId="2D409800" w14:textId="4CBFB520" w:rsidR="001016D7" w:rsidRDefault="001016D7" w:rsidP="005B6859">
          <w:pPr>
            <w:pStyle w:val="TableofFigures"/>
            <w:spacing w:after="2160"/>
          </w:pPr>
          <w:r>
            <w:fldChar w:fldCharType="end"/>
          </w:r>
        </w:p>
      </w:sdtContent>
    </w:sdt>
    <w:tbl>
      <w:tblPr>
        <w:tblpPr w:leftFromText="180" w:rightFromText="180" w:vertAnchor="text" w:horzAnchor="margin" w:tblpY="244"/>
        <w:tblW w:w="101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6"/>
        <w:gridCol w:w="2553"/>
        <w:gridCol w:w="6201"/>
      </w:tblGrid>
      <w:tr w:rsidR="001016D7" w:rsidRPr="00776A86" w14:paraId="7ACE4DA5" w14:textId="77777777" w:rsidTr="004D0426">
        <w:trPr>
          <w:trHeight w:val="300"/>
        </w:trPr>
        <w:tc>
          <w:tcPr>
            <w:tcW w:w="1416" w:type="dxa"/>
            <w:tcBorders>
              <w:top w:val="nil"/>
              <w:left w:val="nil"/>
              <w:bottom w:val="nil"/>
              <w:right w:val="nil"/>
            </w:tcBorders>
            <w:shd w:val="clear" w:color="auto" w:fill="005A70"/>
            <w:hideMark/>
          </w:tcPr>
          <w:p w14:paraId="2214064D" w14:textId="77777777" w:rsidR="001016D7" w:rsidRPr="00776A86" w:rsidRDefault="001016D7" w:rsidP="004D0426">
            <w:pPr>
              <w:spacing w:after="240"/>
              <w:rPr>
                <w:b/>
                <w:bCs/>
                <w:color w:val="FFFFFF" w:themeColor="background1"/>
              </w:rPr>
            </w:pPr>
            <w:r w:rsidRPr="00776A86">
              <w:rPr>
                <w:b/>
                <w:bCs/>
                <w:color w:val="FFFFFF" w:themeColor="background1"/>
              </w:rPr>
              <w:t>Version </w:t>
            </w:r>
          </w:p>
        </w:tc>
        <w:tc>
          <w:tcPr>
            <w:tcW w:w="2553" w:type="dxa"/>
            <w:tcBorders>
              <w:top w:val="nil"/>
              <w:left w:val="nil"/>
              <w:bottom w:val="nil"/>
              <w:right w:val="nil"/>
            </w:tcBorders>
            <w:shd w:val="clear" w:color="auto" w:fill="005A70"/>
            <w:hideMark/>
          </w:tcPr>
          <w:p w14:paraId="75428AB1" w14:textId="61C04A65" w:rsidR="001016D7" w:rsidRPr="00776A86" w:rsidRDefault="001016D7" w:rsidP="004D0426">
            <w:pPr>
              <w:spacing w:after="240"/>
              <w:rPr>
                <w:b/>
                <w:bCs/>
                <w:color w:val="FFFFFF" w:themeColor="background1"/>
              </w:rPr>
            </w:pPr>
            <w:r w:rsidRPr="00776A86">
              <w:rPr>
                <w:b/>
                <w:bCs/>
                <w:color w:val="FFFFFF" w:themeColor="background1"/>
              </w:rPr>
              <w:t>Date</w:t>
            </w:r>
            <w:r>
              <w:rPr>
                <w:b/>
                <w:bCs/>
                <w:color w:val="FFFFFF" w:themeColor="background1"/>
              </w:rPr>
              <w:t xml:space="preserve"> Approved  </w:t>
            </w:r>
          </w:p>
        </w:tc>
        <w:tc>
          <w:tcPr>
            <w:tcW w:w="6201" w:type="dxa"/>
            <w:tcBorders>
              <w:top w:val="nil"/>
              <w:left w:val="nil"/>
              <w:bottom w:val="nil"/>
              <w:right w:val="nil"/>
            </w:tcBorders>
            <w:shd w:val="clear" w:color="auto" w:fill="005A70"/>
            <w:hideMark/>
          </w:tcPr>
          <w:p w14:paraId="14CF9686" w14:textId="77777777" w:rsidR="001016D7" w:rsidRPr="00776A86" w:rsidRDefault="001016D7" w:rsidP="004D0426">
            <w:pPr>
              <w:spacing w:after="240"/>
              <w:rPr>
                <w:b/>
                <w:bCs/>
                <w:color w:val="FFFFFF" w:themeColor="background1"/>
              </w:rPr>
            </w:pPr>
            <w:r w:rsidRPr="00776A86">
              <w:rPr>
                <w:b/>
                <w:bCs/>
                <w:color w:val="FFFFFF" w:themeColor="background1"/>
              </w:rPr>
              <w:t>Comments </w:t>
            </w:r>
          </w:p>
        </w:tc>
      </w:tr>
      <w:tr w:rsidR="001016D7" w:rsidRPr="00776A86" w14:paraId="6D56A208" w14:textId="77777777" w:rsidTr="004D0426">
        <w:trPr>
          <w:trHeight w:val="300"/>
        </w:trPr>
        <w:tc>
          <w:tcPr>
            <w:tcW w:w="1416" w:type="dxa"/>
            <w:tcBorders>
              <w:top w:val="nil"/>
              <w:left w:val="nil"/>
              <w:bottom w:val="single" w:sz="6" w:space="0" w:color="D9D9D6"/>
              <w:right w:val="nil"/>
            </w:tcBorders>
            <w:shd w:val="clear" w:color="auto" w:fill="F8F8F8"/>
            <w:hideMark/>
          </w:tcPr>
          <w:p w14:paraId="5785B145" w14:textId="77777777" w:rsidR="001016D7" w:rsidRPr="00776A86" w:rsidRDefault="001016D7" w:rsidP="004D0426">
            <w:pPr>
              <w:spacing w:after="240"/>
            </w:pPr>
            <w:r w:rsidRPr="00776A86">
              <w:t>1</w:t>
            </w:r>
            <w:r>
              <w:t>.0</w:t>
            </w:r>
            <w:r w:rsidRPr="00776A86">
              <w:t> </w:t>
            </w:r>
          </w:p>
        </w:tc>
        <w:tc>
          <w:tcPr>
            <w:tcW w:w="2553" w:type="dxa"/>
            <w:tcBorders>
              <w:top w:val="nil"/>
              <w:left w:val="nil"/>
              <w:bottom w:val="single" w:sz="6" w:space="0" w:color="D9D9D6"/>
              <w:right w:val="nil"/>
            </w:tcBorders>
            <w:shd w:val="clear" w:color="auto" w:fill="F8F8F8"/>
            <w:hideMark/>
          </w:tcPr>
          <w:p w14:paraId="3EEE877F" w14:textId="5F53291B" w:rsidR="001016D7" w:rsidRPr="00776A86" w:rsidRDefault="00D07696" w:rsidP="004D0426">
            <w:pPr>
              <w:spacing w:after="240"/>
            </w:pPr>
            <w:r w:rsidRPr="00D07696">
              <w:t>07</w:t>
            </w:r>
            <w:r w:rsidR="001016D7" w:rsidRPr="00D07696">
              <w:t>/0</w:t>
            </w:r>
            <w:r w:rsidRPr="00D07696">
              <w:t>7</w:t>
            </w:r>
            <w:r w:rsidR="001016D7" w:rsidRPr="00D07696">
              <w:t>/2026</w:t>
            </w:r>
            <w:r w:rsidR="001016D7" w:rsidRPr="00776A86">
              <w:t> </w:t>
            </w:r>
          </w:p>
        </w:tc>
        <w:tc>
          <w:tcPr>
            <w:tcW w:w="6201" w:type="dxa"/>
            <w:tcBorders>
              <w:top w:val="nil"/>
              <w:left w:val="nil"/>
              <w:bottom w:val="single" w:sz="6" w:space="0" w:color="D9D9D6"/>
              <w:right w:val="nil"/>
            </w:tcBorders>
            <w:shd w:val="clear" w:color="auto" w:fill="F8F8F8"/>
            <w:hideMark/>
          </w:tcPr>
          <w:p w14:paraId="5FD0EE66" w14:textId="77777777" w:rsidR="001016D7" w:rsidRPr="00776A86" w:rsidRDefault="001016D7" w:rsidP="004D0426">
            <w:pPr>
              <w:spacing w:after="240"/>
            </w:pPr>
            <w:r>
              <w:t xml:space="preserve">Approved by Secretary Michael Lye </w:t>
            </w:r>
            <w:r w:rsidRPr="00776A86">
              <w:t> </w:t>
            </w:r>
          </w:p>
        </w:tc>
      </w:tr>
    </w:tbl>
    <w:p w14:paraId="173A3C01" w14:textId="496AF955" w:rsidR="00294EA1" w:rsidRPr="008A60E8" w:rsidRDefault="00294EA1" w:rsidP="00294EA1">
      <w:pPr>
        <w:pStyle w:val="Heading2"/>
        <w:rPr>
          <w:b/>
          <w:bCs w:val="0"/>
        </w:rPr>
      </w:pPr>
      <w:bookmarkStart w:id="5" w:name="_Toc230351759"/>
      <w:r w:rsidRPr="008A60E8">
        <w:rPr>
          <w:b/>
          <w:bCs w:val="0"/>
        </w:rPr>
        <w:lastRenderedPageBreak/>
        <w:t>Secretary’s statement</w:t>
      </w:r>
      <w:bookmarkEnd w:id="5"/>
    </w:p>
    <w:p w14:paraId="301CC370" w14:textId="642DA1C9" w:rsidR="00294EA1" w:rsidRDefault="00294EA1" w:rsidP="00294EA1">
      <w:pPr>
        <w:spacing w:after="240"/>
      </w:pPr>
      <w:r w:rsidRPr="00D076F4">
        <w:t xml:space="preserve">The Department of Social Services (the department) 2026-28 Fraud and Corruption Control Plan (the </w:t>
      </w:r>
      <w:r>
        <w:t>P</w:t>
      </w:r>
      <w:r w:rsidRPr="00D076F4">
        <w:t xml:space="preserve">lan) </w:t>
      </w:r>
      <w:r w:rsidR="00DC0F26">
        <w:t xml:space="preserve">sets out how we protect the integrity of our programs and the public resources entrusted to us. </w:t>
      </w:r>
    </w:p>
    <w:p w14:paraId="5A8267B1" w14:textId="45A47BDA" w:rsidR="00294EA1" w:rsidRPr="00D076F4" w:rsidRDefault="00294EA1" w:rsidP="00294EA1">
      <w:pPr>
        <w:spacing w:after="240"/>
      </w:pPr>
      <w:r>
        <w:t xml:space="preserve">The Plan </w:t>
      </w:r>
      <w:r w:rsidR="00DC0F26">
        <w:t>supports our</w:t>
      </w:r>
      <w:r>
        <w:t xml:space="preserve"> purpose t</w:t>
      </w:r>
      <w:r w:rsidRPr="003136D0">
        <w:t xml:space="preserve">o improve the economic and social wellbeing of individuals, families and vulnerable members of Australian communities. </w:t>
      </w:r>
      <w:r w:rsidR="00DC0F26">
        <w:t xml:space="preserve">Maintaining trust in our systems is essential to achieving this purpose and to delivering outcomes that are fair, effective and sustainable. </w:t>
      </w:r>
    </w:p>
    <w:p w14:paraId="57D0E07E" w14:textId="0C3F6B13" w:rsidR="00294EA1" w:rsidRPr="00D076F4" w:rsidRDefault="00294EA1" w:rsidP="00294EA1">
      <w:pPr>
        <w:spacing w:after="240"/>
      </w:pPr>
      <w:r w:rsidRPr="00D076F4">
        <w:t xml:space="preserve">The </w:t>
      </w:r>
      <w:r>
        <w:t>P</w:t>
      </w:r>
      <w:r w:rsidRPr="00D076F4">
        <w:t xml:space="preserve">lan </w:t>
      </w:r>
      <w:r>
        <w:t xml:space="preserve">outlines </w:t>
      </w:r>
      <w:r w:rsidR="00D15AB9">
        <w:t xml:space="preserve">our whole-of-department approach to managing </w:t>
      </w:r>
      <w:r>
        <w:t>fraud and corruption</w:t>
      </w:r>
      <w:r w:rsidR="008E06C1">
        <w:t xml:space="preserve"> risk</w:t>
      </w:r>
      <w:r w:rsidR="00D15AB9">
        <w:t>. It clarifies roles</w:t>
      </w:r>
      <w:r w:rsidR="002E0017">
        <w:t>,</w:t>
      </w:r>
      <w:r w:rsidRPr="00D076F4">
        <w:t xml:space="preserve"> responsibilities and obligations</w:t>
      </w:r>
      <w:r w:rsidR="00D15AB9">
        <w:t xml:space="preserve">, and describes how we </w:t>
      </w:r>
      <w:r w:rsidRPr="00D076F4">
        <w:t>prevent, detect and respond to fraud and corruption</w:t>
      </w:r>
      <w:r w:rsidR="002E0017">
        <w:t xml:space="preserve"> incidents and risks</w:t>
      </w:r>
      <w:r w:rsidRPr="00D076F4">
        <w:t>.</w:t>
      </w:r>
    </w:p>
    <w:p w14:paraId="70F83270" w14:textId="570844AD" w:rsidR="002367B6" w:rsidRDefault="00273F28" w:rsidP="00294EA1">
      <w:pPr>
        <w:spacing w:after="240"/>
      </w:pPr>
      <w:r w:rsidRPr="00273F28">
        <w:t>Our approach is grounded in integrity, stewardship and delivering outcomes for Australians, aligned to the department’s Impact Strategy</w:t>
      </w:r>
      <w:r w:rsidR="002E0017">
        <w:t xml:space="preserve">, </w:t>
      </w:r>
      <w:r w:rsidRPr="00273F28">
        <w:t>Capability Review Action Plan</w:t>
      </w:r>
      <w:r w:rsidR="002E0017">
        <w:t>, and Integrity Strategy</w:t>
      </w:r>
      <w:r w:rsidRPr="00273F28">
        <w:t>, and supported by the 4Cs</w:t>
      </w:r>
      <w:r w:rsidR="002367B6">
        <w:t xml:space="preserve"> - </w:t>
      </w:r>
      <w:r w:rsidRPr="00273F28">
        <w:t>courage, curiosity, contestability and collaboration</w:t>
      </w:r>
      <w:r w:rsidR="002367B6">
        <w:t xml:space="preserve">, </w:t>
      </w:r>
      <w:r w:rsidRPr="00273F28">
        <w:t>which guide how we work together.</w:t>
      </w:r>
    </w:p>
    <w:p w14:paraId="49C269B4" w14:textId="77777777" w:rsidR="002367B6" w:rsidRDefault="002367B6" w:rsidP="00294EA1">
      <w:pPr>
        <w:spacing w:after="240"/>
      </w:pPr>
      <w:r w:rsidRPr="002367B6">
        <w:t>We are focused on building a mature, risk-informed control environment. This includes strengthening program design, improving controls and assurance, and lifting capability through better use of data, intelligence and governance. It enables us to identify emerging risks early and take timely, proportionate action where issues arise.</w:t>
      </w:r>
    </w:p>
    <w:p w14:paraId="76FD82FA" w14:textId="7AC2D819" w:rsidR="00294EA1" w:rsidRDefault="00294EA1" w:rsidP="00294EA1">
      <w:pPr>
        <w:spacing w:after="240"/>
      </w:pPr>
      <w:r w:rsidRPr="00D076F4">
        <w:t xml:space="preserve">We </w:t>
      </w:r>
      <w:r w:rsidR="001B7192">
        <w:t xml:space="preserve">apply </w:t>
      </w:r>
      <w:r w:rsidRPr="00D076F4">
        <w:t>a range of</w:t>
      </w:r>
      <w:r w:rsidR="001B7192">
        <w:t xml:space="preserve"> responses spanning prevention, early intervention, compliance, investigation and referral, tailored to the </w:t>
      </w:r>
      <w:r w:rsidRPr="00D076F4">
        <w:t xml:space="preserve">nature and seriousness of the matter. This </w:t>
      </w:r>
      <w:r w:rsidR="00446DB2">
        <w:t>ensures we act</w:t>
      </w:r>
      <w:r w:rsidRPr="00D076F4">
        <w:t xml:space="preserve"> decisively while also supporting continuous improvement in the design and delivery of our programs.</w:t>
      </w:r>
    </w:p>
    <w:p w14:paraId="5BC7743C" w14:textId="3CE50222" w:rsidR="00905A22" w:rsidRPr="00905A22" w:rsidRDefault="006739C7" w:rsidP="00905A22">
      <w:pPr>
        <w:spacing w:after="240"/>
      </w:pPr>
      <w:r>
        <w:t>Fraud and corruption control</w:t>
      </w:r>
      <w:r w:rsidR="00905A22" w:rsidRPr="00905A22">
        <w:t xml:space="preserve"> is a shared responsibility. It relies on sound judgement, accountability and a consistent commitment to the APS Values and Code of Conduct. The effectiveness of this Plan depends on how it is applied in practice, every day, across the department.</w:t>
      </w:r>
    </w:p>
    <w:p w14:paraId="0DC2F798" w14:textId="77777777" w:rsidR="00905A22" w:rsidRDefault="00905A22" w:rsidP="00905A22">
      <w:pPr>
        <w:spacing w:after="240"/>
      </w:pPr>
      <w:r w:rsidRPr="00905A22">
        <w:t>Through this Plan, we strengthen our capability, enhance assurance and reinforce our role as stewards of public trust, ensuring we continue to deliver for Australians.</w:t>
      </w:r>
    </w:p>
    <w:p w14:paraId="64DF50EE" w14:textId="0C73D39F" w:rsidR="00294EA1" w:rsidRDefault="00FF08D7" w:rsidP="005B6859">
      <w:pPr>
        <w:spacing w:after="240"/>
      </w:pPr>
      <w:r w:rsidRPr="00FA53F7">
        <w:rPr>
          <w:noProof/>
        </w:rPr>
        <w:drawing>
          <wp:anchor distT="0" distB="0" distL="114300" distR="114300" simplePos="0" relativeHeight="251681792" behindDoc="0" locked="0" layoutInCell="1" allowOverlap="1" wp14:anchorId="3BD1E30A" wp14:editId="34CE4440">
            <wp:simplePos x="0" y="0"/>
            <wp:positionH relativeFrom="margin">
              <wp:posOffset>-152400</wp:posOffset>
            </wp:positionH>
            <wp:positionV relativeFrom="paragraph">
              <wp:posOffset>363220</wp:posOffset>
            </wp:positionV>
            <wp:extent cx="1695600" cy="1242000"/>
            <wp:effectExtent l="0" t="0" r="0" b="0"/>
            <wp:wrapSquare wrapText="left"/>
            <wp:docPr id="2021953898" name="Picture 1" descr="Michael Ly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953898" name="Picture 1" descr="Michael Lye signature"/>
                    <pic:cNvPicPr/>
                  </pic:nvPicPr>
                  <pic:blipFill>
                    <a:blip r:embed="rId11">
                      <a:extLst>
                        <a:ext uri="{28A0092B-C50C-407E-A947-70E740481C1C}">
                          <a14:useLocalDpi xmlns:a14="http://schemas.microsoft.com/office/drawing/2010/main" val="0"/>
                        </a:ext>
                      </a:extLst>
                    </a:blip>
                    <a:stretch>
                      <a:fillRect/>
                    </a:stretch>
                  </pic:blipFill>
                  <pic:spPr>
                    <a:xfrm>
                      <a:off x="0" y="0"/>
                      <a:ext cx="1695600" cy="1242000"/>
                    </a:xfrm>
                    <a:prstGeom prst="rect">
                      <a:avLst/>
                    </a:prstGeom>
                  </pic:spPr>
                </pic:pic>
              </a:graphicData>
            </a:graphic>
            <wp14:sizeRelH relativeFrom="margin">
              <wp14:pctWidth>0</wp14:pctWidth>
            </wp14:sizeRelH>
            <wp14:sizeRelV relativeFrom="margin">
              <wp14:pctHeight>0</wp14:pctHeight>
            </wp14:sizeRelV>
          </wp:anchor>
        </w:drawing>
      </w:r>
    </w:p>
    <w:p w14:paraId="7552F4E1" w14:textId="1AD798B7" w:rsidR="00294EA1" w:rsidRPr="00020F12" w:rsidRDefault="00294EA1" w:rsidP="00020F12">
      <w:r>
        <w:br w:type="page"/>
      </w:r>
    </w:p>
    <w:p w14:paraId="79A9D672" w14:textId="0758C1EC" w:rsidR="00294EA1" w:rsidRPr="007A095E" w:rsidRDefault="00294EA1" w:rsidP="00294EA1">
      <w:pPr>
        <w:pStyle w:val="Heading2"/>
        <w:rPr>
          <w:b/>
          <w:bCs w:val="0"/>
        </w:rPr>
      </w:pPr>
      <w:bookmarkStart w:id="6" w:name="_Toc230351760"/>
      <w:r w:rsidRPr="007A095E">
        <w:rPr>
          <w:b/>
          <w:bCs w:val="0"/>
        </w:rPr>
        <w:lastRenderedPageBreak/>
        <w:t>Purpose</w:t>
      </w:r>
      <w:bookmarkEnd w:id="6"/>
    </w:p>
    <w:p w14:paraId="0394D4F8" w14:textId="7ABE8B97" w:rsidR="00294EA1" w:rsidRDefault="00294EA1" w:rsidP="00294EA1">
      <w:r w:rsidRPr="009A01DC">
        <w:t xml:space="preserve">The </w:t>
      </w:r>
      <w:r w:rsidR="00623C08">
        <w:t>department</w:t>
      </w:r>
      <w:r>
        <w:t xml:space="preserve"> takes allegations of fraud and corruption seriously and takes all reasonable measures to prevent, detect and respond to fraud and corruption incidents. </w:t>
      </w:r>
    </w:p>
    <w:p w14:paraId="7FBAE3D0" w14:textId="77777777" w:rsidR="00294EA1" w:rsidRDefault="00294EA1" w:rsidP="00294EA1">
      <w:r>
        <w:t>The department’s</w:t>
      </w:r>
      <w:r w:rsidRPr="009A01DC">
        <w:rPr>
          <w:i/>
          <w:iCs/>
        </w:rPr>
        <w:t xml:space="preserve"> </w:t>
      </w:r>
      <w:r w:rsidRPr="009A01DC">
        <w:t>Fraud and Corruption Control Plan 202</w:t>
      </w:r>
      <w:r>
        <w:t>6</w:t>
      </w:r>
      <w:r w:rsidRPr="009A01DC">
        <w:t>-202</w:t>
      </w:r>
      <w:r>
        <w:t>8</w:t>
      </w:r>
      <w:r w:rsidRPr="009A01DC">
        <w:t xml:space="preserve"> (the Plan) outlines the approach the department will take to manage fraud and corruption</w:t>
      </w:r>
      <w:r>
        <w:t xml:space="preserve">. It documents how the department meets its </w:t>
      </w:r>
      <w:r w:rsidRPr="009A01DC">
        <w:t xml:space="preserve">Commonwealth Fraud and Corruption Control Framework 2024 (the Framework) </w:t>
      </w:r>
      <w:r>
        <w:t xml:space="preserve">obligations </w:t>
      </w:r>
      <w:r w:rsidRPr="009A01DC">
        <w:t xml:space="preserve">under the </w:t>
      </w:r>
      <w:r w:rsidRPr="009A01DC">
        <w:rPr>
          <w:i/>
        </w:rPr>
        <w:t>Public Governance, Performance and Accountability Act 2013</w:t>
      </w:r>
      <w:r w:rsidRPr="009A01DC">
        <w:t xml:space="preserve"> (PGPA Act)</w:t>
      </w:r>
      <w:r>
        <w:t xml:space="preserve">. </w:t>
      </w:r>
    </w:p>
    <w:p w14:paraId="3FC2ABD5" w14:textId="77777777" w:rsidR="00294EA1" w:rsidRDefault="00294EA1" w:rsidP="00294EA1">
      <w:r w:rsidRPr="009A01DC">
        <w:t>The Framework consists of three parts:</w:t>
      </w:r>
    </w:p>
    <w:tbl>
      <w:tblPr>
        <w:tblStyle w:val="TableGrid"/>
        <w:tblW w:w="0" w:type="auto"/>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3391"/>
        <w:gridCol w:w="3405"/>
      </w:tblGrid>
      <w:tr w:rsidR="00294EA1" w14:paraId="3A3DD870" w14:textId="77777777" w:rsidTr="004D0426">
        <w:trPr>
          <w:tblCellSpacing w:w="28" w:type="dxa"/>
        </w:trPr>
        <w:tc>
          <w:tcPr>
            <w:tcW w:w="3324" w:type="dxa"/>
            <w:shd w:val="clear" w:color="auto" w:fill="005A70" w:themeFill="accent1"/>
          </w:tcPr>
          <w:p w14:paraId="2A46DB3A" w14:textId="77777777" w:rsidR="00294EA1" w:rsidRPr="00974CCC" w:rsidRDefault="00294EA1" w:rsidP="004D0426">
            <w:pPr>
              <w:jc w:val="center"/>
              <w:rPr>
                <w:color w:val="FFFFFF" w:themeColor="background1"/>
              </w:rPr>
            </w:pPr>
            <w:r w:rsidRPr="00974CCC">
              <w:rPr>
                <w:b/>
                <w:bCs/>
                <w:color w:val="FFFFFF" w:themeColor="background1"/>
              </w:rPr>
              <w:t>Section 10 of the PGPA Rule (Fraud and Corruption Rule)</w:t>
            </w:r>
          </w:p>
        </w:tc>
        <w:tc>
          <w:tcPr>
            <w:tcW w:w="3335" w:type="dxa"/>
            <w:shd w:val="clear" w:color="auto" w:fill="005A70" w:themeFill="accent1"/>
          </w:tcPr>
          <w:p w14:paraId="7B551988" w14:textId="77777777" w:rsidR="00294EA1" w:rsidRPr="00974CCC" w:rsidRDefault="00294EA1" w:rsidP="004D0426">
            <w:pPr>
              <w:jc w:val="center"/>
              <w:rPr>
                <w:color w:val="FFFFFF" w:themeColor="background1"/>
              </w:rPr>
            </w:pPr>
            <w:r w:rsidRPr="00974CCC">
              <w:rPr>
                <w:b/>
                <w:bCs/>
                <w:color w:val="FFFFFF" w:themeColor="background1"/>
              </w:rPr>
              <w:t>The Commonwealth Fraud and Corruption Policy</w:t>
            </w:r>
          </w:p>
        </w:tc>
        <w:tc>
          <w:tcPr>
            <w:tcW w:w="3321" w:type="dxa"/>
            <w:shd w:val="clear" w:color="auto" w:fill="005A70" w:themeFill="accent1"/>
          </w:tcPr>
          <w:p w14:paraId="0AC171F7" w14:textId="77777777" w:rsidR="00294EA1" w:rsidRPr="00974CCC" w:rsidRDefault="00294EA1" w:rsidP="004D0426">
            <w:pPr>
              <w:jc w:val="center"/>
              <w:rPr>
                <w:color w:val="FFFFFF" w:themeColor="background1"/>
              </w:rPr>
            </w:pPr>
            <w:r w:rsidRPr="00974CCC">
              <w:rPr>
                <w:b/>
                <w:bCs/>
                <w:color w:val="FFFFFF" w:themeColor="background1"/>
              </w:rPr>
              <w:t>Resource Management Guidance (RMG) 201 – Preventing, detecting and dealing with fraud and corruption</w:t>
            </w:r>
          </w:p>
        </w:tc>
      </w:tr>
      <w:tr w:rsidR="00294EA1" w14:paraId="3FC880B3" w14:textId="77777777" w:rsidTr="004D0426">
        <w:trPr>
          <w:tblCellSpacing w:w="28" w:type="dxa"/>
        </w:trPr>
        <w:tc>
          <w:tcPr>
            <w:tcW w:w="3324" w:type="dxa"/>
          </w:tcPr>
          <w:p w14:paraId="71A51401" w14:textId="77777777" w:rsidR="00294EA1" w:rsidRPr="009A01DC" w:rsidRDefault="00294EA1" w:rsidP="004D0426">
            <w:pPr>
              <w:jc w:val="center"/>
            </w:pPr>
            <w:r>
              <w:t>L</w:t>
            </w:r>
            <w:r w:rsidRPr="009A01DC">
              <w:t>egislative instrument</w:t>
            </w:r>
            <w:r>
              <w:t xml:space="preserve"> </w:t>
            </w:r>
            <w:r w:rsidRPr="009A01DC">
              <w:t xml:space="preserve">for all PGPA </w:t>
            </w:r>
            <w:r>
              <w:t xml:space="preserve">Act </w:t>
            </w:r>
            <w:r w:rsidRPr="009A01DC">
              <w:t>entities</w:t>
            </w:r>
            <w:r>
              <w:t>. It requires Commonwealth entities to take all reasonable measures to prevent, detect and respond to fraud and corruption.</w:t>
            </w:r>
          </w:p>
          <w:p w14:paraId="64FD69F7" w14:textId="77777777" w:rsidR="00294EA1" w:rsidRDefault="00294EA1" w:rsidP="004D0426">
            <w:pPr>
              <w:jc w:val="center"/>
            </w:pPr>
          </w:p>
        </w:tc>
        <w:tc>
          <w:tcPr>
            <w:tcW w:w="3335" w:type="dxa"/>
          </w:tcPr>
          <w:p w14:paraId="68D70F74" w14:textId="77777777" w:rsidR="00294EA1" w:rsidRDefault="00294EA1" w:rsidP="004D0426">
            <w:pPr>
              <w:jc w:val="center"/>
            </w:pPr>
            <w:r>
              <w:t>Whole of</w:t>
            </w:r>
            <w:r w:rsidRPr="009A01DC">
              <w:t xml:space="preserve"> Government Policy which is binding for all Non-Corporate Entities (NCEs). It sets out </w:t>
            </w:r>
            <w:r>
              <w:t>mandatory procedural requirements that must be implemented for fraud and corruption control.</w:t>
            </w:r>
          </w:p>
        </w:tc>
        <w:tc>
          <w:tcPr>
            <w:tcW w:w="3321" w:type="dxa"/>
          </w:tcPr>
          <w:p w14:paraId="1D78D678" w14:textId="77777777" w:rsidR="00294EA1" w:rsidRDefault="00294EA1" w:rsidP="004D0426">
            <w:pPr>
              <w:jc w:val="center"/>
            </w:pPr>
            <w:r>
              <w:t>P</w:t>
            </w:r>
            <w:r w:rsidRPr="009A01DC">
              <w:t xml:space="preserve">rovides entities practical guidance on </w:t>
            </w:r>
            <w:r>
              <w:t xml:space="preserve">how to meet the </w:t>
            </w:r>
            <w:r w:rsidRPr="009A01DC">
              <w:t xml:space="preserve">fraud and corruption control </w:t>
            </w:r>
            <w:r>
              <w:t>requirements.</w:t>
            </w:r>
          </w:p>
        </w:tc>
      </w:tr>
    </w:tbl>
    <w:p w14:paraId="7936D95B" w14:textId="323F370D" w:rsidR="00294EA1" w:rsidRPr="00D275CB" w:rsidRDefault="00294EA1" w:rsidP="00294EA1">
      <w:pPr>
        <w:pStyle w:val="Heading2"/>
        <w:rPr>
          <w:b/>
          <w:bCs w:val="0"/>
        </w:rPr>
      </w:pPr>
      <w:bookmarkStart w:id="7" w:name="_Toc230351761"/>
      <w:r w:rsidRPr="00D275CB">
        <w:rPr>
          <w:b/>
          <w:bCs w:val="0"/>
        </w:rPr>
        <w:t xml:space="preserve">Fraud and </w:t>
      </w:r>
      <w:r w:rsidR="00DB7033">
        <w:rPr>
          <w:b/>
          <w:bCs w:val="0"/>
        </w:rPr>
        <w:t>c</w:t>
      </w:r>
      <w:r w:rsidRPr="00D275CB">
        <w:rPr>
          <w:b/>
          <w:bCs w:val="0"/>
        </w:rPr>
        <w:t>orruption landscape</w:t>
      </w:r>
      <w:bookmarkEnd w:id="7"/>
    </w:p>
    <w:p w14:paraId="483D8214" w14:textId="30E52DDD" w:rsidR="00294EA1" w:rsidRPr="00D275CB" w:rsidRDefault="00294EA1" w:rsidP="00294EA1">
      <w:r>
        <w:t>T</w:t>
      </w:r>
      <w:r w:rsidRPr="00D275CB">
        <w:t>he department operates in a fraud and corruption risk environment shaped by its role as a policy agency and administrator of public funds through grant</w:t>
      </w:r>
      <w:r>
        <w:t xml:space="preserve"> </w:t>
      </w:r>
      <w:r w:rsidRPr="00D275CB">
        <w:t>programs</w:t>
      </w:r>
      <w:r>
        <w:t>, schemes</w:t>
      </w:r>
      <w:r w:rsidRPr="00D275CB">
        <w:t xml:space="preserve"> and contractual arrangements. Service delivery is largely </w:t>
      </w:r>
      <w:r>
        <w:t>delivered</w:t>
      </w:r>
      <w:r w:rsidRPr="00D275CB">
        <w:t xml:space="preserve"> through third</w:t>
      </w:r>
      <w:r w:rsidRPr="00D275CB">
        <w:noBreakHyphen/>
        <w:t>party organisations</w:t>
      </w:r>
      <w:r>
        <w:t>. This approach raises</w:t>
      </w:r>
      <w:r w:rsidRPr="00D275CB">
        <w:t xml:space="preserve"> </w:t>
      </w:r>
      <w:r w:rsidR="00682540">
        <w:t xml:space="preserve">fraud and corruption </w:t>
      </w:r>
      <w:r w:rsidRPr="00D275CB">
        <w:t>risks such as misuse of public resources, false or misleading information, conflicts of interest and improper influence in decision</w:t>
      </w:r>
      <w:r>
        <w:t xml:space="preserve"> </w:t>
      </w:r>
      <w:r w:rsidRPr="00D275CB">
        <w:t>making. These risks require proportionate and well</w:t>
      </w:r>
      <w:r w:rsidRPr="00D275CB">
        <w:noBreakHyphen/>
        <w:t>designed controls to support ethical conduct and the proper use of Commonwealth resources.</w:t>
      </w:r>
    </w:p>
    <w:p w14:paraId="7AB40337" w14:textId="3E309D64" w:rsidR="00294EA1" w:rsidRPr="00D275CB" w:rsidRDefault="00294EA1" w:rsidP="00294EA1">
      <w:r w:rsidRPr="00D275CB">
        <w:t xml:space="preserve">The department operates within the Commonwealth </w:t>
      </w:r>
      <w:r w:rsidR="00682540">
        <w:t>I</w:t>
      </w:r>
      <w:r w:rsidRPr="00D275CB">
        <w:t xml:space="preserve">ntegrity </w:t>
      </w:r>
      <w:r w:rsidR="00682540">
        <w:t>F</w:t>
      </w:r>
      <w:r w:rsidRPr="00D275CB">
        <w:t>ramework and is subject to the jurisdiction of the National Anti</w:t>
      </w:r>
      <w:r w:rsidRPr="00D275CB">
        <w:noBreakHyphen/>
        <w:t xml:space="preserve">Corruption Commission (NACC). In accordance with the </w:t>
      </w:r>
      <w:r w:rsidRPr="00D275CB">
        <w:rPr>
          <w:i/>
          <w:iCs/>
        </w:rPr>
        <w:t>National Anti</w:t>
      </w:r>
      <w:r w:rsidRPr="00D275CB">
        <w:rPr>
          <w:i/>
          <w:iCs/>
        </w:rPr>
        <w:noBreakHyphen/>
        <w:t>Corruption Commission Act 2022</w:t>
      </w:r>
      <w:r w:rsidRPr="00D275CB">
        <w:t>, the department meets its mandatory reporting obligations and maintains internal escalation arrangements to identify and refer matters that may meet the threshold of serious or systemic corruption. These arrangements support timely detection and response to corruption risks and reinforce accountability across the department.</w:t>
      </w:r>
    </w:p>
    <w:p w14:paraId="0AE87C5B" w14:textId="3CF3A7D9" w:rsidR="00B668C0" w:rsidRPr="00D275CB" w:rsidRDefault="00294EA1" w:rsidP="00B668C0">
      <w:r w:rsidRPr="00D275CB">
        <w:t>Fraud and corruption risks associated with third</w:t>
      </w:r>
      <w:r w:rsidRPr="00D275CB">
        <w:noBreakHyphen/>
        <w:t xml:space="preserve">party delivery arrangements are a significant feature of the department’s operating environment. Grant agreements and contracts require service providers to meet Commonwealth </w:t>
      </w:r>
      <w:r>
        <w:t xml:space="preserve">legislative </w:t>
      </w:r>
      <w:r w:rsidRPr="00D275CB">
        <w:t>standards of integrity and accountability, including obligations to prevent, detect and report suspected fraud and corruption relating to departmental funding. For the</w:t>
      </w:r>
      <w:r w:rsidR="004D6380">
        <w:t xml:space="preserve"> </w:t>
      </w:r>
      <w:r w:rsidR="00B668C0" w:rsidRPr="00D275CB">
        <w:t xml:space="preserve">purposes of the </w:t>
      </w:r>
      <w:r w:rsidR="00B668C0" w:rsidRPr="00D275CB">
        <w:rPr>
          <w:i/>
          <w:iCs/>
        </w:rPr>
        <w:t>National Anti</w:t>
      </w:r>
      <w:r w:rsidR="00B668C0" w:rsidRPr="00D275CB">
        <w:rPr>
          <w:i/>
          <w:iCs/>
        </w:rPr>
        <w:noBreakHyphen/>
        <w:t>Corruption Commission Act 2022</w:t>
      </w:r>
      <w:r w:rsidR="00B668C0" w:rsidRPr="00D275CB">
        <w:t>, staff of third</w:t>
      </w:r>
      <w:r w:rsidR="00B668C0" w:rsidRPr="00D275CB">
        <w:noBreakHyphen/>
        <w:t xml:space="preserve">party service providers are regarded as staff of the contracting entity when performing functions on behalf of the </w:t>
      </w:r>
      <w:r w:rsidR="00B668C0" w:rsidRPr="00D275CB">
        <w:lastRenderedPageBreak/>
        <w:t xml:space="preserve">department, extending the NACC’s jurisdiction to alleged corruption involving those staff. Effective prevention and detection therefore depend on </w:t>
      </w:r>
      <w:r w:rsidR="00B668C0">
        <w:t xml:space="preserve">embedding </w:t>
      </w:r>
      <w:r w:rsidR="00B668C0" w:rsidRPr="00D275CB">
        <w:t>clear expectations, assurance activities and reporting mechanisms across external delivery partners.</w:t>
      </w:r>
    </w:p>
    <w:p w14:paraId="13F7720C" w14:textId="2CAABB7F" w:rsidR="00B668C0" w:rsidRPr="00D275CB" w:rsidRDefault="00B668C0" w:rsidP="00B668C0">
      <w:r w:rsidRPr="00D275CB">
        <w:t>The department’s fraud and corruption risks evolve with changes in program design, funding models and delivery mechanisms. In response, the department applies a structured approach across prevention, detection and response</w:t>
      </w:r>
      <w:r w:rsidR="00682540">
        <w:t xml:space="preserve"> that is</w:t>
      </w:r>
      <w:r w:rsidRPr="00D275CB">
        <w:t xml:space="preserve"> informed by ongoing risk assessment, monitoring and assurance. This approach supports the protection of public resources, compliance with legislative and policy requirements, and the maintenance of public confidence in the integrity of the department’s activities.</w:t>
      </w:r>
    </w:p>
    <w:p w14:paraId="02F6AED0" w14:textId="77777777" w:rsidR="00B668C0" w:rsidRPr="00ED0AFE" w:rsidRDefault="00B668C0" w:rsidP="00B668C0">
      <w:pPr>
        <w:pStyle w:val="Heading2"/>
        <w:rPr>
          <w:b/>
          <w:bCs w:val="0"/>
        </w:rPr>
      </w:pPr>
      <w:bookmarkStart w:id="8" w:name="_Toc163816479"/>
      <w:bookmarkStart w:id="9" w:name="_Toc165280571"/>
      <w:bookmarkStart w:id="10" w:name="_Toc227836932"/>
      <w:bookmarkStart w:id="11" w:name="_Toc230351762"/>
      <w:r w:rsidRPr="00ED0AFE">
        <w:rPr>
          <w:b/>
          <w:bCs w:val="0"/>
        </w:rPr>
        <w:t xml:space="preserve">Department of Social Services’ Fraud and Corruption Control </w:t>
      </w:r>
      <w:bookmarkEnd w:id="8"/>
      <w:bookmarkEnd w:id="9"/>
      <w:r w:rsidRPr="00ED0AFE">
        <w:rPr>
          <w:b/>
          <w:bCs w:val="0"/>
        </w:rPr>
        <w:t>System</w:t>
      </w:r>
      <w:bookmarkEnd w:id="10"/>
      <w:bookmarkEnd w:id="11"/>
    </w:p>
    <w:p w14:paraId="7C331A2E" w14:textId="77777777" w:rsidR="007407FD" w:rsidRDefault="00B668C0" w:rsidP="00B668C0">
      <w:r w:rsidRPr="009A01DC">
        <w:t xml:space="preserve">The Department of Social Services’ Fraud and Corruption Control </w:t>
      </w:r>
      <w:r>
        <w:t>System</w:t>
      </w:r>
      <w:r w:rsidRPr="009A01DC">
        <w:t xml:space="preserve"> is comprised of </w:t>
      </w:r>
      <w:r w:rsidRPr="00E54E1B">
        <w:t>five</w:t>
      </w:r>
      <w:r w:rsidRPr="009A01DC">
        <w:t xml:space="preserve"> related </w:t>
      </w:r>
      <w:r>
        <w:t>parts</w:t>
      </w:r>
      <w:r w:rsidRPr="009A01DC">
        <w:t>:</w:t>
      </w:r>
    </w:p>
    <w:p w14:paraId="3FF4001E" w14:textId="77777777" w:rsidR="00E64617" w:rsidRPr="00587139" w:rsidRDefault="000D4819" w:rsidP="00587139">
      <w:pPr>
        <w:rPr>
          <w:b/>
          <w:bCs/>
        </w:rPr>
      </w:pPr>
      <w:r w:rsidRPr="00587139">
        <w:rPr>
          <w:b/>
          <w:bCs/>
        </w:rPr>
        <w:t>Fraud and Corruption Control Plan 2026-28:</w:t>
      </w:r>
    </w:p>
    <w:p w14:paraId="084F3A38" w14:textId="31F5DB8A" w:rsidR="000D4819" w:rsidRDefault="000D4819" w:rsidP="00587139">
      <w:r w:rsidRPr="00EC060D">
        <w:t>Outlines the department’s commitment to managing and responding to fraud and corruption risks.</w:t>
      </w:r>
    </w:p>
    <w:p w14:paraId="627931E9" w14:textId="77777777" w:rsidR="000D4819" w:rsidRPr="004F358C" w:rsidRDefault="000D4819" w:rsidP="000D4819">
      <w:pPr>
        <w:rPr>
          <w:b/>
          <w:bCs/>
        </w:rPr>
      </w:pPr>
      <w:r w:rsidRPr="004F358C">
        <w:rPr>
          <w:b/>
          <w:bCs/>
        </w:rPr>
        <w:t xml:space="preserve">Fraud and Corruption Policy: </w:t>
      </w:r>
    </w:p>
    <w:p w14:paraId="5E7CAC7E" w14:textId="77777777" w:rsidR="000D4819" w:rsidRDefault="000D4819" w:rsidP="000D4819">
      <w:r w:rsidRPr="004F358C">
        <w:t>Outlines fraud and corruption governance arrangements and further detail on key roles and responsibilities of relevant officials and committees, fraud and corruption risk management processes, as well as guidance on how to report fraud and corruption.</w:t>
      </w:r>
    </w:p>
    <w:p w14:paraId="6FF2550F" w14:textId="77777777" w:rsidR="000D4819" w:rsidRPr="004F358C" w:rsidRDefault="000D4819" w:rsidP="000D4819">
      <w:pPr>
        <w:rPr>
          <w:b/>
          <w:bCs/>
        </w:rPr>
      </w:pPr>
      <w:r w:rsidRPr="004F358C">
        <w:rPr>
          <w:b/>
          <w:bCs/>
        </w:rPr>
        <w:t>Secretary’s Instruction 1.3 Fraud and Corruption Control:</w:t>
      </w:r>
    </w:p>
    <w:p w14:paraId="3EB600E2" w14:textId="77777777" w:rsidR="000D4819" w:rsidRDefault="000D4819" w:rsidP="000D4819">
      <w:r w:rsidRPr="004F358C">
        <w:t>Provides direction in relation to fraud and corruption reporting, risk management and control.</w:t>
      </w:r>
    </w:p>
    <w:p w14:paraId="674CAF3F" w14:textId="77777777" w:rsidR="000D4819" w:rsidRPr="003F6DB7" w:rsidRDefault="000D4819" w:rsidP="000D4819">
      <w:pPr>
        <w:rPr>
          <w:b/>
          <w:bCs/>
        </w:rPr>
      </w:pPr>
      <w:r w:rsidRPr="003F6DB7">
        <w:rPr>
          <w:b/>
          <w:bCs/>
        </w:rPr>
        <w:t xml:space="preserve">Strategic Fraud and Corruption Risk Profiling: </w:t>
      </w:r>
    </w:p>
    <w:p w14:paraId="03EBF93A" w14:textId="77777777" w:rsidR="000D4819" w:rsidRPr="005A1231" w:rsidRDefault="000D4819" w:rsidP="000D4819">
      <w:r w:rsidRPr="005A1231">
        <w:t>Strategic fraud and corruption risk profiling provides enterprise-level oversight of fraud and corruption risks across programs and corporate areas. It identifies vulnerable areas with medium or higher risk requiring targeted assessments, supporting proportionate and active risk management.</w:t>
      </w:r>
    </w:p>
    <w:p w14:paraId="0EC4EAC8" w14:textId="77777777" w:rsidR="000D4819" w:rsidRPr="003F6DB7" w:rsidRDefault="000D4819" w:rsidP="000D4819">
      <w:pPr>
        <w:rPr>
          <w:b/>
          <w:bCs/>
        </w:rPr>
      </w:pPr>
      <w:r w:rsidRPr="003F6DB7">
        <w:rPr>
          <w:b/>
          <w:bCs/>
        </w:rPr>
        <w:t xml:space="preserve">Targeted Fraud and Corruption Risk Assessments: </w:t>
      </w:r>
    </w:p>
    <w:p w14:paraId="336FC3CA" w14:textId="77777777" w:rsidR="000D4819" w:rsidRPr="003F6DB7" w:rsidRDefault="000D4819" w:rsidP="000D4819">
      <w:r w:rsidRPr="003F6DB7">
        <w:t>Targeted risk assessments for corporate functions, grant programs and schemes that have a higher level of complexity and fraud and corruption exposure that requires additional risk management.</w:t>
      </w:r>
    </w:p>
    <w:p w14:paraId="4C9D0A40" w14:textId="00A65673" w:rsidR="00B668C0" w:rsidRDefault="00B668C0" w:rsidP="00B668C0"/>
    <w:p w14:paraId="3F9F04EE" w14:textId="77777777" w:rsidR="00B668C0" w:rsidRDefault="00B668C0" w:rsidP="00B668C0">
      <w:r w:rsidRPr="00E54E1B">
        <w:t>These five com</w:t>
      </w:r>
      <w:r w:rsidRPr="009A01DC">
        <w:t xml:space="preserve">ponents fit within a broader system of governance, </w:t>
      </w:r>
      <w:r>
        <w:t xml:space="preserve">risk management, </w:t>
      </w:r>
      <w:r w:rsidRPr="009A01DC">
        <w:t>guidance and controls in place in the department. The diagram and explanatory notes below outline the authorising, directive and enabling elements that make up this system and support compliance with a range of legislative requirements.</w:t>
      </w:r>
      <w:r>
        <w:t xml:space="preserve"> Furter information on associated legislation and polices is listed at the end of this document. </w:t>
      </w:r>
    </w:p>
    <w:p w14:paraId="528CFA79" w14:textId="7005F08B" w:rsidR="00B668C0" w:rsidRDefault="00B668C0" w:rsidP="00F13410">
      <w:pPr>
        <w:spacing w:before="480" w:after="0"/>
        <w:rPr>
          <w:b/>
          <w:bCs/>
        </w:rPr>
      </w:pPr>
    </w:p>
    <w:p w14:paraId="7985BDA4" w14:textId="0695FA03" w:rsidR="005D5BFD" w:rsidRPr="00504453" w:rsidRDefault="005D5BFD" w:rsidP="00504453">
      <w:pPr>
        <w:pStyle w:val="Heading3"/>
      </w:pPr>
      <w:r w:rsidRPr="00504453">
        <w:t>DSS Fraud and Corruption Control Environment Overview</w:t>
      </w:r>
    </w:p>
    <w:p w14:paraId="2A6FA8F9" w14:textId="77777777" w:rsidR="00B83979" w:rsidRDefault="00B83979" w:rsidP="00CE6A1D">
      <w:pPr>
        <w:rPr>
          <w:b/>
          <w:bCs/>
        </w:rPr>
      </w:pPr>
    </w:p>
    <w:p w14:paraId="7A415928" w14:textId="139085F4" w:rsidR="00B668C0" w:rsidRDefault="00B668C0" w:rsidP="00CE6A1D">
      <w:r w:rsidRPr="009A01DC">
        <w:rPr>
          <w:b/>
          <w:bCs/>
        </w:rPr>
        <w:t>Authorising elements</w:t>
      </w:r>
      <w:r w:rsidRPr="009A01DC">
        <w:t xml:space="preserve"> – the higher-level legislative instruments that set mandatory requirements for department staff to follow</w:t>
      </w:r>
      <w:r w:rsidR="003E3E94">
        <w:t>:</w:t>
      </w:r>
    </w:p>
    <w:p w14:paraId="2F37E4EB" w14:textId="77777777" w:rsidR="003E3E94" w:rsidRDefault="003E3E94" w:rsidP="00CE6A1D">
      <w:pPr>
        <w:pStyle w:val="ListParagraph"/>
        <w:numPr>
          <w:ilvl w:val="0"/>
          <w:numId w:val="29"/>
        </w:numPr>
      </w:pPr>
      <w:r>
        <w:t>Public Governance, Performance and Accountability Act 2013/Rule 2014</w:t>
      </w:r>
    </w:p>
    <w:p w14:paraId="0E55D6D4" w14:textId="77777777" w:rsidR="003E3E94" w:rsidRDefault="003E3E94" w:rsidP="00CE6A1D">
      <w:pPr>
        <w:pStyle w:val="ListParagraph"/>
        <w:numPr>
          <w:ilvl w:val="0"/>
          <w:numId w:val="29"/>
        </w:numPr>
      </w:pPr>
      <w:r>
        <w:t>Financial Framework (Supplementary Powers) Act 1997 and Regulations</w:t>
      </w:r>
    </w:p>
    <w:p w14:paraId="0E1F331F" w14:textId="77777777" w:rsidR="003E3E94" w:rsidRDefault="003E3E94" w:rsidP="00CE6A1D">
      <w:pPr>
        <w:pStyle w:val="ListParagraph"/>
        <w:numPr>
          <w:ilvl w:val="0"/>
          <w:numId w:val="29"/>
        </w:numPr>
      </w:pPr>
      <w:r>
        <w:t>Commonwealth Fraud and Corruption Control Framework 2024</w:t>
      </w:r>
    </w:p>
    <w:p w14:paraId="5DF8F743" w14:textId="77777777" w:rsidR="003E3E94" w:rsidRDefault="003E3E94" w:rsidP="00CE6A1D">
      <w:pPr>
        <w:pStyle w:val="ListParagraph"/>
        <w:numPr>
          <w:ilvl w:val="0"/>
          <w:numId w:val="29"/>
        </w:numPr>
      </w:pPr>
      <w:r>
        <w:t>Commonwealth Grants Rules and Principles 2024</w:t>
      </w:r>
    </w:p>
    <w:p w14:paraId="3332BEBA" w14:textId="77777777" w:rsidR="003E3E94" w:rsidRDefault="003E3E94" w:rsidP="00CE6A1D">
      <w:pPr>
        <w:pStyle w:val="ListParagraph"/>
        <w:numPr>
          <w:ilvl w:val="0"/>
          <w:numId w:val="29"/>
        </w:numPr>
      </w:pPr>
      <w:r>
        <w:t>Commonwealth grants and procurement connected policies</w:t>
      </w:r>
    </w:p>
    <w:p w14:paraId="380652FC" w14:textId="06E91FE7" w:rsidR="00B668C0" w:rsidRPr="00B001CA" w:rsidRDefault="003E3E94" w:rsidP="00CE6A1D">
      <w:pPr>
        <w:pStyle w:val="ListParagraph"/>
        <w:numPr>
          <w:ilvl w:val="0"/>
          <w:numId w:val="29"/>
        </w:numPr>
      </w:pPr>
      <w:r>
        <w:t>National Anti-Corruption Commission Act 2022.</w:t>
      </w:r>
    </w:p>
    <w:p w14:paraId="3A9768ED" w14:textId="77777777" w:rsidR="002549B3" w:rsidRDefault="00B668C0" w:rsidP="002549B3">
      <w:r w:rsidRPr="009A01DC">
        <w:rPr>
          <w:b/>
          <w:bCs/>
        </w:rPr>
        <w:t>Directive elements</w:t>
      </w:r>
      <w:r w:rsidRPr="009A01DC">
        <w:t xml:space="preserve"> – policies that provide direction to staff on how the mandatory requirements are implemented into departmental process, and what is required of staff to comply with requirements</w:t>
      </w:r>
      <w:r w:rsidR="00436A44">
        <w:t>:</w:t>
      </w:r>
    </w:p>
    <w:p w14:paraId="2B04472A" w14:textId="6148A2B8" w:rsidR="002549B3" w:rsidRDefault="002549B3" w:rsidP="002549B3">
      <w:pPr>
        <w:pStyle w:val="ListParagraph"/>
        <w:numPr>
          <w:ilvl w:val="0"/>
          <w:numId w:val="32"/>
        </w:numPr>
        <w:spacing w:after="0"/>
      </w:pPr>
      <w:r>
        <w:t>Secretary’s Instructions</w:t>
      </w:r>
    </w:p>
    <w:p w14:paraId="5E2AE156" w14:textId="77777777" w:rsidR="002549B3" w:rsidRDefault="002549B3" w:rsidP="002549B3">
      <w:pPr>
        <w:pStyle w:val="ListParagraph"/>
        <w:numPr>
          <w:ilvl w:val="0"/>
          <w:numId w:val="32"/>
        </w:numPr>
      </w:pPr>
      <w:r>
        <w:t>DSS Corporate Plan</w:t>
      </w:r>
    </w:p>
    <w:p w14:paraId="2E137A3C" w14:textId="77777777" w:rsidR="002549B3" w:rsidRDefault="002549B3" w:rsidP="002549B3">
      <w:pPr>
        <w:pStyle w:val="ListParagraph"/>
        <w:numPr>
          <w:ilvl w:val="0"/>
          <w:numId w:val="32"/>
        </w:numPr>
      </w:pPr>
      <w:r>
        <w:t>DSS Fraud and Corruption Plan and Fraud and Corruption Policy</w:t>
      </w:r>
    </w:p>
    <w:p w14:paraId="3C45090B" w14:textId="77777777" w:rsidR="002549B3" w:rsidRDefault="002549B3" w:rsidP="002549B3">
      <w:pPr>
        <w:pStyle w:val="ListParagraph"/>
        <w:numPr>
          <w:ilvl w:val="0"/>
          <w:numId w:val="32"/>
        </w:numPr>
      </w:pPr>
      <w:r>
        <w:t>DSS Corporate Policies</w:t>
      </w:r>
    </w:p>
    <w:p w14:paraId="3F78BC25" w14:textId="77777777" w:rsidR="002549B3" w:rsidRDefault="002549B3" w:rsidP="002549B3">
      <w:pPr>
        <w:pStyle w:val="ListParagraph"/>
        <w:numPr>
          <w:ilvl w:val="0"/>
          <w:numId w:val="32"/>
        </w:numPr>
      </w:pPr>
      <w:r>
        <w:t>DSS Risk Management Framework</w:t>
      </w:r>
    </w:p>
    <w:p w14:paraId="15D6A66B" w14:textId="77777777" w:rsidR="002549B3" w:rsidRDefault="002549B3" w:rsidP="002549B3">
      <w:pPr>
        <w:pStyle w:val="ListParagraph"/>
        <w:numPr>
          <w:ilvl w:val="0"/>
          <w:numId w:val="32"/>
        </w:numPr>
      </w:pPr>
      <w:r>
        <w:t>Secretary’s 4Cs</w:t>
      </w:r>
    </w:p>
    <w:p w14:paraId="5524D472" w14:textId="2BFC7DA3" w:rsidR="00B668C0" w:rsidRPr="002549B3" w:rsidRDefault="002549B3" w:rsidP="002549B3">
      <w:pPr>
        <w:pStyle w:val="ListParagraph"/>
        <w:numPr>
          <w:ilvl w:val="0"/>
          <w:numId w:val="32"/>
        </w:numPr>
      </w:pPr>
      <w:r>
        <w:t>Funding Agreement Obligations for Third Party Providers.</w:t>
      </w:r>
    </w:p>
    <w:p w14:paraId="21FC9CA3" w14:textId="7E59E5EF" w:rsidR="00CD583D" w:rsidRDefault="00B668C0" w:rsidP="009D4189">
      <w:r w:rsidRPr="009A01DC">
        <w:rPr>
          <w:b/>
          <w:bCs/>
        </w:rPr>
        <w:t>Enabling elements</w:t>
      </w:r>
      <w:r w:rsidRPr="009A01DC">
        <w:t xml:space="preserve"> – the supporting tools, capability, processes and procedures and departmental culture that enables staff to comply with their obligations</w:t>
      </w:r>
      <w:r w:rsidR="00CD583D">
        <w:t>:</w:t>
      </w:r>
    </w:p>
    <w:p w14:paraId="53C4FC38" w14:textId="77777777" w:rsidR="009D4189" w:rsidRDefault="009D4189" w:rsidP="009D4189">
      <w:pPr>
        <w:pStyle w:val="ListParagraph"/>
        <w:numPr>
          <w:ilvl w:val="0"/>
          <w:numId w:val="33"/>
        </w:numPr>
      </w:pPr>
      <w:r>
        <w:t>Governance and reporting</w:t>
      </w:r>
    </w:p>
    <w:p w14:paraId="470CD0DA" w14:textId="77777777" w:rsidR="009D4189" w:rsidRDefault="009D4189" w:rsidP="009D4189">
      <w:pPr>
        <w:pStyle w:val="ListParagraph"/>
        <w:numPr>
          <w:ilvl w:val="0"/>
          <w:numId w:val="33"/>
        </w:numPr>
      </w:pPr>
      <w:r>
        <w:t>Staff capability and DSS culture</w:t>
      </w:r>
    </w:p>
    <w:p w14:paraId="51B5133C" w14:textId="77777777" w:rsidR="009D4189" w:rsidRDefault="009D4189" w:rsidP="009D4189">
      <w:pPr>
        <w:pStyle w:val="ListParagraph"/>
        <w:numPr>
          <w:ilvl w:val="0"/>
          <w:numId w:val="33"/>
        </w:numPr>
      </w:pPr>
      <w:r>
        <w:t>Leadership and accountability</w:t>
      </w:r>
    </w:p>
    <w:p w14:paraId="2AAFCF0C" w14:textId="77777777" w:rsidR="009D4189" w:rsidRDefault="009D4189" w:rsidP="009D4189">
      <w:pPr>
        <w:pStyle w:val="ListParagraph"/>
        <w:numPr>
          <w:ilvl w:val="0"/>
          <w:numId w:val="33"/>
        </w:numPr>
      </w:pPr>
      <w:r>
        <w:t>Grant program and scheme operating procedures</w:t>
      </w:r>
    </w:p>
    <w:p w14:paraId="35A6C891" w14:textId="77777777" w:rsidR="009D4189" w:rsidRDefault="009D4189" w:rsidP="009D4189">
      <w:pPr>
        <w:pStyle w:val="ListParagraph"/>
        <w:numPr>
          <w:ilvl w:val="0"/>
          <w:numId w:val="33"/>
        </w:numPr>
      </w:pPr>
      <w:r>
        <w:t>Stakeholder awareness of fraud and corruption posture</w:t>
      </w:r>
    </w:p>
    <w:p w14:paraId="5A6927E9" w14:textId="77777777" w:rsidR="009D4189" w:rsidRDefault="009D4189" w:rsidP="009D4189">
      <w:pPr>
        <w:pStyle w:val="ListParagraph"/>
        <w:numPr>
          <w:ilvl w:val="0"/>
          <w:numId w:val="33"/>
        </w:numPr>
      </w:pPr>
      <w:r>
        <w:t>Training and continuous learning</w:t>
      </w:r>
    </w:p>
    <w:p w14:paraId="0F2CE931" w14:textId="77777777" w:rsidR="009D4189" w:rsidRDefault="009D4189" w:rsidP="009D4189">
      <w:pPr>
        <w:pStyle w:val="ListParagraph"/>
        <w:numPr>
          <w:ilvl w:val="0"/>
          <w:numId w:val="33"/>
        </w:numPr>
      </w:pPr>
      <w:r>
        <w:t>Evaluation and Continuous Improvement</w:t>
      </w:r>
    </w:p>
    <w:p w14:paraId="48FAC495" w14:textId="77777777" w:rsidR="009D4189" w:rsidRDefault="009D4189" w:rsidP="009D4189">
      <w:pPr>
        <w:pStyle w:val="ListParagraph"/>
        <w:numPr>
          <w:ilvl w:val="0"/>
          <w:numId w:val="33"/>
        </w:numPr>
      </w:pPr>
      <w:r>
        <w:t>Fraud and corruption case management</w:t>
      </w:r>
    </w:p>
    <w:p w14:paraId="5754626B" w14:textId="77777777" w:rsidR="009D4189" w:rsidRDefault="009D4189" w:rsidP="009D4189">
      <w:pPr>
        <w:pStyle w:val="ListParagraph"/>
        <w:numPr>
          <w:ilvl w:val="0"/>
          <w:numId w:val="33"/>
        </w:numPr>
      </w:pPr>
      <w:r>
        <w:t>Fraud and Corruption Risk Assessments</w:t>
      </w:r>
    </w:p>
    <w:p w14:paraId="5B5077FD" w14:textId="77777777" w:rsidR="009D4189" w:rsidRDefault="009D4189" w:rsidP="009D4189">
      <w:pPr>
        <w:pStyle w:val="ListParagraph"/>
        <w:numPr>
          <w:ilvl w:val="0"/>
          <w:numId w:val="33"/>
        </w:numPr>
      </w:pPr>
      <w:r>
        <w:t>Internal audit and assurance activities</w:t>
      </w:r>
    </w:p>
    <w:p w14:paraId="426AC800" w14:textId="39180BF0" w:rsidR="009D4189" w:rsidRDefault="009D4189" w:rsidP="009D4189">
      <w:pPr>
        <w:pStyle w:val="ListParagraph"/>
        <w:numPr>
          <w:ilvl w:val="0"/>
          <w:numId w:val="33"/>
        </w:numPr>
      </w:pPr>
      <w:r>
        <w:t>IT systems and record-keeping.</w:t>
      </w:r>
    </w:p>
    <w:p w14:paraId="296FAD1D" w14:textId="77777777" w:rsidR="00CD583D" w:rsidRPr="009A01DC" w:rsidRDefault="00CD583D" w:rsidP="00B668C0">
      <w:pPr>
        <w:spacing w:after="0"/>
      </w:pPr>
    </w:p>
    <w:p w14:paraId="29A7E8D5" w14:textId="77777777" w:rsidR="007A095E" w:rsidRDefault="007A095E" w:rsidP="007E6A02">
      <w:pPr>
        <w:sectPr w:rsidR="007A095E" w:rsidSect="007A095E">
          <w:headerReference w:type="default" r:id="rId12"/>
          <w:type w:val="continuous"/>
          <w:pgSz w:w="11906" w:h="16838"/>
          <w:pgMar w:top="851" w:right="851" w:bottom="1134" w:left="851" w:header="0" w:footer="281" w:gutter="0"/>
          <w:cols w:space="708"/>
          <w:titlePg/>
          <w:docGrid w:linePitch="360"/>
        </w:sectPr>
      </w:pPr>
    </w:p>
    <w:p w14:paraId="34F4614B" w14:textId="2BF503A5" w:rsidR="000B3B5B" w:rsidRPr="00824E2D" w:rsidRDefault="000B3B5B" w:rsidP="000B3B5B">
      <w:pPr>
        <w:pStyle w:val="Heading2"/>
        <w:rPr>
          <w:b/>
          <w:bCs w:val="0"/>
        </w:rPr>
      </w:pPr>
      <w:bookmarkStart w:id="12" w:name="_Toc165280572"/>
      <w:bookmarkStart w:id="13" w:name="_Toc227836933"/>
      <w:bookmarkStart w:id="14" w:name="_Toc230351763"/>
      <w:bookmarkStart w:id="15" w:name="_Toc163816480"/>
      <w:r w:rsidRPr="00824E2D">
        <w:rPr>
          <w:b/>
          <w:bCs w:val="0"/>
        </w:rPr>
        <w:lastRenderedPageBreak/>
        <w:t>Definitions</w:t>
      </w:r>
      <w:bookmarkEnd w:id="12"/>
      <w:bookmarkEnd w:id="13"/>
      <w:bookmarkEnd w:id="14"/>
      <w:r w:rsidRPr="00824E2D">
        <w:rPr>
          <w:b/>
          <w:bCs w:val="0"/>
        </w:rPr>
        <w:t xml:space="preserve"> </w:t>
      </w:r>
      <w:bookmarkEnd w:id="15"/>
    </w:p>
    <w:p w14:paraId="7CC18623" w14:textId="77777777" w:rsidR="006A4703" w:rsidRDefault="006A4703" w:rsidP="000B3B5B">
      <w:pPr>
        <w:rPr>
          <w:b/>
          <w:bCs/>
        </w:rPr>
        <w:sectPr w:rsidR="006A4703" w:rsidSect="007A095E">
          <w:pgSz w:w="11906" w:h="16838"/>
          <w:pgMar w:top="851" w:right="851" w:bottom="851" w:left="851" w:header="283" w:footer="283" w:gutter="0"/>
          <w:cols w:space="708"/>
          <w:docGrid w:linePitch="360"/>
        </w:sectPr>
      </w:pPr>
    </w:p>
    <w:p w14:paraId="7FFD2A1F" w14:textId="306BD15C" w:rsidR="007B60CC" w:rsidRDefault="000B3B5B" w:rsidP="000B3B5B">
      <w:r w:rsidRPr="00FC7317">
        <w:rPr>
          <w:b/>
          <w:bCs/>
        </w:rPr>
        <w:t xml:space="preserve">Fraud </w:t>
      </w:r>
      <w:r w:rsidRPr="00FA73A5">
        <w:t>is defined in the Commonwealth Fraud and Corruption Control Framework 2024 as:</w:t>
      </w:r>
    </w:p>
    <w:p w14:paraId="3CB666AE" w14:textId="3DE8EDD3" w:rsidR="007B60CC" w:rsidRDefault="007B60CC" w:rsidP="007B60CC">
      <w:pPr>
        <w:pStyle w:val="IntenseQuote"/>
        <w:pBdr>
          <w:top w:val="single" w:sz="24" w:space="10" w:color="005A70" w:themeColor="accent1"/>
          <w:bottom w:val="single" w:sz="24" w:space="10" w:color="005A70" w:themeColor="accent1"/>
        </w:pBdr>
        <w:spacing w:before="240" w:after="240"/>
        <w:ind w:left="0" w:right="0"/>
        <w:jc w:val="left"/>
      </w:pPr>
      <w:r w:rsidRPr="007B60CC">
        <w:t>Dishonestly obtaining (including attempting to obtain) a gain or benefit, or causing a loss or risk of loss, by deception or other means.</w:t>
      </w:r>
    </w:p>
    <w:p w14:paraId="2A9943D1" w14:textId="0501142F" w:rsidR="000B3B5B" w:rsidRDefault="000B3B5B" w:rsidP="000B3B5B">
      <w:r>
        <w:t xml:space="preserve">All fraud requires intent. Fraud can be committed internally by department staff (including labour hire, contractors) or externally by members of the public, funded third party service providers or program applicants or participants. </w:t>
      </w:r>
    </w:p>
    <w:p w14:paraId="54CB7760" w14:textId="70A7B501" w:rsidR="000B3B5B" w:rsidRDefault="000B3B5B" w:rsidP="000B3B5B">
      <w:pPr>
        <w:keepLines/>
      </w:pPr>
      <w:r>
        <w:t xml:space="preserve">Fraud can include: </w:t>
      </w:r>
    </w:p>
    <w:p w14:paraId="1CAF7E89" w14:textId="3AACED3B" w:rsidR="000B3B5B" w:rsidRPr="009A01DC" w:rsidRDefault="000B3B5B" w:rsidP="000B3B5B">
      <w:pPr>
        <w:pStyle w:val="ListParagraph"/>
        <w:numPr>
          <w:ilvl w:val="0"/>
          <w:numId w:val="19"/>
        </w:numPr>
      </w:pPr>
      <w:r w:rsidRPr="009A01DC">
        <w:t>Theft or misuse of Commonwealth information, intellectual property or confidential information (including funding proposals, procurement information, personal records).</w:t>
      </w:r>
    </w:p>
    <w:p w14:paraId="13960D63" w14:textId="50CC778A" w:rsidR="000B3B5B" w:rsidRPr="009A01DC" w:rsidRDefault="000B3B5B" w:rsidP="000B3B5B">
      <w:pPr>
        <w:pStyle w:val="ListParagraph"/>
        <w:numPr>
          <w:ilvl w:val="0"/>
          <w:numId w:val="19"/>
        </w:numPr>
      </w:pPr>
      <w:r w:rsidRPr="009A01DC">
        <w:t>Misuse of Commonwealth program funding and grants.</w:t>
      </w:r>
    </w:p>
    <w:p w14:paraId="7E8C4A9B" w14:textId="77777777" w:rsidR="000B3B5B" w:rsidRPr="009A01DC" w:rsidRDefault="000B3B5B" w:rsidP="000B3B5B">
      <w:pPr>
        <w:pStyle w:val="ListParagraph"/>
        <w:numPr>
          <w:ilvl w:val="0"/>
          <w:numId w:val="19"/>
        </w:numPr>
      </w:pPr>
      <w:r w:rsidRPr="009A01DC">
        <w:t>Misuse of Commonwealth resources, including unlawful use of, or unlawful obtaining of, property, equipment, material or service.</w:t>
      </w:r>
    </w:p>
    <w:p w14:paraId="67170CA0" w14:textId="77777777" w:rsidR="000B3B5B" w:rsidRPr="009A01DC" w:rsidRDefault="000B3B5B" w:rsidP="000B3B5B">
      <w:pPr>
        <w:pStyle w:val="ListParagraph"/>
        <w:numPr>
          <w:ilvl w:val="0"/>
          <w:numId w:val="19"/>
        </w:numPr>
      </w:pPr>
      <w:r w:rsidRPr="009A01DC">
        <w:t>Misuse of entitlements (e.g. expenses, leave, travel allowances or attendance records, including abuse of time off in lieu).</w:t>
      </w:r>
    </w:p>
    <w:p w14:paraId="7A4C3AC0" w14:textId="05F92AB4" w:rsidR="000B3B5B" w:rsidRPr="009A01DC" w:rsidRDefault="000B3B5B" w:rsidP="000B3B5B">
      <w:pPr>
        <w:pStyle w:val="ListParagraph"/>
        <w:numPr>
          <w:ilvl w:val="0"/>
          <w:numId w:val="19"/>
        </w:numPr>
      </w:pPr>
      <w:r w:rsidRPr="009A01DC">
        <w:t>Misuse of facilities (e.g. unauthorised use of information technology, mobile devices and telecommunications systems).</w:t>
      </w:r>
    </w:p>
    <w:p w14:paraId="5976D5C7" w14:textId="609B86C8" w:rsidR="000B3B5B" w:rsidRPr="009A01DC" w:rsidRDefault="000B3B5B" w:rsidP="000B3B5B">
      <w:pPr>
        <w:pStyle w:val="ListParagraph"/>
        <w:numPr>
          <w:ilvl w:val="0"/>
          <w:numId w:val="19"/>
        </w:numPr>
      </w:pPr>
      <w:r w:rsidRPr="009A01DC">
        <w:t>Financial or accounting fraud (e.g. unauthorised use of credit cards, false invoices, misappropriation).</w:t>
      </w:r>
    </w:p>
    <w:p w14:paraId="3EF42137" w14:textId="77777777" w:rsidR="000B3B5B" w:rsidRPr="009A01DC" w:rsidRDefault="000B3B5B" w:rsidP="000B3B5B">
      <w:pPr>
        <w:pStyle w:val="ListParagraph"/>
        <w:numPr>
          <w:ilvl w:val="0"/>
          <w:numId w:val="19"/>
        </w:numPr>
      </w:pPr>
      <w:r w:rsidRPr="009A01DC">
        <w:t xml:space="preserve">Causing a </w:t>
      </w:r>
      <w:proofErr w:type="gramStart"/>
      <w:r w:rsidRPr="009A01DC">
        <w:t>loss, or</w:t>
      </w:r>
      <w:proofErr w:type="gramEnd"/>
      <w:r w:rsidRPr="009A01DC">
        <w:t xml:space="preserve"> avoiding and/or creating a liability.</w:t>
      </w:r>
    </w:p>
    <w:p w14:paraId="454F40F4" w14:textId="77777777" w:rsidR="006A4703" w:rsidRDefault="000B3B5B" w:rsidP="00CA6A45">
      <w:pPr>
        <w:pStyle w:val="ListParagraph"/>
        <w:numPr>
          <w:ilvl w:val="0"/>
          <w:numId w:val="19"/>
        </w:numPr>
      </w:pPr>
      <w:r w:rsidRPr="009A01DC">
        <w:t xml:space="preserve">Providing false or misleading information to the </w:t>
      </w:r>
      <w:proofErr w:type="gramStart"/>
      <w:r w:rsidRPr="009A01DC">
        <w:t>Commonwealth, or</w:t>
      </w:r>
      <w:proofErr w:type="gramEnd"/>
      <w:r w:rsidRPr="009A01DC">
        <w:t xml:space="preserve"> failing to provide information where there is an obligation to do so.</w:t>
      </w:r>
    </w:p>
    <w:p w14:paraId="5939D144" w14:textId="48E2F148" w:rsidR="000B3B5B" w:rsidRPr="009A01DC" w:rsidRDefault="000B3B5B" w:rsidP="00CA6A45">
      <w:pPr>
        <w:pStyle w:val="ListParagraph"/>
        <w:numPr>
          <w:ilvl w:val="0"/>
          <w:numId w:val="19"/>
        </w:numPr>
      </w:pPr>
      <w:r w:rsidRPr="009A01DC">
        <w:t>Making or using false, forged, or falsified documents.</w:t>
      </w:r>
      <w:r>
        <w:t xml:space="preserve"> This includes submitting forged documents as part of applications for grant payments or schemes. </w:t>
      </w:r>
    </w:p>
    <w:p w14:paraId="0C7D2C5A" w14:textId="2D202770" w:rsidR="000B3B5B" w:rsidRPr="00EF3EC5" w:rsidRDefault="000B3B5B" w:rsidP="00EF3EC5">
      <w:pPr>
        <w:pStyle w:val="ListParagraph"/>
        <w:numPr>
          <w:ilvl w:val="0"/>
          <w:numId w:val="19"/>
        </w:numPr>
        <w:spacing w:after="160" w:line="240" w:lineRule="auto"/>
      </w:pPr>
      <w:r w:rsidRPr="009A01DC">
        <w:t xml:space="preserve">Hijacking, intercepting or taking-over a payment, application or identity. </w:t>
      </w:r>
    </w:p>
    <w:p w14:paraId="391B2068" w14:textId="1A5B9581" w:rsidR="000B3B5B" w:rsidRDefault="000B3B5B" w:rsidP="000B3B5B">
      <w:r w:rsidRPr="00265346">
        <w:rPr>
          <w:b/>
          <w:bCs/>
        </w:rPr>
        <w:t>Corruption</w:t>
      </w:r>
      <w:r>
        <w:t xml:space="preserve"> in the Framework is defined consistently with the </w:t>
      </w:r>
      <w:r w:rsidRPr="00C91AC4">
        <w:rPr>
          <w:i/>
          <w:iCs/>
        </w:rPr>
        <w:t>National Anti-Corruption Commission Act 2022 (NACC Act)</w:t>
      </w:r>
      <w:r>
        <w:t>, and is:</w:t>
      </w:r>
    </w:p>
    <w:p w14:paraId="18D60DE5" w14:textId="0C9C2F0F" w:rsidR="007B60CC" w:rsidRDefault="007B60CC" w:rsidP="007B60CC">
      <w:pPr>
        <w:pStyle w:val="IntenseQuote"/>
        <w:pBdr>
          <w:top w:val="single" w:sz="24" w:space="10" w:color="005A70" w:themeColor="accent1"/>
          <w:bottom w:val="single" w:sz="24" w:space="10" w:color="005A70" w:themeColor="accent1"/>
        </w:pBdr>
        <w:spacing w:before="240" w:after="240"/>
        <w:ind w:left="0" w:right="0"/>
        <w:jc w:val="left"/>
      </w:pPr>
      <w:r w:rsidRPr="007B60CC">
        <w:t>Any conduct that does or could compromise the integrity, accountability or probity of the public administration</w:t>
      </w:r>
    </w:p>
    <w:p w14:paraId="60B719F5" w14:textId="0C820A00" w:rsidR="000B3B5B" w:rsidRPr="009A01DC" w:rsidRDefault="000B3B5B" w:rsidP="000B3B5B">
      <w:r w:rsidRPr="009A01DC">
        <w:t>Corruption can include:</w:t>
      </w:r>
    </w:p>
    <w:p w14:paraId="6B6BC696" w14:textId="5EB5E423" w:rsidR="000B3B5B" w:rsidRPr="009A01DC" w:rsidRDefault="000B3B5B" w:rsidP="000B3B5B">
      <w:pPr>
        <w:pStyle w:val="ListParagraph"/>
        <w:numPr>
          <w:ilvl w:val="0"/>
          <w:numId w:val="20"/>
        </w:numPr>
      </w:pPr>
      <w:r w:rsidRPr="009A01DC">
        <w:t>Abuse of official position to obtain a benefit for oneself or another.</w:t>
      </w:r>
      <w:r>
        <w:t xml:space="preserve"> This includes corrupt actions of third party service provider staff who deliver DSS program activities. </w:t>
      </w:r>
    </w:p>
    <w:p w14:paraId="20AE48A1" w14:textId="75976790" w:rsidR="000B3B5B" w:rsidRPr="009A01DC" w:rsidRDefault="000B3B5B" w:rsidP="000B3B5B">
      <w:pPr>
        <w:pStyle w:val="ListParagraph"/>
        <w:numPr>
          <w:ilvl w:val="0"/>
          <w:numId w:val="20"/>
        </w:numPr>
      </w:pPr>
      <w:r w:rsidRPr="009A01DC">
        <w:t>Collusion between a Commonwealth official and a contractor.</w:t>
      </w:r>
    </w:p>
    <w:p w14:paraId="5924FDC3" w14:textId="1765FB6B" w:rsidR="000B3B5B" w:rsidRPr="009A01DC" w:rsidRDefault="000B3B5B" w:rsidP="000B3B5B">
      <w:pPr>
        <w:pStyle w:val="ListParagraph"/>
        <w:numPr>
          <w:ilvl w:val="0"/>
          <w:numId w:val="20"/>
        </w:numPr>
      </w:pPr>
      <w:r w:rsidRPr="009A01DC">
        <w:t>Bribery (domestic or foreign).</w:t>
      </w:r>
    </w:p>
    <w:p w14:paraId="7B28014C" w14:textId="5CBD1153" w:rsidR="000B3B5B" w:rsidRPr="009A01DC" w:rsidRDefault="000B3B5B" w:rsidP="000B3B5B">
      <w:pPr>
        <w:pStyle w:val="ListParagraph"/>
        <w:numPr>
          <w:ilvl w:val="0"/>
          <w:numId w:val="20"/>
        </w:numPr>
      </w:pPr>
      <w:r w:rsidRPr="009A01DC">
        <w:t xml:space="preserve">Obtaining, offering, or soliciting secret commissions, kickbacks, or gratuities. </w:t>
      </w:r>
    </w:p>
    <w:p w14:paraId="48C6AA2F" w14:textId="24E9220D" w:rsidR="000B3B5B" w:rsidRPr="009A01DC" w:rsidRDefault="000B3B5B" w:rsidP="000B3B5B">
      <w:pPr>
        <w:pStyle w:val="ListParagraph"/>
        <w:numPr>
          <w:ilvl w:val="0"/>
          <w:numId w:val="20"/>
        </w:numPr>
      </w:pPr>
      <w:r w:rsidRPr="009A01DC">
        <w:t>One or more individuals manipulating a procurement process for personal gain.</w:t>
      </w:r>
    </w:p>
    <w:p w14:paraId="087BA45F" w14:textId="610B123F" w:rsidR="000B3B5B" w:rsidRPr="009A01DC" w:rsidRDefault="000B3B5B" w:rsidP="000B3B5B">
      <w:pPr>
        <w:pStyle w:val="ListParagraph"/>
        <w:numPr>
          <w:ilvl w:val="0"/>
          <w:numId w:val="20"/>
        </w:numPr>
      </w:pPr>
      <w:r w:rsidRPr="009A01DC">
        <w:t>Nepotism: preferential treatment of family members.</w:t>
      </w:r>
    </w:p>
    <w:p w14:paraId="0A5D7515" w14:textId="77777777" w:rsidR="000B3B5B" w:rsidRPr="009A01DC" w:rsidRDefault="000B3B5B" w:rsidP="000B3B5B">
      <w:pPr>
        <w:pStyle w:val="ListParagraph"/>
        <w:numPr>
          <w:ilvl w:val="0"/>
          <w:numId w:val="20"/>
        </w:numPr>
      </w:pPr>
      <w:r w:rsidRPr="009A01DC">
        <w:t>Cronyism: preferential treatment of friends and associates.</w:t>
      </w:r>
    </w:p>
    <w:p w14:paraId="3E614C51" w14:textId="77777777" w:rsidR="000B3B5B" w:rsidRPr="009A01DC" w:rsidRDefault="000B3B5B" w:rsidP="000B3B5B">
      <w:pPr>
        <w:pStyle w:val="ListParagraph"/>
        <w:numPr>
          <w:ilvl w:val="0"/>
          <w:numId w:val="20"/>
        </w:numPr>
      </w:pPr>
      <w:r w:rsidRPr="009A01DC">
        <w:t>Acting (or failing to act) on a conflict of interest.</w:t>
      </w:r>
    </w:p>
    <w:p w14:paraId="35B9A747" w14:textId="77777777" w:rsidR="000B3B5B" w:rsidRPr="009A01DC" w:rsidRDefault="000B3B5B" w:rsidP="000B3B5B">
      <w:pPr>
        <w:pStyle w:val="ListParagraph"/>
        <w:numPr>
          <w:ilvl w:val="0"/>
          <w:numId w:val="20"/>
        </w:numPr>
      </w:pPr>
      <w:r w:rsidRPr="009A01DC">
        <w:t>Unlawful disclosure of official or commercially sensitive information.</w:t>
      </w:r>
    </w:p>
    <w:p w14:paraId="2E531F31" w14:textId="77777777" w:rsidR="000B3B5B" w:rsidRDefault="000B3B5B" w:rsidP="000B3B5B">
      <w:pPr>
        <w:pStyle w:val="ListParagraph"/>
        <w:numPr>
          <w:ilvl w:val="0"/>
          <w:numId w:val="20"/>
        </w:numPr>
      </w:pPr>
      <w:r w:rsidRPr="009A01DC">
        <w:t>Insider trading: misusing official information to gain an unfair private, commercial or market advantage for self or others.</w:t>
      </w:r>
    </w:p>
    <w:p w14:paraId="4DE8B483" w14:textId="77777777" w:rsidR="000B3B5B" w:rsidRDefault="000B3B5B" w:rsidP="007E6A02">
      <w:pPr>
        <w:sectPr w:rsidR="000B3B5B" w:rsidSect="006A4703">
          <w:type w:val="continuous"/>
          <w:pgSz w:w="11906" w:h="16838"/>
          <w:pgMar w:top="851" w:right="851" w:bottom="851" w:left="851" w:header="283" w:footer="283" w:gutter="0"/>
          <w:cols w:num="2" w:space="708"/>
          <w:docGrid w:linePitch="360"/>
        </w:sectPr>
      </w:pPr>
    </w:p>
    <w:p w14:paraId="62C95EBF" w14:textId="453ECBC8" w:rsidR="000B3B5B" w:rsidRPr="00191791" w:rsidRDefault="000B3B5B" w:rsidP="00191791">
      <w:pPr>
        <w:pStyle w:val="Heading2"/>
        <w:rPr>
          <w:b/>
          <w:bCs w:val="0"/>
        </w:rPr>
      </w:pPr>
      <w:r>
        <w:br w:type="page"/>
      </w:r>
      <w:bookmarkStart w:id="16" w:name="_Toc163816482"/>
      <w:bookmarkStart w:id="17" w:name="_Toc165280576"/>
      <w:bookmarkStart w:id="18" w:name="_Toc227836934"/>
      <w:bookmarkStart w:id="19" w:name="_Toc230351764"/>
      <w:r w:rsidRPr="00191791">
        <w:rPr>
          <w:b/>
          <w:bCs w:val="0"/>
        </w:rPr>
        <w:lastRenderedPageBreak/>
        <w:t>Fraud and corruption risks</w:t>
      </w:r>
      <w:bookmarkEnd w:id="16"/>
      <w:bookmarkEnd w:id="17"/>
      <w:bookmarkEnd w:id="18"/>
      <w:bookmarkEnd w:id="19"/>
    </w:p>
    <w:p w14:paraId="62449E06" w14:textId="4A74B129" w:rsidR="000B3B5B" w:rsidRPr="009A01DC" w:rsidRDefault="000B3B5B" w:rsidP="000B3B5B">
      <w:r w:rsidRPr="009A01DC">
        <w:t>Fraud and corruption risks exist internally and externally across the department</w:t>
      </w:r>
      <w:r w:rsidR="003F481D">
        <w:t>,</w:t>
      </w:r>
      <w:r w:rsidRPr="009A01DC">
        <w:t xml:space="preserve"> are identified through </w:t>
      </w:r>
      <w:r>
        <w:t xml:space="preserve">the </w:t>
      </w:r>
      <w:r w:rsidRPr="009A01DC">
        <w:t>Fraud and Corruption Risk Assessment (FaCRA) processes</w:t>
      </w:r>
      <w:r w:rsidR="003F481D">
        <w:t>,</w:t>
      </w:r>
      <w:r w:rsidRPr="009A01DC">
        <w:t xml:space="preserve"> and</w:t>
      </w:r>
      <w:r w:rsidR="003F481D">
        <w:t xml:space="preserve"> </w:t>
      </w:r>
      <w:r w:rsidRPr="009A01DC">
        <w:t xml:space="preserve">managed through the application and assessment of controls, </w:t>
      </w:r>
      <w:r w:rsidR="003F481D">
        <w:t>as well as</w:t>
      </w:r>
      <w:r w:rsidRPr="009A01DC">
        <w:t xml:space="preserve"> </w:t>
      </w:r>
      <w:r w:rsidR="003F481D">
        <w:t xml:space="preserve">by </w:t>
      </w:r>
      <w:r w:rsidRPr="009A01DC">
        <w:t xml:space="preserve">development and implementation of treatments. </w:t>
      </w:r>
    </w:p>
    <w:tbl>
      <w:tblPr>
        <w:tblStyle w:val="List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080"/>
      </w:tblGrid>
      <w:tr w:rsidR="000B3B5B" w:rsidRPr="009A01DC" w14:paraId="3122C52A" w14:textId="77777777" w:rsidTr="004D04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194" w:type="dxa"/>
            <w:gridSpan w:val="2"/>
            <w:tcBorders>
              <w:top w:val="single" w:sz="4" w:space="0" w:color="auto"/>
              <w:left w:val="single" w:sz="4" w:space="0" w:color="auto"/>
              <w:bottom w:val="nil"/>
              <w:right w:val="single" w:sz="4" w:space="0" w:color="auto"/>
            </w:tcBorders>
          </w:tcPr>
          <w:p w14:paraId="7D6F47CF" w14:textId="77777777" w:rsidR="000B3B5B" w:rsidRPr="009A01DC" w:rsidRDefault="000B3B5B" w:rsidP="004D0426">
            <w:pPr>
              <w:spacing w:line="300" w:lineRule="auto"/>
            </w:pPr>
            <w:r w:rsidRPr="009A01DC">
              <w:t xml:space="preserve">Common risk categories </w:t>
            </w:r>
          </w:p>
        </w:tc>
      </w:tr>
      <w:tr w:rsidR="000B3B5B" w:rsidRPr="009A01DC" w14:paraId="17203117" w14:textId="77777777" w:rsidTr="004D0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bottom w:val="none" w:sz="0" w:space="0" w:color="auto"/>
              <w:right w:val="none" w:sz="0" w:space="0" w:color="auto"/>
            </w:tcBorders>
          </w:tcPr>
          <w:p w14:paraId="1DF2A491" w14:textId="77777777" w:rsidR="000B3B5B" w:rsidRPr="009A01DC" w:rsidRDefault="000B3B5B" w:rsidP="004D0426">
            <w:pPr>
              <w:spacing w:line="300" w:lineRule="auto"/>
            </w:pPr>
            <w:r w:rsidRPr="009A01DC">
              <w:t xml:space="preserve">Identity </w:t>
            </w:r>
          </w:p>
        </w:tc>
        <w:tc>
          <w:tcPr>
            <w:tcW w:w="7080" w:type="dxa"/>
            <w:tcBorders>
              <w:left w:val="none" w:sz="0" w:space="0" w:color="auto"/>
              <w:bottom w:val="none" w:sz="0" w:space="0" w:color="auto"/>
              <w:right w:val="none" w:sz="0" w:space="0" w:color="auto"/>
            </w:tcBorders>
          </w:tcPr>
          <w:p w14:paraId="00A00D05" w14:textId="77777777" w:rsidR="000B3B5B" w:rsidRPr="009A01DC" w:rsidRDefault="000B3B5B" w:rsidP="004D0426">
            <w:pPr>
              <w:spacing w:line="300" w:lineRule="auto"/>
              <w:cnfStyle w:val="000000100000" w:firstRow="0" w:lastRow="0" w:firstColumn="0" w:lastColumn="0" w:oddVBand="0" w:evenVBand="0" w:oddHBand="1" w:evenHBand="0" w:firstRowFirstColumn="0" w:firstRowLastColumn="0" w:lastRowFirstColumn="0" w:lastRowLastColumn="0"/>
            </w:pPr>
            <w:r w:rsidRPr="009A01DC">
              <w:t xml:space="preserve">Gaining a benefit or causing of a loss </w:t>
            </w:r>
            <w:proofErr w:type="gramStart"/>
            <w:r w:rsidRPr="009A01DC">
              <w:t>through the use of</w:t>
            </w:r>
            <w:proofErr w:type="gramEnd"/>
            <w:r w:rsidRPr="009A01DC">
              <w:t xml:space="preserve"> a false, manipulated or stolen identity.</w:t>
            </w:r>
          </w:p>
        </w:tc>
      </w:tr>
      <w:tr w:rsidR="000B3B5B" w:rsidRPr="009A01DC" w14:paraId="4706FA3A" w14:textId="77777777" w:rsidTr="004D04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490802A4" w14:textId="77777777" w:rsidR="000B3B5B" w:rsidRPr="009A01DC" w:rsidRDefault="000B3B5B" w:rsidP="004D0426">
            <w:pPr>
              <w:spacing w:line="300" w:lineRule="auto"/>
              <w:rPr>
                <w:b w:val="0"/>
                <w:bCs w:val="0"/>
              </w:rPr>
            </w:pPr>
            <w:r w:rsidRPr="009A01DC">
              <w:t xml:space="preserve">False or misleading information </w:t>
            </w:r>
          </w:p>
        </w:tc>
        <w:tc>
          <w:tcPr>
            <w:tcW w:w="7080" w:type="dxa"/>
            <w:tcBorders>
              <w:bottom w:val="none" w:sz="0" w:space="0" w:color="auto"/>
            </w:tcBorders>
          </w:tcPr>
          <w:p w14:paraId="535A3743" w14:textId="77777777" w:rsidR="000B3B5B" w:rsidRPr="009A01DC" w:rsidRDefault="000B3B5B" w:rsidP="004D0426">
            <w:pPr>
              <w:spacing w:line="300" w:lineRule="auto"/>
              <w:cnfStyle w:val="000000010000" w:firstRow="0" w:lastRow="0" w:firstColumn="0" w:lastColumn="0" w:oddVBand="0" w:evenVBand="0" w:oddHBand="0" w:evenHBand="1" w:firstRowFirstColumn="0" w:firstRowLastColumn="0" w:lastRowFirstColumn="0" w:lastRowLastColumn="0"/>
            </w:pPr>
            <w:r w:rsidRPr="009A01DC">
              <w:t>Providing false or misleading information, or failing to provide information, to obtain a benefit or cause a loss.</w:t>
            </w:r>
          </w:p>
        </w:tc>
      </w:tr>
      <w:tr w:rsidR="000B3B5B" w:rsidRPr="009A01DC" w14:paraId="5932A0D9" w14:textId="77777777" w:rsidTr="004D0426">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none" w:sz="0" w:space="0" w:color="auto"/>
              <w:right w:val="none" w:sz="0" w:space="0" w:color="auto"/>
            </w:tcBorders>
          </w:tcPr>
          <w:p w14:paraId="71BA6AB2" w14:textId="77777777" w:rsidR="000B3B5B" w:rsidRPr="009A01DC" w:rsidRDefault="000B3B5B" w:rsidP="004D0426">
            <w:pPr>
              <w:spacing w:line="300" w:lineRule="auto"/>
              <w:rPr>
                <w:b w:val="0"/>
                <w:bCs w:val="0"/>
              </w:rPr>
            </w:pPr>
            <w:r w:rsidRPr="009A01DC">
              <w:t xml:space="preserve">Unauthorised access/disclosure of information </w:t>
            </w:r>
          </w:p>
        </w:tc>
        <w:tc>
          <w:tcPr>
            <w:tcW w:w="7080" w:type="dxa"/>
            <w:tcBorders>
              <w:top w:val="none" w:sz="0" w:space="0" w:color="auto"/>
              <w:left w:val="none" w:sz="0" w:space="0" w:color="auto"/>
              <w:bottom w:val="none" w:sz="0" w:space="0" w:color="auto"/>
              <w:right w:val="none" w:sz="0" w:space="0" w:color="auto"/>
            </w:tcBorders>
          </w:tcPr>
          <w:p w14:paraId="179C1086" w14:textId="77777777" w:rsidR="000B3B5B" w:rsidRPr="009A01DC" w:rsidRDefault="000B3B5B" w:rsidP="004D0426">
            <w:pPr>
              <w:spacing w:line="300" w:lineRule="auto"/>
              <w:cnfStyle w:val="000000100000" w:firstRow="0" w:lastRow="0" w:firstColumn="0" w:lastColumn="0" w:oddVBand="0" w:evenVBand="0" w:oddHBand="1" w:evenHBand="0" w:firstRowFirstColumn="0" w:firstRowLastColumn="0" w:lastRowFirstColumn="0" w:lastRowLastColumn="0"/>
            </w:pPr>
            <w:r w:rsidRPr="009A01DC">
              <w:t>Unauthorised access, manipulation, use or disclosure of information to obtain a benefit or cause a loss.</w:t>
            </w:r>
          </w:p>
        </w:tc>
      </w:tr>
      <w:tr w:rsidR="000B3B5B" w:rsidRPr="009A01DC" w14:paraId="6295CBE7" w14:textId="77777777" w:rsidTr="004D04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06517935" w14:textId="77777777" w:rsidR="000B3B5B" w:rsidRPr="009A01DC" w:rsidRDefault="000B3B5B" w:rsidP="004D0426">
            <w:pPr>
              <w:spacing w:line="300" w:lineRule="auto"/>
            </w:pPr>
            <w:r w:rsidRPr="009A01DC">
              <w:t xml:space="preserve">Corruption </w:t>
            </w:r>
          </w:p>
        </w:tc>
        <w:tc>
          <w:tcPr>
            <w:tcW w:w="7080" w:type="dxa"/>
            <w:tcBorders>
              <w:bottom w:val="none" w:sz="0" w:space="0" w:color="auto"/>
            </w:tcBorders>
          </w:tcPr>
          <w:p w14:paraId="7EA38798" w14:textId="289FE262" w:rsidR="000B3B5B" w:rsidRPr="009A01DC" w:rsidRDefault="008D32BC" w:rsidP="004D0426">
            <w:pPr>
              <w:spacing w:line="300" w:lineRule="auto"/>
              <w:cnfStyle w:val="000000010000" w:firstRow="0" w:lastRow="0" w:firstColumn="0" w:lastColumn="0" w:oddVBand="0" w:evenVBand="0" w:oddHBand="0" w:evenHBand="1" w:firstRowFirstColumn="0" w:firstRowLastColumn="0" w:lastRowFirstColumn="0" w:lastRowLastColumn="0"/>
            </w:pPr>
            <w:r w:rsidRPr="008D32BC">
              <w:t>Any conduct that does or could compromise the integrity, accountability or probity of public administration, including bribery, inappropriate acceptance or failure to declare gifts and benefits, favouritism, conflicts of interest and improper influence. Corrupt conduct may not always involve a benefit being gained.</w:t>
            </w:r>
          </w:p>
        </w:tc>
      </w:tr>
      <w:tr w:rsidR="000B3B5B" w:rsidRPr="009A01DC" w14:paraId="2F937612" w14:textId="77777777" w:rsidTr="004D0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none" w:sz="0" w:space="0" w:color="auto"/>
              <w:right w:val="none" w:sz="0" w:space="0" w:color="auto"/>
            </w:tcBorders>
          </w:tcPr>
          <w:p w14:paraId="27BC3629" w14:textId="77777777" w:rsidR="000B3B5B" w:rsidRPr="009A01DC" w:rsidRDefault="000B3B5B" w:rsidP="004D0426">
            <w:pPr>
              <w:spacing w:line="300" w:lineRule="auto"/>
            </w:pPr>
            <w:r w:rsidRPr="009A01DC">
              <w:t xml:space="preserve">Insider threat </w:t>
            </w:r>
          </w:p>
        </w:tc>
        <w:tc>
          <w:tcPr>
            <w:tcW w:w="7080" w:type="dxa"/>
            <w:tcBorders>
              <w:top w:val="none" w:sz="0" w:space="0" w:color="auto"/>
              <w:left w:val="none" w:sz="0" w:space="0" w:color="auto"/>
              <w:bottom w:val="none" w:sz="0" w:space="0" w:color="auto"/>
              <w:right w:val="none" w:sz="0" w:space="0" w:color="auto"/>
            </w:tcBorders>
          </w:tcPr>
          <w:p w14:paraId="7A76832E" w14:textId="74C3056F" w:rsidR="000B3B5B" w:rsidRPr="009A01DC" w:rsidRDefault="000B3B5B" w:rsidP="004D0426">
            <w:pPr>
              <w:spacing w:line="300" w:lineRule="auto"/>
              <w:cnfStyle w:val="000000100000" w:firstRow="0" w:lastRow="0" w:firstColumn="0" w:lastColumn="0" w:oddVBand="0" w:evenVBand="0" w:oddHBand="1" w:evenHBand="0" w:firstRowFirstColumn="0" w:firstRowLastColumn="0" w:lastRowFirstColumn="0" w:lastRowLastColumn="0"/>
            </w:pPr>
            <w:r w:rsidRPr="009A01DC">
              <w:t>A staff member, contractor or department associate misuses departmental knowledge or processes to receive a benefit or cause a loss.</w:t>
            </w:r>
            <w:r>
              <w:t xml:space="preserve"> This can include staff of </w:t>
            </w:r>
            <w:r w:rsidR="001758D4">
              <w:t>third-party</w:t>
            </w:r>
            <w:r>
              <w:t xml:space="preserve"> providers misusing their program knowledge or access to obtain a benefit or cause a loss. </w:t>
            </w:r>
          </w:p>
        </w:tc>
      </w:tr>
      <w:tr w:rsidR="000B3B5B" w:rsidRPr="009A01DC" w14:paraId="03C17140" w14:textId="77777777" w:rsidTr="004D04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47255BD8" w14:textId="77777777" w:rsidR="000B3B5B" w:rsidRPr="009A01DC" w:rsidRDefault="000B3B5B" w:rsidP="004D0426">
            <w:pPr>
              <w:spacing w:line="300" w:lineRule="auto"/>
            </w:pPr>
            <w:r w:rsidRPr="009A01DC">
              <w:t xml:space="preserve">Misuse of grant funding </w:t>
            </w:r>
          </w:p>
        </w:tc>
        <w:tc>
          <w:tcPr>
            <w:tcW w:w="7080" w:type="dxa"/>
            <w:tcBorders>
              <w:bottom w:val="none" w:sz="0" w:space="0" w:color="auto"/>
            </w:tcBorders>
          </w:tcPr>
          <w:p w14:paraId="7F4135FF" w14:textId="77777777" w:rsidR="000B3B5B" w:rsidRPr="009A01DC" w:rsidRDefault="000B3B5B" w:rsidP="004D0426">
            <w:pPr>
              <w:spacing w:line="300" w:lineRule="auto"/>
              <w:cnfStyle w:val="000000010000" w:firstRow="0" w:lastRow="0" w:firstColumn="0" w:lastColumn="0" w:oddVBand="0" w:evenVBand="0" w:oddHBand="0" w:evenHBand="1" w:firstRowFirstColumn="0" w:firstRowLastColumn="0" w:lastRowFirstColumn="0" w:lastRowLastColumn="0"/>
            </w:pPr>
            <w:r w:rsidRPr="009A01DC">
              <w:t>Intentionally using grant, contract or scheme funding outside of purpose of grant agreement/contract, for personal benefit or to cause a loss to the department.</w:t>
            </w:r>
          </w:p>
        </w:tc>
      </w:tr>
      <w:tr w:rsidR="000B3B5B" w:rsidRPr="009A01DC" w14:paraId="34D462D9" w14:textId="77777777" w:rsidTr="004D0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none" w:sz="0" w:space="0" w:color="auto"/>
              <w:right w:val="none" w:sz="0" w:space="0" w:color="auto"/>
            </w:tcBorders>
          </w:tcPr>
          <w:p w14:paraId="2F22503C" w14:textId="77777777" w:rsidR="000B3B5B" w:rsidRPr="009A01DC" w:rsidRDefault="000B3B5B" w:rsidP="004D0426">
            <w:pPr>
              <w:spacing w:line="300" w:lineRule="auto"/>
            </w:pPr>
            <w:r w:rsidRPr="009A01DC">
              <w:t xml:space="preserve">Misuse of assets </w:t>
            </w:r>
          </w:p>
        </w:tc>
        <w:tc>
          <w:tcPr>
            <w:tcW w:w="7080" w:type="dxa"/>
            <w:tcBorders>
              <w:top w:val="none" w:sz="0" w:space="0" w:color="auto"/>
              <w:left w:val="none" w:sz="0" w:space="0" w:color="auto"/>
              <w:bottom w:val="none" w:sz="0" w:space="0" w:color="auto"/>
              <w:right w:val="none" w:sz="0" w:space="0" w:color="auto"/>
            </w:tcBorders>
          </w:tcPr>
          <w:p w14:paraId="526CD92D" w14:textId="77777777" w:rsidR="000B3B5B" w:rsidRPr="009A01DC" w:rsidRDefault="000B3B5B" w:rsidP="004D0426">
            <w:pPr>
              <w:spacing w:line="300" w:lineRule="auto"/>
              <w:cnfStyle w:val="000000100000" w:firstRow="0" w:lastRow="0" w:firstColumn="0" w:lastColumn="0" w:oddVBand="0" w:evenVBand="0" w:oddHBand="1" w:evenHBand="0" w:firstRowFirstColumn="0" w:firstRowLastColumn="0" w:lastRowFirstColumn="0" w:lastRowLastColumn="0"/>
            </w:pPr>
            <w:r w:rsidRPr="009A01DC">
              <w:t>Misuse of departmental or funded assets, equipment or property to obtain a benefit or cause a loss.</w:t>
            </w:r>
          </w:p>
        </w:tc>
      </w:tr>
      <w:tr w:rsidR="000B3B5B" w:rsidRPr="009A01DC" w14:paraId="4B0DA18E" w14:textId="77777777" w:rsidTr="004D0426">
        <w:trPr>
          <w:cnfStyle w:val="000000010000" w:firstRow="0" w:lastRow="0" w:firstColumn="0" w:lastColumn="0" w:oddVBand="0" w:evenVBand="0" w:oddHBand="0" w:evenHBand="1"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52E0EDF5" w14:textId="77777777" w:rsidR="000B3B5B" w:rsidRPr="009A01DC" w:rsidRDefault="000B3B5B" w:rsidP="004D0426">
            <w:pPr>
              <w:spacing w:line="300" w:lineRule="auto"/>
            </w:pPr>
            <w:r w:rsidRPr="009A01DC">
              <w:t xml:space="preserve">Hijack of funding or payment </w:t>
            </w:r>
          </w:p>
        </w:tc>
        <w:tc>
          <w:tcPr>
            <w:tcW w:w="7080" w:type="dxa"/>
            <w:tcBorders>
              <w:bottom w:val="none" w:sz="0" w:space="0" w:color="auto"/>
            </w:tcBorders>
          </w:tcPr>
          <w:p w14:paraId="1A15A2A7" w14:textId="77777777" w:rsidR="000B3B5B" w:rsidRPr="009A01DC" w:rsidRDefault="000B3B5B" w:rsidP="004D0426">
            <w:pPr>
              <w:spacing w:line="300" w:lineRule="auto"/>
              <w:cnfStyle w:val="000000010000" w:firstRow="0" w:lastRow="0" w:firstColumn="0" w:lastColumn="0" w:oddVBand="0" w:evenVBand="0" w:oddHBand="0" w:evenHBand="1" w:firstRowFirstColumn="0" w:firstRowLastColumn="0" w:lastRowFirstColumn="0" w:lastRowLastColumn="0"/>
            </w:pPr>
            <w:r w:rsidRPr="009A01DC">
              <w:t xml:space="preserve">Obtaining a benefit through interception of payment or take-over of application. </w:t>
            </w:r>
          </w:p>
        </w:tc>
      </w:tr>
    </w:tbl>
    <w:p w14:paraId="64FBA9F6" w14:textId="77777777" w:rsidR="000B3B5B" w:rsidRDefault="000B3B5B" w:rsidP="000B3B5B"/>
    <w:p w14:paraId="0EE49832" w14:textId="5957303F" w:rsidR="000B3B5B" w:rsidRDefault="000B3B5B">
      <w:pPr>
        <w:spacing w:after="240"/>
      </w:pPr>
      <w:r>
        <w:br w:type="page"/>
      </w:r>
    </w:p>
    <w:p w14:paraId="2AD78CC5" w14:textId="6E40E695" w:rsidR="000B3B5B" w:rsidRPr="00BC22F3" w:rsidRDefault="000B3B5B" w:rsidP="00BC22F3">
      <w:pPr>
        <w:pStyle w:val="Heading2"/>
        <w:rPr>
          <w:b/>
          <w:bCs w:val="0"/>
        </w:rPr>
      </w:pPr>
      <w:bookmarkStart w:id="20" w:name="_Toc230351765"/>
      <w:r>
        <w:rPr>
          <w:noProof/>
        </w:rPr>
        <w:lastRenderedPageBreak/>
        <mc:AlternateContent>
          <mc:Choice Requires="wps">
            <w:drawing>
              <wp:anchor distT="45720" distB="45720" distL="114300" distR="114300" simplePos="0" relativeHeight="251662336" behindDoc="0" locked="0" layoutInCell="1" allowOverlap="1" wp14:anchorId="7205FEE5" wp14:editId="16CA7AA7">
                <wp:simplePos x="0" y="0"/>
                <wp:positionH relativeFrom="page">
                  <wp:align>center</wp:align>
                </wp:positionH>
                <wp:positionV relativeFrom="paragraph">
                  <wp:posOffset>0</wp:posOffset>
                </wp:positionV>
                <wp:extent cx="6505200" cy="2743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200" cy="2743200"/>
                        </a:xfrm>
                        <a:prstGeom prst="rect">
                          <a:avLst/>
                        </a:prstGeom>
                        <a:solidFill>
                          <a:schemeClr val="accent2"/>
                        </a:solidFill>
                        <a:ln w="9525">
                          <a:noFill/>
                          <a:miter lim="800000"/>
                          <a:headEnd/>
                          <a:tailEnd/>
                        </a:ln>
                      </wps:spPr>
                      <wps:txbx>
                        <w:txbxContent>
                          <w:p w14:paraId="7ED65F4F" w14:textId="77777777" w:rsidR="000B3B5B" w:rsidRPr="00EA5702" w:rsidRDefault="000B3B5B" w:rsidP="007B60CC">
                            <w:pPr>
                              <w:shd w:val="clear" w:color="auto" w:fill="00B0B9"/>
                              <w:rPr>
                                <w:b/>
                                <w:bCs/>
                              </w:rPr>
                            </w:pPr>
                            <w:r>
                              <w:rPr>
                                <w:b/>
                                <w:bCs/>
                                <w:noProof/>
                              </w:rPr>
                              <w:drawing>
                                <wp:inline distT="0" distB="0" distL="0" distR="0" wp14:anchorId="28BA9D07" wp14:editId="1A26EDF6">
                                  <wp:extent cx="276225" cy="276225"/>
                                  <wp:effectExtent l="0" t="0" r="9525" b="9525"/>
                                  <wp:docPr id="1592029656" name="Graphic 1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824" name="Graphic 8498824" descr="Warning with solid fill"/>
                                          <pic:cNvPicPr/>
                                        </pic:nvPicPr>
                                        <pic:blipFill rotWithShape="1">
                                          <a:blip r:embed="rId13">
                                            <a:extLst>
                                              <a:ext uri="{96DAC541-7B7A-43D3-8B79-37D633B846F1}">
                                                <asvg:svgBlip xmlns:asvg="http://schemas.microsoft.com/office/drawing/2016/SVG/main" r:embed="rId14"/>
                                              </a:ext>
                                            </a:extLst>
                                          </a:blip>
                                          <a:srcRect/>
                                          <a:stretch>
                                            <a:fillRect/>
                                          </a:stretch>
                                        </pic:blipFill>
                                        <pic:spPr>
                                          <a:xfrm flipH="1">
                                            <a:off x="0" y="0"/>
                                            <a:ext cx="276225" cy="276225"/>
                                          </a:xfrm>
                                          <a:prstGeom prst="rect">
                                            <a:avLst/>
                                          </a:prstGeom>
                                        </pic:spPr>
                                      </pic:pic>
                                    </a:graphicData>
                                  </a:graphic>
                                </wp:inline>
                              </w:drawing>
                            </w:r>
                            <w:r>
                              <w:rPr>
                                <w:b/>
                                <w:bCs/>
                              </w:rPr>
                              <w:t xml:space="preserve">  </w:t>
                            </w:r>
                            <w:r w:rsidRPr="00EA5702">
                              <w:rPr>
                                <w:b/>
                                <w:bCs/>
                              </w:rPr>
                              <w:t>All business areas within the department may be vulnerable to fraud and</w:t>
                            </w:r>
                            <w:r>
                              <w:rPr>
                                <w:b/>
                                <w:bCs/>
                              </w:rPr>
                              <w:t xml:space="preserve"> </w:t>
                            </w:r>
                            <w:r w:rsidRPr="00EA5702">
                              <w:rPr>
                                <w:b/>
                                <w:bCs/>
                              </w:rPr>
                              <w:t>corruption to some degree, including through:</w:t>
                            </w:r>
                          </w:p>
                          <w:p w14:paraId="011368F7" w14:textId="77777777" w:rsidR="000B3B5B" w:rsidRPr="009A01DC" w:rsidRDefault="000B3B5B" w:rsidP="007B60CC">
                            <w:pPr>
                              <w:pStyle w:val="ListParagraph"/>
                              <w:numPr>
                                <w:ilvl w:val="0"/>
                                <w:numId w:val="21"/>
                              </w:numPr>
                              <w:shd w:val="clear" w:color="auto" w:fill="00B0B9"/>
                            </w:pPr>
                            <w:r w:rsidRPr="009A01DC">
                              <w:t>Delivery and management of grant programs</w:t>
                            </w:r>
                            <w:r>
                              <w:t xml:space="preserve"> by third party service providers,</w:t>
                            </w:r>
                            <w:r w:rsidRPr="009A01DC">
                              <w:t xml:space="preserve"> and schemes administered by the department.</w:t>
                            </w:r>
                          </w:p>
                          <w:p w14:paraId="60AE8A98" w14:textId="77777777" w:rsidR="000B3B5B" w:rsidRPr="009A01DC" w:rsidRDefault="000B3B5B" w:rsidP="007B60CC">
                            <w:pPr>
                              <w:pStyle w:val="ListParagraph"/>
                              <w:numPr>
                                <w:ilvl w:val="0"/>
                                <w:numId w:val="21"/>
                              </w:numPr>
                              <w:shd w:val="clear" w:color="auto" w:fill="00B0B9"/>
                            </w:pPr>
                            <w:r w:rsidRPr="009A01DC">
                              <w:t>Procurement and contract management</w:t>
                            </w:r>
                            <w:r>
                              <w:t xml:space="preserve"> including corporate contracts, labour hire and consulting services. </w:t>
                            </w:r>
                          </w:p>
                          <w:p w14:paraId="2307D245" w14:textId="77777777" w:rsidR="000B3B5B" w:rsidRPr="009A01DC" w:rsidRDefault="000B3B5B" w:rsidP="007B60CC">
                            <w:pPr>
                              <w:pStyle w:val="ListParagraph"/>
                              <w:numPr>
                                <w:ilvl w:val="0"/>
                                <w:numId w:val="21"/>
                              </w:numPr>
                              <w:shd w:val="clear" w:color="auto" w:fill="00B0B9"/>
                            </w:pPr>
                            <w:r w:rsidRPr="009A01DC">
                              <w:t>Management of assets and property.</w:t>
                            </w:r>
                          </w:p>
                          <w:p w14:paraId="7E1A7954" w14:textId="77777777" w:rsidR="000B3B5B" w:rsidRPr="009A01DC" w:rsidRDefault="000B3B5B" w:rsidP="007B60CC">
                            <w:pPr>
                              <w:pStyle w:val="ListParagraph"/>
                              <w:numPr>
                                <w:ilvl w:val="0"/>
                                <w:numId w:val="21"/>
                              </w:numPr>
                              <w:shd w:val="clear" w:color="auto" w:fill="00B0B9"/>
                            </w:pPr>
                            <w:r w:rsidRPr="009A01DC">
                              <w:t>People/HR functions including entitlements, and recruitment.</w:t>
                            </w:r>
                          </w:p>
                          <w:p w14:paraId="58AD8AAB" w14:textId="77777777" w:rsidR="000B3B5B" w:rsidRPr="009A01DC" w:rsidRDefault="000B3B5B" w:rsidP="007B60CC">
                            <w:pPr>
                              <w:pStyle w:val="ListParagraph"/>
                              <w:numPr>
                                <w:ilvl w:val="0"/>
                                <w:numId w:val="21"/>
                              </w:numPr>
                              <w:shd w:val="clear" w:color="auto" w:fill="00B0B9"/>
                            </w:pPr>
                            <w:r w:rsidRPr="009A01DC">
                              <w:t xml:space="preserve">Management of ICT systems and information. </w:t>
                            </w:r>
                          </w:p>
                          <w:p w14:paraId="14ADA567" w14:textId="77777777" w:rsidR="000B3B5B" w:rsidRPr="009A01DC" w:rsidRDefault="000B3B5B" w:rsidP="007B60CC">
                            <w:pPr>
                              <w:pStyle w:val="ListParagraph"/>
                              <w:numPr>
                                <w:ilvl w:val="0"/>
                                <w:numId w:val="21"/>
                              </w:numPr>
                              <w:shd w:val="clear" w:color="auto" w:fill="00B0B9"/>
                            </w:pPr>
                            <w:r w:rsidRPr="009A01DC">
                              <w:t xml:space="preserve">Financial administration including credit card usage, and travel. </w:t>
                            </w:r>
                          </w:p>
                          <w:p w14:paraId="64AF2DBE" w14:textId="77777777" w:rsidR="000B3B5B" w:rsidRDefault="000B3B5B" w:rsidP="007B60CC">
                            <w:pPr>
                              <w:pStyle w:val="ListParagraph"/>
                              <w:numPr>
                                <w:ilvl w:val="0"/>
                                <w:numId w:val="21"/>
                              </w:numPr>
                              <w:shd w:val="clear" w:color="auto" w:fill="00B0B9"/>
                            </w:pPr>
                            <w:r w:rsidRPr="009A01DC">
                              <w:t>Development of Social Security Policy</w:t>
                            </w:r>
                            <w:r>
                              <w:t>.</w:t>
                            </w:r>
                          </w:p>
                          <w:p w14:paraId="2F7ABD3F" w14:textId="77777777" w:rsidR="000B3B5B" w:rsidRDefault="000B3B5B" w:rsidP="007B60CC">
                            <w:pPr>
                              <w:shd w:val="clear" w:color="auto" w:fill="00B0B9"/>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5FEE5" id="Text Box 2" o:spid="_x0000_s1029" type="#_x0000_t202" style="position:absolute;margin-left:0;margin-top:0;width:512.2pt;height:3in;z-index:25166233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" fillcolor="#00b0b9 [3205]" stroked="f">
                <v:textbox>
                  <w:txbxContent>
                    <w:p w14:paraId="7ED65F4F" w14:textId="77777777" w:rsidR="000B3B5B" w:rsidRPr="00EA5702" w:rsidRDefault="000B3B5B" w:rsidP="007B60CC">
                      <w:pPr>
                        <w:shd w:val="clear" w:color="auto" w:fill="00B0B9"/>
                        <w:rPr>
                          <w:b/>
                          <w:bCs/>
                        </w:rPr>
                      </w:pPr>
                      <w:r>
                        <w:rPr>
                          <w:b/>
                          <w:bCs/>
                          <w:noProof/>
                        </w:rPr>
                        <w:drawing>
                          <wp:inline distT="0" distB="0" distL="0" distR="0" wp14:anchorId="28BA9D07" wp14:editId="1A26EDF6">
                            <wp:extent cx="276225" cy="276225"/>
                            <wp:effectExtent l="0" t="0" r="9525" b="9525"/>
                            <wp:docPr id="1592029656" name="Graphic 1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824" name="Graphic 8498824" descr="Warning with solid fill"/>
                                    <pic:cNvPicPr/>
                                  </pic:nvPicPr>
                                  <pic:blipFill rotWithShape="1">
                                    <a:blip r:embed="rId13">
                                      <a:extLst>
                                        <a:ext uri="{96DAC541-7B7A-43D3-8B79-37D633B846F1}">
                                          <asvg:svgBlip xmlns:asvg="http://schemas.microsoft.com/office/drawing/2016/SVG/main" r:embed="rId14"/>
                                        </a:ext>
                                      </a:extLst>
                                    </a:blip>
                                    <a:srcRect/>
                                    <a:stretch>
                                      <a:fillRect/>
                                    </a:stretch>
                                  </pic:blipFill>
                                  <pic:spPr>
                                    <a:xfrm flipH="1">
                                      <a:off x="0" y="0"/>
                                      <a:ext cx="276225" cy="276225"/>
                                    </a:xfrm>
                                    <a:prstGeom prst="rect">
                                      <a:avLst/>
                                    </a:prstGeom>
                                  </pic:spPr>
                                </pic:pic>
                              </a:graphicData>
                            </a:graphic>
                          </wp:inline>
                        </w:drawing>
                      </w:r>
                      <w:r>
                        <w:rPr>
                          <w:b/>
                          <w:bCs/>
                        </w:rPr>
                        <w:t xml:space="preserve">  </w:t>
                      </w:r>
                      <w:r w:rsidRPr="00EA5702">
                        <w:rPr>
                          <w:b/>
                          <w:bCs/>
                        </w:rPr>
                        <w:t>All business areas within the department may be vulnerable to fraud and</w:t>
                      </w:r>
                      <w:r>
                        <w:rPr>
                          <w:b/>
                          <w:bCs/>
                        </w:rPr>
                        <w:t xml:space="preserve"> </w:t>
                      </w:r>
                      <w:r w:rsidRPr="00EA5702">
                        <w:rPr>
                          <w:b/>
                          <w:bCs/>
                        </w:rPr>
                        <w:t>corruption to some degree, including through:</w:t>
                      </w:r>
                    </w:p>
                    <w:p w14:paraId="011368F7" w14:textId="77777777" w:rsidR="000B3B5B" w:rsidRPr="009A01DC" w:rsidRDefault="000B3B5B" w:rsidP="007B60CC">
                      <w:pPr>
                        <w:pStyle w:val="ListParagraph"/>
                        <w:numPr>
                          <w:ilvl w:val="0"/>
                          <w:numId w:val="21"/>
                        </w:numPr>
                        <w:shd w:val="clear" w:color="auto" w:fill="00B0B9"/>
                      </w:pPr>
                      <w:r w:rsidRPr="009A01DC">
                        <w:t>Delivery and management of grant programs</w:t>
                      </w:r>
                      <w:r>
                        <w:t xml:space="preserve"> by third party service providers,</w:t>
                      </w:r>
                      <w:r w:rsidRPr="009A01DC">
                        <w:t xml:space="preserve"> and schemes administered by the department.</w:t>
                      </w:r>
                    </w:p>
                    <w:p w14:paraId="60AE8A98" w14:textId="77777777" w:rsidR="000B3B5B" w:rsidRPr="009A01DC" w:rsidRDefault="000B3B5B" w:rsidP="007B60CC">
                      <w:pPr>
                        <w:pStyle w:val="ListParagraph"/>
                        <w:numPr>
                          <w:ilvl w:val="0"/>
                          <w:numId w:val="21"/>
                        </w:numPr>
                        <w:shd w:val="clear" w:color="auto" w:fill="00B0B9"/>
                      </w:pPr>
                      <w:r w:rsidRPr="009A01DC">
                        <w:t>Procurement and contract management</w:t>
                      </w:r>
                      <w:r>
                        <w:t xml:space="preserve"> including corporate contracts, labour hire and consulting services. </w:t>
                      </w:r>
                    </w:p>
                    <w:p w14:paraId="2307D245" w14:textId="77777777" w:rsidR="000B3B5B" w:rsidRPr="009A01DC" w:rsidRDefault="000B3B5B" w:rsidP="007B60CC">
                      <w:pPr>
                        <w:pStyle w:val="ListParagraph"/>
                        <w:numPr>
                          <w:ilvl w:val="0"/>
                          <w:numId w:val="21"/>
                        </w:numPr>
                        <w:shd w:val="clear" w:color="auto" w:fill="00B0B9"/>
                      </w:pPr>
                      <w:r w:rsidRPr="009A01DC">
                        <w:t>Management of assets and property.</w:t>
                      </w:r>
                    </w:p>
                    <w:p w14:paraId="7E1A7954" w14:textId="77777777" w:rsidR="000B3B5B" w:rsidRPr="009A01DC" w:rsidRDefault="000B3B5B" w:rsidP="007B60CC">
                      <w:pPr>
                        <w:pStyle w:val="ListParagraph"/>
                        <w:numPr>
                          <w:ilvl w:val="0"/>
                          <w:numId w:val="21"/>
                        </w:numPr>
                        <w:shd w:val="clear" w:color="auto" w:fill="00B0B9"/>
                      </w:pPr>
                      <w:r w:rsidRPr="009A01DC">
                        <w:t>People/HR functions including entitlements, and recruitment.</w:t>
                      </w:r>
                    </w:p>
                    <w:p w14:paraId="58AD8AAB" w14:textId="77777777" w:rsidR="000B3B5B" w:rsidRPr="009A01DC" w:rsidRDefault="000B3B5B" w:rsidP="007B60CC">
                      <w:pPr>
                        <w:pStyle w:val="ListParagraph"/>
                        <w:numPr>
                          <w:ilvl w:val="0"/>
                          <w:numId w:val="21"/>
                        </w:numPr>
                        <w:shd w:val="clear" w:color="auto" w:fill="00B0B9"/>
                      </w:pPr>
                      <w:r w:rsidRPr="009A01DC">
                        <w:t xml:space="preserve">Management of ICT systems and information. </w:t>
                      </w:r>
                    </w:p>
                    <w:p w14:paraId="14ADA567" w14:textId="77777777" w:rsidR="000B3B5B" w:rsidRPr="009A01DC" w:rsidRDefault="000B3B5B" w:rsidP="007B60CC">
                      <w:pPr>
                        <w:pStyle w:val="ListParagraph"/>
                        <w:numPr>
                          <w:ilvl w:val="0"/>
                          <w:numId w:val="21"/>
                        </w:numPr>
                        <w:shd w:val="clear" w:color="auto" w:fill="00B0B9"/>
                      </w:pPr>
                      <w:r w:rsidRPr="009A01DC">
                        <w:t xml:space="preserve">Financial administration including credit card usage, and travel. </w:t>
                      </w:r>
                    </w:p>
                    <w:p w14:paraId="64AF2DBE" w14:textId="77777777" w:rsidR="000B3B5B" w:rsidRDefault="000B3B5B" w:rsidP="007B60CC">
                      <w:pPr>
                        <w:pStyle w:val="ListParagraph"/>
                        <w:numPr>
                          <w:ilvl w:val="0"/>
                          <w:numId w:val="21"/>
                        </w:numPr>
                        <w:shd w:val="clear" w:color="auto" w:fill="00B0B9"/>
                      </w:pPr>
                      <w:r w:rsidRPr="009A01DC">
                        <w:t>Development of Social Security Policy</w:t>
                      </w:r>
                      <w:r>
                        <w:t>.</w:t>
                      </w:r>
                    </w:p>
                    <w:p w14:paraId="2F7ABD3F" w14:textId="77777777" w:rsidR="000B3B5B" w:rsidRDefault="000B3B5B" w:rsidP="007B60CC">
                      <w:pPr>
                        <w:shd w:val="clear" w:color="auto" w:fill="00B0B9"/>
                      </w:pPr>
                    </w:p>
                  </w:txbxContent>
                </v:textbox>
                <w10:wrap type="square" anchorx="page"/>
              </v:shape>
            </w:pict>
          </mc:Fallback>
        </mc:AlternateContent>
      </w:r>
      <w:bookmarkStart w:id="21" w:name="_Toc163816483"/>
      <w:bookmarkStart w:id="22" w:name="_Toc165280577"/>
      <w:bookmarkStart w:id="23" w:name="_Toc227836935"/>
      <w:r w:rsidRPr="00BC22F3">
        <w:rPr>
          <w:b/>
          <w:bCs w:val="0"/>
        </w:rPr>
        <w:t>Fraud and corruption control strategies</w:t>
      </w:r>
      <w:bookmarkEnd w:id="20"/>
      <w:bookmarkEnd w:id="21"/>
      <w:bookmarkEnd w:id="22"/>
      <w:bookmarkEnd w:id="23"/>
    </w:p>
    <w:p w14:paraId="2A403869" w14:textId="77777777" w:rsidR="000B3B5B" w:rsidRPr="009A01DC" w:rsidRDefault="000B3B5B" w:rsidP="000B3B5B">
      <w:r w:rsidRPr="009A01DC">
        <w:t xml:space="preserve">The department applies a range of strategies to prevent, </w:t>
      </w:r>
      <w:r>
        <w:t xml:space="preserve">detect </w:t>
      </w:r>
      <w:r w:rsidRPr="009A01DC">
        <w:t>and respond to fraud and corruption. Fraud and corruption control is not a static process – it is a cycle of preventative</w:t>
      </w:r>
      <w:r>
        <w:t>, detective</w:t>
      </w:r>
      <w:r w:rsidRPr="009A01DC">
        <w:t xml:space="preserve"> and re</w:t>
      </w:r>
      <w:r>
        <w:t>sponsive</w:t>
      </w:r>
      <w:r w:rsidRPr="009A01DC">
        <w:t xml:space="preserve"> activities to </w:t>
      </w:r>
      <w:r>
        <w:t>mitigate</w:t>
      </w:r>
      <w:r w:rsidRPr="009A01DC">
        <w:t xml:space="preserve"> fraud and corruption vulnerabilities and incidents, with a continuous improvement feedback loop to apply lessons learned to strengthen processes.</w:t>
      </w:r>
    </w:p>
    <w:p w14:paraId="60186F0A" w14:textId="7CC0E720" w:rsidR="000B3B5B" w:rsidRDefault="000B3B5B" w:rsidP="000B3B5B">
      <w:r w:rsidRPr="009A01DC">
        <w:t xml:space="preserve">The diagram below illustrates how the department applies these strategies and the continuous improvement journey as we increase our focus on </w:t>
      </w:r>
      <w:r>
        <w:t xml:space="preserve">primordial </w:t>
      </w:r>
      <w:r w:rsidRPr="009A01DC">
        <w:t>prevention activities to influence design of programs and processes to strengthen our fraud posture and prevent fraud and corruption from occurring.</w:t>
      </w:r>
    </w:p>
    <w:p w14:paraId="19C5425C" w14:textId="4432D51D" w:rsidR="0061717D" w:rsidRDefault="0061717D" w:rsidP="00B1310D">
      <w:pPr>
        <w:spacing w:after="240"/>
        <w:rPr>
          <w:noProof/>
        </w:rPr>
      </w:pPr>
      <w:r w:rsidRPr="009A01DC">
        <w:rPr>
          <w:b/>
          <w:bCs/>
        </w:rPr>
        <w:t>Fraud and Corruption Continuous Improvement Cycle</w:t>
      </w:r>
    </w:p>
    <w:p w14:paraId="7E0FE31A" w14:textId="46F91F05" w:rsidR="00B37287" w:rsidRDefault="00B37287" w:rsidP="00580A9A">
      <w:pPr>
        <w:spacing w:after="240"/>
        <w:ind w:left="1152"/>
      </w:pPr>
      <w:r w:rsidRPr="00B37287">
        <w:rPr>
          <w:noProof/>
        </w:rPr>
        <w:drawing>
          <wp:inline distT="0" distB="0" distL="0" distR="0" wp14:anchorId="5E27D875" wp14:editId="50598BC9">
            <wp:extent cx="3533775" cy="3621392"/>
            <wp:effectExtent l="0" t="0" r="0" b="0"/>
            <wp:docPr id="475896750" name="Picture 1" descr="Diagram of Fraud and Corruption Continuous Improvement Cycle - PREVENT: Pro-integrity culture, Fraud and corruption risk assessments and control plans, Policy and program design, and Education. DETECT: Tip offs, Data analytics, and Curiosity and courage of staff and community members. RESPOND: Criminal investigation and prosecution, Proceeds of crime recovery action, Compliance actions, and Administrative interven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96750" name="Picture 1" descr="Diagram of Fraud and Corruption Continuous Improvement Cycle - PREVENT: Pro-integrity culture, Fraud and corruption risk assessments and control plans, Policy and program design, and Education. DETECT: Tip offs, Data analytics, and Curiosity and courage of staff and community members. RESPOND: Criminal investigation and prosecution, Proceeds of crime recovery action, Compliance actions, and Administrative interventions."/>
                    <pic:cNvPicPr/>
                  </pic:nvPicPr>
                  <pic:blipFill>
                    <a:blip r:embed="rId15"/>
                    <a:stretch>
                      <a:fillRect/>
                    </a:stretch>
                  </pic:blipFill>
                  <pic:spPr>
                    <a:xfrm>
                      <a:off x="0" y="0"/>
                      <a:ext cx="3557631" cy="3645839"/>
                    </a:xfrm>
                    <a:prstGeom prst="rect">
                      <a:avLst/>
                    </a:prstGeom>
                  </pic:spPr>
                </pic:pic>
              </a:graphicData>
            </a:graphic>
          </wp:inline>
        </w:drawing>
      </w:r>
    </w:p>
    <w:p w14:paraId="5C0554BC" w14:textId="3A945FEC" w:rsidR="0091416E" w:rsidRDefault="00B1310D" w:rsidP="00913141">
      <w:pPr>
        <w:pStyle w:val="Heading3"/>
      </w:pPr>
      <w:r>
        <w:lastRenderedPageBreak/>
        <w:t>Prevent</w:t>
      </w:r>
    </w:p>
    <w:p w14:paraId="0842DBDB" w14:textId="6930AAE9" w:rsidR="00E470D7" w:rsidRPr="00E470D7" w:rsidRDefault="00E470D7" w:rsidP="00E470D7">
      <w:r>
        <w:rPr>
          <w:noProof/>
        </w:rPr>
        <mc:AlternateContent>
          <mc:Choice Requires="wps">
            <w:drawing>
              <wp:anchor distT="0" distB="0" distL="114300" distR="114300" simplePos="0" relativeHeight="251683840" behindDoc="0" locked="0" layoutInCell="1" allowOverlap="1" wp14:anchorId="4AFF7404" wp14:editId="6C3065A1">
                <wp:simplePos x="0" y="0"/>
                <wp:positionH relativeFrom="margin">
                  <wp:posOffset>-3810</wp:posOffset>
                </wp:positionH>
                <wp:positionV relativeFrom="paragraph">
                  <wp:posOffset>125730</wp:posOffset>
                </wp:positionV>
                <wp:extent cx="6438900" cy="209550"/>
                <wp:effectExtent l="0" t="0" r="19050" b="19050"/>
                <wp:wrapNone/>
                <wp:docPr id="160878389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38900" cy="209550"/>
                        </a:xfrm>
                        <a:prstGeom prst="rect">
                          <a:avLst/>
                        </a:prstGeom>
                        <a:solidFill>
                          <a:srgbClr val="005A70"/>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F91889" w14:textId="77777777" w:rsidR="00E470D7" w:rsidRDefault="00E470D7" w:rsidP="00E470D7">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F7404" id="Rectangle 1" o:spid="_x0000_s1030" alt="&quot;&quot;" style="position:absolute;margin-left:-.3pt;margin-top:9.9pt;width:507pt;height:16.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" fillcolor="#005a70" strokecolor="#005a70 [3204]" strokeweight=".73403mm">
                <v:textbox>
                  <w:txbxContent>
                    <w:p w14:paraId="07F91889" w14:textId="77777777" w:rsidR="00E470D7" w:rsidRDefault="00E470D7" w:rsidP="00E470D7">
                      <w:pPr>
                        <w:jc w:val="center"/>
                        <w:rPr>
                          <w:rFonts w:asciiTheme="majorHAnsi" w:eastAsiaTheme="majorEastAsia" w:hAnsiTheme="majorHAnsi" w:cstheme="majorBidi"/>
                          <w:color w:val="FFFFFF" w:themeColor="background1"/>
                          <w:sz w:val="24"/>
                          <w:szCs w:val="28"/>
                        </w:rPr>
                      </w:pPr>
                    </w:p>
                  </w:txbxContent>
                </v:textbox>
                <w10:wrap anchorx="margin"/>
              </v:rect>
            </w:pict>
          </mc:Fallback>
        </mc:AlternateContent>
      </w:r>
    </w:p>
    <w:p w14:paraId="48F23A45" w14:textId="042B94C1" w:rsidR="004A2F41" w:rsidRPr="00E470D7" w:rsidRDefault="004A2F41" w:rsidP="00E470D7">
      <w:pPr>
        <w:pBdr>
          <w:top w:val="single" w:sz="8" w:space="6" w:color="005A70"/>
          <w:left w:val="single" w:sz="8" w:space="6" w:color="005A70"/>
          <w:bottom w:val="single" w:sz="8" w:space="6" w:color="005A70"/>
          <w:right w:val="single" w:sz="8" w:space="6" w:color="005A70"/>
        </w:pBdr>
        <w:ind w:left="144" w:right="216"/>
        <w:rPr>
          <w:caps/>
          <w:sz w:val="26"/>
          <w:szCs w:val="26"/>
        </w:rPr>
      </w:pPr>
      <w:r w:rsidRPr="00E470D7">
        <w:t xml:space="preserve">Prevention activities focus on three key areas – people (through training and awareness), design (of programs and systems), and process (strengthening controls and treatments to address vulnerabilities). Prevention is the most cost effective and resource efficient method to manage fraud and </w:t>
      </w:r>
      <w:proofErr w:type="gramStart"/>
      <w:r w:rsidRPr="00E470D7">
        <w:t>corruption, and</w:t>
      </w:r>
      <w:proofErr w:type="gramEnd"/>
      <w:r w:rsidRPr="00E470D7">
        <w:t xml:space="preserve"> is a key focus of fraud and corruption control activities.</w:t>
      </w:r>
    </w:p>
    <w:p w14:paraId="3AE6F282" w14:textId="2A66049A" w:rsidR="004A2F41" w:rsidRPr="004A2F41" w:rsidRDefault="004A2F41" w:rsidP="004A2F41"/>
    <w:p w14:paraId="3817109A" w14:textId="77777777" w:rsidR="0061717D" w:rsidRDefault="0061717D" w:rsidP="0061717D">
      <w:pPr>
        <w:sectPr w:rsidR="0061717D" w:rsidSect="0061717D">
          <w:type w:val="continuous"/>
          <w:pgSz w:w="11906" w:h="16838"/>
          <w:pgMar w:top="851" w:right="851" w:bottom="1134" w:left="851" w:header="0" w:footer="281" w:gutter="0"/>
          <w:cols w:space="708"/>
          <w:titlePg/>
          <w:docGrid w:linePitch="360"/>
        </w:sectPr>
      </w:pPr>
    </w:p>
    <w:p w14:paraId="564EC763" w14:textId="1161EFF0" w:rsidR="0061717D" w:rsidRDefault="0061717D" w:rsidP="0061717D">
      <w:r>
        <w:t>Department prevention activities include:</w:t>
      </w:r>
    </w:p>
    <w:p w14:paraId="67E4AF2C" w14:textId="3D7A3D89" w:rsidR="0061717D" w:rsidRPr="00A838BC" w:rsidRDefault="0061717D" w:rsidP="0061717D">
      <w:pPr>
        <w:pStyle w:val="ListParagraph"/>
        <w:numPr>
          <w:ilvl w:val="0"/>
          <w:numId w:val="22"/>
        </w:numPr>
      </w:pPr>
      <w:r w:rsidRPr="00A838BC">
        <w:t>Deliver</w:t>
      </w:r>
      <w:r>
        <w:t>ing</w:t>
      </w:r>
      <w:r w:rsidRPr="00A838BC">
        <w:t xml:space="preserve"> mandatory fraud and corruption training and ongoing awareness for all staff and contractors. </w:t>
      </w:r>
    </w:p>
    <w:p w14:paraId="4B2112E9" w14:textId="77777777" w:rsidR="0061717D" w:rsidRPr="00A838BC" w:rsidRDefault="0061717D" w:rsidP="0061717D">
      <w:pPr>
        <w:pStyle w:val="ListParagraph"/>
        <w:numPr>
          <w:ilvl w:val="0"/>
          <w:numId w:val="22"/>
        </w:numPr>
      </w:pPr>
      <w:r w:rsidRPr="00A838BC">
        <w:t>Requir</w:t>
      </w:r>
      <w:r>
        <w:t>ing</w:t>
      </w:r>
      <w:r w:rsidRPr="00A838BC">
        <w:t xml:space="preserve"> pre</w:t>
      </w:r>
      <w:r w:rsidRPr="00A838BC">
        <w:noBreakHyphen/>
        <w:t xml:space="preserve">employment screening and baseline security clearances where roles require access. </w:t>
      </w:r>
    </w:p>
    <w:p w14:paraId="4EDF4C03" w14:textId="77777777" w:rsidR="0061717D" w:rsidRPr="00A838BC" w:rsidRDefault="0061717D" w:rsidP="0061717D">
      <w:pPr>
        <w:pStyle w:val="ListParagraph"/>
        <w:numPr>
          <w:ilvl w:val="0"/>
          <w:numId w:val="22"/>
        </w:numPr>
      </w:pPr>
      <w:r w:rsidRPr="00A838BC">
        <w:t>Provid</w:t>
      </w:r>
      <w:r>
        <w:t>ing</w:t>
      </w:r>
      <w:r w:rsidRPr="00A838BC">
        <w:t xml:space="preserve"> fraud and corruption risk advice for policy proposals, grants and program design. </w:t>
      </w:r>
    </w:p>
    <w:p w14:paraId="6773E0FC" w14:textId="77777777" w:rsidR="0061717D" w:rsidRPr="00A838BC" w:rsidRDefault="0061717D" w:rsidP="0061717D">
      <w:pPr>
        <w:pStyle w:val="ListParagraph"/>
        <w:numPr>
          <w:ilvl w:val="0"/>
          <w:numId w:val="22"/>
        </w:numPr>
      </w:pPr>
      <w:r w:rsidRPr="00A838BC">
        <w:t>Conduct</w:t>
      </w:r>
      <w:r>
        <w:t>ing</w:t>
      </w:r>
      <w:r w:rsidRPr="00A838BC">
        <w:t xml:space="preserve"> strategic fraud and corruption risk profiling across policy and corporate functions. </w:t>
      </w:r>
    </w:p>
    <w:p w14:paraId="638B11D7" w14:textId="77777777" w:rsidR="0061717D" w:rsidRPr="00A838BC" w:rsidRDefault="0061717D" w:rsidP="0061717D">
      <w:pPr>
        <w:pStyle w:val="ListParagraph"/>
        <w:numPr>
          <w:ilvl w:val="0"/>
          <w:numId w:val="22"/>
        </w:numPr>
      </w:pPr>
      <w:r w:rsidRPr="00A838BC">
        <w:t>Undertak</w:t>
      </w:r>
      <w:r>
        <w:t>ing</w:t>
      </w:r>
      <w:r w:rsidRPr="00A838BC">
        <w:t xml:space="preserve"> targeted risk assessments and control plans for medium and high</w:t>
      </w:r>
      <w:r>
        <w:t xml:space="preserve"> </w:t>
      </w:r>
      <w:r w:rsidRPr="00A838BC">
        <w:t xml:space="preserve">risk areas. </w:t>
      </w:r>
    </w:p>
    <w:p w14:paraId="69384D54" w14:textId="77777777" w:rsidR="0061717D" w:rsidRPr="00A838BC" w:rsidRDefault="0061717D" w:rsidP="0061717D">
      <w:pPr>
        <w:pStyle w:val="ListParagraph"/>
        <w:numPr>
          <w:ilvl w:val="0"/>
          <w:numId w:val="22"/>
        </w:numPr>
      </w:pPr>
      <w:r w:rsidRPr="00A838BC">
        <w:t>Manag</w:t>
      </w:r>
      <w:r>
        <w:t>ing</w:t>
      </w:r>
      <w:r w:rsidRPr="00A838BC">
        <w:t xml:space="preserve"> low and medium risks through program risk assessments and grantee risk tools. </w:t>
      </w:r>
    </w:p>
    <w:p w14:paraId="2FFB82C2" w14:textId="77777777" w:rsidR="0061717D" w:rsidRPr="00A838BC" w:rsidRDefault="0061717D" w:rsidP="0061717D">
      <w:pPr>
        <w:pStyle w:val="ListParagraph"/>
        <w:numPr>
          <w:ilvl w:val="0"/>
          <w:numId w:val="22"/>
        </w:numPr>
      </w:pPr>
      <w:r w:rsidRPr="00A838BC">
        <w:t>Conduct</w:t>
      </w:r>
      <w:r>
        <w:t>ing</w:t>
      </w:r>
      <w:r w:rsidRPr="00A838BC">
        <w:t xml:space="preserve"> data driven integrity checks and advise business areas on managing identified risks. </w:t>
      </w:r>
    </w:p>
    <w:p w14:paraId="5ED40DE3" w14:textId="4019E9F7" w:rsidR="0061717D" w:rsidRPr="00A838BC" w:rsidRDefault="0061717D" w:rsidP="0061717D">
      <w:pPr>
        <w:pStyle w:val="ListParagraph"/>
        <w:numPr>
          <w:ilvl w:val="0"/>
          <w:numId w:val="22"/>
        </w:numPr>
      </w:pPr>
      <w:r w:rsidRPr="00A838BC">
        <w:t>Apply</w:t>
      </w:r>
      <w:r>
        <w:t>ing</w:t>
      </w:r>
      <w:r w:rsidRPr="00A838BC">
        <w:t xml:space="preserve"> corporate controls, including separation of duties, system access and conflict</w:t>
      </w:r>
      <w:r>
        <w:t xml:space="preserve"> </w:t>
      </w:r>
      <w:r w:rsidRPr="00A838BC">
        <w:t>of</w:t>
      </w:r>
      <w:r>
        <w:t xml:space="preserve"> </w:t>
      </w:r>
      <w:r w:rsidRPr="00A838BC">
        <w:t xml:space="preserve">interest management. </w:t>
      </w:r>
    </w:p>
    <w:p w14:paraId="0825AD43" w14:textId="77777777" w:rsidR="0061717D" w:rsidRPr="00A838BC" w:rsidRDefault="0061717D" w:rsidP="0061717D">
      <w:pPr>
        <w:pStyle w:val="ListParagraph"/>
        <w:numPr>
          <w:ilvl w:val="0"/>
          <w:numId w:val="22"/>
        </w:numPr>
      </w:pPr>
      <w:r w:rsidRPr="00A838BC">
        <w:t>Conduct</w:t>
      </w:r>
      <w:r>
        <w:t>ing</w:t>
      </w:r>
      <w:r w:rsidRPr="00A838BC">
        <w:t xml:space="preserve"> and participate in internal and ANAO audits to identify control gaps and weaknesses. </w:t>
      </w:r>
    </w:p>
    <w:p w14:paraId="2874971E" w14:textId="77777777" w:rsidR="0061717D" w:rsidRPr="00A838BC" w:rsidRDefault="0061717D" w:rsidP="0061717D">
      <w:pPr>
        <w:pStyle w:val="ListParagraph"/>
        <w:numPr>
          <w:ilvl w:val="0"/>
          <w:numId w:val="22"/>
        </w:numPr>
      </w:pPr>
      <w:r w:rsidRPr="00A838BC">
        <w:t>Publish</w:t>
      </w:r>
      <w:r>
        <w:t>ing</w:t>
      </w:r>
      <w:r w:rsidRPr="00A838BC">
        <w:t xml:space="preserve"> proactive fraud and corruption awareness messages internally and externally. </w:t>
      </w:r>
    </w:p>
    <w:p w14:paraId="1BD62115" w14:textId="77777777" w:rsidR="0061717D" w:rsidRPr="00A838BC" w:rsidRDefault="0061717D" w:rsidP="0061717D">
      <w:pPr>
        <w:pStyle w:val="ListParagraph"/>
        <w:numPr>
          <w:ilvl w:val="0"/>
          <w:numId w:val="22"/>
        </w:numPr>
      </w:pPr>
      <w:r w:rsidRPr="00A838BC">
        <w:t>Strengthen</w:t>
      </w:r>
      <w:r>
        <w:t>ing</w:t>
      </w:r>
      <w:r w:rsidRPr="00A838BC">
        <w:t xml:space="preserve"> grant due diligence by requiring proof of identity and ownership before assessment. </w:t>
      </w:r>
    </w:p>
    <w:p w14:paraId="00BFEB8A" w14:textId="77777777" w:rsidR="0061717D" w:rsidRPr="00A838BC" w:rsidRDefault="0061717D" w:rsidP="0061717D">
      <w:pPr>
        <w:pStyle w:val="ListParagraph"/>
        <w:numPr>
          <w:ilvl w:val="0"/>
          <w:numId w:val="22"/>
        </w:numPr>
      </w:pPr>
      <w:r w:rsidRPr="00A838BC">
        <w:t>Shar</w:t>
      </w:r>
      <w:r>
        <w:t>ing</w:t>
      </w:r>
      <w:r w:rsidRPr="00A838BC">
        <w:t xml:space="preserve"> information with other agencies to verify provider credentials and compliance. </w:t>
      </w:r>
    </w:p>
    <w:p w14:paraId="5DBBB67E" w14:textId="77777777" w:rsidR="0061717D" w:rsidRPr="00A838BC" w:rsidRDefault="0061717D" w:rsidP="0061717D">
      <w:pPr>
        <w:pStyle w:val="ListParagraph"/>
        <w:numPr>
          <w:ilvl w:val="0"/>
          <w:numId w:val="22"/>
        </w:numPr>
      </w:pPr>
      <w:r w:rsidRPr="00A838BC">
        <w:t>Strengthen</w:t>
      </w:r>
      <w:r>
        <w:t>ing</w:t>
      </w:r>
      <w:r w:rsidRPr="00A838BC">
        <w:t xml:space="preserve"> contracts and funding agreements to clarify obligations and enable early fraud detection. </w:t>
      </w:r>
    </w:p>
    <w:p w14:paraId="0554E3CF" w14:textId="77777777" w:rsidR="0061717D" w:rsidRPr="00A838BC" w:rsidRDefault="0061717D" w:rsidP="0061717D">
      <w:pPr>
        <w:pStyle w:val="ListParagraph"/>
        <w:numPr>
          <w:ilvl w:val="0"/>
          <w:numId w:val="22"/>
        </w:numPr>
      </w:pPr>
      <w:r w:rsidRPr="00A838BC">
        <w:t>Communicat</w:t>
      </w:r>
      <w:r>
        <w:t>ing</w:t>
      </w:r>
      <w:r w:rsidRPr="00A838BC">
        <w:t xml:space="preserve"> a strong fraud posture to staff, providers and the community. </w:t>
      </w:r>
    </w:p>
    <w:p w14:paraId="24B42796" w14:textId="77777777" w:rsidR="0061717D" w:rsidRPr="00A838BC" w:rsidRDefault="0061717D" w:rsidP="0061717D">
      <w:pPr>
        <w:pStyle w:val="ListParagraph"/>
        <w:numPr>
          <w:ilvl w:val="0"/>
          <w:numId w:val="22"/>
        </w:numPr>
      </w:pPr>
      <w:r w:rsidRPr="00A838BC">
        <w:t>Pursu</w:t>
      </w:r>
      <w:r>
        <w:t>ing</w:t>
      </w:r>
      <w:r w:rsidRPr="00A838BC">
        <w:t xml:space="preserve"> debt recovery through contractual, civil or proceeds</w:t>
      </w:r>
      <w:r w:rsidRPr="00A838BC">
        <w:noBreakHyphen/>
        <w:t>of</w:t>
      </w:r>
      <w:r w:rsidRPr="00A838BC">
        <w:noBreakHyphen/>
        <w:t xml:space="preserve">crime mechanisms. </w:t>
      </w:r>
    </w:p>
    <w:p w14:paraId="1BDF0884" w14:textId="1CCCEC11" w:rsidR="0061717D" w:rsidRDefault="0061717D" w:rsidP="0061717D">
      <w:pPr>
        <w:pStyle w:val="ListParagraph"/>
        <w:numPr>
          <w:ilvl w:val="0"/>
          <w:numId w:val="22"/>
        </w:numPr>
        <w:sectPr w:rsidR="0061717D" w:rsidSect="0061717D">
          <w:type w:val="continuous"/>
          <w:pgSz w:w="11906" w:h="16838"/>
          <w:pgMar w:top="851" w:right="851" w:bottom="1134" w:left="851" w:header="0" w:footer="281" w:gutter="0"/>
          <w:cols w:num="2" w:space="708"/>
          <w:titlePg/>
          <w:docGrid w:linePitch="360"/>
        </w:sectPr>
      </w:pPr>
      <w:r w:rsidRPr="00A838BC">
        <w:t>Publicis</w:t>
      </w:r>
      <w:r>
        <w:t>ing</w:t>
      </w:r>
      <w:r w:rsidRPr="00A838BC">
        <w:t xml:space="preserve"> prosecution outcomes to reinforce consequences for fraud and corruption.</w:t>
      </w:r>
    </w:p>
    <w:p w14:paraId="4EE2FA15" w14:textId="16B63CA6" w:rsidR="0061717D" w:rsidRDefault="0061717D" w:rsidP="005B6859"/>
    <w:p w14:paraId="1B11BAC2" w14:textId="77777777" w:rsidR="0061717D" w:rsidRDefault="0061717D">
      <w:pPr>
        <w:spacing w:after="240"/>
      </w:pPr>
      <w:r>
        <w:br w:type="page"/>
      </w:r>
    </w:p>
    <w:p w14:paraId="09C0BF3F" w14:textId="5B101C3C" w:rsidR="00CB0CEB" w:rsidRPr="00CB0CEB" w:rsidRDefault="0061717D" w:rsidP="00CB0CEB">
      <w:pPr>
        <w:pStyle w:val="Heading3"/>
      </w:pPr>
      <w:r w:rsidRPr="00357867">
        <w:lastRenderedPageBreak/>
        <w:t>Detect</w:t>
      </w:r>
    </w:p>
    <w:p w14:paraId="76E5AFF0" w14:textId="77777777" w:rsidR="00E470D7" w:rsidRPr="00E470D7" w:rsidRDefault="00E470D7" w:rsidP="00E470D7">
      <w:r>
        <w:rPr>
          <w:noProof/>
        </w:rPr>
        <mc:AlternateContent>
          <mc:Choice Requires="wps">
            <w:drawing>
              <wp:anchor distT="0" distB="0" distL="114300" distR="114300" simplePos="0" relativeHeight="251685888" behindDoc="0" locked="0" layoutInCell="1" allowOverlap="1" wp14:anchorId="0F977805" wp14:editId="7FD1C920">
                <wp:simplePos x="0" y="0"/>
                <wp:positionH relativeFrom="margin">
                  <wp:posOffset>-10160</wp:posOffset>
                </wp:positionH>
                <wp:positionV relativeFrom="paragraph">
                  <wp:posOffset>125730</wp:posOffset>
                </wp:positionV>
                <wp:extent cx="6464300" cy="233363"/>
                <wp:effectExtent l="0" t="0" r="0" b="0"/>
                <wp:wrapNone/>
                <wp:docPr id="173883761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64300" cy="233363"/>
                        </a:xfrm>
                        <a:prstGeom prst="rect">
                          <a:avLst/>
                        </a:prstGeom>
                        <a:solidFill>
                          <a:srgbClr val="00788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2CA5E9" w14:textId="77777777" w:rsidR="00E470D7" w:rsidRPr="00CB0CEB" w:rsidRDefault="00E470D7" w:rsidP="00E470D7">
                            <w:pPr>
                              <w:shd w:val="clear" w:color="auto" w:fill="007C82"/>
                              <w:jc w:val="center"/>
                              <w:rPr>
                                <w:rFonts w:asciiTheme="majorHAnsi" w:eastAsiaTheme="majorEastAsia" w:hAnsiTheme="majorHAnsi" w:cstheme="majorBidi"/>
                                <w:color w:val="FFFFFF" w:themeColor="background1"/>
                                <w:sz w:val="24"/>
                                <w:szCs w:val="28"/>
                                <w14:textOutline w14:w="9525" w14:cap="rnd" w14:cmpd="sng" w14:algn="ctr">
                                  <w14:solidFill>
                                    <w14:srgbClr w14:val="007C82"/>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77805" id="_x0000_s1031" alt="&quot;&quot;" style="position:absolute;margin-left:-.8pt;margin-top:9.9pt;width:509pt;height:18.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" fillcolor="#007882" stroked="f" strokeweight=".73403mm">
                <v:textbox>
                  <w:txbxContent>
                    <w:p w14:paraId="272CA5E9" w14:textId="77777777" w:rsidR="00E470D7" w:rsidRPr="00CB0CEB" w:rsidRDefault="00E470D7" w:rsidP="00E470D7">
                      <w:pPr>
                        <w:shd w:val="clear" w:color="auto" w:fill="007C82"/>
                        <w:jc w:val="center"/>
                        <w:rPr>
                          <w:rFonts w:asciiTheme="majorHAnsi" w:eastAsiaTheme="majorEastAsia" w:hAnsiTheme="majorHAnsi" w:cstheme="majorBidi"/>
                          <w:color w:val="FFFFFF" w:themeColor="background1"/>
                          <w:sz w:val="24"/>
                          <w:szCs w:val="28"/>
                          <w14:textOutline w14:w="9525" w14:cap="rnd" w14:cmpd="sng" w14:algn="ctr">
                            <w14:solidFill>
                              <w14:srgbClr w14:val="007C82"/>
                            </w14:solidFill>
                            <w14:prstDash w14:val="solid"/>
                            <w14:bevel/>
                          </w14:textOutline>
                        </w:rPr>
                      </w:pPr>
                    </w:p>
                  </w:txbxContent>
                </v:textbox>
                <w10:wrap anchorx="margin"/>
              </v:rect>
            </w:pict>
          </mc:Fallback>
        </mc:AlternateContent>
      </w:r>
    </w:p>
    <w:p w14:paraId="7437ACC2" w14:textId="77777777" w:rsidR="00CB0CEB" w:rsidRPr="00CB0CEB" w:rsidRDefault="00CB0CEB" w:rsidP="00CB0CEB">
      <w:pPr>
        <w:pBdr>
          <w:top w:val="single" w:sz="8" w:space="6" w:color="007C82"/>
          <w:left w:val="single" w:sz="8" w:space="6" w:color="007C82"/>
          <w:bottom w:val="single" w:sz="8" w:space="6" w:color="007C82"/>
          <w:right w:val="single" w:sz="8" w:space="6" w:color="007C82"/>
        </w:pBdr>
        <w:ind w:left="158" w:right="216"/>
      </w:pPr>
      <w:r w:rsidRPr="00CB0CEB">
        <w:t>There are two types of detection activities undertaken by the department. Active detection is where a business area actively seeks to detect fraud, corruption or non-compliance, generally by data driven detection projects or targeted compliance reviews. Passive detection is where a business area relies on fraud, corruption or non-compliance to be reported, generally through fraud, corruption and non-compliance reporting channels.</w:t>
      </w:r>
    </w:p>
    <w:p w14:paraId="649B7149" w14:textId="23775DCC" w:rsidR="00E470D7" w:rsidRPr="00CB0CEB" w:rsidRDefault="00CB0CEB" w:rsidP="00CB0CEB">
      <w:pPr>
        <w:pBdr>
          <w:top w:val="single" w:sz="8" w:space="6" w:color="007C82"/>
          <w:left w:val="single" w:sz="8" w:space="6" w:color="007C82"/>
          <w:bottom w:val="single" w:sz="8" w:space="6" w:color="007C82"/>
          <w:right w:val="single" w:sz="8" w:space="6" w:color="007C82"/>
        </w:pBdr>
        <w:ind w:left="158" w:right="216"/>
      </w:pPr>
      <w:r w:rsidRPr="00CB0CEB">
        <w:rPr>
          <w:rFonts w:ascii="Tahoma" w:eastAsia="Tahoma" w:hAnsi="Tahoma" w:cs="Tahoma"/>
          <w:szCs w:val="22"/>
        </w:rPr>
        <w:t>Having effective, efficient, and active fraud detection mechanisms in place allows for the department to identify instances of potential fraud earlier than would otherwise be identified. Strong detection measures can also be used as a deterrence tool if appropriately communicated.</w:t>
      </w:r>
    </w:p>
    <w:p w14:paraId="3A55FB53" w14:textId="77777777" w:rsidR="00E470D7" w:rsidRPr="004A2F41" w:rsidRDefault="00E470D7" w:rsidP="00E470D7"/>
    <w:p w14:paraId="46B8AAC7" w14:textId="77777777" w:rsidR="0061717D" w:rsidRDefault="0061717D" w:rsidP="0061717D">
      <w:pPr>
        <w:sectPr w:rsidR="0061717D" w:rsidSect="0061717D">
          <w:type w:val="continuous"/>
          <w:pgSz w:w="11906" w:h="16838"/>
          <w:pgMar w:top="851" w:right="851" w:bottom="1134" w:left="851" w:header="0" w:footer="281" w:gutter="0"/>
          <w:cols w:space="708"/>
          <w:titlePg/>
          <w:docGrid w:linePitch="360"/>
        </w:sectPr>
      </w:pPr>
    </w:p>
    <w:p w14:paraId="6726D355" w14:textId="63C44731" w:rsidR="0061717D" w:rsidRDefault="0061717D" w:rsidP="0061717D">
      <w:r>
        <w:t>Department detection activities include:</w:t>
      </w:r>
    </w:p>
    <w:p w14:paraId="57864775" w14:textId="77777777" w:rsidR="0061717D" w:rsidRDefault="0061717D" w:rsidP="0061717D">
      <w:pPr>
        <w:pStyle w:val="ListParagraph"/>
        <w:numPr>
          <w:ilvl w:val="0"/>
          <w:numId w:val="22"/>
        </w:numPr>
        <w:sectPr w:rsidR="0061717D" w:rsidSect="0061717D">
          <w:type w:val="continuous"/>
          <w:pgSz w:w="11906" w:h="16838"/>
          <w:pgMar w:top="851" w:right="851" w:bottom="1134" w:left="851" w:header="0" w:footer="281" w:gutter="0"/>
          <w:cols w:num="2" w:space="708"/>
          <w:titlePg/>
          <w:docGrid w:linePitch="360"/>
        </w:sectPr>
      </w:pPr>
    </w:p>
    <w:p w14:paraId="55703CB4" w14:textId="77777777" w:rsidR="0061717D" w:rsidRDefault="0061717D" w:rsidP="0061717D">
      <w:pPr>
        <w:pStyle w:val="ListParagraph"/>
        <w:numPr>
          <w:ilvl w:val="0"/>
          <w:numId w:val="22"/>
        </w:numPr>
      </w:pPr>
      <w:r w:rsidRPr="002C359B">
        <w:t>Operat</w:t>
      </w:r>
      <w:r>
        <w:t>ing</w:t>
      </w:r>
      <w:r w:rsidRPr="002C359B">
        <w:t xml:space="preserve"> accessible fraud and corruption reporting mechanisms to receive internal and external tip</w:t>
      </w:r>
      <w:r>
        <w:t xml:space="preserve"> </w:t>
      </w:r>
      <w:r w:rsidRPr="002C359B">
        <w:t>offs.</w:t>
      </w:r>
    </w:p>
    <w:p w14:paraId="4DD5A021" w14:textId="77777777" w:rsidR="0061717D" w:rsidRDefault="0061717D" w:rsidP="0061717D">
      <w:pPr>
        <w:pStyle w:val="ListParagraph"/>
        <w:numPr>
          <w:ilvl w:val="0"/>
          <w:numId w:val="22"/>
        </w:numPr>
      </w:pPr>
      <w:r w:rsidRPr="002C359B">
        <w:t>Assess</w:t>
      </w:r>
      <w:r>
        <w:t xml:space="preserve">ment </w:t>
      </w:r>
      <w:r w:rsidRPr="002C359B">
        <w:t xml:space="preserve">and triage </w:t>
      </w:r>
      <w:r>
        <w:t xml:space="preserve">of </w:t>
      </w:r>
      <w:r w:rsidRPr="002C359B">
        <w:t>fraud and corruption allegations to identify credible risks and prioritise action.</w:t>
      </w:r>
    </w:p>
    <w:p w14:paraId="176CEA8E" w14:textId="77777777" w:rsidR="0061717D" w:rsidRDefault="0061717D" w:rsidP="0061717D">
      <w:pPr>
        <w:pStyle w:val="ListParagraph"/>
        <w:numPr>
          <w:ilvl w:val="0"/>
          <w:numId w:val="22"/>
        </w:numPr>
      </w:pPr>
      <w:r w:rsidRPr="002C359B">
        <w:t>Conduct</w:t>
      </w:r>
      <w:r>
        <w:t>ing</w:t>
      </w:r>
      <w:r w:rsidRPr="002C359B">
        <w:t xml:space="preserve"> data</w:t>
      </w:r>
      <w:r>
        <w:t xml:space="preserve"> </w:t>
      </w:r>
      <w:r w:rsidRPr="002C359B">
        <w:t>driven fraud detection and analytics activities to proactively identify suspected fraud and corruption.</w:t>
      </w:r>
    </w:p>
    <w:p w14:paraId="486F17E3" w14:textId="77777777" w:rsidR="0061717D" w:rsidRDefault="0061717D" w:rsidP="0061717D">
      <w:pPr>
        <w:pStyle w:val="ListParagraph"/>
        <w:numPr>
          <w:ilvl w:val="0"/>
          <w:numId w:val="22"/>
        </w:numPr>
      </w:pPr>
      <w:r w:rsidRPr="002C359B">
        <w:t>Collect, analyse, and integrate intelligence from internal and external sources to support detection activities.</w:t>
      </w:r>
    </w:p>
    <w:p w14:paraId="68F4322F" w14:textId="77777777" w:rsidR="0061717D" w:rsidRDefault="0061717D" w:rsidP="0061717D">
      <w:pPr>
        <w:pStyle w:val="ListParagraph"/>
        <w:numPr>
          <w:ilvl w:val="0"/>
          <w:numId w:val="22"/>
        </w:numPr>
      </w:pPr>
      <w:r w:rsidRPr="002C359B">
        <w:t>Identify</w:t>
      </w:r>
      <w:r>
        <w:t>ing</w:t>
      </w:r>
      <w:r w:rsidRPr="002C359B">
        <w:t xml:space="preserve"> emerging fraud trends, patterns, and typologies to inform detection strategies.</w:t>
      </w:r>
    </w:p>
    <w:p w14:paraId="7B36234A" w14:textId="5107E0A9" w:rsidR="0061717D" w:rsidRDefault="0061717D" w:rsidP="0061717D">
      <w:pPr>
        <w:pStyle w:val="ListParagraph"/>
        <w:numPr>
          <w:ilvl w:val="0"/>
          <w:numId w:val="22"/>
        </w:numPr>
      </w:pPr>
      <w:r>
        <w:t>A</w:t>
      </w:r>
      <w:r w:rsidRPr="002C359B">
        <w:t>utomated alert</w:t>
      </w:r>
      <w:r w:rsidR="001739E2">
        <w:t>s</w:t>
      </w:r>
      <w:r w:rsidRPr="002C359B">
        <w:t xml:space="preserve"> and controls within systems to support early fraud detection.</w:t>
      </w:r>
    </w:p>
    <w:p w14:paraId="66F4D580" w14:textId="77777777" w:rsidR="0061717D" w:rsidRDefault="0061717D" w:rsidP="0061717D">
      <w:pPr>
        <w:pStyle w:val="ListParagraph"/>
        <w:numPr>
          <w:ilvl w:val="0"/>
          <w:numId w:val="22"/>
        </w:numPr>
      </w:pPr>
      <w:r w:rsidRPr="002C359B">
        <w:t>Produc</w:t>
      </w:r>
      <w:r>
        <w:t>tion of</w:t>
      </w:r>
      <w:r w:rsidRPr="002C359B">
        <w:t xml:space="preserve"> intelligence insights to inform compliance activity, fraud responses, and program and policy design.</w:t>
      </w:r>
    </w:p>
    <w:p w14:paraId="59AF8702" w14:textId="77777777" w:rsidR="0061717D" w:rsidRDefault="0061717D" w:rsidP="0061717D">
      <w:pPr>
        <w:pStyle w:val="ListParagraph"/>
        <w:numPr>
          <w:ilvl w:val="0"/>
          <w:numId w:val="22"/>
        </w:numPr>
      </w:pPr>
      <w:r w:rsidRPr="002C359B">
        <w:t>Undertak</w:t>
      </w:r>
      <w:r>
        <w:t>ing</w:t>
      </w:r>
      <w:r w:rsidRPr="002C359B">
        <w:t xml:space="preserve"> targeted, risk</w:t>
      </w:r>
      <w:r>
        <w:t>-</w:t>
      </w:r>
      <w:r w:rsidRPr="002C359B">
        <w:t>based compliance monitoring to detect serious non</w:t>
      </w:r>
      <w:r>
        <w:t>-</w:t>
      </w:r>
      <w:r w:rsidRPr="002C359B">
        <w:t>compliance and fraud.</w:t>
      </w:r>
    </w:p>
    <w:p w14:paraId="3DDB4D11" w14:textId="77777777" w:rsidR="0061717D" w:rsidRDefault="0061717D" w:rsidP="0061717D">
      <w:pPr>
        <w:pStyle w:val="ListParagraph"/>
        <w:numPr>
          <w:ilvl w:val="0"/>
          <w:numId w:val="22"/>
        </w:numPr>
      </w:pPr>
      <w:r w:rsidRPr="002C359B">
        <w:t>Conduct targeted reviews informed by intelligence, analytics, and risk indicators.</w:t>
      </w:r>
    </w:p>
    <w:p w14:paraId="212849E3" w14:textId="77777777" w:rsidR="0061717D" w:rsidRDefault="0061717D" w:rsidP="0061717D">
      <w:pPr>
        <w:pStyle w:val="ListParagraph"/>
        <w:numPr>
          <w:ilvl w:val="0"/>
          <w:numId w:val="22"/>
        </w:numPr>
      </w:pPr>
      <w:r w:rsidRPr="002C359B">
        <w:t>Share intelligence and risk information with partner agencies to support cross</w:t>
      </w:r>
      <w:r w:rsidRPr="002C359B">
        <w:noBreakHyphen/>
        <w:t>program fraud detection.</w:t>
      </w:r>
    </w:p>
    <w:p w14:paraId="21A75299" w14:textId="77777777" w:rsidR="0061717D" w:rsidRDefault="0061717D" w:rsidP="0061717D">
      <w:pPr>
        <w:pStyle w:val="ListParagraph"/>
        <w:numPr>
          <w:ilvl w:val="0"/>
          <w:numId w:val="22"/>
        </w:numPr>
      </w:pPr>
      <w:r w:rsidRPr="002C359B">
        <w:t>Collaborate with other agencies to identify individuals or entities engaging in fraudulent activity across programs.</w:t>
      </w:r>
    </w:p>
    <w:p w14:paraId="2B1875D9" w14:textId="77777777" w:rsidR="0061717D" w:rsidRDefault="0061717D" w:rsidP="0061717D">
      <w:pPr>
        <w:pStyle w:val="ListParagraph"/>
        <w:numPr>
          <w:ilvl w:val="0"/>
          <w:numId w:val="22"/>
        </w:numPr>
      </w:pPr>
      <w:r w:rsidRPr="002C359B">
        <w:t>Leverage whole</w:t>
      </w:r>
      <w:r>
        <w:t xml:space="preserve"> </w:t>
      </w:r>
      <w:r w:rsidRPr="002C359B">
        <w:t>of</w:t>
      </w:r>
      <w:r>
        <w:t xml:space="preserve"> </w:t>
      </w:r>
      <w:r w:rsidRPr="002C359B">
        <w:t>government intelligence and risk products to strengthen detection capabilities.</w:t>
      </w:r>
    </w:p>
    <w:p w14:paraId="646DDD7F" w14:textId="77777777" w:rsidR="0061717D" w:rsidRDefault="0061717D" w:rsidP="0061717D">
      <w:pPr>
        <w:pStyle w:val="ListParagraph"/>
        <w:numPr>
          <w:ilvl w:val="0"/>
          <w:numId w:val="22"/>
        </w:numPr>
      </w:pPr>
      <w:r w:rsidRPr="002C359B">
        <w:t>Analyse detection outcomes to identify control weaknesses and inform continuous improvement.</w:t>
      </w:r>
    </w:p>
    <w:p w14:paraId="0D952818" w14:textId="3DEE82A6" w:rsidR="0061717D" w:rsidRDefault="0061717D" w:rsidP="0061717D">
      <w:pPr>
        <w:pStyle w:val="ListParagraph"/>
        <w:numPr>
          <w:ilvl w:val="0"/>
          <w:numId w:val="22"/>
        </w:numPr>
        <w:sectPr w:rsidR="0061717D" w:rsidSect="0061717D">
          <w:type w:val="continuous"/>
          <w:pgSz w:w="11906" w:h="16838"/>
          <w:pgMar w:top="851" w:right="851" w:bottom="1134" w:left="851" w:header="0" w:footer="281" w:gutter="0"/>
          <w:cols w:num="2" w:space="708"/>
          <w:titlePg/>
          <w:docGrid w:linePitch="360"/>
        </w:sectPr>
      </w:pPr>
      <w:r w:rsidRPr="002C359B">
        <w:t>Review and refine detection methodologies to ensure they remain risk</w:t>
      </w:r>
      <w:r w:rsidRPr="002C359B">
        <w:noBreakHyphen/>
        <w:t xml:space="preserve">based, proportionate, and effective. </w:t>
      </w:r>
    </w:p>
    <w:p w14:paraId="0E69F15A" w14:textId="77777777" w:rsidR="0061717D" w:rsidRDefault="0061717D" w:rsidP="007B60CC"/>
    <w:p w14:paraId="3792B393" w14:textId="3274BE14" w:rsidR="00CB0CEB" w:rsidRDefault="00521424" w:rsidP="007B60CC">
      <w:pPr>
        <w:pStyle w:val="Heading3"/>
        <w:spacing w:before="2040"/>
      </w:pPr>
      <w:r>
        <w:lastRenderedPageBreak/>
        <w:t>Respond</w:t>
      </w:r>
    </w:p>
    <w:p w14:paraId="6ED60AF0" w14:textId="77777777" w:rsidR="00CB0CEB" w:rsidRPr="00E470D7" w:rsidRDefault="00CB0CEB" w:rsidP="00CB0CEB">
      <w:r>
        <w:rPr>
          <w:noProof/>
        </w:rPr>
        <mc:AlternateContent>
          <mc:Choice Requires="wps">
            <w:drawing>
              <wp:anchor distT="0" distB="0" distL="114300" distR="114300" simplePos="0" relativeHeight="251687936" behindDoc="0" locked="0" layoutInCell="1" allowOverlap="1" wp14:anchorId="73EDF372" wp14:editId="59AB411B">
                <wp:simplePos x="0" y="0"/>
                <wp:positionH relativeFrom="margin">
                  <wp:posOffset>5716</wp:posOffset>
                </wp:positionH>
                <wp:positionV relativeFrom="paragraph">
                  <wp:posOffset>125730</wp:posOffset>
                </wp:positionV>
                <wp:extent cx="6432550" cy="233363"/>
                <wp:effectExtent l="0" t="0" r="25400" b="14605"/>
                <wp:wrapNone/>
                <wp:docPr id="181165948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32550" cy="233363"/>
                        </a:xfrm>
                        <a:prstGeom prst="rect">
                          <a:avLst/>
                        </a:prstGeom>
                        <a:solidFill>
                          <a:srgbClr val="00B0B9"/>
                        </a:solidFill>
                        <a:ln>
                          <a:solidFill>
                            <a:srgbClr val="00B0B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C4AAB8" w14:textId="77777777" w:rsidR="00CB0CEB" w:rsidRPr="00CB0CEB" w:rsidRDefault="00CB0CEB" w:rsidP="00CB0CEB">
                            <w:pPr>
                              <w:shd w:val="clear" w:color="auto" w:fill="00B0B9"/>
                              <w:jc w:val="center"/>
                              <w:rPr>
                                <w:rFonts w:asciiTheme="majorHAnsi" w:eastAsiaTheme="majorEastAsia" w:hAnsiTheme="majorHAnsi" w:cstheme="majorBidi"/>
                                <w:color w:val="00B0B9"/>
                                <w:sz w:val="24"/>
                                <w:szCs w:val="28"/>
                                <w14:textOutline w14:w="9525" w14:cap="rnd" w14:cmpd="sng" w14:algn="ctr">
                                  <w14:solidFill>
                                    <w14:srgbClr w14:val="007C82"/>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DF372" id="_x0000_s1032" alt="&quot;&quot;" style="position:absolute;margin-left:.45pt;margin-top:9.9pt;width:506.5pt;height:18.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" fillcolor="#00b0b9" strokecolor="#00b0b9" strokeweight=".73403mm">
                <v:textbox>
                  <w:txbxContent>
                    <w:p w14:paraId="17C4AAB8" w14:textId="77777777" w:rsidR="00CB0CEB" w:rsidRPr="00CB0CEB" w:rsidRDefault="00CB0CEB" w:rsidP="00CB0CEB">
                      <w:pPr>
                        <w:shd w:val="clear" w:color="auto" w:fill="00B0B9"/>
                        <w:jc w:val="center"/>
                        <w:rPr>
                          <w:rFonts w:asciiTheme="majorHAnsi" w:eastAsiaTheme="majorEastAsia" w:hAnsiTheme="majorHAnsi" w:cstheme="majorBidi"/>
                          <w:color w:val="00B0B9"/>
                          <w:sz w:val="24"/>
                          <w:szCs w:val="28"/>
                          <w14:textOutline w14:w="9525" w14:cap="rnd" w14:cmpd="sng" w14:algn="ctr">
                            <w14:solidFill>
                              <w14:srgbClr w14:val="007C82"/>
                            </w14:solidFill>
                            <w14:prstDash w14:val="solid"/>
                            <w14:bevel/>
                          </w14:textOutline>
                        </w:rPr>
                      </w:pPr>
                    </w:p>
                  </w:txbxContent>
                </v:textbox>
                <w10:wrap anchorx="margin"/>
              </v:rect>
            </w:pict>
          </mc:Fallback>
        </mc:AlternateContent>
      </w:r>
    </w:p>
    <w:p w14:paraId="07B3CCCE" w14:textId="4384FDDE" w:rsidR="00CB0CEB" w:rsidRPr="00CB0CEB" w:rsidRDefault="00CB0CEB" w:rsidP="00CB0CEB">
      <w:pPr>
        <w:pBdr>
          <w:top w:val="single" w:sz="8" w:space="6" w:color="00B0B9"/>
          <w:left w:val="single" w:sz="8" w:space="6" w:color="00B0B9"/>
          <w:bottom w:val="single" w:sz="8" w:space="6" w:color="00B0B9"/>
          <w:right w:val="single" w:sz="8" w:space="6" w:color="00B0B9"/>
        </w:pBdr>
        <w:ind w:left="158" w:right="216"/>
      </w:pPr>
      <w:r w:rsidRPr="00CB0CEB">
        <w:t>Responding decisively to fraud and corruption helps limit the financial impact and feeds back into the fraud and corruption control process. Outcomes of a fraud and corruption response are also utilised to deter others from committing fraud and corruption.</w:t>
      </w:r>
    </w:p>
    <w:p w14:paraId="30F40E93" w14:textId="67A0E188" w:rsidR="0061717D" w:rsidRDefault="0061717D" w:rsidP="0061717D">
      <w:pPr>
        <w:pStyle w:val="ListParagraph"/>
        <w:numPr>
          <w:ilvl w:val="0"/>
          <w:numId w:val="0"/>
        </w:numPr>
        <w:ind w:left="502"/>
      </w:pPr>
    </w:p>
    <w:p w14:paraId="5111BE21" w14:textId="77777777" w:rsidR="00521424" w:rsidRDefault="00521424" w:rsidP="0061717D">
      <w:pPr>
        <w:sectPr w:rsidR="00521424" w:rsidSect="0061717D">
          <w:type w:val="continuous"/>
          <w:pgSz w:w="11906" w:h="16838"/>
          <w:pgMar w:top="851" w:right="851" w:bottom="1134" w:left="851" w:header="0" w:footer="281" w:gutter="0"/>
          <w:cols w:space="708"/>
          <w:titlePg/>
          <w:docGrid w:linePitch="360"/>
        </w:sectPr>
      </w:pPr>
    </w:p>
    <w:p w14:paraId="3436B608" w14:textId="77777777" w:rsidR="0061717D" w:rsidRDefault="0061717D" w:rsidP="0061717D">
      <w:r>
        <w:t>Department response activities include:</w:t>
      </w:r>
    </w:p>
    <w:p w14:paraId="31F22B92" w14:textId="77777777" w:rsidR="0061717D" w:rsidRDefault="0061717D" w:rsidP="0061717D">
      <w:pPr>
        <w:pStyle w:val="ListParagraph"/>
        <w:numPr>
          <w:ilvl w:val="0"/>
          <w:numId w:val="22"/>
        </w:numPr>
        <w:sectPr w:rsidR="0061717D" w:rsidSect="00521424">
          <w:type w:val="continuous"/>
          <w:pgSz w:w="11906" w:h="16838"/>
          <w:pgMar w:top="851" w:right="851" w:bottom="1134" w:left="851" w:header="0" w:footer="281" w:gutter="0"/>
          <w:cols w:num="2" w:space="708"/>
          <w:titlePg/>
          <w:docGrid w:linePitch="360"/>
        </w:sectPr>
      </w:pPr>
    </w:p>
    <w:p w14:paraId="327E51A3" w14:textId="77777777" w:rsidR="0061717D" w:rsidRDefault="0061717D" w:rsidP="0061717D">
      <w:pPr>
        <w:pStyle w:val="ListParagraph"/>
        <w:numPr>
          <w:ilvl w:val="0"/>
          <w:numId w:val="22"/>
        </w:numPr>
        <w:spacing w:after="0" w:line="300" w:lineRule="atLeast"/>
      </w:pPr>
      <w:r w:rsidRPr="00EC3E85">
        <w:t>Assessing fraud and corruption allegations to determine whether criminal investigation is warranted.</w:t>
      </w:r>
    </w:p>
    <w:p w14:paraId="330EACA3" w14:textId="77777777" w:rsidR="0061717D" w:rsidRDefault="0061717D" w:rsidP="0061717D">
      <w:pPr>
        <w:pStyle w:val="ListParagraph"/>
        <w:numPr>
          <w:ilvl w:val="0"/>
          <w:numId w:val="22"/>
        </w:numPr>
        <w:spacing w:after="0" w:line="300" w:lineRule="atLeast"/>
      </w:pPr>
      <w:r w:rsidRPr="00EC3E85">
        <w:t xml:space="preserve">Undertaking fraud investigations in accordance with Australian Government Investigations Standards </w:t>
      </w:r>
      <w:r>
        <w:t xml:space="preserve">(AGIS) </w:t>
      </w:r>
      <w:r w:rsidRPr="00EC3E85">
        <w:t>and preparing briefs of evidence for referral to the Commonwealth Director of Public Prosecutions (CDPP).</w:t>
      </w:r>
    </w:p>
    <w:p w14:paraId="5501BB8F" w14:textId="77777777" w:rsidR="0061717D" w:rsidRDefault="0061717D" w:rsidP="0061717D">
      <w:pPr>
        <w:pStyle w:val="ListParagraph"/>
        <w:numPr>
          <w:ilvl w:val="0"/>
          <w:numId w:val="22"/>
        </w:numPr>
        <w:spacing w:after="0" w:line="300" w:lineRule="atLeast"/>
      </w:pPr>
      <w:r w:rsidRPr="00EC3E85">
        <w:t>Referring fraud and corruption matters to law enforcement, the Fraud Fusion Taskforce, or other relevant agencies to support investigation or enable cross</w:t>
      </w:r>
      <w:r>
        <w:t xml:space="preserve"> </w:t>
      </w:r>
      <w:r w:rsidRPr="00EC3E85">
        <w:t>agency action.</w:t>
      </w:r>
    </w:p>
    <w:p w14:paraId="3E854EB1" w14:textId="77777777" w:rsidR="0061717D" w:rsidRDefault="0061717D" w:rsidP="0061717D">
      <w:pPr>
        <w:pStyle w:val="ListParagraph"/>
        <w:numPr>
          <w:ilvl w:val="0"/>
          <w:numId w:val="22"/>
        </w:numPr>
        <w:spacing w:after="0" w:line="300" w:lineRule="atLeast"/>
      </w:pPr>
      <w:r w:rsidRPr="00EC3E85">
        <w:t>Referring corruption matters to the National Anti</w:t>
      </w:r>
      <w:r>
        <w:t>-</w:t>
      </w:r>
      <w:r w:rsidRPr="00EC3E85">
        <w:t>Corruption Commission</w:t>
      </w:r>
      <w:r>
        <w:t xml:space="preserve"> (NACC)</w:t>
      </w:r>
      <w:r w:rsidRPr="00EC3E85">
        <w:t xml:space="preserve"> through the </w:t>
      </w:r>
      <w:r>
        <w:t>d</w:t>
      </w:r>
      <w:r w:rsidRPr="00EC3E85">
        <w:t xml:space="preserve">epartment’s Integrity Unit in line with mandatory referral obligations, and </w:t>
      </w:r>
      <w:proofErr w:type="gramStart"/>
      <w:r w:rsidRPr="00EC3E85">
        <w:t>providing assistance</w:t>
      </w:r>
      <w:proofErr w:type="gramEnd"/>
      <w:r w:rsidRPr="00EC3E85">
        <w:t xml:space="preserve"> as required.</w:t>
      </w:r>
    </w:p>
    <w:p w14:paraId="1B28ABCD" w14:textId="77777777" w:rsidR="0061717D" w:rsidRDefault="0061717D" w:rsidP="0061717D">
      <w:pPr>
        <w:pStyle w:val="ListParagraph"/>
        <w:numPr>
          <w:ilvl w:val="0"/>
          <w:numId w:val="22"/>
        </w:numPr>
        <w:spacing w:after="0" w:line="300" w:lineRule="atLeast"/>
      </w:pPr>
      <w:r w:rsidRPr="00EC3E85">
        <w:t>Applying alternative response strategies where criminal prosecution is not appropriate, including compliance action, assurance activity, or debt recovery through grants or contractual mechanisms.</w:t>
      </w:r>
    </w:p>
    <w:p w14:paraId="0253A69A" w14:textId="77777777" w:rsidR="0061717D" w:rsidRDefault="0061717D" w:rsidP="0061717D">
      <w:pPr>
        <w:pStyle w:val="ListParagraph"/>
        <w:numPr>
          <w:ilvl w:val="0"/>
          <w:numId w:val="22"/>
        </w:numPr>
        <w:spacing w:after="0" w:line="300" w:lineRule="atLeast"/>
      </w:pPr>
      <w:r w:rsidRPr="00EC3E85">
        <w:t>Engaging with Commonwealth fraud and integrity forums to support coordinated whole</w:t>
      </w:r>
      <w:r>
        <w:t xml:space="preserve"> </w:t>
      </w:r>
      <w:r w:rsidRPr="00EC3E85">
        <w:t>of</w:t>
      </w:r>
      <w:r>
        <w:t xml:space="preserve"> </w:t>
      </w:r>
      <w:r w:rsidRPr="00EC3E85">
        <w:t>government responses to fraud and corruption.</w:t>
      </w:r>
    </w:p>
    <w:p w14:paraId="5E2B0E3A" w14:textId="77777777" w:rsidR="0061717D" w:rsidRDefault="0061717D" w:rsidP="0061717D">
      <w:pPr>
        <w:pStyle w:val="ListParagraph"/>
        <w:numPr>
          <w:ilvl w:val="0"/>
          <w:numId w:val="22"/>
        </w:numPr>
        <w:spacing w:after="0" w:line="300" w:lineRule="atLeast"/>
      </w:pPr>
      <w:r w:rsidRPr="00EC3E85">
        <w:t>Communicating investigation and prosecution outcomes internally and externally once matters are finalised.</w:t>
      </w:r>
    </w:p>
    <w:p w14:paraId="34CDAE53" w14:textId="77777777" w:rsidR="0061717D" w:rsidRDefault="0061717D" w:rsidP="0061717D">
      <w:pPr>
        <w:pStyle w:val="ListParagraph"/>
        <w:numPr>
          <w:ilvl w:val="0"/>
          <w:numId w:val="22"/>
        </w:numPr>
        <w:spacing w:after="0" w:line="300" w:lineRule="atLeast"/>
      </w:pPr>
      <w:r w:rsidRPr="00EC3E85">
        <w:t>Pursuing recovery of fraud or corruption proceeds through restitution orders or proceeds</w:t>
      </w:r>
      <w:r>
        <w:t xml:space="preserve"> </w:t>
      </w:r>
      <w:r w:rsidRPr="00EC3E85">
        <w:t>of</w:t>
      </w:r>
      <w:r>
        <w:t xml:space="preserve"> </w:t>
      </w:r>
      <w:r w:rsidRPr="00EC3E85">
        <w:t>crime action.</w:t>
      </w:r>
    </w:p>
    <w:p w14:paraId="51A57C2B" w14:textId="77777777" w:rsidR="0061717D" w:rsidRDefault="0061717D" w:rsidP="0061717D">
      <w:pPr>
        <w:pStyle w:val="ListParagraph"/>
        <w:numPr>
          <w:ilvl w:val="0"/>
          <w:numId w:val="22"/>
        </w:numPr>
        <w:spacing w:after="0" w:line="300" w:lineRule="atLeast"/>
      </w:pPr>
      <w:r w:rsidRPr="00EC3E85">
        <w:t xml:space="preserve">Using disruption strategies, including targeted messaging, to </w:t>
      </w:r>
      <w:r>
        <w:t xml:space="preserve">disrupt and </w:t>
      </w:r>
      <w:r w:rsidRPr="00EC3E85">
        <w:t>deter ongoing fraudulent behaviour and encourage remediation where appropriate.</w:t>
      </w:r>
    </w:p>
    <w:p w14:paraId="54996B8A" w14:textId="77777777" w:rsidR="0061717D" w:rsidRDefault="0061717D" w:rsidP="0061717D">
      <w:pPr>
        <w:pStyle w:val="ListParagraph"/>
        <w:numPr>
          <w:ilvl w:val="0"/>
          <w:numId w:val="22"/>
        </w:numPr>
        <w:spacing w:after="0" w:line="300" w:lineRule="atLeast"/>
      </w:pPr>
      <w:r w:rsidRPr="00EC3E85">
        <w:t>Undertaking concurrent compliance action to support early intervention and prevent escalation while fraud investigations progress.</w:t>
      </w:r>
    </w:p>
    <w:p w14:paraId="1CBF78E2" w14:textId="77777777" w:rsidR="0061717D" w:rsidRPr="00EC3E85" w:rsidRDefault="0061717D" w:rsidP="0061717D">
      <w:pPr>
        <w:pStyle w:val="ListParagraph"/>
        <w:numPr>
          <w:ilvl w:val="0"/>
          <w:numId w:val="22"/>
        </w:numPr>
        <w:spacing w:after="0" w:line="300" w:lineRule="atLeast"/>
      </w:pPr>
      <w:r w:rsidRPr="00EC3E85">
        <w:t>Sharing intelligence with partner agencies to support alternative disruption responses, including regulatory action or removal of fraudulent entities from government programs.</w:t>
      </w:r>
    </w:p>
    <w:p w14:paraId="788D3138" w14:textId="77777777" w:rsidR="0061717D" w:rsidRDefault="0061717D" w:rsidP="007B60CC">
      <w:pPr>
        <w:sectPr w:rsidR="0061717D" w:rsidSect="00521424">
          <w:type w:val="continuous"/>
          <w:pgSz w:w="11906" w:h="16838"/>
          <w:pgMar w:top="851" w:right="851" w:bottom="1134" w:left="851" w:header="0" w:footer="281" w:gutter="0"/>
          <w:cols w:num="2" w:space="708"/>
          <w:titlePg/>
          <w:docGrid w:linePitch="360"/>
        </w:sectPr>
      </w:pPr>
    </w:p>
    <w:p w14:paraId="550BFB06" w14:textId="30B7D127" w:rsidR="00521424" w:rsidRDefault="00521424">
      <w:pPr>
        <w:spacing w:after="240"/>
      </w:pPr>
      <w:r>
        <w:br w:type="page"/>
      </w:r>
    </w:p>
    <w:p w14:paraId="31098B6F" w14:textId="77777777" w:rsidR="00521424" w:rsidRPr="00BC6CBA" w:rsidRDefault="00521424" w:rsidP="00521424">
      <w:pPr>
        <w:pStyle w:val="Heading2"/>
        <w:rPr>
          <w:b/>
          <w:bCs w:val="0"/>
        </w:rPr>
      </w:pPr>
      <w:bookmarkStart w:id="24" w:name="_Toc230351766"/>
      <w:r w:rsidRPr="00BC6CBA">
        <w:rPr>
          <w:b/>
          <w:bCs w:val="0"/>
        </w:rPr>
        <w:lastRenderedPageBreak/>
        <w:t>Roles and responsibilities</w:t>
      </w:r>
      <w:bookmarkEnd w:id="24"/>
    </w:p>
    <w:p w14:paraId="5636F278" w14:textId="77777777" w:rsidR="00521424" w:rsidRPr="009A01DC" w:rsidRDefault="00521424" w:rsidP="00521424">
      <w:r w:rsidRPr="009A01DC">
        <w:t xml:space="preserve">The following table </w:t>
      </w:r>
      <w:r>
        <w:t>provides an overview of the key</w:t>
      </w:r>
      <w:r w:rsidRPr="009A01DC">
        <w:t xml:space="preserve"> roles and responsibilities for departmental officials in relation to fraud and corruption control</w:t>
      </w:r>
      <w:r>
        <w:t xml:space="preserve">. </w:t>
      </w:r>
    </w:p>
    <w:tbl>
      <w:tblPr>
        <w:tblStyle w:val="List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89"/>
      </w:tblGrid>
      <w:tr w:rsidR="00521424" w:rsidRPr="009A01DC" w14:paraId="76829BE6" w14:textId="77777777" w:rsidTr="004D04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tcPr>
          <w:p w14:paraId="1500DAEF" w14:textId="77777777" w:rsidR="00521424" w:rsidRPr="009A01DC" w:rsidRDefault="00521424" w:rsidP="004D0426">
            <w:pPr>
              <w:spacing w:line="300" w:lineRule="auto"/>
              <w:rPr>
                <w:b w:val="0"/>
                <w:bCs w:val="0"/>
              </w:rPr>
            </w:pPr>
            <w:r w:rsidRPr="009A01DC">
              <w:t>Role</w:t>
            </w:r>
          </w:p>
        </w:tc>
        <w:tc>
          <w:tcPr>
            <w:tcW w:w="7789" w:type="dxa"/>
          </w:tcPr>
          <w:p w14:paraId="5CDBC788" w14:textId="77777777" w:rsidR="00521424" w:rsidRPr="009A01DC" w:rsidRDefault="00521424" w:rsidP="004D0426">
            <w:pPr>
              <w:spacing w:line="300" w:lineRule="auto"/>
              <w:cnfStyle w:val="100000000000" w:firstRow="1" w:lastRow="0" w:firstColumn="0" w:lastColumn="0" w:oddVBand="0" w:evenVBand="0" w:oddHBand="0" w:evenHBand="0" w:firstRowFirstColumn="0" w:firstRowLastColumn="0" w:lastRowFirstColumn="0" w:lastRowLastColumn="0"/>
            </w:pPr>
            <w:r w:rsidRPr="009A01DC">
              <w:t xml:space="preserve">Responsibility </w:t>
            </w:r>
          </w:p>
        </w:tc>
      </w:tr>
      <w:tr w:rsidR="00521424" w:rsidRPr="009A01DC" w14:paraId="72B17D4C" w14:textId="77777777" w:rsidTr="004D0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tcPr>
          <w:p w14:paraId="0BA3AB30" w14:textId="77777777" w:rsidR="00521424" w:rsidRPr="009A01DC" w:rsidRDefault="00521424" w:rsidP="004D0426">
            <w:pPr>
              <w:spacing w:line="300" w:lineRule="auto"/>
            </w:pPr>
            <w:r w:rsidRPr="009A01DC">
              <w:t>Accountable Authority</w:t>
            </w:r>
          </w:p>
        </w:tc>
        <w:tc>
          <w:tcPr>
            <w:tcW w:w="7789" w:type="dxa"/>
            <w:tcBorders>
              <w:top w:val="none" w:sz="0" w:space="0" w:color="auto"/>
              <w:left w:val="none" w:sz="0" w:space="0" w:color="auto"/>
              <w:bottom w:val="none" w:sz="0" w:space="0" w:color="auto"/>
              <w:right w:val="none" w:sz="0" w:space="0" w:color="auto"/>
            </w:tcBorders>
          </w:tcPr>
          <w:p w14:paraId="20EB01D1" w14:textId="77777777" w:rsidR="00521424" w:rsidRPr="009A01DC" w:rsidRDefault="00521424" w:rsidP="004D0426">
            <w:pPr>
              <w:spacing w:line="300" w:lineRule="auto"/>
              <w:cnfStyle w:val="000000100000" w:firstRow="0" w:lastRow="0" w:firstColumn="0" w:lastColumn="0" w:oddVBand="0" w:evenVBand="0" w:oddHBand="1" w:evenHBand="0" w:firstRowFirstColumn="0" w:firstRowLastColumn="0" w:lastRowFirstColumn="0" w:lastRowLastColumn="0"/>
            </w:pPr>
            <w:r w:rsidRPr="009A01DC">
              <w:t>Section 10 of the PGPA Rule requires the Secretary as the Accountable Authority to take all reasonable measures to prevent, detect and respond to fraud and corruption relating to the department.</w:t>
            </w:r>
          </w:p>
        </w:tc>
      </w:tr>
      <w:tr w:rsidR="00521424" w:rsidRPr="009A01DC" w14:paraId="3770F847" w14:textId="77777777" w:rsidTr="004D04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bottom w:val="none" w:sz="0" w:space="0" w:color="auto"/>
            </w:tcBorders>
          </w:tcPr>
          <w:p w14:paraId="1E20CCAA" w14:textId="77777777" w:rsidR="00521424" w:rsidRPr="009A01DC" w:rsidRDefault="00521424" w:rsidP="004D0426">
            <w:pPr>
              <w:spacing w:line="300" w:lineRule="auto"/>
              <w:rPr>
                <w:b w:val="0"/>
                <w:bCs w:val="0"/>
              </w:rPr>
            </w:pPr>
            <w:r w:rsidRPr="009A01DC">
              <w:t xml:space="preserve">Chief Risk Officer </w:t>
            </w:r>
          </w:p>
        </w:tc>
        <w:tc>
          <w:tcPr>
            <w:tcW w:w="7789" w:type="dxa"/>
            <w:tcBorders>
              <w:bottom w:val="none" w:sz="0" w:space="0" w:color="auto"/>
            </w:tcBorders>
          </w:tcPr>
          <w:p w14:paraId="6B585991" w14:textId="77777777" w:rsidR="00521424" w:rsidRPr="009A01DC" w:rsidRDefault="00521424" w:rsidP="004D0426">
            <w:pPr>
              <w:spacing w:line="300" w:lineRule="auto"/>
              <w:cnfStyle w:val="000000010000" w:firstRow="0" w:lastRow="0" w:firstColumn="0" w:lastColumn="0" w:oddVBand="0" w:evenVBand="0" w:oddHBand="0" w:evenHBand="1" w:firstRowFirstColumn="0" w:firstRowLastColumn="0" w:lastRowFirstColumn="0" w:lastRowLastColumn="0"/>
            </w:pPr>
            <w:r w:rsidRPr="009A01DC">
              <w:t xml:space="preserve">The Chief Risk Officer is responsible for supporting the Secretary </w:t>
            </w:r>
            <w:r>
              <w:t xml:space="preserve">to </w:t>
            </w:r>
            <w:r w:rsidRPr="009A01DC">
              <w:t>maintain appropriate systems of risk oversight, management, and internal controls for the department to ensure the Secretary meets their obligation</w:t>
            </w:r>
            <w:r>
              <w:t>s</w:t>
            </w:r>
            <w:r w:rsidRPr="009A01DC">
              <w:t xml:space="preserve"> under the PGPA Rule. </w:t>
            </w:r>
          </w:p>
        </w:tc>
      </w:tr>
      <w:tr w:rsidR="00521424" w:rsidRPr="009A01DC" w14:paraId="5356A31F" w14:textId="77777777" w:rsidTr="004D0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tcPr>
          <w:p w14:paraId="03F18527" w14:textId="77777777" w:rsidR="00521424" w:rsidRPr="009A01DC" w:rsidRDefault="00521424" w:rsidP="004D0426">
            <w:pPr>
              <w:spacing w:line="300" w:lineRule="auto"/>
            </w:pPr>
            <w:r w:rsidRPr="009A01DC">
              <w:t xml:space="preserve">Senior Executive Service </w:t>
            </w:r>
          </w:p>
        </w:tc>
        <w:tc>
          <w:tcPr>
            <w:tcW w:w="7789" w:type="dxa"/>
            <w:tcBorders>
              <w:top w:val="none" w:sz="0" w:space="0" w:color="auto"/>
              <w:left w:val="none" w:sz="0" w:space="0" w:color="auto"/>
              <w:bottom w:val="none" w:sz="0" w:space="0" w:color="auto"/>
              <w:right w:val="none" w:sz="0" w:space="0" w:color="auto"/>
            </w:tcBorders>
          </w:tcPr>
          <w:p w14:paraId="638DD5F9" w14:textId="77777777" w:rsidR="00521424" w:rsidRPr="0096520C" w:rsidRDefault="00521424" w:rsidP="004D0426">
            <w:pPr>
              <w:spacing w:line="300" w:lineRule="auto"/>
              <w:cnfStyle w:val="000000100000" w:firstRow="0" w:lastRow="0" w:firstColumn="0" w:lastColumn="0" w:oddVBand="0" w:evenVBand="0" w:oddHBand="1" w:evenHBand="0" w:firstRowFirstColumn="0" w:firstRowLastColumn="0" w:lastRowFirstColumn="0" w:lastRowLastColumn="0"/>
            </w:pPr>
            <w:r w:rsidRPr="009A01DC">
              <w:t xml:space="preserve">The Senior Executive Service are responsible for fostering a culture of high integrity and accountability to assist in preventing, detecting, and responding to fraud and corruption. </w:t>
            </w:r>
          </w:p>
        </w:tc>
      </w:tr>
      <w:tr w:rsidR="00521424" w:rsidRPr="009A01DC" w14:paraId="7A88B797" w14:textId="77777777" w:rsidTr="004D04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bottom w:val="single" w:sz="4" w:space="0" w:color="auto"/>
            </w:tcBorders>
          </w:tcPr>
          <w:p w14:paraId="3DBCCB28" w14:textId="77777777" w:rsidR="00521424" w:rsidRDefault="00521424" w:rsidP="004D0426">
            <w:r w:rsidRPr="009A01DC">
              <w:t xml:space="preserve">All Officials </w:t>
            </w:r>
          </w:p>
        </w:tc>
        <w:tc>
          <w:tcPr>
            <w:tcW w:w="7789" w:type="dxa"/>
            <w:tcBorders>
              <w:bottom w:val="single" w:sz="4" w:space="0" w:color="auto"/>
            </w:tcBorders>
          </w:tcPr>
          <w:p w14:paraId="0ECA90C8" w14:textId="77777777" w:rsidR="00521424" w:rsidRPr="009A01DC" w:rsidRDefault="00521424" w:rsidP="004D0426">
            <w:pPr>
              <w:spacing w:line="300" w:lineRule="auto"/>
              <w:cnfStyle w:val="000000010000" w:firstRow="0" w:lastRow="0" w:firstColumn="0" w:lastColumn="0" w:oddVBand="0" w:evenVBand="0" w:oddHBand="0" w:evenHBand="1" w:firstRowFirstColumn="0" w:firstRowLastColumn="0" w:lastRowFirstColumn="0" w:lastRowLastColumn="0"/>
            </w:pPr>
            <w:r w:rsidRPr="009A01DC">
              <w:t xml:space="preserve">All officials must comply with Finance law, which includes the </w:t>
            </w:r>
            <w:r w:rsidRPr="00C91AC4">
              <w:rPr>
                <w:i/>
                <w:iCs/>
              </w:rPr>
              <w:t>PGPA Act</w:t>
            </w:r>
            <w:r w:rsidRPr="009A01DC">
              <w:t xml:space="preserve">, the PGPA Rule, any other instruments made under the </w:t>
            </w:r>
            <w:r w:rsidRPr="00C91AC4">
              <w:rPr>
                <w:i/>
                <w:iCs/>
              </w:rPr>
              <w:t>PGPA Act</w:t>
            </w:r>
            <w:r w:rsidRPr="009A01DC">
              <w:t xml:space="preserve">, and any appropriation Acts. Sections 25 to 29 of the </w:t>
            </w:r>
            <w:r w:rsidRPr="00294076">
              <w:rPr>
                <w:i/>
                <w:iCs/>
              </w:rPr>
              <w:t>PGPA Act</w:t>
            </w:r>
            <w:r w:rsidRPr="009A01DC">
              <w:t xml:space="preserve"> impose the following duties on all officials:</w:t>
            </w:r>
          </w:p>
          <w:p w14:paraId="0C20F491" w14:textId="77777777" w:rsidR="00521424" w:rsidRPr="009A01DC" w:rsidRDefault="00521424" w:rsidP="00521424">
            <w:pPr>
              <w:numPr>
                <w:ilvl w:val="0"/>
                <w:numId w:val="23"/>
              </w:numPr>
              <w:spacing w:line="300" w:lineRule="auto"/>
              <w:cnfStyle w:val="000000010000" w:firstRow="0" w:lastRow="0" w:firstColumn="0" w:lastColumn="0" w:oddVBand="0" w:evenVBand="0" w:oddHBand="0" w:evenHBand="1" w:firstRowFirstColumn="0" w:firstRowLastColumn="0" w:lastRowFirstColumn="0" w:lastRowLastColumn="0"/>
            </w:pPr>
            <w:r w:rsidRPr="009A01DC">
              <w:t>a duty of care and diligence</w:t>
            </w:r>
          </w:p>
          <w:p w14:paraId="67532315" w14:textId="77777777" w:rsidR="00521424" w:rsidRPr="009A01DC" w:rsidRDefault="00521424" w:rsidP="00521424">
            <w:pPr>
              <w:numPr>
                <w:ilvl w:val="0"/>
                <w:numId w:val="23"/>
              </w:numPr>
              <w:spacing w:line="300" w:lineRule="auto"/>
              <w:cnfStyle w:val="000000010000" w:firstRow="0" w:lastRow="0" w:firstColumn="0" w:lastColumn="0" w:oddVBand="0" w:evenVBand="0" w:oddHBand="0" w:evenHBand="1" w:firstRowFirstColumn="0" w:firstRowLastColumn="0" w:lastRowFirstColumn="0" w:lastRowLastColumn="0"/>
            </w:pPr>
            <w:r w:rsidRPr="009A01DC">
              <w:t>a duty to act in honesty, good faith and for a proper purpose</w:t>
            </w:r>
          </w:p>
          <w:p w14:paraId="7B75D69C" w14:textId="77777777" w:rsidR="00521424" w:rsidRPr="009A01DC" w:rsidRDefault="00521424" w:rsidP="00521424">
            <w:pPr>
              <w:numPr>
                <w:ilvl w:val="0"/>
                <w:numId w:val="23"/>
              </w:numPr>
              <w:spacing w:line="300" w:lineRule="auto"/>
              <w:cnfStyle w:val="000000010000" w:firstRow="0" w:lastRow="0" w:firstColumn="0" w:lastColumn="0" w:oddVBand="0" w:evenVBand="0" w:oddHBand="0" w:evenHBand="1" w:firstRowFirstColumn="0" w:firstRowLastColumn="0" w:lastRowFirstColumn="0" w:lastRowLastColumn="0"/>
            </w:pPr>
            <w:r w:rsidRPr="009A01DC">
              <w:t>a duty in relation to use of position</w:t>
            </w:r>
          </w:p>
          <w:p w14:paraId="72B713C8" w14:textId="77777777" w:rsidR="00521424" w:rsidRPr="009A01DC" w:rsidRDefault="00521424" w:rsidP="00521424">
            <w:pPr>
              <w:numPr>
                <w:ilvl w:val="0"/>
                <w:numId w:val="23"/>
              </w:numPr>
              <w:spacing w:line="300" w:lineRule="auto"/>
              <w:cnfStyle w:val="000000010000" w:firstRow="0" w:lastRow="0" w:firstColumn="0" w:lastColumn="0" w:oddVBand="0" w:evenVBand="0" w:oddHBand="0" w:evenHBand="1" w:firstRowFirstColumn="0" w:firstRowLastColumn="0" w:lastRowFirstColumn="0" w:lastRowLastColumn="0"/>
            </w:pPr>
            <w:r w:rsidRPr="009A01DC">
              <w:t>a duty in relation to use of information</w:t>
            </w:r>
          </w:p>
          <w:p w14:paraId="747EDC42" w14:textId="77777777" w:rsidR="00521424" w:rsidRPr="009A01DC" w:rsidRDefault="00521424" w:rsidP="00521424">
            <w:pPr>
              <w:numPr>
                <w:ilvl w:val="0"/>
                <w:numId w:val="23"/>
              </w:numPr>
              <w:spacing w:line="300" w:lineRule="auto"/>
              <w:cnfStyle w:val="000000010000" w:firstRow="0" w:lastRow="0" w:firstColumn="0" w:lastColumn="0" w:oddVBand="0" w:evenVBand="0" w:oddHBand="0" w:evenHBand="1" w:firstRowFirstColumn="0" w:firstRowLastColumn="0" w:lastRowFirstColumn="0" w:lastRowLastColumn="0"/>
            </w:pPr>
            <w:r w:rsidRPr="009A01DC">
              <w:t>a duty to disclose interests.</w:t>
            </w:r>
          </w:p>
          <w:p w14:paraId="41D4D2E0" w14:textId="77777777" w:rsidR="00521424" w:rsidRPr="009A01DC" w:rsidRDefault="00521424" w:rsidP="004D0426">
            <w:pPr>
              <w:spacing w:line="300" w:lineRule="auto"/>
              <w:cnfStyle w:val="000000010000" w:firstRow="0" w:lastRow="0" w:firstColumn="0" w:lastColumn="0" w:oddVBand="0" w:evenVBand="0" w:oddHBand="0" w:evenHBand="1" w:firstRowFirstColumn="0" w:firstRowLastColumn="0" w:lastRowFirstColumn="0" w:lastRowLastColumn="0"/>
            </w:pPr>
            <w:r w:rsidRPr="009A01DC">
              <w:t xml:space="preserve">All officials are required to act in accordance with: </w:t>
            </w:r>
          </w:p>
          <w:p w14:paraId="1CAAC1CE" w14:textId="77777777" w:rsidR="00521424" w:rsidRPr="009A01DC" w:rsidRDefault="00521424" w:rsidP="00521424">
            <w:pPr>
              <w:numPr>
                <w:ilvl w:val="0"/>
                <w:numId w:val="24"/>
              </w:numPr>
              <w:spacing w:line="300" w:lineRule="auto"/>
              <w:cnfStyle w:val="000000010000" w:firstRow="0" w:lastRow="0" w:firstColumn="0" w:lastColumn="0" w:oddVBand="0" w:evenVBand="0" w:oddHBand="0" w:evenHBand="1" w:firstRowFirstColumn="0" w:firstRowLastColumn="0" w:lastRowFirstColumn="0" w:lastRowLastColumn="0"/>
            </w:pPr>
            <w:r w:rsidRPr="009A01DC">
              <w:t>The Commonwealth Fraud and Corruption Control Framework</w:t>
            </w:r>
          </w:p>
          <w:p w14:paraId="5DD9BAED" w14:textId="77777777" w:rsidR="00521424" w:rsidRPr="009A01DC" w:rsidRDefault="00521424" w:rsidP="00521424">
            <w:pPr>
              <w:numPr>
                <w:ilvl w:val="0"/>
                <w:numId w:val="24"/>
              </w:numPr>
              <w:spacing w:line="300" w:lineRule="auto"/>
              <w:cnfStyle w:val="000000010000" w:firstRow="0" w:lastRow="0" w:firstColumn="0" w:lastColumn="0" w:oddVBand="0" w:evenVBand="0" w:oddHBand="0" w:evenHBand="1" w:firstRowFirstColumn="0" w:firstRowLastColumn="0" w:lastRowFirstColumn="0" w:lastRowLastColumn="0"/>
            </w:pPr>
            <w:r w:rsidRPr="009A01DC">
              <w:t>The APS Values and Code of Conduct</w:t>
            </w:r>
          </w:p>
          <w:p w14:paraId="04E4EDB1" w14:textId="77777777" w:rsidR="00521424" w:rsidRPr="009A01DC" w:rsidRDefault="00521424" w:rsidP="00521424">
            <w:pPr>
              <w:numPr>
                <w:ilvl w:val="0"/>
                <w:numId w:val="24"/>
              </w:numPr>
              <w:spacing w:line="300" w:lineRule="auto"/>
              <w:cnfStyle w:val="000000010000" w:firstRow="0" w:lastRow="0" w:firstColumn="0" w:lastColumn="0" w:oddVBand="0" w:evenVBand="0" w:oddHBand="0" w:evenHBand="1" w:firstRowFirstColumn="0" w:firstRowLastColumn="0" w:lastRowFirstColumn="0" w:lastRowLastColumn="0"/>
            </w:pPr>
            <w:r w:rsidRPr="009A01DC">
              <w:t>The Secretary’s Instruction 1.3 Fraud and Corruption Control</w:t>
            </w:r>
          </w:p>
          <w:p w14:paraId="5D7F5FBD" w14:textId="77777777" w:rsidR="00521424" w:rsidRDefault="00521424" w:rsidP="004D0426">
            <w:pPr>
              <w:cnfStyle w:val="000000010000" w:firstRow="0" w:lastRow="0" w:firstColumn="0" w:lastColumn="0" w:oddVBand="0" w:evenVBand="0" w:oddHBand="0" w:evenHBand="1" w:firstRowFirstColumn="0" w:firstRowLastColumn="0" w:lastRowFirstColumn="0" w:lastRowLastColumn="0"/>
            </w:pPr>
            <w:r w:rsidRPr="009A01DC">
              <w:t xml:space="preserve">The department’s Fraud and Corruption Control </w:t>
            </w:r>
            <w:r>
              <w:t xml:space="preserve">Plan and Fraud and Corruption Control </w:t>
            </w:r>
            <w:r w:rsidRPr="009A01DC">
              <w:t>Policy</w:t>
            </w:r>
          </w:p>
        </w:tc>
      </w:tr>
      <w:tr w:rsidR="00521424" w:rsidRPr="009A01DC" w14:paraId="00EFC5FC" w14:textId="77777777" w:rsidTr="004D0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tcPr>
          <w:p w14:paraId="69F80534" w14:textId="77777777" w:rsidR="00521424" w:rsidRPr="009A01DC" w:rsidRDefault="00521424" w:rsidP="004D0426">
            <w:r>
              <w:t>Audit and Assurance Branch</w:t>
            </w:r>
          </w:p>
        </w:tc>
        <w:tc>
          <w:tcPr>
            <w:tcW w:w="7789" w:type="dxa"/>
            <w:tcBorders>
              <w:top w:val="single" w:sz="4" w:space="0" w:color="auto"/>
              <w:left w:val="single" w:sz="4" w:space="0" w:color="auto"/>
              <w:bottom w:val="single" w:sz="4" w:space="0" w:color="auto"/>
              <w:right w:val="single" w:sz="4" w:space="0" w:color="auto"/>
            </w:tcBorders>
          </w:tcPr>
          <w:p w14:paraId="6AEC84B7" w14:textId="77777777" w:rsidR="00521424" w:rsidRPr="00824E2D" w:rsidRDefault="00521424" w:rsidP="004D0426">
            <w:pPr>
              <w:cnfStyle w:val="000000100000" w:firstRow="0" w:lastRow="0" w:firstColumn="0" w:lastColumn="0" w:oddVBand="0" w:evenVBand="0" w:oddHBand="1" w:evenHBand="0" w:firstRowFirstColumn="0" w:firstRowLastColumn="0" w:lastRowFirstColumn="0" w:lastRowLastColumn="0"/>
            </w:pPr>
            <w:r w:rsidRPr="00824E2D">
              <w:t xml:space="preserve">The Audit and Assurance Branch (AAB) has primary responsibility for the department’s fraud and corruption control function, working in conjunction with other areas that hold joint responsibilities. AAB also includes officials </w:t>
            </w:r>
            <w:r w:rsidRPr="00824E2D">
              <w:lastRenderedPageBreak/>
              <w:t>with specific fraud and corruption accountabilities, as set out in Secretary’s Instructions 1.3.</w:t>
            </w:r>
          </w:p>
          <w:p w14:paraId="0EAC3EBE" w14:textId="77777777" w:rsidR="00521424" w:rsidRPr="009A01DC" w:rsidRDefault="00521424" w:rsidP="004D0426">
            <w:pPr>
              <w:cnfStyle w:val="000000100000" w:firstRow="0" w:lastRow="0" w:firstColumn="0" w:lastColumn="0" w:oddVBand="0" w:evenVBand="0" w:oddHBand="1" w:evenHBand="0" w:firstRowFirstColumn="0" w:firstRowLastColumn="0" w:lastRowFirstColumn="0" w:lastRowLastColumn="0"/>
            </w:pPr>
            <w:r>
              <w:t xml:space="preserve">AAB has four dedicated teams relating to the prevention, detection and response to incidents of suspected fraud and corruption within the department: Fraud Prevention, Fraud Detection, Fraud Assessments, and Fraud Investigations. </w:t>
            </w:r>
          </w:p>
        </w:tc>
      </w:tr>
      <w:tr w:rsidR="00521424" w:rsidRPr="009A01DC" w14:paraId="21EA8140" w14:textId="77777777" w:rsidTr="004D04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bottom w:val="none" w:sz="0" w:space="0" w:color="auto"/>
            </w:tcBorders>
          </w:tcPr>
          <w:p w14:paraId="098B088D" w14:textId="77777777" w:rsidR="00521424" w:rsidRPr="009A01DC" w:rsidRDefault="00521424" w:rsidP="004D0426">
            <w:pPr>
              <w:spacing w:line="300" w:lineRule="auto"/>
            </w:pPr>
            <w:r w:rsidRPr="009A01DC">
              <w:lastRenderedPageBreak/>
              <w:t xml:space="preserve">Integrity Unit </w:t>
            </w:r>
          </w:p>
        </w:tc>
        <w:tc>
          <w:tcPr>
            <w:tcW w:w="7789" w:type="dxa"/>
            <w:tcBorders>
              <w:top w:val="single" w:sz="4" w:space="0" w:color="auto"/>
              <w:bottom w:val="none" w:sz="0" w:space="0" w:color="auto"/>
            </w:tcBorders>
          </w:tcPr>
          <w:p w14:paraId="35D3BEF3" w14:textId="77777777" w:rsidR="00521424" w:rsidRPr="0065202A" w:rsidRDefault="00521424" w:rsidP="004D0426">
            <w:pPr>
              <w:cnfStyle w:val="000000010000" w:firstRow="0" w:lastRow="0" w:firstColumn="0" w:lastColumn="0" w:oddVBand="0" w:evenVBand="0" w:oddHBand="0" w:evenHBand="1" w:firstRowFirstColumn="0" w:firstRowLastColumn="0" w:lastRowFirstColumn="0" w:lastRowLastColumn="0"/>
            </w:pPr>
            <w:r w:rsidRPr="003E5A36">
              <w:t xml:space="preserve">The Integrity Unit is responsible for ensuring the Secretary meets mandatory referral obligations, as required under Section 33 of the </w:t>
            </w:r>
            <w:r w:rsidRPr="00C91AC4">
              <w:rPr>
                <w:i/>
                <w:iCs/>
              </w:rPr>
              <w:t>NACC Act</w:t>
            </w:r>
            <w:r w:rsidRPr="003E5A36">
              <w:t xml:space="preserve">. This includes referring matters to </w:t>
            </w:r>
            <w:r>
              <w:t xml:space="preserve">the </w:t>
            </w:r>
            <w:r w:rsidRPr="003E5A36">
              <w:t>NACC on</w:t>
            </w:r>
            <w:r>
              <w:t xml:space="preserve"> the</w:t>
            </w:r>
            <w:r w:rsidRPr="003E5A36">
              <w:t xml:space="preserve"> Secretary’s behalf and liais</w:t>
            </w:r>
            <w:r>
              <w:t>ing</w:t>
            </w:r>
            <w:r w:rsidRPr="003E5A36">
              <w:t xml:space="preserve"> with the NACC regarding open investigations and requests for </w:t>
            </w:r>
            <w:proofErr w:type="gramStart"/>
            <w:r w:rsidRPr="003E5A36">
              <w:t>information</w:t>
            </w:r>
            <w:r>
              <w:t>, and</w:t>
            </w:r>
            <w:proofErr w:type="gramEnd"/>
            <w:r>
              <w:t xml:space="preserve"> providing</w:t>
            </w:r>
            <w:r w:rsidRPr="003E5A36">
              <w:t xml:space="preserve"> advice and support to staff who suspect there may be corrupt behaviour that requires </w:t>
            </w:r>
            <w:r>
              <w:t xml:space="preserve">discussion with the Integrity Team to determine whether a referral to the NACC is warranted. </w:t>
            </w:r>
            <w:r w:rsidRPr="0065202A">
              <w:t xml:space="preserve">  </w:t>
            </w:r>
          </w:p>
          <w:p w14:paraId="17513853" w14:textId="77777777" w:rsidR="00521424" w:rsidRPr="009A01DC" w:rsidRDefault="00521424" w:rsidP="004D0426">
            <w:pPr>
              <w:cnfStyle w:val="000000010000" w:firstRow="0" w:lastRow="0" w:firstColumn="0" w:lastColumn="0" w:oddVBand="0" w:evenVBand="0" w:oddHBand="0" w:evenHBand="1" w:firstRowFirstColumn="0" w:firstRowLastColumn="0" w:lastRowFirstColumn="0" w:lastRowLastColumn="0"/>
            </w:pPr>
            <w:r w:rsidRPr="0065202A">
              <w:rPr>
                <w:rFonts w:ascii="Tahoma" w:hAnsi="Tahoma" w:cs="Tahoma"/>
                <w:szCs w:val="22"/>
              </w:rPr>
              <w:t xml:space="preserve">Integrity Unit staff who undertake duties in relation to corruption and the NACC are also deemed to be ‘Fraud and Corruption Control Officers’ under Secretary’s Instruction 1.3 while performing those duties. </w:t>
            </w:r>
          </w:p>
        </w:tc>
      </w:tr>
    </w:tbl>
    <w:p w14:paraId="3C6D3776" w14:textId="77777777" w:rsidR="00521424" w:rsidRDefault="00521424" w:rsidP="00521424"/>
    <w:p w14:paraId="44F58115" w14:textId="77777777" w:rsidR="00521424" w:rsidRPr="00FC1782" w:rsidRDefault="00521424" w:rsidP="00521424">
      <w:pPr>
        <w:pStyle w:val="Heading2"/>
      </w:pPr>
      <w:bookmarkStart w:id="25" w:name="_Toc163816491"/>
      <w:bookmarkStart w:id="26" w:name="_Toc165280585"/>
      <w:bookmarkStart w:id="27" w:name="_Toc227836937"/>
      <w:bookmarkStart w:id="28" w:name="_Toc228537290"/>
      <w:bookmarkStart w:id="29" w:name="_Toc230351767"/>
      <w:r w:rsidRPr="00FC1782">
        <w:rPr>
          <w:rStyle w:val="Heading1Char"/>
          <w:sz w:val="40"/>
          <w:szCs w:val="26"/>
        </w:rPr>
        <w:t>Governance</w:t>
      </w:r>
      <w:bookmarkEnd w:id="25"/>
      <w:bookmarkEnd w:id="26"/>
      <w:bookmarkEnd w:id="27"/>
      <w:bookmarkEnd w:id="28"/>
      <w:bookmarkEnd w:id="29"/>
    </w:p>
    <w:p w14:paraId="1965ECF4" w14:textId="77777777" w:rsidR="00521424" w:rsidRPr="003934C2" w:rsidRDefault="00521424" w:rsidP="00521424">
      <w:pPr>
        <w:rPr>
          <w:bCs/>
        </w:rPr>
      </w:pPr>
      <w:r>
        <w:rPr>
          <w:bCs/>
        </w:rPr>
        <w:t xml:space="preserve">To embed strong governance and a pro-integrity culture, the department has internal governance bodies with specific </w:t>
      </w:r>
      <w:r w:rsidRPr="009A01DC">
        <w:t>responsibilities in relation to the prevention, detection and response and reporting of fraud and corruption incidents within the department.</w:t>
      </w:r>
    </w:p>
    <w:tbl>
      <w:tblPr>
        <w:tblStyle w:val="List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89"/>
      </w:tblGrid>
      <w:tr w:rsidR="00521424" w:rsidRPr="009A01DC" w14:paraId="15E536A1" w14:textId="77777777" w:rsidTr="004D04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tcPr>
          <w:p w14:paraId="76401CD0" w14:textId="77777777" w:rsidR="00521424" w:rsidRPr="009A01DC" w:rsidRDefault="00521424" w:rsidP="004D0426">
            <w:pPr>
              <w:spacing w:line="300" w:lineRule="auto"/>
              <w:rPr>
                <w:b w:val="0"/>
                <w:bCs w:val="0"/>
              </w:rPr>
            </w:pPr>
            <w:r w:rsidRPr="009A01DC">
              <w:t>Role</w:t>
            </w:r>
          </w:p>
        </w:tc>
        <w:tc>
          <w:tcPr>
            <w:tcW w:w="7789" w:type="dxa"/>
          </w:tcPr>
          <w:p w14:paraId="149E3F0B" w14:textId="77777777" w:rsidR="00521424" w:rsidRPr="009A01DC" w:rsidRDefault="00521424" w:rsidP="004D0426">
            <w:pPr>
              <w:spacing w:line="300" w:lineRule="auto"/>
              <w:cnfStyle w:val="100000000000" w:firstRow="1" w:lastRow="0" w:firstColumn="0" w:lastColumn="0" w:oddVBand="0" w:evenVBand="0" w:oddHBand="0" w:evenHBand="0" w:firstRowFirstColumn="0" w:firstRowLastColumn="0" w:lastRowFirstColumn="0" w:lastRowLastColumn="0"/>
            </w:pPr>
            <w:r w:rsidRPr="009A01DC">
              <w:t xml:space="preserve">Responsibility </w:t>
            </w:r>
          </w:p>
        </w:tc>
      </w:tr>
      <w:tr w:rsidR="00521424" w:rsidRPr="009A01DC" w14:paraId="4FF1B52B" w14:textId="77777777" w:rsidTr="004D0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tcPr>
          <w:p w14:paraId="156D89B8" w14:textId="77777777" w:rsidR="00521424" w:rsidRPr="009A01DC" w:rsidRDefault="00521424" w:rsidP="004D0426">
            <w:pPr>
              <w:spacing w:line="300" w:lineRule="auto"/>
            </w:pPr>
            <w:r w:rsidRPr="009A01DC">
              <w:t>Executive Management Group</w:t>
            </w:r>
          </w:p>
        </w:tc>
        <w:tc>
          <w:tcPr>
            <w:tcW w:w="7789" w:type="dxa"/>
            <w:tcBorders>
              <w:top w:val="none" w:sz="0" w:space="0" w:color="auto"/>
              <w:left w:val="none" w:sz="0" w:space="0" w:color="auto"/>
              <w:bottom w:val="none" w:sz="0" w:space="0" w:color="auto"/>
              <w:right w:val="none" w:sz="0" w:space="0" w:color="auto"/>
            </w:tcBorders>
          </w:tcPr>
          <w:p w14:paraId="26491968" w14:textId="77777777" w:rsidR="00521424" w:rsidRPr="009A01DC" w:rsidRDefault="00521424" w:rsidP="004D0426">
            <w:pPr>
              <w:spacing w:line="300" w:lineRule="auto"/>
              <w:cnfStyle w:val="000000100000" w:firstRow="0" w:lastRow="0" w:firstColumn="0" w:lastColumn="0" w:oddVBand="0" w:evenVBand="0" w:oddHBand="1" w:evenHBand="0" w:firstRowFirstColumn="0" w:firstRowLastColumn="0" w:lastRowFirstColumn="0" w:lastRowLastColumn="0"/>
            </w:pPr>
            <w:r w:rsidRPr="009A01DC">
              <w:t>The Executive Management Group (EMG) is the department’s key decision-making body and most senior governance committee. The role of EMG is to:</w:t>
            </w:r>
          </w:p>
          <w:p w14:paraId="5D608225" w14:textId="77777777" w:rsidR="00521424" w:rsidRPr="005337CF" w:rsidRDefault="00521424" w:rsidP="00521424">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rsidRPr="005337CF">
              <w:t>Provide decision-making support to the Secretary on portfolio priorities, deliverables, and performance.</w:t>
            </w:r>
          </w:p>
          <w:p w14:paraId="5A6DBDB3" w14:textId="77777777" w:rsidR="00521424" w:rsidRPr="005337CF" w:rsidRDefault="00521424" w:rsidP="00521424">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rsidRPr="005337CF">
              <w:t>Oversee the department’s financial position by allocating resources, and monitoring performance and risk.</w:t>
            </w:r>
          </w:p>
          <w:p w14:paraId="3F136A52" w14:textId="77777777" w:rsidR="00521424" w:rsidRPr="005337CF" w:rsidRDefault="00521424" w:rsidP="00521424">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rsidRPr="005337CF">
              <w:t>Consider shared or cross-portfolio risks.</w:t>
            </w:r>
          </w:p>
          <w:p w14:paraId="66E2B403" w14:textId="77777777" w:rsidR="00521424" w:rsidRPr="005337CF" w:rsidRDefault="00521424" w:rsidP="00521424">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rsidRPr="005337CF">
              <w:t>Ensure accountability and regulatory requirements are met.</w:t>
            </w:r>
          </w:p>
          <w:p w14:paraId="2220CA55" w14:textId="28E58547" w:rsidR="00521424" w:rsidRPr="000F3BB7" w:rsidRDefault="00521424" w:rsidP="004D0426">
            <w:pPr>
              <w:cnfStyle w:val="000000100000" w:firstRow="0" w:lastRow="0" w:firstColumn="0" w:lastColumn="0" w:oddVBand="0" w:evenVBand="0" w:oddHBand="1" w:evenHBand="0" w:firstRowFirstColumn="0" w:firstRowLastColumn="0" w:lastRowFirstColumn="0" w:lastRowLastColumn="0"/>
            </w:pPr>
            <w:r w:rsidRPr="000F3BB7">
              <w:t>EMG’s responsibilities for fraud and corruption control are</w:t>
            </w:r>
            <w:r w:rsidR="00186165">
              <w:t xml:space="preserve"> to</w:t>
            </w:r>
            <w:r w:rsidRPr="000F3BB7">
              <w:t xml:space="preserve">: </w:t>
            </w:r>
          </w:p>
          <w:p w14:paraId="5EFEE04A" w14:textId="0B0798E3" w:rsidR="00521424" w:rsidRPr="005337CF" w:rsidRDefault="00186165" w:rsidP="00521424">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t>Provide advice and support to the Secretary in s</w:t>
            </w:r>
            <w:r w:rsidR="00521424" w:rsidRPr="005337CF">
              <w:t>etting the department’s risk appetite and tolerance for fraud and corruption, aligning with the Risk Management Framework.</w:t>
            </w:r>
          </w:p>
          <w:p w14:paraId="72EF66AC" w14:textId="77777777" w:rsidR="00521424" w:rsidRPr="005337CF" w:rsidRDefault="00521424" w:rsidP="00521424">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rsidRPr="005337CF">
              <w:t>Drive a positive risk and pro-integrity culture.</w:t>
            </w:r>
          </w:p>
          <w:p w14:paraId="6542D4FC" w14:textId="77777777" w:rsidR="00521424" w:rsidRPr="005337CF" w:rsidRDefault="00521424" w:rsidP="00521424">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rsidRPr="005337CF">
              <w:t>Advise the Secretary on emerging issues and fraud and corruption risks that may require follow up actions or treatments.</w:t>
            </w:r>
          </w:p>
        </w:tc>
      </w:tr>
      <w:tr w:rsidR="00521424" w:rsidRPr="009A01DC" w14:paraId="776163B0" w14:textId="77777777" w:rsidTr="004D04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bottom w:val="none" w:sz="0" w:space="0" w:color="auto"/>
            </w:tcBorders>
          </w:tcPr>
          <w:p w14:paraId="06C00280" w14:textId="77777777" w:rsidR="00521424" w:rsidRPr="009A01DC" w:rsidRDefault="00521424" w:rsidP="004D0426">
            <w:pPr>
              <w:spacing w:line="300" w:lineRule="auto"/>
              <w:rPr>
                <w:b w:val="0"/>
                <w:bCs w:val="0"/>
              </w:rPr>
            </w:pPr>
            <w:r w:rsidRPr="009A01DC">
              <w:lastRenderedPageBreak/>
              <w:t xml:space="preserve">Audit and Risk Committee </w:t>
            </w:r>
          </w:p>
        </w:tc>
        <w:tc>
          <w:tcPr>
            <w:tcW w:w="7789" w:type="dxa"/>
            <w:tcBorders>
              <w:bottom w:val="none" w:sz="0" w:space="0" w:color="auto"/>
            </w:tcBorders>
          </w:tcPr>
          <w:p w14:paraId="0F2C8DBE" w14:textId="77777777" w:rsidR="00521424" w:rsidRPr="009A01DC" w:rsidRDefault="00521424" w:rsidP="004D0426">
            <w:pPr>
              <w:spacing w:line="300" w:lineRule="auto"/>
              <w:cnfStyle w:val="000000010000" w:firstRow="0" w:lastRow="0" w:firstColumn="0" w:lastColumn="0" w:oddVBand="0" w:evenVBand="0" w:oddHBand="0" w:evenHBand="1" w:firstRowFirstColumn="0" w:firstRowLastColumn="0" w:lastRowFirstColumn="0" w:lastRowLastColumn="0"/>
            </w:pPr>
            <w:r w:rsidRPr="009A01DC">
              <w:t xml:space="preserve">The Audit and Risk Committee (ARC) is responsible for providing the Secretary with independent assurance on the appropriateness of the department’s system of risk oversight, and management and systems of internal control. This includes: </w:t>
            </w:r>
          </w:p>
          <w:p w14:paraId="3B467011" w14:textId="77777777" w:rsidR="00521424" w:rsidRPr="007F15B8" w:rsidRDefault="00521424" w:rsidP="00521424">
            <w:pPr>
              <w:pStyle w:val="ListParagraph"/>
              <w:numPr>
                <w:ilvl w:val="0"/>
                <w:numId w:val="26"/>
              </w:numPr>
              <w:cnfStyle w:val="000000010000" w:firstRow="0" w:lastRow="0" w:firstColumn="0" w:lastColumn="0" w:oddVBand="0" w:evenVBand="0" w:oddHBand="0" w:evenHBand="1" w:firstRowFirstColumn="0" w:firstRowLastColumn="0" w:lastRowFirstColumn="0" w:lastRowLastColumn="0"/>
            </w:pPr>
            <w:r w:rsidRPr="007F15B8">
              <w:t>The approach to managing the departments key risks, including those associated with significant projects and program implementation and activities subject to review of ARC.</w:t>
            </w:r>
          </w:p>
          <w:p w14:paraId="1845FEF1" w14:textId="77777777" w:rsidR="00521424" w:rsidRPr="007F15B8" w:rsidRDefault="00521424" w:rsidP="00521424">
            <w:pPr>
              <w:pStyle w:val="ListParagraph"/>
              <w:numPr>
                <w:ilvl w:val="0"/>
                <w:numId w:val="26"/>
              </w:numPr>
              <w:cnfStyle w:val="000000010000" w:firstRow="0" w:lastRow="0" w:firstColumn="0" w:lastColumn="0" w:oddVBand="0" w:evenVBand="0" w:oddHBand="0" w:evenHBand="1" w:firstRowFirstColumn="0" w:firstRowLastColumn="0" w:lastRowFirstColumn="0" w:lastRowLastColumn="0"/>
            </w:pPr>
            <w:r w:rsidRPr="007F15B8">
              <w:t>The process for developing and implementing the fraud and corruption control arrangements consistent with the Commonwealth Fraud and Corruption Control Framework.</w:t>
            </w:r>
          </w:p>
          <w:p w14:paraId="505210F5" w14:textId="77777777" w:rsidR="00521424" w:rsidRPr="00A93467" w:rsidRDefault="00521424" w:rsidP="00521424">
            <w:pPr>
              <w:pStyle w:val="ListParagraph"/>
              <w:numPr>
                <w:ilvl w:val="0"/>
                <w:numId w:val="26"/>
              </w:numPr>
              <w:cnfStyle w:val="000000010000" w:firstRow="0" w:lastRow="0" w:firstColumn="0" w:lastColumn="0" w:oddVBand="0" w:evenVBand="0" w:oddHBand="0" w:evenHBand="1" w:firstRowFirstColumn="0" w:firstRowLastColumn="0" w:lastRowFirstColumn="0" w:lastRowLastColumn="0"/>
            </w:pPr>
            <w:r w:rsidRPr="007F15B8">
              <w:t>The articulation of key roles and responsibilities relating to risk management and adherence to them by the senior executive.</w:t>
            </w:r>
          </w:p>
        </w:tc>
      </w:tr>
      <w:tr w:rsidR="00521424" w:rsidRPr="009A01DC" w14:paraId="2E18C79A" w14:textId="77777777" w:rsidTr="004D0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single" w:sz="4" w:space="0" w:color="auto"/>
              <w:right w:val="none" w:sz="0" w:space="0" w:color="auto"/>
            </w:tcBorders>
          </w:tcPr>
          <w:p w14:paraId="6E3A4B39" w14:textId="77777777" w:rsidR="00521424" w:rsidRPr="009A01DC" w:rsidRDefault="00521424" w:rsidP="004D0426">
            <w:pPr>
              <w:spacing w:line="300" w:lineRule="auto"/>
              <w:rPr>
                <w:b w:val="0"/>
                <w:bCs w:val="0"/>
              </w:rPr>
            </w:pPr>
            <w:r>
              <w:t>Fraud and Serious Non-Compliance Committee</w:t>
            </w:r>
          </w:p>
        </w:tc>
        <w:tc>
          <w:tcPr>
            <w:tcW w:w="7789" w:type="dxa"/>
            <w:tcBorders>
              <w:top w:val="none" w:sz="0" w:space="0" w:color="auto"/>
              <w:left w:val="none" w:sz="0" w:space="0" w:color="auto"/>
              <w:bottom w:val="single" w:sz="4" w:space="0" w:color="auto"/>
              <w:right w:val="none" w:sz="0" w:space="0" w:color="auto"/>
            </w:tcBorders>
          </w:tcPr>
          <w:p w14:paraId="4D64C650" w14:textId="77777777" w:rsidR="00521424" w:rsidRPr="009A01DC" w:rsidRDefault="00521424" w:rsidP="004D0426">
            <w:pPr>
              <w:spacing w:line="300" w:lineRule="auto"/>
              <w:cnfStyle w:val="000000100000" w:firstRow="0" w:lastRow="0" w:firstColumn="0" w:lastColumn="0" w:oddVBand="0" w:evenVBand="0" w:oddHBand="1" w:evenHBand="0" w:firstRowFirstColumn="0" w:firstRowLastColumn="0" w:lastRowFirstColumn="0" w:lastRowLastColumn="0"/>
            </w:pPr>
            <w:r w:rsidRPr="009A01DC">
              <w:t xml:space="preserve">The </w:t>
            </w:r>
            <w:r>
              <w:t xml:space="preserve">Fraud and Serious Non-Compliance Committee (FSNC) </w:t>
            </w:r>
            <w:r w:rsidRPr="009A01DC">
              <w:t xml:space="preserve">oversees the department’s assessment and investigation of fraud and corruption allegations in the department. The </w:t>
            </w:r>
            <w:r>
              <w:t>committee</w:t>
            </w:r>
            <w:r w:rsidRPr="009A01DC">
              <w:t xml:space="preserve"> makes decisions and recommendations about the appropriate response to fraud and corruption allegations, and ongoing fraud or corruption, compliance issues and trends.</w:t>
            </w:r>
          </w:p>
        </w:tc>
      </w:tr>
      <w:tr w:rsidR="00521424" w:rsidRPr="009A01DC" w14:paraId="65474B7D" w14:textId="77777777" w:rsidTr="004D04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bottom w:val="none" w:sz="0" w:space="0" w:color="auto"/>
            </w:tcBorders>
          </w:tcPr>
          <w:p w14:paraId="07AE1EF0" w14:textId="77777777" w:rsidR="00521424" w:rsidRPr="009A01DC" w:rsidRDefault="00521424" w:rsidP="004D0426">
            <w:pPr>
              <w:spacing w:line="300" w:lineRule="auto"/>
            </w:pPr>
            <w:r w:rsidRPr="009A01DC">
              <w:t>Integrity Working Group</w:t>
            </w:r>
          </w:p>
        </w:tc>
        <w:tc>
          <w:tcPr>
            <w:tcW w:w="7789" w:type="dxa"/>
            <w:tcBorders>
              <w:bottom w:val="none" w:sz="0" w:space="0" w:color="auto"/>
            </w:tcBorders>
          </w:tcPr>
          <w:p w14:paraId="3DE5954F" w14:textId="432171B3" w:rsidR="00521424" w:rsidRDefault="00521424" w:rsidP="004D0426">
            <w:pPr>
              <w:spacing w:line="300" w:lineRule="auto"/>
              <w:cnfStyle w:val="000000010000" w:firstRow="0" w:lastRow="0" w:firstColumn="0" w:lastColumn="0" w:oddVBand="0" w:evenVBand="0" w:oddHBand="0" w:evenHBand="1" w:firstRowFirstColumn="0" w:firstRowLastColumn="0" w:lastRowFirstColumn="0" w:lastRowLastColumn="0"/>
            </w:pPr>
            <w:r w:rsidRPr="009A01DC">
              <w:t xml:space="preserve">The Integrity Working Group (IWG) is an internal working group comprised of representatives from AAB, </w:t>
            </w:r>
            <w:r w:rsidR="00C0647F">
              <w:t xml:space="preserve">Financial Compliance, </w:t>
            </w:r>
            <w:r w:rsidRPr="009A01DC">
              <w:t xml:space="preserve">Workplace Relations, Security, Procurement, </w:t>
            </w:r>
            <w:r w:rsidR="00C0647F">
              <w:t>Corporate and Employment Law and</w:t>
            </w:r>
            <w:r w:rsidRPr="009A01DC">
              <w:t xml:space="preserve"> </w:t>
            </w:r>
            <w:r w:rsidR="003F481D">
              <w:t xml:space="preserve">the </w:t>
            </w:r>
            <w:r w:rsidRPr="009A01DC">
              <w:t>Integrity Unit</w:t>
            </w:r>
            <w:r w:rsidR="003F481D">
              <w:t>. The IWG</w:t>
            </w:r>
            <w:r w:rsidRPr="009A01DC">
              <w:t xml:space="preserve"> meet</w:t>
            </w:r>
            <w:r w:rsidR="003F481D">
              <w:t>s</w:t>
            </w:r>
            <w:r w:rsidRPr="009A01DC">
              <w:t xml:space="preserve"> regularly to share information on integrity trends, behaviours and emerging issues. </w:t>
            </w:r>
          </w:p>
          <w:p w14:paraId="2B9DD36A" w14:textId="77777777" w:rsidR="00521424" w:rsidRDefault="00521424" w:rsidP="004D0426">
            <w:pPr>
              <w:spacing w:line="300" w:lineRule="auto"/>
              <w:cnfStyle w:val="000000010000" w:firstRow="0" w:lastRow="0" w:firstColumn="0" w:lastColumn="0" w:oddVBand="0" w:evenVBand="0" w:oddHBand="0" w:evenHBand="1" w:firstRowFirstColumn="0" w:firstRowLastColumn="0" w:lastRowFirstColumn="0" w:lastRowLastColumn="0"/>
            </w:pPr>
            <w:r w:rsidRPr="009A01DC">
              <w:t>The IWG is responsible for collaborating and developing cross-department treatments for early intervention for any integrity related conduct in the department</w:t>
            </w:r>
            <w:r>
              <w:t>. It</w:t>
            </w:r>
            <w:r w:rsidRPr="009A01DC">
              <w:t xml:space="preserve"> creates a space to share information on integrity trends, behaviours, and emerging issues</w:t>
            </w:r>
            <w:r>
              <w:t xml:space="preserve">. </w:t>
            </w:r>
          </w:p>
          <w:p w14:paraId="60C44992" w14:textId="0ECFF2CD" w:rsidR="00521424" w:rsidRPr="009A01DC" w:rsidRDefault="00C0647F" w:rsidP="004D0426">
            <w:pPr>
              <w:spacing w:line="300" w:lineRule="auto"/>
              <w:cnfStyle w:val="000000010000" w:firstRow="0" w:lastRow="0" w:firstColumn="0" w:lastColumn="0" w:oddVBand="0" w:evenVBand="0" w:oddHBand="0" w:evenHBand="1" w:firstRowFirstColumn="0" w:firstRowLastColumn="0" w:lastRowFirstColumn="0" w:lastRowLastColumn="0"/>
            </w:pPr>
            <w:r>
              <w:t xml:space="preserve">The </w:t>
            </w:r>
            <w:r w:rsidR="003F481D">
              <w:t>IWG</w:t>
            </w:r>
            <w:r>
              <w:t xml:space="preserve"> also </w:t>
            </w:r>
            <w:r w:rsidRPr="009A01DC">
              <w:t>discuss</w:t>
            </w:r>
            <w:r>
              <w:t>es</w:t>
            </w:r>
            <w:r w:rsidRPr="009A01DC">
              <w:t xml:space="preserve"> key and emerging integrity matters </w:t>
            </w:r>
            <w:r>
              <w:t>and proposed policy changes to ensure potential impacts on integrity stakeholders are identified and informed by expert advice at an early stage. This supports a</w:t>
            </w:r>
            <w:r w:rsidRPr="009A01DC">
              <w:t xml:space="preserve"> best practice </w:t>
            </w:r>
            <w:r>
              <w:t xml:space="preserve">integrity </w:t>
            </w:r>
            <w:r w:rsidRPr="009A01DC">
              <w:t xml:space="preserve">approach </w:t>
            </w:r>
            <w:r>
              <w:t xml:space="preserve">for the </w:t>
            </w:r>
            <w:r w:rsidR="00623C08">
              <w:t>d</w:t>
            </w:r>
            <w:r>
              <w:t xml:space="preserve">epartment that is </w:t>
            </w:r>
            <w:r w:rsidRPr="009A01DC">
              <w:t>consistent with Commonwealth integrity agency’</w:t>
            </w:r>
            <w:r>
              <w:t>s</w:t>
            </w:r>
            <w:r w:rsidRPr="009A01DC">
              <w:t xml:space="preserve"> initiatives</w:t>
            </w:r>
            <w:r>
              <w:t>,</w:t>
            </w:r>
            <w:r w:rsidRPr="009A01DC">
              <w:t xml:space="preserve"> </w:t>
            </w:r>
            <w:r>
              <w:t xml:space="preserve">to strengthen the pro-integrity culture of the </w:t>
            </w:r>
            <w:r w:rsidR="00623C08">
              <w:t>d</w:t>
            </w:r>
            <w:r>
              <w:t>epartment.</w:t>
            </w:r>
          </w:p>
        </w:tc>
      </w:tr>
    </w:tbl>
    <w:p w14:paraId="7B27F85C" w14:textId="77777777" w:rsidR="00521424" w:rsidRPr="00A93467" w:rsidRDefault="00521424" w:rsidP="00521424">
      <w:pPr>
        <w:rPr>
          <w:b/>
          <w:highlight w:val="yellow"/>
        </w:rPr>
      </w:pPr>
      <w:bookmarkStart w:id="30" w:name="_Toc163816492"/>
      <w:bookmarkStart w:id="31" w:name="_Toc165280586"/>
    </w:p>
    <w:p w14:paraId="126A2F2C" w14:textId="77777777" w:rsidR="001758D4" w:rsidRDefault="001758D4" w:rsidP="00521424">
      <w:pPr>
        <w:pStyle w:val="Heading2"/>
        <w:rPr>
          <w:b/>
          <w:bCs w:val="0"/>
        </w:rPr>
      </w:pPr>
      <w:bookmarkStart w:id="32" w:name="_Toc227836938"/>
    </w:p>
    <w:p w14:paraId="117CA3F3" w14:textId="1BE3EF90" w:rsidR="00521424" w:rsidRPr="00ED0AFE" w:rsidRDefault="001758D4" w:rsidP="00521424">
      <w:pPr>
        <w:pStyle w:val="Heading2"/>
        <w:rPr>
          <w:b/>
          <w:bCs w:val="0"/>
        </w:rPr>
      </w:pPr>
      <w:bookmarkStart w:id="33" w:name="_Toc230351768"/>
      <w:r>
        <w:rPr>
          <w:b/>
          <w:bCs w:val="0"/>
        </w:rPr>
        <w:t>Re</w:t>
      </w:r>
      <w:r w:rsidR="00521424" w:rsidRPr="00ED0AFE">
        <w:rPr>
          <w:b/>
          <w:bCs w:val="0"/>
        </w:rPr>
        <w:t>porting mechanisms for fraud and corruption</w:t>
      </w:r>
      <w:bookmarkEnd w:id="30"/>
      <w:bookmarkEnd w:id="31"/>
      <w:bookmarkEnd w:id="32"/>
      <w:bookmarkEnd w:id="33"/>
    </w:p>
    <w:p w14:paraId="4833F670" w14:textId="3EB2619E" w:rsidR="001B4B50" w:rsidRDefault="001B4B50" w:rsidP="00521424">
      <w:r w:rsidRPr="001B4B50">
        <w:t xml:space="preserve">The </w:t>
      </w:r>
      <w:r w:rsidR="00623C08">
        <w:t>d</w:t>
      </w:r>
      <w:r w:rsidRPr="001B4B50">
        <w:t>epartment strongly encourages early and voluntary self</w:t>
      </w:r>
      <w:r w:rsidRPr="001B4B50">
        <w:noBreakHyphen/>
        <w:t>reporting of suspected, attempted, or actual fraud or corruption. Self</w:t>
      </w:r>
      <w:r w:rsidRPr="001B4B50">
        <w:noBreakHyphen/>
        <w:t xml:space="preserve">reporting, including where an individual is uncertain whether conduct constitutes fraud or corruption, is viewed as a positive step and may be </w:t>
      </w:r>
      <w:proofErr w:type="gramStart"/>
      <w:r w:rsidRPr="001B4B50">
        <w:t>taken into account</w:t>
      </w:r>
      <w:proofErr w:type="gramEnd"/>
      <w:r w:rsidRPr="001B4B50">
        <w:t xml:space="preserve"> when determining how a matter is managed. Reports are treated confidentially and managed in accordance with procedural fairness and integrity principles. The </w:t>
      </w:r>
      <w:r w:rsidR="00623C08">
        <w:t>d</w:t>
      </w:r>
      <w:r w:rsidRPr="001B4B50">
        <w:t>epartment does not tolerate victimisation or reprisal against any person who raises concerns in good faith.</w:t>
      </w:r>
    </w:p>
    <w:p w14:paraId="75AA6409" w14:textId="414326CA" w:rsidR="00521424" w:rsidRPr="009A01DC" w:rsidRDefault="00521424" w:rsidP="00521424">
      <w:r w:rsidRPr="00A93467">
        <w:t xml:space="preserve">Staff and people outside the department can report suspected or potential fraud and corruption instances by calling the Fraud Hotline on 1800 054 312, or by emailing </w:t>
      </w:r>
      <w:hyperlink r:id="rId16" w:history="1">
        <w:r w:rsidRPr="00A93467">
          <w:rPr>
            <w:rStyle w:val="Hyperlink"/>
          </w:rPr>
          <w:t>Fraud@dss.gov.au</w:t>
        </w:r>
      </w:hyperlink>
      <w:r w:rsidRPr="00A93467">
        <w:t>.</w:t>
      </w:r>
      <w:r>
        <w:t xml:space="preserve"> </w:t>
      </w:r>
      <w:r w:rsidRPr="00A93467">
        <w:t>Reports can remain anonymous and all tipoffs are handled in confidence.</w:t>
      </w:r>
      <w:r w:rsidRPr="009A01DC">
        <w:t xml:space="preserve"> </w:t>
      </w:r>
    </w:p>
    <w:p w14:paraId="24CCA768" w14:textId="77777777" w:rsidR="00521424" w:rsidRPr="00A93467" w:rsidRDefault="00521424" w:rsidP="00521424">
      <w:pPr>
        <w:pStyle w:val="Heading3"/>
      </w:pPr>
      <w:bookmarkStart w:id="34" w:name="_Toc163816494"/>
      <w:bookmarkStart w:id="35" w:name="_Toc165280588"/>
      <w:r w:rsidRPr="00A93467">
        <w:t>Public Interest Disclosure</w:t>
      </w:r>
      <w:bookmarkEnd w:id="34"/>
      <w:bookmarkEnd w:id="35"/>
    </w:p>
    <w:p w14:paraId="5A3EF741" w14:textId="2DD0ECAE" w:rsidR="00521424" w:rsidRPr="009A01DC" w:rsidRDefault="00521424" w:rsidP="00521424">
      <w:r w:rsidRPr="009A01DC">
        <w:t xml:space="preserve">A Public Interest Disclosure (PID) is an allegation about suspected wrongdoing within the Commonwealth public sector, made under the </w:t>
      </w:r>
      <w:r w:rsidRPr="009A01DC">
        <w:rPr>
          <w:i/>
        </w:rPr>
        <w:t>Public Interest Disclosure Act 2013</w:t>
      </w:r>
      <w:r w:rsidRPr="009A01DC">
        <w:t xml:space="preserve">. All employees or contractors providing services to the </w:t>
      </w:r>
      <w:r w:rsidR="00623C08">
        <w:t>d</w:t>
      </w:r>
      <w:r w:rsidRPr="009A01DC">
        <w:t xml:space="preserve">epartment can make PIDs. PIDs may include allegations of suspected fraud and corruption. </w:t>
      </w:r>
    </w:p>
    <w:p w14:paraId="3CA0547A" w14:textId="06EBD456" w:rsidR="00521424" w:rsidRPr="009A01DC" w:rsidRDefault="00521424" w:rsidP="00521424">
      <w:r w:rsidRPr="009A01DC">
        <w:t>PIDs can be reported to </w:t>
      </w:r>
      <w:hyperlink r:id="rId17" w:history="1">
        <w:r w:rsidRPr="009A01DC">
          <w:rPr>
            <w:rStyle w:val="Hyperlink"/>
          </w:rPr>
          <w:t>PublicInterestDisclosures@dss.gov.au</w:t>
        </w:r>
      </w:hyperlink>
      <w:r w:rsidRPr="009A01DC">
        <w:t xml:space="preserve"> or phone the </w:t>
      </w:r>
      <w:r w:rsidR="00623C08">
        <w:t>d</w:t>
      </w:r>
      <w:r w:rsidRPr="009A01DC">
        <w:t xml:space="preserve">epartment’s </w:t>
      </w:r>
      <w:r>
        <w:t>P</w:t>
      </w:r>
      <w:r w:rsidRPr="009A01DC">
        <w:t xml:space="preserve">ublic </w:t>
      </w:r>
      <w:r>
        <w:t>I</w:t>
      </w:r>
      <w:r w:rsidRPr="009A01DC">
        <w:t xml:space="preserve">nterest </w:t>
      </w:r>
      <w:r>
        <w:t>D</w:t>
      </w:r>
      <w:r w:rsidRPr="009A01DC">
        <w:t xml:space="preserve">isclosure </w:t>
      </w:r>
      <w:r>
        <w:t>H</w:t>
      </w:r>
      <w:r w:rsidRPr="009A01DC">
        <w:t xml:space="preserve">otline </w:t>
      </w:r>
      <w:r>
        <w:t>on</w:t>
      </w:r>
      <w:r w:rsidRPr="009A01DC">
        <w:t xml:space="preserve"> 1800 007 952. </w:t>
      </w:r>
    </w:p>
    <w:p w14:paraId="6DD59A51" w14:textId="77777777" w:rsidR="00521424" w:rsidRPr="009A01DC" w:rsidRDefault="00521424" w:rsidP="00521424">
      <w:pPr>
        <w:pStyle w:val="Heading3"/>
      </w:pPr>
      <w:bookmarkStart w:id="36" w:name="_Toc163816496"/>
      <w:bookmarkStart w:id="37" w:name="_Toc165280590"/>
      <w:r w:rsidRPr="00A93467">
        <w:t>National Anti-Corruption Commission (NACC</w:t>
      </w:r>
      <w:r w:rsidRPr="009A01DC">
        <w:t>)</w:t>
      </w:r>
      <w:bookmarkEnd w:id="36"/>
      <w:bookmarkEnd w:id="37"/>
    </w:p>
    <w:p w14:paraId="368E1900" w14:textId="77777777" w:rsidR="00521424" w:rsidRPr="009A01DC" w:rsidRDefault="00521424" w:rsidP="00521424">
      <w:r w:rsidRPr="009A01DC">
        <w:t xml:space="preserve">Departmental staff can report allegations of corruption through the internal fraud and corruption reporting process outlined in the Secretary’s Instruction 1.3 or can report directly to the NACC via the details below. </w:t>
      </w:r>
    </w:p>
    <w:p w14:paraId="0461ED58" w14:textId="77777777" w:rsidR="00521424" w:rsidRPr="009A01DC" w:rsidRDefault="00521424" w:rsidP="00521424">
      <w:r w:rsidRPr="009A01DC">
        <w:t xml:space="preserve">All matters reported through </w:t>
      </w:r>
      <w:hyperlink r:id="rId18" w:history="1">
        <w:r w:rsidRPr="009A01DC">
          <w:rPr>
            <w:rStyle w:val="Hyperlink"/>
          </w:rPr>
          <w:t>fraud@dss.gov.au</w:t>
        </w:r>
      </w:hyperlink>
      <w:r w:rsidRPr="009A01DC">
        <w:t xml:space="preserve"> go through a triage and assessment process and are submitted to the </w:t>
      </w:r>
      <w:r>
        <w:t>Fraud and Serious Non-Compliance Committee</w:t>
      </w:r>
      <w:r w:rsidRPr="009A01DC">
        <w:t xml:space="preserve"> with recommendations for further action (including investigation as an internal fraud matter, and/or referral to the NACC). The department's Integrity Team manages the process for the Secretary's consideration of such issues and any subsequent referral to the NACC.</w:t>
      </w:r>
    </w:p>
    <w:p w14:paraId="057840C6" w14:textId="7465AD88" w:rsidR="00C0647F" w:rsidRPr="009A01DC" w:rsidRDefault="00C0647F" w:rsidP="00C0647F">
      <w:r w:rsidRPr="009A01DC">
        <w:t>Any person (including members of the public and public officials) can voluntarily refer a corruption issue, or provide information about a corruption issue, directly to the NACC.</w:t>
      </w:r>
      <w:r>
        <w:t xml:space="preserve"> </w:t>
      </w:r>
      <w:r w:rsidRPr="001B494B">
        <w:t xml:space="preserve">Staff may make a voluntary referral to the NACC and can </w:t>
      </w:r>
      <w:r>
        <w:t xml:space="preserve">also </w:t>
      </w:r>
      <w:r w:rsidRPr="001B494B">
        <w:t xml:space="preserve">seek advice and assistance from the </w:t>
      </w:r>
      <w:r w:rsidR="00623C08">
        <w:t>d</w:t>
      </w:r>
      <w:r w:rsidRPr="001B494B">
        <w:t>epartment’s Integrity Unit at any stage</w:t>
      </w:r>
      <w:r>
        <w:t xml:space="preserve"> through </w:t>
      </w:r>
      <w:hyperlink r:id="rId19" w:history="1">
        <w:r w:rsidRPr="00AF4D98">
          <w:rPr>
            <w:rStyle w:val="Hyperlink"/>
          </w:rPr>
          <w:t>integrity@dss.gov.a</w:t>
        </w:r>
        <w:r w:rsidRPr="006C5A2B">
          <w:rPr>
            <w:rStyle w:val="Hyperlink"/>
          </w:rPr>
          <w:t>u</w:t>
        </w:r>
      </w:hyperlink>
      <w:r>
        <w:t xml:space="preserve">   </w:t>
      </w:r>
    </w:p>
    <w:p w14:paraId="1BED99BF" w14:textId="02651E6F" w:rsidR="00521424" w:rsidRDefault="00521424" w:rsidP="00521424">
      <w:r w:rsidRPr="009A01DC">
        <w:t xml:space="preserve">For all referrals to the NACC please visit their website </w:t>
      </w:r>
      <w:hyperlink r:id="rId20" w:history="1">
        <w:r w:rsidRPr="009A01DC">
          <w:rPr>
            <w:rStyle w:val="Hyperlink"/>
          </w:rPr>
          <w:t>National Anti-Corruption Commission | Attorney-General's Department (ag.gov.au)</w:t>
        </w:r>
      </w:hyperlink>
      <w:r w:rsidRPr="009A01DC">
        <w:t>.</w:t>
      </w:r>
    </w:p>
    <w:p w14:paraId="052FF9D9" w14:textId="77777777" w:rsidR="00521424" w:rsidRPr="00ED0AFE" w:rsidRDefault="00521424" w:rsidP="00521424">
      <w:pPr>
        <w:pStyle w:val="Heading2"/>
        <w:rPr>
          <w:b/>
          <w:bCs w:val="0"/>
        </w:rPr>
      </w:pPr>
      <w:bookmarkStart w:id="38" w:name="_Toc227836939"/>
      <w:bookmarkStart w:id="39" w:name="_Toc230351769"/>
      <w:r w:rsidRPr="00ED0AFE">
        <w:rPr>
          <w:b/>
          <w:bCs w:val="0"/>
        </w:rPr>
        <w:t>Privacy</w:t>
      </w:r>
      <w:bookmarkEnd w:id="38"/>
      <w:bookmarkEnd w:id="39"/>
      <w:r w:rsidRPr="00ED0AFE">
        <w:rPr>
          <w:b/>
          <w:bCs w:val="0"/>
        </w:rPr>
        <w:t xml:space="preserve"> </w:t>
      </w:r>
    </w:p>
    <w:p w14:paraId="1C90BBEC" w14:textId="72D93D2C" w:rsidR="00521424" w:rsidRPr="009A01DC" w:rsidRDefault="00521424" w:rsidP="00521424">
      <w:r>
        <w:t xml:space="preserve">The </w:t>
      </w:r>
      <w:r w:rsidR="00623C08">
        <w:t>d</w:t>
      </w:r>
      <w:r>
        <w:t>epartment protects</w:t>
      </w:r>
      <w:r w:rsidRPr="00723F28">
        <w:t xml:space="preserve"> the confidentiality of the information received from </w:t>
      </w:r>
      <w:r>
        <w:t>people</w:t>
      </w:r>
      <w:r w:rsidRPr="00723F28">
        <w:t xml:space="preserve"> report</w:t>
      </w:r>
      <w:r>
        <w:t>ing</w:t>
      </w:r>
      <w:r w:rsidRPr="00723F28">
        <w:t xml:space="preserve"> a suspected case of fraud</w:t>
      </w:r>
      <w:r>
        <w:t>, and people can choose to report fraud and corruption anonymously</w:t>
      </w:r>
      <w:r w:rsidRPr="00723F28">
        <w:t xml:space="preserve">. All </w:t>
      </w:r>
      <w:r w:rsidRPr="00723F28">
        <w:lastRenderedPageBreak/>
        <w:t>reports are managed in accordance with</w:t>
      </w:r>
      <w:r>
        <w:t xml:space="preserve"> </w:t>
      </w:r>
      <w:r w:rsidRPr="00C91AC4">
        <w:rPr>
          <w:i/>
          <w:iCs/>
        </w:rPr>
        <w:t>Privacy Act 1988</w:t>
      </w:r>
      <w:r>
        <w:rPr>
          <w:i/>
          <w:iCs/>
        </w:rPr>
        <w:t xml:space="preserve"> </w:t>
      </w:r>
      <w:r>
        <w:t>requirements</w:t>
      </w:r>
      <w:r w:rsidRPr="00723F28">
        <w:t xml:space="preserve"> and the </w:t>
      </w:r>
      <w:r>
        <w:t>department</w:t>
      </w:r>
      <w:r w:rsidRPr="00723F28">
        <w:t xml:space="preserve">’s </w:t>
      </w:r>
      <w:r>
        <w:t>p</w:t>
      </w:r>
      <w:r w:rsidRPr="00723F28">
        <w:t xml:space="preserve">rivacy </w:t>
      </w:r>
      <w:r>
        <w:t>p</w:t>
      </w:r>
      <w:r w:rsidRPr="00723F28">
        <w:t xml:space="preserve">olicies. Where </w:t>
      </w:r>
      <w:r>
        <w:t>a matter</w:t>
      </w:r>
      <w:r w:rsidRPr="00723F28">
        <w:t xml:space="preserve"> may be more appropriately considered by another</w:t>
      </w:r>
      <w:r>
        <w:t xml:space="preserve"> </w:t>
      </w:r>
      <w:r w:rsidRPr="00723F28">
        <w:t xml:space="preserve">agency or organisation, we may disclose this information (including </w:t>
      </w:r>
      <w:r>
        <w:t xml:space="preserve">your </w:t>
      </w:r>
      <w:r w:rsidRPr="00723F28">
        <w:t>personal information) to that agency or organisation</w:t>
      </w:r>
      <w:r>
        <w:t xml:space="preserve"> in line with legislative obligations. </w:t>
      </w:r>
    </w:p>
    <w:p w14:paraId="6BF39B94" w14:textId="77777777" w:rsidR="00521424" w:rsidRPr="00ED0AFE" w:rsidRDefault="00521424" w:rsidP="00521424">
      <w:pPr>
        <w:pStyle w:val="Heading2"/>
        <w:rPr>
          <w:b/>
          <w:bCs w:val="0"/>
        </w:rPr>
      </w:pPr>
      <w:bookmarkStart w:id="40" w:name="_Toc163816497"/>
      <w:bookmarkStart w:id="41" w:name="_Toc165280591"/>
      <w:bookmarkStart w:id="42" w:name="_Toc227836940"/>
      <w:bookmarkStart w:id="43" w:name="_Toc230351770"/>
      <w:r w:rsidRPr="00ED0AFE">
        <w:rPr>
          <w:b/>
          <w:bCs w:val="0"/>
        </w:rPr>
        <w:t>Associated Documents</w:t>
      </w:r>
      <w:bookmarkEnd w:id="40"/>
      <w:bookmarkEnd w:id="41"/>
      <w:r w:rsidRPr="00ED0AFE">
        <w:rPr>
          <w:b/>
          <w:bCs w:val="0"/>
        </w:rPr>
        <w:t xml:space="preserve"> and Legislation</w:t>
      </w:r>
      <w:bookmarkEnd w:id="42"/>
      <w:bookmarkEnd w:id="43"/>
      <w:r w:rsidRPr="00ED0AFE">
        <w:rPr>
          <w:b/>
          <w:bCs w:val="0"/>
        </w:rPr>
        <w:t xml:space="preserve"> </w:t>
      </w:r>
    </w:p>
    <w:p w14:paraId="00FE497A" w14:textId="77777777" w:rsidR="00B2179D" w:rsidRPr="005F6BBB" w:rsidRDefault="00B2179D" w:rsidP="00B2179D">
      <w:pPr>
        <w:pStyle w:val="ListParagraph"/>
        <w:numPr>
          <w:ilvl w:val="0"/>
          <w:numId w:val="27"/>
        </w:numPr>
        <w:spacing w:before="240" w:line="480" w:lineRule="auto"/>
        <w:ind w:left="504"/>
      </w:pPr>
      <w:hyperlink r:id="rId21" w:history="1">
        <w:r w:rsidRPr="005F6BBB">
          <w:rPr>
            <w:rStyle w:val="Hyperlink"/>
            <w:i/>
          </w:rPr>
          <w:t>Public Governance, Performance and Accountability Act 2013</w:t>
        </w:r>
      </w:hyperlink>
    </w:p>
    <w:p w14:paraId="36557329" w14:textId="77777777" w:rsidR="00B2179D" w:rsidRPr="005F6BBB" w:rsidRDefault="00B2179D" w:rsidP="00B2179D">
      <w:pPr>
        <w:pStyle w:val="ListParagraph"/>
        <w:numPr>
          <w:ilvl w:val="0"/>
          <w:numId w:val="27"/>
        </w:numPr>
        <w:spacing w:line="480" w:lineRule="auto"/>
        <w:ind w:left="504"/>
      </w:pPr>
      <w:hyperlink r:id="rId22" w:history="1">
        <w:r w:rsidRPr="005F6BBB">
          <w:rPr>
            <w:rStyle w:val="Hyperlink"/>
            <w:i/>
          </w:rPr>
          <w:t>Public Governance, Performance and Accountability Rule 2014</w:t>
        </w:r>
      </w:hyperlink>
    </w:p>
    <w:p w14:paraId="072FBB53" w14:textId="77777777" w:rsidR="00B2179D" w:rsidRPr="005F6BBB" w:rsidRDefault="00B2179D" w:rsidP="00B2179D">
      <w:pPr>
        <w:pStyle w:val="ListParagraph"/>
        <w:numPr>
          <w:ilvl w:val="0"/>
          <w:numId w:val="27"/>
        </w:numPr>
        <w:spacing w:line="480" w:lineRule="auto"/>
        <w:ind w:left="504"/>
      </w:pPr>
      <w:hyperlink r:id="rId23" w:anchor="toc__sec_B" w:history="1">
        <w:r w:rsidRPr="005F6BBB">
          <w:rPr>
            <w:rStyle w:val="Hyperlink"/>
          </w:rPr>
          <w:t>AS 8001:2021 Fraud and corruption control</w:t>
        </w:r>
      </w:hyperlink>
    </w:p>
    <w:p w14:paraId="4D320C69" w14:textId="77777777" w:rsidR="00B2179D" w:rsidRPr="005F6BBB" w:rsidRDefault="00B2179D" w:rsidP="00B2179D">
      <w:pPr>
        <w:pStyle w:val="ListParagraph"/>
        <w:numPr>
          <w:ilvl w:val="0"/>
          <w:numId w:val="27"/>
        </w:numPr>
        <w:spacing w:line="480" w:lineRule="auto"/>
        <w:ind w:left="504"/>
      </w:pPr>
      <w:hyperlink r:id="rId24" w:history="1">
        <w:r w:rsidRPr="005F6BBB">
          <w:rPr>
            <w:rStyle w:val="Hyperlink"/>
          </w:rPr>
          <w:t>Commonwealth Risk Management Policy 2023</w:t>
        </w:r>
      </w:hyperlink>
    </w:p>
    <w:p w14:paraId="1412E6E6" w14:textId="77777777" w:rsidR="00B2179D" w:rsidRPr="005F6BBB" w:rsidRDefault="00B2179D" w:rsidP="00B2179D">
      <w:pPr>
        <w:pStyle w:val="ListParagraph"/>
        <w:numPr>
          <w:ilvl w:val="0"/>
          <w:numId w:val="27"/>
        </w:numPr>
        <w:spacing w:line="480" w:lineRule="auto"/>
        <w:ind w:left="504"/>
      </w:pPr>
      <w:hyperlink r:id="rId25" w:history="1">
        <w:r w:rsidRPr="005F6BBB">
          <w:rPr>
            <w:rStyle w:val="Hyperlink"/>
          </w:rPr>
          <w:t>Commonwealth Fraud and Corruption Control Framework</w:t>
        </w:r>
      </w:hyperlink>
    </w:p>
    <w:p w14:paraId="3430B55C" w14:textId="77777777" w:rsidR="00B2179D" w:rsidRPr="005F6BBB" w:rsidRDefault="00B2179D" w:rsidP="00B2179D">
      <w:pPr>
        <w:pStyle w:val="ListParagraph"/>
        <w:numPr>
          <w:ilvl w:val="0"/>
          <w:numId w:val="27"/>
        </w:numPr>
        <w:spacing w:line="480" w:lineRule="auto"/>
        <w:ind w:left="504"/>
      </w:pPr>
      <w:hyperlink r:id="rId26" w:history="1">
        <w:r w:rsidRPr="005F6BBB">
          <w:rPr>
            <w:rStyle w:val="Hyperlink"/>
          </w:rPr>
          <w:t>Australian Government Investigations Standards 2022</w:t>
        </w:r>
      </w:hyperlink>
    </w:p>
    <w:p w14:paraId="4BAA5FEA" w14:textId="77777777" w:rsidR="00B2179D" w:rsidRPr="005F6BBB" w:rsidRDefault="00B2179D" w:rsidP="00B2179D">
      <w:pPr>
        <w:pStyle w:val="ListParagraph"/>
        <w:numPr>
          <w:ilvl w:val="0"/>
          <w:numId w:val="27"/>
        </w:numPr>
        <w:spacing w:line="480" w:lineRule="auto"/>
        <w:ind w:left="504"/>
      </w:pPr>
      <w:hyperlink r:id="rId27" w:history="1">
        <w:r w:rsidRPr="005F6BBB">
          <w:rPr>
            <w:rStyle w:val="Hyperlink"/>
            <w:i/>
          </w:rPr>
          <w:t>National Anti-Corruption Commission Act 2022</w:t>
        </w:r>
      </w:hyperlink>
    </w:p>
    <w:p w14:paraId="622E7783" w14:textId="77777777" w:rsidR="00B2179D" w:rsidRPr="005F6BBB" w:rsidRDefault="00B2179D" w:rsidP="00B2179D">
      <w:pPr>
        <w:pStyle w:val="ListParagraph"/>
        <w:numPr>
          <w:ilvl w:val="0"/>
          <w:numId w:val="27"/>
        </w:numPr>
        <w:spacing w:line="480" w:lineRule="auto"/>
        <w:ind w:left="504"/>
      </w:pPr>
      <w:hyperlink r:id="rId28" w:history="1">
        <w:r w:rsidRPr="005F6BBB">
          <w:rPr>
            <w:rStyle w:val="Hyperlink"/>
          </w:rPr>
          <w:t>Commonwealth Grants Rules and Principles 2024</w:t>
        </w:r>
      </w:hyperlink>
    </w:p>
    <w:p w14:paraId="2BABBED3" w14:textId="77777777" w:rsidR="00B2179D" w:rsidRPr="005F6BBB" w:rsidRDefault="00B2179D" w:rsidP="00B2179D">
      <w:pPr>
        <w:pStyle w:val="ListParagraph"/>
        <w:numPr>
          <w:ilvl w:val="0"/>
          <w:numId w:val="27"/>
        </w:numPr>
        <w:spacing w:line="480" w:lineRule="auto"/>
        <w:ind w:left="504"/>
      </w:pPr>
      <w:hyperlink r:id="rId29" w:tooltip="Click to open the Protective Security Policy Framework" w:history="1">
        <w:r w:rsidRPr="005F6BBB">
          <w:rPr>
            <w:rStyle w:val="Hyperlink"/>
          </w:rPr>
          <w:t>Protective Security Policy Framework</w:t>
        </w:r>
      </w:hyperlink>
    </w:p>
    <w:p w14:paraId="00E2B45C" w14:textId="6605CED7" w:rsidR="000B3B5B" w:rsidRPr="000E6227" w:rsidRDefault="00B2179D" w:rsidP="007E6A02">
      <w:pPr>
        <w:pStyle w:val="ListParagraph"/>
        <w:numPr>
          <w:ilvl w:val="0"/>
          <w:numId w:val="27"/>
        </w:numPr>
        <w:spacing w:line="480" w:lineRule="auto"/>
        <w:ind w:left="504"/>
      </w:pPr>
      <w:hyperlink r:id="rId30" w:history="1">
        <w:r w:rsidRPr="005F6BBB">
          <w:rPr>
            <w:rStyle w:val="Hyperlink"/>
          </w:rPr>
          <w:t>NACC referral</w:t>
        </w:r>
      </w:hyperlink>
    </w:p>
    <w:sectPr w:rsidR="000B3B5B" w:rsidRPr="000E6227" w:rsidSect="000B3B5B">
      <w:type w:val="continuous"/>
      <w:pgSz w:w="11906" w:h="16838"/>
      <w:pgMar w:top="851" w:right="851" w:bottom="851"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3E986" w14:textId="77777777" w:rsidR="00591EA6" w:rsidRDefault="00591EA6" w:rsidP="008F3023">
      <w:pPr>
        <w:spacing w:after="0" w:line="240" w:lineRule="auto"/>
      </w:pPr>
      <w:r>
        <w:separator/>
      </w:r>
    </w:p>
  </w:endnote>
  <w:endnote w:type="continuationSeparator" w:id="0">
    <w:p w14:paraId="025BBB1C" w14:textId="77777777" w:rsidR="00591EA6" w:rsidRDefault="00591EA6" w:rsidP="008F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E2AC" w14:textId="70B7432A" w:rsidR="00F06175" w:rsidRDefault="00F06175">
    <w:pPr>
      <w:pStyle w:val="Footer"/>
    </w:pPr>
    <w:r w:rsidRPr="00261F5D">
      <w:fldChar w:fldCharType="begin"/>
    </w:r>
    <w:r w:rsidRPr="00261F5D">
      <w:instrText xml:space="preserve"> PAGE   \* MERGEFORMAT </w:instrText>
    </w:r>
    <w:r w:rsidRPr="00261F5D">
      <w:fldChar w:fldCharType="separate"/>
    </w:r>
    <w:r w:rsidRPr="00261F5D">
      <w:rPr>
        <w:noProof/>
      </w:rPr>
      <w:t>1</w:t>
    </w:r>
    <w:r w:rsidRPr="00261F5D">
      <w:rPr>
        <w:noProof/>
      </w:rPr>
      <w:fldChar w:fldCharType="end"/>
    </w:r>
    <w:r w:rsidRPr="00261F5D">
      <w:rPr>
        <w:noProof/>
        <w:lang w:eastAsia="en-AU"/>
      </w:rPr>
      <w:drawing>
        <wp:anchor distT="0" distB="0" distL="114300" distR="114300" simplePos="0" relativeHeight="251660288" behindDoc="1" locked="1" layoutInCell="1" allowOverlap="1" wp14:anchorId="178D60A8" wp14:editId="25C1C647">
          <wp:simplePos x="0" y="0"/>
          <wp:positionH relativeFrom="page">
            <wp:align>right</wp:align>
          </wp:positionH>
          <wp:positionV relativeFrom="page">
            <wp:align>bottom</wp:align>
          </wp:positionV>
          <wp:extent cx="1522800" cy="1094400"/>
          <wp:effectExtent l="0" t="0" r="1270" b="0"/>
          <wp:wrapNone/>
          <wp:docPr id="1915979759"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rotWithShape="1">
                  <a:blip r:embed="rId1" cstate="print">
                    <a:extLst>
                      <a:ext uri="{28A0092B-C50C-407E-A947-70E740481C1C}">
                        <a14:useLocalDpi xmlns:a14="http://schemas.microsoft.com/office/drawing/2010/main" val="0"/>
                      </a:ext>
                    </a:extLst>
                  </a:blip>
                  <a:srcRect l="79903" t="7507"/>
                  <a:stretch/>
                </pic:blipFill>
                <pic:spPr bwMode="auto">
                  <a:xfrm>
                    <a:off x="0" y="0"/>
                    <a:ext cx="1522800" cy="109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1F5D">
      <w:rPr>
        <w:noProof/>
      </w:rPr>
      <w:t xml:space="preserve"> </w:t>
    </w:r>
    <w:r w:rsidR="004858A0">
      <w:rPr>
        <w:noProof/>
      </w:rPr>
      <w:t>–</w:t>
    </w:r>
    <w:r w:rsidRPr="00261F5D">
      <w:rPr>
        <w:noProof/>
      </w:rPr>
      <w:t xml:space="preserve"> </w:t>
    </w:r>
    <w:r w:rsidR="004858A0">
      <w:t>FRAUD AND CORRUPTION CONTROL PLAN 2026-2028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C40C" w14:textId="16B4852B" w:rsidR="00F85669" w:rsidRDefault="00657D3C" w:rsidP="007D36CD">
    <w:pPr>
      <w:pStyle w:val="Footer"/>
    </w:pPr>
    <w:r>
      <w:rPr>
        <w:noProof/>
      </w:rPr>
      <w:drawing>
        <wp:anchor distT="0" distB="0" distL="114300" distR="114300" simplePos="0" relativeHeight="251662336" behindDoc="0" locked="1" layoutInCell="1" allowOverlap="1" wp14:anchorId="0BC788E0" wp14:editId="7FD88B6F">
          <wp:simplePos x="0" y="0"/>
          <wp:positionH relativeFrom="page">
            <wp:align>left</wp:align>
          </wp:positionH>
          <wp:positionV relativeFrom="page">
            <wp:align>top</wp:align>
          </wp:positionV>
          <wp:extent cx="7560000" cy="10692000"/>
          <wp:effectExtent l="0" t="0" r="3175" b="0"/>
          <wp:wrapNone/>
          <wp:docPr id="352304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1571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7D36CD" w:rsidRPr="00261F5D">
      <w:fldChar w:fldCharType="begin"/>
    </w:r>
    <w:r w:rsidR="007D36CD" w:rsidRPr="00261F5D">
      <w:instrText xml:space="preserve"> PAGE   \* MERGEFORMAT </w:instrText>
    </w:r>
    <w:r w:rsidR="007D36CD" w:rsidRPr="00261F5D">
      <w:fldChar w:fldCharType="separate"/>
    </w:r>
    <w:r w:rsidR="007D36CD" w:rsidRPr="00261F5D">
      <w:rPr>
        <w:noProof/>
      </w:rPr>
      <w:t>1</w:t>
    </w:r>
    <w:r w:rsidR="007D36CD" w:rsidRPr="00261F5D">
      <w:rPr>
        <w:noProof/>
      </w:rPr>
      <w:fldChar w:fldCharType="end"/>
    </w:r>
    <w:r w:rsidR="007D36CD" w:rsidRPr="00261F5D">
      <w:rPr>
        <w:noProof/>
      </w:rPr>
      <w:t xml:space="preserve"> - </w:t>
    </w:r>
    <w:r w:rsidR="004858A0">
      <w:t>FRAUD AND CORRUPTION CONTROL PLAN 2026-2028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A0AE1" w14:textId="77777777" w:rsidR="00591EA6" w:rsidRDefault="00591EA6" w:rsidP="008F3023">
      <w:pPr>
        <w:spacing w:after="0" w:line="240" w:lineRule="auto"/>
      </w:pPr>
      <w:r>
        <w:separator/>
      </w:r>
    </w:p>
  </w:footnote>
  <w:footnote w:type="continuationSeparator" w:id="0">
    <w:p w14:paraId="4E96C7EB" w14:textId="77777777" w:rsidR="00591EA6" w:rsidRDefault="00591EA6" w:rsidP="008F3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323E" w14:textId="77777777" w:rsidR="000B3B5B" w:rsidRDefault="000B3B5B" w:rsidP="00F76D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98276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0163A"/>
    <w:multiLevelType w:val="hybridMultilevel"/>
    <w:tmpl w:val="CD4EC96C"/>
    <w:lvl w:ilvl="0" w:tplc="C9EA8E1A">
      <w:start w:val="1"/>
      <w:numFmt w:val="bullet"/>
      <w:pStyle w:val="ListParagraph"/>
      <w:lvlText w:val=""/>
      <w:lvlJc w:val="left"/>
      <w:pPr>
        <w:ind w:left="1032"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 w15:restartNumberingAfterBreak="0">
    <w:nsid w:val="099248D7"/>
    <w:multiLevelType w:val="hybridMultilevel"/>
    <w:tmpl w:val="47DC3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2672C4"/>
    <w:multiLevelType w:val="hybridMultilevel"/>
    <w:tmpl w:val="3DF2E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23413C"/>
    <w:multiLevelType w:val="multilevel"/>
    <w:tmpl w:val="C59EBE60"/>
    <w:lvl w:ilvl="0">
      <w:start w:val="1"/>
      <w:numFmt w:val="decimal"/>
      <w:lvlText w:val="%1."/>
      <w:lvlJc w:val="left"/>
      <w:pPr>
        <w:ind w:left="709" w:hanging="425"/>
      </w:pPr>
      <w:rPr>
        <w:rFonts w:hint="default"/>
      </w:rPr>
    </w:lvl>
    <w:lvl w:ilvl="1">
      <w:start w:val="1"/>
      <w:numFmt w:val="lowerLetter"/>
      <w:lvlText w:val="%2."/>
      <w:lvlJc w:val="left"/>
      <w:pPr>
        <w:ind w:left="1134" w:hanging="425"/>
      </w:pPr>
      <w:rPr>
        <w:rFonts w:hint="default"/>
      </w:rPr>
    </w:lvl>
    <w:lvl w:ilvl="2">
      <w:start w:val="1"/>
      <w:numFmt w:val="lowerRoman"/>
      <w:lvlText w:val="%3."/>
      <w:lvlJc w:val="left"/>
      <w:pPr>
        <w:ind w:left="1559" w:hanging="425"/>
      </w:pPr>
      <w:rPr>
        <w:rFonts w:hint="default"/>
      </w:rPr>
    </w:lvl>
    <w:lvl w:ilvl="3">
      <w:start w:val="1"/>
      <w:numFmt w:val="decimal"/>
      <w:lvlText w:val="(%4)"/>
      <w:lvlJc w:val="left"/>
      <w:pPr>
        <w:ind w:left="1984" w:hanging="425"/>
      </w:pPr>
      <w:rPr>
        <w:rFonts w:hint="default"/>
      </w:rPr>
    </w:lvl>
    <w:lvl w:ilvl="4">
      <w:start w:val="1"/>
      <w:numFmt w:val="lowerLetter"/>
      <w:lvlText w:val="(%5)"/>
      <w:lvlJc w:val="left"/>
      <w:pPr>
        <w:ind w:left="2409" w:hanging="425"/>
      </w:pPr>
      <w:rPr>
        <w:rFonts w:hint="default"/>
      </w:rPr>
    </w:lvl>
    <w:lvl w:ilvl="5">
      <w:start w:val="1"/>
      <w:numFmt w:val="lowerRoman"/>
      <w:lvlText w:val="(%6)"/>
      <w:lvlJc w:val="lef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left"/>
      <w:pPr>
        <w:ind w:left="4109" w:hanging="425"/>
      </w:pPr>
      <w:rPr>
        <w:rFonts w:hint="default"/>
      </w:rPr>
    </w:lvl>
  </w:abstractNum>
  <w:abstractNum w:abstractNumId="5" w15:restartNumberingAfterBreak="0">
    <w:nsid w:val="23693B66"/>
    <w:multiLevelType w:val="hybridMultilevel"/>
    <w:tmpl w:val="E368A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F9092D"/>
    <w:multiLevelType w:val="hybridMultilevel"/>
    <w:tmpl w:val="5052D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466A1B"/>
    <w:multiLevelType w:val="hybridMultilevel"/>
    <w:tmpl w:val="A342C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700169"/>
    <w:multiLevelType w:val="hybridMultilevel"/>
    <w:tmpl w:val="A9BAB9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D5606F7"/>
    <w:multiLevelType w:val="hybridMultilevel"/>
    <w:tmpl w:val="AA4CA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7F619C"/>
    <w:multiLevelType w:val="hybridMultilevel"/>
    <w:tmpl w:val="EE527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5E6F2B"/>
    <w:multiLevelType w:val="multilevel"/>
    <w:tmpl w:val="31A01D40"/>
    <w:lvl w:ilvl="0">
      <w:start w:val="1"/>
      <w:numFmt w:val="decimal"/>
      <w:pStyle w:val="ListNumber"/>
      <w:lvlText w:val="%1."/>
      <w:lvlJc w:val="left"/>
      <w:pPr>
        <w:ind w:left="709" w:hanging="425"/>
      </w:pPr>
      <w:rPr>
        <w:rFonts w:hint="default"/>
      </w:rPr>
    </w:lvl>
    <w:lvl w:ilvl="1">
      <w:start w:val="1"/>
      <w:numFmt w:val="lowerLetter"/>
      <w:pStyle w:val="ListNumber2"/>
      <w:lvlText w:val="%2."/>
      <w:lvlJc w:val="left"/>
      <w:pPr>
        <w:ind w:left="1134" w:hanging="425"/>
      </w:pPr>
      <w:rPr>
        <w:rFonts w:hint="default"/>
      </w:rPr>
    </w:lvl>
    <w:lvl w:ilvl="2">
      <w:start w:val="1"/>
      <w:numFmt w:val="lowerRoman"/>
      <w:pStyle w:val="ListNumber3"/>
      <w:lvlText w:val="%3."/>
      <w:lvlJc w:val="left"/>
      <w:pPr>
        <w:ind w:left="1559" w:hanging="425"/>
      </w:pPr>
      <w:rPr>
        <w:rFonts w:hint="default"/>
      </w:rPr>
    </w:lvl>
    <w:lvl w:ilvl="3">
      <w:start w:val="1"/>
      <w:numFmt w:val="decimal"/>
      <w:lvlText w:val="(%4)"/>
      <w:lvlJc w:val="left"/>
      <w:pPr>
        <w:ind w:left="1984" w:hanging="425"/>
      </w:pPr>
      <w:rPr>
        <w:rFonts w:hint="default"/>
      </w:rPr>
    </w:lvl>
    <w:lvl w:ilvl="4">
      <w:start w:val="1"/>
      <w:numFmt w:val="lowerLetter"/>
      <w:lvlText w:val="(%5)"/>
      <w:lvlJc w:val="left"/>
      <w:pPr>
        <w:ind w:left="2409" w:hanging="425"/>
      </w:pPr>
      <w:rPr>
        <w:rFonts w:hint="default"/>
      </w:rPr>
    </w:lvl>
    <w:lvl w:ilvl="5">
      <w:start w:val="1"/>
      <w:numFmt w:val="lowerRoman"/>
      <w:lvlText w:val="(%6)"/>
      <w:lvlJc w:val="lef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left"/>
      <w:pPr>
        <w:ind w:left="4109" w:hanging="425"/>
      </w:pPr>
      <w:rPr>
        <w:rFonts w:hint="default"/>
      </w:rPr>
    </w:lvl>
  </w:abstractNum>
  <w:abstractNum w:abstractNumId="13" w15:restartNumberingAfterBreak="0">
    <w:nsid w:val="4DFE493E"/>
    <w:multiLevelType w:val="hybridMultilevel"/>
    <w:tmpl w:val="2EBE9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AC5EB4"/>
    <w:multiLevelType w:val="hybridMultilevel"/>
    <w:tmpl w:val="B3B0E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CA37B5"/>
    <w:multiLevelType w:val="hybridMultilevel"/>
    <w:tmpl w:val="B4827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803D9B"/>
    <w:multiLevelType w:val="hybridMultilevel"/>
    <w:tmpl w:val="3F9EF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3C29A0"/>
    <w:multiLevelType w:val="hybridMultilevel"/>
    <w:tmpl w:val="413062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260232A"/>
    <w:multiLevelType w:val="hybridMultilevel"/>
    <w:tmpl w:val="4FE22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0" w15:restartNumberingAfterBreak="0">
    <w:nsid w:val="74646DA3"/>
    <w:multiLevelType w:val="hybridMultilevel"/>
    <w:tmpl w:val="529815C6"/>
    <w:lvl w:ilvl="0" w:tplc="B07C2166">
      <w:start w:val="1"/>
      <w:numFmt w:val="bullet"/>
      <w:lvlText w:val=""/>
      <w:lvlJc w:val="left"/>
      <w:pPr>
        <w:ind w:left="502" w:hanging="360"/>
      </w:pPr>
      <w:rPr>
        <w:rFonts w:ascii="Symbol" w:hAnsi="Symbol" w:hint="default"/>
        <w:color w:val="auto"/>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1" w15:restartNumberingAfterBreak="0">
    <w:nsid w:val="75D94B9F"/>
    <w:multiLevelType w:val="hybridMultilevel"/>
    <w:tmpl w:val="B3847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CE12556"/>
    <w:multiLevelType w:val="hybridMultilevel"/>
    <w:tmpl w:val="176E3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7A07F5"/>
    <w:multiLevelType w:val="hybridMultilevel"/>
    <w:tmpl w:val="023C2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CD67F6"/>
    <w:multiLevelType w:val="hybridMultilevel"/>
    <w:tmpl w:val="2F960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E86FC5"/>
    <w:multiLevelType w:val="multilevel"/>
    <w:tmpl w:val="38126A0E"/>
    <w:lvl w:ilvl="0">
      <w:start w:val="1"/>
      <w:numFmt w:val="bullet"/>
      <w:pStyle w:val="ListBullet"/>
      <w:lvlText w:val=""/>
      <w:lvlJc w:val="left"/>
      <w:pPr>
        <w:ind w:left="567" w:hanging="283"/>
      </w:pPr>
      <w:rPr>
        <w:rFonts w:ascii="Symbol" w:hAnsi="Symbol" w:hint="default"/>
      </w:rPr>
    </w:lvl>
    <w:lvl w:ilvl="1">
      <w:start w:val="1"/>
      <w:numFmt w:val="bullet"/>
      <w:pStyle w:val="ListBullet2"/>
      <w:lvlText w:val="–"/>
      <w:lvlJc w:val="left"/>
      <w:pPr>
        <w:ind w:left="851" w:hanging="283"/>
      </w:pPr>
      <w:rPr>
        <w:rFonts w:ascii="Tahoma" w:hAnsi="Tahoma" w:hint="default"/>
      </w:rPr>
    </w:lvl>
    <w:lvl w:ilvl="2">
      <w:start w:val="1"/>
      <w:numFmt w:val="bullet"/>
      <w:pStyle w:val="ListBullet3"/>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abstractNum w:abstractNumId="26" w15:restartNumberingAfterBreak="0">
    <w:nsid w:val="7F745A55"/>
    <w:multiLevelType w:val="hybridMultilevel"/>
    <w:tmpl w:val="9620D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6790422">
    <w:abstractNumId w:val="19"/>
  </w:num>
  <w:num w:numId="2" w16cid:durableId="1378166838">
    <w:abstractNumId w:val="1"/>
  </w:num>
  <w:num w:numId="3" w16cid:durableId="501120408">
    <w:abstractNumId w:val="25"/>
  </w:num>
  <w:num w:numId="4" w16cid:durableId="978261373">
    <w:abstractNumId w:val="4"/>
  </w:num>
  <w:num w:numId="5" w16cid:durableId="12357728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91188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9321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7561096">
    <w:abstractNumId w:val="24"/>
  </w:num>
  <w:num w:numId="9" w16cid:durableId="523792583">
    <w:abstractNumId w:val="21"/>
  </w:num>
  <w:num w:numId="10" w16cid:durableId="197284368">
    <w:abstractNumId w:val="2"/>
  </w:num>
  <w:num w:numId="11" w16cid:durableId="238028533">
    <w:abstractNumId w:val="8"/>
  </w:num>
  <w:num w:numId="12" w16cid:durableId="2051952884">
    <w:abstractNumId w:val="0"/>
  </w:num>
  <w:num w:numId="13" w16cid:durableId="331682090">
    <w:abstractNumId w:val="7"/>
  </w:num>
  <w:num w:numId="14" w16cid:durableId="1223978886">
    <w:abstractNumId w:val="11"/>
  </w:num>
  <w:num w:numId="15" w16cid:durableId="1472097509">
    <w:abstractNumId w:val="12"/>
  </w:num>
  <w:num w:numId="16" w16cid:durableId="9958378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39498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5625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9176944">
    <w:abstractNumId w:val="9"/>
  </w:num>
  <w:num w:numId="20" w16cid:durableId="1202090248">
    <w:abstractNumId w:val="3"/>
  </w:num>
  <w:num w:numId="21" w16cid:durableId="466509844">
    <w:abstractNumId w:val="6"/>
  </w:num>
  <w:num w:numId="22" w16cid:durableId="757021949">
    <w:abstractNumId w:val="17"/>
  </w:num>
  <w:num w:numId="23" w16cid:durableId="1809980573">
    <w:abstractNumId w:val="22"/>
  </w:num>
  <w:num w:numId="24" w16cid:durableId="1345477517">
    <w:abstractNumId w:val="23"/>
  </w:num>
  <w:num w:numId="25" w16cid:durableId="2043628140">
    <w:abstractNumId w:val="16"/>
  </w:num>
  <w:num w:numId="26" w16cid:durableId="796265181">
    <w:abstractNumId w:val="18"/>
  </w:num>
  <w:num w:numId="27" w16cid:durableId="244146772">
    <w:abstractNumId w:val="20"/>
  </w:num>
  <w:num w:numId="28" w16cid:durableId="926114660">
    <w:abstractNumId w:val="14"/>
  </w:num>
  <w:num w:numId="29" w16cid:durableId="1896310335">
    <w:abstractNumId w:val="15"/>
  </w:num>
  <w:num w:numId="30" w16cid:durableId="1450472693">
    <w:abstractNumId w:val="5"/>
  </w:num>
  <w:num w:numId="31" w16cid:durableId="27142080">
    <w:abstractNumId w:val="10"/>
  </w:num>
  <w:num w:numId="32" w16cid:durableId="1108230988">
    <w:abstractNumId w:val="26"/>
  </w:num>
  <w:num w:numId="33" w16cid:durableId="116039039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98"/>
    <w:rsid w:val="000140B8"/>
    <w:rsid w:val="00020F12"/>
    <w:rsid w:val="000317E3"/>
    <w:rsid w:val="00044684"/>
    <w:rsid w:val="00044CA5"/>
    <w:rsid w:val="000512A5"/>
    <w:rsid w:val="000553C6"/>
    <w:rsid w:val="000567B7"/>
    <w:rsid w:val="000623E4"/>
    <w:rsid w:val="00062B78"/>
    <w:rsid w:val="00064140"/>
    <w:rsid w:val="000750D2"/>
    <w:rsid w:val="00081610"/>
    <w:rsid w:val="00084B3C"/>
    <w:rsid w:val="000864FE"/>
    <w:rsid w:val="00091ABE"/>
    <w:rsid w:val="000958B3"/>
    <w:rsid w:val="000A3E2D"/>
    <w:rsid w:val="000B3B5B"/>
    <w:rsid w:val="000C4A0F"/>
    <w:rsid w:val="000D4819"/>
    <w:rsid w:val="000D5965"/>
    <w:rsid w:val="000E177E"/>
    <w:rsid w:val="000E6227"/>
    <w:rsid w:val="000E66C9"/>
    <w:rsid w:val="000F081E"/>
    <w:rsid w:val="000F7266"/>
    <w:rsid w:val="000F75FC"/>
    <w:rsid w:val="001016D7"/>
    <w:rsid w:val="0011176F"/>
    <w:rsid w:val="001510D7"/>
    <w:rsid w:val="00161696"/>
    <w:rsid w:val="0016708E"/>
    <w:rsid w:val="001739E2"/>
    <w:rsid w:val="001758D4"/>
    <w:rsid w:val="00186165"/>
    <w:rsid w:val="00191791"/>
    <w:rsid w:val="001965D2"/>
    <w:rsid w:val="001A0B10"/>
    <w:rsid w:val="001A139C"/>
    <w:rsid w:val="001A7461"/>
    <w:rsid w:val="001B4B50"/>
    <w:rsid w:val="001B7192"/>
    <w:rsid w:val="001C0CC5"/>
    <w:rsid w:val="001C0F5D"/>
    <w:rsid w:val="001C34C2"/>
    <w:rsid w:val="001D0F6D"/>
    <w:rsid w:val="001E630D"/>
    <w:rsid w:val="001F6546"/>
    <w:rsid w:val="001F77FB"/>
    <w:rsid w:val="002119D3"/>
    <w:rsid w:val="00220BA4"/>
    <w:rsid w:val="00224664"/>
    <w:rsid w:val="00233DBF"/>
    <w:rsid w:val="002346B5"/>
    <w:rsid w:val="002367B6"/>
    <w:rsid w:val="00240A6E"/>
    <w:rsid w:val="002549B3"/>
    <w:rsid w:val="00261F5D"/>
    <w:rsid w:val="00262CDD"/>
    <w:rsid w:val="00273F28"/>
    <w:rsid w:val="00275EA9"/>
    <w:rsid w:val="00281DFB"/>
    <w:rsid w:val="00282835"/>
    <w:rsid w:val="00294EA1"/>
    <w:rsid w:val="00295934"/>
    <w:rsid w:val="002A0738"/>
    <w:rsid w:val="002B3CC6"/>
    <w:rsid w:val="002B4814"/>
    <w:rsid w:val="002B7002"/>
    <w:rsid w:val="002C43D6"/>
    <w:rsid w:val="002D7EA5"/>
    <w:rsid w:val="002E0017"/>
    <w:rsid w:val="002F0D2B"/>
    <w:rsid w:val="003014C5"/>
    <w:rsid w:val="00303D57"/>
    <w:rsid w:val="00311FC7"/>
    <w:rsid w:val="0032195D"/>
    <w:rsid w:val="00335A14"/>
    <w:rsid w:val="00337926"/>
    <w:rsid w:val="00344378"/>
    <w:rsid w:val="00347FE0"/>
    <w:rsid w:val="0038044C"/>
    <w:rsid w:val="003924BC"/>
    <w:rsid w:val="003A6D7F"/>
    <w:rsid w:val="003A70C3"/>
    <w:rsid w:val="003B0D19"/>
    <w:rsid w:val="003B2BB8"/>
    <w:rsid w:val="003B7424"/>
    <w:rsid w:val="003D11FF"/>
    <w:rsid w:val="003D34FF"/>
    <w:rsid w:val="003D6B68"/>
    <w:rsid w:val="003E0A57"/>
    <w:rsid w:val="003E10A6"/>
    <w:rsid w:val="003E2B62"/>
    <w:rsid w:val="003E3174"/>
    <w:rsid w:val="003E3E94"/>
    <w:rsid w:val="003F481D"/>
    <w:rsid w:val="00403055"/>
    <w:rsid w:val="00413A2D"/>
    <w:rsid w:val="00415B6C"/>
    <w:rsid w:val="004243F2"/>
    <w:rsid w:val="00434164"/>
    <w:rsid w:val="004354E6"/>
    <w:rsid w:val="004365D9"/>
    <w:rsid w:val="00436A44"/>
    <w:rsid w:val="00440730"/>
    <w:rsid w:val="00440CB8"/>
    <w:rsid w:val="00441FD7"/>
    <w:rsid w:val="00444372"/>
    <w:rsid w:val="00446DB2"/>
    <w:rsid w:val="00450C93"/>
    <w:rsid w:val="0045365D"/>
    <w:rsid w:val="00471456"/>
    <w:rsid w:val="0047261D"/>
    <w:rsid w:val="004837A4"/>
    <w:rsid w:val="004858A0"/>
    <w:rsid w:val="00485A98"/>
    <w:rsid w:val="00490F3B"/>
    <w:rsid w:val="004A2151"/>
    <w:rsid w:val="004A2F41"/>
    <w:rsid w:val="004B54CA"/>
    <w:rsid w:val="004B653B"/>
    <w:rsid w:val="004D6380"/>
    <w:rsid w:val="004E011E"/>
    <w:rsid w:val="004E5CBF"/>
    <w:rsid w:val="004F2D39"/>
    <w:rsid w:val="004F77F4"/>
    <w:rsid w:val="00501970"/>
    <w:rsid w:val="00504453"/>
    <w:rsid w:val="005072B0"/>
    <w:rsid w:val="00511022"/>
    <w:rsid w:val="00515ED5"/>
    <w:rsid w:val="00517AE4"/>
    <w:rsid w:val="00520543"/>
    <w:rsid w:val="00521424"/>
    <w:rsid w:val="00521498"/>
    <w:rsid w:val="00522E21"/>
    <w:rsid w:val="00525989"/>
    <w:rsid w:val="00527EAE"/>
    <w:rsid w:val="005312DA"/>
    <w:rsid w:val="00543F2B"/>
    <w:rsid w:val="0054713E"/>
    <w:rsid w:val="005543A8"/>
    <w:rsid w:val="00560A69"/>
    <w:rsid w:val="00566982"/>
    <w:rsid w:val="00567053"/>
    <w:rsid w:val="005728DA"/>
    <w:rsid w:val="00580A9A"/>
    <w:rsid w:val="00584FC1"/>
    <w:rsid w:val="00586246"/>
    <w:rsid w:val="00587139"/>
    <w:rsid w:val="005877DC"/>
    <w:rsid w:val="0059023E"/>
    <w:rsid w:val="00591EA6"/>
    <w:rsid w:val="00595CE9"/>
    <w:rsid w:val="00597852"/>
    <w:rsid w:val="005B06DE"/>
    <w:rsid w:val="005B6859"/>
    <w:rsid w:val="005C3AA9"/>
    <w:rsid w:val="005C4252"/>
    <w:rsid w:val="005C6C5C"/>
    <w:rsid w:val="005D2C33"/>
    <w:rsid w:val="005D5BFD"/>
    <w:rsid w:val="005D5FA3"/>
    <w:rsid w:val="005D6069"/>
    <w:rsid w:val="005F2041"/>
    <w:rsid w:val="005F5EEF"/>
    <w:rsid w:val="00612356"/>
    <w:rsid w:val="00613437"/>
    <w:rsid w:val="00615650"/>
    <w:rsid w:val="0061717D"/>
    <w:rsid w:val="00623C08"/>
    <w:rsid w:val="0062415E"/>
    <w:rsid w:val="00626821"/>
    <w:rsid w:val="00630630"/>
    <w:rsid w:val="00631A2C"/>
    <w:rsid w:val="00634D7A"/>
    <w:rsid w:val="00636965"/>
    <w:rsid w:val="0063725F"/>
    <w:rsid w:val="006467DB"/>
    <w:rsid w:val="00657D3C"/>
    <w:rsid w:val="006739C7"/>
    <w:rsid w:val="00682540"/>
    <w:rsid w:val="00686716"/>
    <w:rsid w:val="006A4703"/>
    <w:rsid w:val="006A4CE7"/>
    <w:rsid w:val="006A726D"/>
    <w:rsid w:val="006A7DD3"/>
    <w:rsid w:val="006B2030"/>
    <w:rsid w:val="006B2D84"/>
    <w:rsid w:val="006B4F4F"/>
    <w:rsid w:val="006C1E82"/>
    <w:rsid w:val="006D2DA3"/>
    <w:rsid w:val="006D622A"/>
    <w:rsid w:val="006E04D0"/>
    <w:rsid w:val="006E3BAD"/>
    <w:rsid w:val="006E45C5"/>
    <w:rsid w:val="006E7D3F"/>
    <w:rsid w:val="006F3D9C"/>
    <w:rsid w:val="006F4331"/>
    <w:rsid w:val="006F4787"/>
    <w:rsid w:val="00700485"/>
    <w:rsid w:val="007065F3"/>
    <w:rsid w:val="00712957"/>
    <w:rsid w:val="00731A2C"/>
    <w:rsid w:val="0073320E"/>
    <w:rsid w:val="007339FE"/>
    <w:rsid w:val="007407FD"/>
    <w:rsid w:val="00750057"/>
    <w:rsid w:val="00752CE9"/>
    <w:rsid w:val="00765A7C"/>
    <w:rsid w:val="007749A1"/>
    <w:rsid w:val="00781A55"/>
    <w:rsid w:val="00785261"/>
    <w:rsid w:val="00795CEA"/>
    <w:rsid w:val="007A095E"/>
    <w:rsid w:val="007A6821"/>
    <w:rsid w:val="007B0256"/>
    <w:rsid w:val="007B60CC"/>
    <w:rsid w:val="007D1C2F"/>
    <w:rsid w:val="007D30A2"/>
    <w:rsid w:val="007D36CD"/>
    <w:rsid w:val="007E007C"/>
    <w:rsid w:val="007E3959"/>
    <w:rsid w:val="007E3B8B"/>
    <w:rsid w:val="007E6A02"/>
    <w:rsid w:val="008007C7"/>
    <w:rsid w:val="0080363D"/>
    <w:rsid w:val="00810CFC"/>
    <w:rsid w:val="00815A31"/>
    <w:rsid w:val="00836C7F"/>
    <w:rsid w:val="0083739A"/>
    <w:rsid w:val="00837F4E"/>
    <w:rsid w:val="00841AA3"/>
    <w:rsid w:val="0084227C"/>
    <w:rsid w:val="00846405"/>
    <w:rsid w:val="008565DF"/>
    <w:rsid w:val="0085710F"/>
    <w:rsid w:val="0086552B"/>
    <w:rsid w:val="00867190"/>
    <w:rsid w:val="00874643"/>
    <w:rsid w:val="00876CA6"/>
    <w:rsid w:val="00877018"/>
    <w:rsid w:val="00880654"/>
    <w:rsid w:val="008833BA"/>
    <w:rsid w:val="008916D6"/>
    <w:rsid w:val="0089267F"/>
    <w:rsid w:val="008939BB"/>
    <w:rsid w:val="008A62B0"/>
    <w:rsid w:val="008C0276"/>
    <w:rsid w:val="008C1BD8"/>
    <w:rsid w:val="008C28F7"/>
    <w:rsid w:val="008C3726"/>
    <w:rsid w:val="008D32BC"/>
    <w:rsid w:val="008D5AB0"/>
    <w:rsid w:val="008E06C1"/>
    <w:rsid w:val="008E0C72"/>
    <w:rsid w:val="008F3023"/>
    <w:rsid w:val="00905799"/>
    <w:rsid w:val="00905A22"/>
    <w:rsid w:val="00905D5E"/>
    <w:rsid w:val="00913141"/>
    <w:rsid w:val="0091416E"/>
    <w:rsid w:val="009225F0"/>
    <w:rsid w:val="009242B6"/>
    <w:rsid w:val="0092475E"/>
    <w:rsid w:val="00927663"/>
    <w:rsid w:val="00930C61"/>
    <w:rsid w:val="00940B9B"/>
    <w:rsid w:val="0094563F"/>
    <w:rsid w:val="0095467F"/>
    <w:rsid w:val="00987714"/>
    <w:rsid w:val="009A09C7"/>
    <w:rsid w:val="009A4DC1"/>
    <w:rsid w:val="009B5AB3"/>
    <w:rsid w:val="009C1CF0"/>
    <w:rsid w:val="009C239D"/>
    <w:rsid w:val="009C29AE"/>
    <w:rsid w:val="009D2DF8"/>
    <w:rsid w:val="009D3CCB"/>
    <w:rsid w:val="009D4189"/>
    <w:rsid w:val="009E6CFD"/>
    <w:rsid w:val="009F2AF7"/>
    <w:rsid w:val="00A13549"/>
    <w:rsid w:val="00A43E66"/>
    <w:rsid w:val="00A4462B"/>
    <w:rsid w:val="00A46424"/>
    <w:rsid w:val="00A5147A"/>
    <w:rsid w:val="00A57CC0"/>
    <w:rsid w:val="00A6238C"/>
    <w:rsid w:val="00A6317F"/>
    <w:rsid w:val="00A74769"/>
    <w:rsid w:val="00A80DE0"/>
    <w:rsid w:val="00A81138"/>
    <w:rsid w:val="00A85365"/>
    <w:rsid w:val="00A92F9A"/>
    <w:rsid w:val="00AA0D30"/>
    <w:rsid w:val="00AA5D6F"/>
    <w:rsid w:val="00AA7226"/>
    <w:rsid w:val="00AB1B09"/>
    <w:rsid w:val="00AB1C70"/>
    <w:rsid w:val="00AD627F"/>
    <w:rsid w:val="00AD78E3"/>
    <w:rsid w:val="00AE1278"/>
    <w:rsid w:val="00AE5EC3"/>
    <w:rsid w:val="00AF0CA7"/>
    <w:rsid w:val="00AF6DAF"/>
    <w:rsid w:val="00AF77F3"/>
    <w:rsid w:val="00B001CA"/>
    <w:rsid w:val="00B10EA9"/>
    <w:rsid w:val="00B10EB1"/>
    <w:rsid w:val="00B1310D"/>
    <w:rsid w:val="00B209E5"/>
    <w:rsid w:val="00B2179D"/>
    <w:rsid w:val="00B246E8"/>
    <w:rsid w:val="00B25125"/>
    <w:rsid w:val="00B31D33"/>
    <w:rsid w:val="00B36B86"/>
    <w:rsid w:val="00B371CA"/>
    <w:rsid w:val="00B37287"/>
    <w:rsid w:val="00B37603"/>
    <w:rsid w:val="00B413E1"/>
    <w:rsid w:val="00B44F9B"/>
    <w:rsid w:val="00B53863"/>
    <w:rsid w:val="00B65A9F"/>
    <w:rsid w:val="00B668C0"/>
    <w:rsid w:val="00B67907"/>
    <w:rsid w:val="00B71EDF"/>
    <w:rsid w:val="00B73F0C"/>
    <w:rsid w:val="00B772ED"/>
    <w:rsid w:val="00B820CD"/>
    <w:rsid w:val="00B83979"/>
    <w:rsid w:val="00B85379"/>
    <w:rsid w:val="00BA2DB9"/>
    <w:rsid w:val="00BA5842"/>
    <w:rsid w:val="00BA6A09"/>
    <w:rsid w:val="00BB03A8"/>
    <w:rsid w:val="00BC04D2"/>
    <w:rsid w:val="00BC0A30"/>
    <w:rsid w:val="00BC22F3"/>
    <w:rsid w:val="00BC79CD"/>
    <w:rsid w:val="00BE3216"/>
    <w:rsid w:val="00BE6978"/>
    <w:rsid w:val="00BE7148"/>
    <w:rsid w:val="00BF0BAF"/>
    <w:rsid w:val="00BF7234"/>
    <w:rsid w:val="00C00C60"/>
    <w:rsid w:val="00C027B8"/>
    <w:rsid w:val="00C0647F"/>
    <w:rsid w:val="00C122D8"/>
    <w:rsid w:val="00C175D2"/>
    <w:rsid w:val="00C331E3"/>
    <w:rsid w:val="00C36523"/>
    <w:rsid w:val="00C37FD6"/>
    <w:rsid w:val="00C4058D"/>
    <w:rsid w:val="00C4303F"/>
    <w:rsid w:val="00C438A6"/>
    <w:rsid w:val="00C55DE7"/>
    <w:rsid w:val="00C561CC"/>
    <w:rsid w:val="00C57001"/>
    <w:rsid w:val="00C76B3D"/>
    <w:rsid w:val="00CA5D88"/>
    <w:rsid w:val="00CB0CEB"/>
    <w:rsid w:val="00CB718C"/>
    <w:rsid w:val="00CB74B3"/>
    <w:rsid w:val="00CC1697"/>
    <w:rsid w:val="00CD583D"/>
    <w:rsid w:val="00CE1CB4"/>
    <w:rsid w:val="00CE362E"/>
    <w:rsid w:val="00CE6A1D"/>
    <w:rsid w:val="00CE7CAE"/>
    <w:rsid w:val="00D07696"/>
    <w:rsid w:val="00D15AB9"/>
    <w:rsid w:val="00D22A8A"/>
    <w:rsid w:val="00D40593"/>
    <w:rsid w:val="00D52386"/>
    <w:rsid w:val="00D6197A"/>
    <w:rsid w:val="00D71C54"/>
    <w:rsid w:val="00D83A7C"/>
    <w:rsid w:val="00D86E50"/>
    <w:rsid w:val="00D90D3C"/>
    <w:rsid w:val="00DA33DB"/>
    <w:rsid w:val="00DA66C1"/>
    <w:rsid w:val="00DA710E"/>
    <w:rsid w:val="00DA7B4A"/>
    <w:rsid w:val="00DB012A"/>
    <w:rsid w:val="00DB0E22"/>
    <w:rsid w:val="00DB145C"/>
    <w:rsid w:val="00DB33E4"/>
    <w:rsid w:val="00DB63E2"/>
    <w:rsid w:val="00DB7033"/>
    <w:rsid w:val="00DC0F26"/>
    <w:rsid w:val="00DC61A0"/>
    <w:rsid w:val="00DF03EE"/>
    <w:rsid w:val="00DF6440"/>
    <w:rsid w:val="00E07AFE"/>
    <w:rsid w:val="00E112D5"/>
    <w:rsid w:val="00E131AB"/>
    <w:rsid w:val="00E13FF6"/>
    <w:rsid w:val="00E22210"/>
    <w:rsid w:val="00E26398"/>
    <w:rsid w:val="00E30C3C"/>
    <w:rsid w:val="00E3469A"/>
    <w:rsid w:val="00E470D7"/>
    <w:rsid w:val="00E51EF1"/>
    <w:rsid w:val="00E52A2C"/>
    <w:rsid w:val="00E643E0"/>
    <w:rsid w:val="00E64617"/>
    <w:rsid w:val="00E708BB"/>
    <w:rsid w:val="00E738AE"/>
    <w:rsid w:val="00E761A2"/>
    <w:rsid w:val="00E82B90"/>
    <w:rsid w:val="00E858A7"/>
    <w:rsid w:val="00E91AB9"/>
    <w:rsid w:val="00E9249F"/>
    <w:rsid w:val="00E9285A"/>
    <w:rsid w:val="00E956B6"/>
    <w:rsid w:val="00EA4C23"/>
    <w:rsid w:val="00EA550A"/>
    <w:rsid w:val="00EA66F0"/>
    <w:rsid w:val="00EC3F37"/>
    <w:rsid w:val="00EC63CA"/>
    <w:rsid w:val="00ED201D"/>
    <w:rsid w:val="00ED5605"/>
    <w:rsid w:val="00EE3834"/>
    <w:rsid w:val="00EE5D6C"/>
    <w:rsid w:val="00EE673B"/>
    <w:rsid w:val="00EE67D9"/>
    <w:rsid w:val="00EF322A"/>
    <w:rsid w:val="00EF3823"/>
    <w:rsid w:val="00EF3EC5"/>
    <w:rsid w:val="00F06175"/>
    <w:rsid w:val="00F07D2D"/>
    <w:rsid w:val="00F13410"/>
    <w:rsid w:val="00F148C2"/>
    <w:rsid w:val="00F201FD"/>
    <w:rsid w:val="00F212CF"/>
    <w:rsid w:val="00F26D47"/>
    <w:rsid w:val="00F30908"/>
    <w:rsid w:val="00F35FC5"/>
    <w:rsid w:val="00F36F13"/>
    <w:rsid w:val="00F4268A"/>
    <w:rsid w:val="00F56732"/>
    <w:rsid w:val="00F74C43"/>
    <w:rsid w:val="00F83F59"/>
    <w:rsid w:val="00F85669"/>
    <w:rsid w:val="00FA1012"/>
    <w:rsid w:val="00FA53F7"/>
    <w:rsid w:val="00FA60D0"/>
    <w:rsid w:val="00FB119D"/>
    <w:rsid w:val="00FB266F"/>
    <w:rsid w:val="00FC143A"/>
    <w:rsid w:val="00FC4152"/>
    <w:rsid w:val="00FD5DEB"/>
    <w:rsid w:val="00FF08D7"/>
    <w:rsid w:val="00FF29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1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C331E3"/>
    <w:pPr>
      <w:spacing w:after="200"/>
    </w:pPr>
    <w:rPr>
      <w:spacing w:val="3"/>
      <w:sz w:val="22"/>
    </w:rPr>
  </w:style>
  <w:style w:type="paragraph" w:styleId="Heading1">
    <w:name w:val="heading 1"/>
    <w:basedOn w:val="Normal"/>
    <w:next w:val="Normal"/>
    <w:link w:val="Heading1Char"/>
    <w:uiPriority w:val="2"/>
    <w:qFormat/>
    <w:rsid w:val="005D2C33"/>
    <w:pPr>
      <w:keepNext/>
      <w:keepLines/>
      <w:spacing w:before="200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2"/>
    <w:qFormat/>
    <w:rsid w:val="00062B78"/>
    <w:pPr>
      <w:keepNext/>
      <w:keepLines/>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062B78"/>
    <w:pPr>
      <w:keepNext/>
      <w:keepLines/>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062B78"/>
    <w:pPr>
      <w:keepNext/>
      <w:keepLines/>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062B78"/>
    <w:pPr>
      <w:keepNext/>
      <w:keepLines/>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qFormat/>
    <w:rsid w:val="00AF6DAF"/>
    <w:pPr>
      <w:spacing w:after="0"/>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semiHidden/>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semiHidden/>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semiHidden/>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C33"/>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062B78"/>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062B78"/>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062B78"/>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062B78"/>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AF6DAF"/>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semiHidden/>
    <w:rsid w:val="00A92F9A"/>
    <w:rPr>
      <w:rFonts w:eastAsiaTheme="majorEastAsia" w:cstheme="majorBidi"/>
      <w:iCs/>
      <w:spacing w:val="3"/>
      <w:sz w:val="22"/>
    </w:rPr>
  </w:style>
  <w:style w:type="character" w:customStyle="1" w:styleId="Heading8Char">
    <w:name w:val="Heading 8 Char"/>
    <w:basedOn w:val="DefaultParagraphFont"/>
    <w:link w:val="Heading8"/>
    <w:uiPriority w:val="10"/>
    <w:semiHidden/>
    <w:rsid w:val="00A92F9A"/>
    <w:rPr>
      <w:rFonts w:eastAsiaTheme="majorEastAsia" w:cstheme="majorBidi"/>
      <w:spacing w:val="3"/>
      <w:sz w:val="22"/>
      <w:szCs w:val="20"/>
    </w:rPr>
  </w:style>
  <w:style w:type="character" w:customStyle="1" w:styleId="Heading9Char">
    <w:name w:val="Heading 9 Char"/>
    <w:basedOn w:val="DefaultParagraphFont"/>
    <w:link w:val="Heading9"/>
    <w:uiPriority w:val="10"/>
    <w:semiHidden/>
    <w:rsid w:val="00A92F9A"/>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1"/>
      </w:numPr>
    </w:pPr>
  </w:style>
  <w:style w:type="paragraph" w:styleId="Caption">
    <w:name w:val="caption"/>
    <w:basedOn w:val="Normal"/>
    <w:next w:val="Normal"/>
    <w:uiPriority w:val="9"/>
    <w:unhideWhenUsed/>
    <w:qFormat/>
    <w:rsid w:val="003A6D7F"/>
    <w:pPr>
      <w:keepNext/>
      <w:keepLines/>
      <w:spacing w:before="360" w:after="120" w:line="240" w:lineRule="atLeast"/>
    </w:pPr>
    <w:rPr>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semiHidden/>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warning">
    <w:name w:val="Focus - warning"/>
    <w:basedOn w:val="Focus-te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70C0" w:themeColor="followedHyperlink"/>
      <w:u w:val="single"/>
    </w:rPr>
  </w:style>
  <w:style w:type="paragraph" w:styleId="Footer">
    <w:name w:val="footer"/>
    <w:basedOn w:val="Normal"/>
    <w:link w:val="FooterChar"/>
    <w:uiPriority w:val="99"/>
    <w:semiHidden/>
    <w:rsid w:val="00C331E3"/>
    <w:pPr>
      <w:tabs>
        <w:tab w:val="center" w:pos="4513"/>
        <w:tab w:val="right" w:pos="9026"/>
      </w:tabs>
      <w:spacing w:before="120" w:after="600" w:line="240" w:lineRule="auto"/>
    </w:pPr>
    <w:rPr>
      <w:color w:val="005A70" w:themeColor="accent1"/>
      <w:sz w:val="18"/>
    </w:rPr>
  </w:style>
  <w:style w:type="character" w:customStyle="1" w:styleId="FooterChar">
    <w:name w:val="Footer Char"/>
    <w:basedOn w:val="DefaultParagraphFont"/>
    <w:link w:val="Footer"/>
    <w:uiPriority w:val="99"/>
    <w:semiHidden/>
    <w:rsid w:val="00C331E3"/>
    <w:rPr>
      <w:color w:val="005A70" w:themeColor="accent1"/>
      <w:spacing w:val="3"/>
      <w:sz w:val="18"/>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261F5D"/>
    <w:pPr>
      <w:tabs>
        <w:tab w:val="center" w:pos="4513"/>
        <w:tab w:val="right" w:pos="9026"/>
      </w:tabs>
      <w:spacing w:after="0" w:line="240" w:lineRule="auto"/>
    </w:pPr>
    <w:rPr>
      <w:rFonts w:ascii="Georgia" w:hAnsi="Georgia"/>
      <w:color w:val="24596E"/>
    </w:rPr>
  </w:style>
  <w:style w:type="character" w:customStyle="1" w:styleId="HeaderChar">
    <w:name w:val="Header Char"/>
    <w:basedOn w:val="DefaultParagraphFont"/>
    <w:link w:val="Header"/>
    <w:uiPriority w:val="99"/>
    <w:semiHidden/>
    <w:rsid w:val="00261F5D"/>
    <w:rPr>
      <w:rFonts w:ascii="Georgia" w:hAnsi="Georgia"/>
      <w:color w:val="24596E"/>
      <w:spacing w:val="3"/>
      <w:sz w:val="22"/>
    </w:rPr>
  </w:style>
  <w:style w:type="paragraph" w:styleId="Subtitle">
    <w:name w:val="Subtitle"/>
    <w:basedOn w:val="Normal"/>
    <w:next w:val="Normal"/>
    <w:link w:val="SubtitleChar"/>
    <w:uiPriority w:val="10"/>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10"/>
    <w:rsid w:val="00AF6DAF"/>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4"/>
    <w:unhideWhenUsed/>
    <w:qFormat/>
    <w:rsid w:val="00A92F9A"/>
    <w:pPr>
      <w:numPr>
        <w:numId w:val="3"/>
      </w:numPr>
    </w:pPr>
  </w:style>
  <w:style w:type="paragraph" w:styleId="ListParagraph">
    <w:name w:val="List Paragraph"/>
    <w:basedOn w:val="Normal"/>
    <w:uiPriority w:val="34"/>
    <w:qFormat/>
    <w:rsid w:val="005C4252"/>
    <w:pPr>
      <w:numPr>
        <w:numId w:val="2"/>
      </w:numPr>
      <w:ind w:left="851" w:hanging="284"/>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A92F9A"/>
    <w:pPr>
      <w:keepLines/>
      <w:pBdr>
        <w:left w:val="single" w:sz="18" w:space="16" w:color="00B0B9" w:themeColor="accent2"/>
      </w:pBdr>
      <w:shd w:val="clear" w:color="auto" w:fill="FFFFFF" w:themeFill="background1"/>
      <w:spacing w:before="280" w:after="280"/>
      <w:ind w:left="567"/>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A92F9A"/>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rsid w:val="00867190"/>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caption">
    <w:name w:val="Table/image caption"/>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rsid w:val="00AF6DAF"/>
    <w:pPr>
      <w:spacing w:before="1440" w:line="240" w:lineRule="auto"/>
      <w:contextualSpacing/>
      <w:outlineLvl w:val="0"/>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AF6DAF"/>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rsid w:val="0045365D"/>
    <w:pPr>
      <w:spacing w:after="100"/>
    </w:pPr>
  </w:style>
  <w:style w:type="paragraph" w:styleId="TOC2">
    <w:name w:val="toc 2"/>
    <w:basedOn w:val="Normal"/>
    <w:next w:val="Normal"/>
    <w:autoRedefine/>
    <w:uiPriority w:val="39"/>
    <w:semiHidden/>
    <w:rsid w:val="0045365D"/>
    <w:pPr>
      <w:spacing w:after="100"/>
      <w:ind w:left="200"/>
    </w:pPr>
  </w:style>
  <w:style w:type="paragraph" w:styleId="TOC3">
    <w:name w:val="toc 3"/>
    <w:basedOn w:val="Normal"/>
    <w:next w:val="Normal"/>
    <w:autoRedefine/>
    <w:uiPriority w:val="39"/>
    <w:semiHidden/>
    <w:rsid w:val="0045365D"/>
    <w:pPr>
      <w:spacing w:after="100"/>
      <w:ind w:left="400"/>
    </w:pPr>
  </w:style>
  <w:style w:type="paragraph" w:styleId="TOCHeading">
    <w:name w:val="TOC Heading"/>
    <w:basedOn w:val="Heading2"/>
    <w:next w:val="Normal"/>
    <w:uiPriority w:val="39"/>
    <w:semiHidden/>
    <w:rsid w:val="0045365D"/>
  </w:style>
  <w:style w:type="paragraph" w:customStyle="1" w:styleId="Spacer">
    <w:name w:val="Spacer"/>
    <w:basedOn w:val="Normal"/>
    <w:uiPriority w:val="39"/>
    <w:semiHidden/>
    <w:qFormat/>
    <w:rsid w:val="00A81138"/>
    <w:pPr>
      <w:spacing w:after="0" w:line="240" w:lineRule="auto"/>
    </w:pPr>
    <w:rPr>
      <w:sz w:val="2"/>
    </w:rPr>
  </w:style>
  <w:style w:type="character" w:styleId="PlaceholderText">
    <w:name w:val="Placeholder Text"/>
    <w:basedOn w:val="DefaultParagraphFont"/>
    <w:uiPriority w:val="99"/>
    <w:semiHidden/>
    <w:rsid w:val="00A81138"/>
    <w:rPr>
      <w:color w:val="666666"/>
    </w:rPr>
  </w:style>
  <w:style w:type="paragraph" w:styleId="ListBullet2">
    <w:name w:val="List Bullet 2"/>
    <w:basedOn w:val="ListBullet"/>
    <w:uiPriority w:val="4"/>
    <w:qFormat/>
    <w:rsid w:val="00A92F9A"/>
    <w:pPr>
      <w:numPr>
        <w:ilvl w:val="1"/>
      </w:numPr>
    </w:pPr>
  </w:style>
  <w:style w:type="paragraph" w:styleId="ListNumber">
    <w:name w:val="List Number"/>
    <w:basedOn w:val="ListBullet"/>
    <w:uiPriority w:val="99"/>
    <w:qFormat/>
    <w:rsid w:val="00E07AFE"/>
    <w:pPr>
      <w:numPr>
        <w:numId w:val="15"/>
      </w:numPr>
    </w:pPr>
  </w:style>
  <w:style w:type="paragraph" w:styleId="ListNumber2">
    <w:name w:val="List Number 2"/>
    <w:basedOn w:val="ListNumber"/>
    <w:uiPriority w:val="4"/>
    <w:qFormat/>
    <w:rsid w:val="00A92F9A"/>
    <w:pPr>
      <w:numPr>
        <w:ilvl w:val="1"/>
      </w:numPr>
    </w:pPr>
  </w:style>
  <w:style w:type="paragraph" w:styleId="ListBullet3">
    <w:name w:val="List Bullet 3"/>
    <w:basedOn w:val="ListBullet2"/>
    <w:uiPriority w:val="4"/>
    <w:qFormat/>
    <w:rsid w:val="00A92F9A"/>
    <w:pPr>
      <w:numPr>
        <w:ilvl w:val="2"/>
      </w:numPr>
    </w:pPr>
  </w:style>
  <w:style w:type="paragraph" w:styleId="ListNumber3">
    <w:name w:val="List Number 3"/>
    <w:basedOn w:val="ListNumber2"/>
    <w:uiPriority w:val="4"/>
    <w:qFormat/>
    <w:rsid w:val="00A92F9A"/>
    <w:pPr>
      <w:numPr>
        <w:ilvl w:val="2"/>
      </w:numPr>
    </w:pPr>
  </w:style>
  <w:style w:type="character" w:styleId="UnresolvedMention">
    <w:name w:val="Unresolved Mention"/>
    <w:basedOn w:val="DefaultParagraphFont"/>
    <w:uiPriority w:val="99"/>
    <w:semiHidden/>
    <w:unhideWhenUsed/>
    <w:rsid w:val="00F06175"/>
    <w:rPr>
      <w:color w:val="605E5C"/>
      <w:shd w:val="clear" w:color="auto" w:fill="E1DFDD"/>
    </w:rPr>
  </w:style>
  <w:style w:type="paragraph" w:customStyle="1" w:styleId="BlockquotePullouttext">
    <w:name w:val="Blockquote / Pullout text"/>
    <w:basedOn w:val="Normal"/>
    <w:next w:val="Normal"/>
    <w:link w:val="BlockquotePullouttextChar"/>
    <w:uiPriority w:val="5"/>
    <w:qFormat/>
    <w:rsid w:val="00E07AFE"/>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color w:val="005A70" w:themeColor="accent1"/>
      <w:szCs w:val="28"/>
      <w:lang w:eastAsia="en-AU"/>
    </w:rPr>
  </w:style>
  <w:style w:type="character" w:customStyle="1" w:styleId="BlockquotePullouttextChar">
    <w:name w:val="Blockquote / Pullout text Char"/>
    <w:basedOn w:val="Heading2Char"/>
    <w:link w:val="BlockquotePullouttext"/>
    <w:uiPriority w:val="5"/>
    <w:rsid w:val="00E07AFE"/>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Tableimagenote">
    <w:name w:val="Table/image note"/>
    <w:basedOn w:val="Normal"/>
    <w:next w:val="Normal"/>
    <w:uiPriority w:val="4"/>
    <w:qFormat/>
    <w:rsid w:val="00B209E5"/>
    <w:pPr>
      <w:spacing w:before="120"/>
      <w:contextualSpacing/>
    </w:pPr>
    <w:rPr>
      <w:color w:val="595959" w:themeColor="text1" w:themeTint="A6"/>
      <w:sz w:val="20"/>
    </w:rPr>
  </w:style>
  <w:style w:type="paragraph" w:styleId="TOAHeading">
    <w:name w:val="toa heading"/>
    <w:basedOn w:val="TOCHeading"/>
    <w:next w:val="Normal"/>
    <w:uiPriority w:val="99"/>
    <w:rsid w:val="00EC3F37"/>
    <w:pPr>
      <w:spacing w:before="120"/>
    </w:pPr>
  </w:style>
  <w:style w:type="paragraph" w:styleId="TableofFigures">
    <w:name w:val="table of figures"/>
    <w:basedOn w:val="Normal"/>
    <w:next w:val="Normal"/>
    <w:uiPriority w:val="99"/>
    <w:rsid w:val="00B209E5"/>
    <w:pPr>
      <w:spacing w:after="0"/>
    </w:pPr>
  </w:style>
  <w:style w:type="paragraph" w:customStyle="1" w:styleId="CrestwithRule0">
    <w:name w:val="Crest with Rule"/>
    <w:basedOn w:val="Normal"/>
    <w:uiPriority w:val="99"/>
    <w:semiHidden/>
    <w:qFormat/>
    <w:rsid w:val="005D2C33"/>
    <w:pPr>
      <w:pBdr>
        <w:bottom w:val="single" w:sz="24" w:space="1" w:color="00B0B9" w:themeColor="accent2"/>
      </w:pBdr>
      <w:ind w:left="-284" w:right="-425"/>
    </w:pPr>
  </w:style>
  <w:style w:type="table" w:customStyle="1" w:styleId="MACtable">
    <w:name w:val="MAC table"/>
    <w:basedOn w:val="TableNormal"/>
    <w:uiPriority w:val="99"/>
    <w:rsid w:val="00EA4C23"/>
    <w:pPr>
      <w:spacing w:after="0" w:line="240" w:lineRule="auto"/>
    </w:pPr>
    <w:rPr>
      <w:rFonts w:ascii="Arial" w:hAnsi="Arial"/>
    </w:rPr>
    <w:tblPr>
      <w:tblInd w:w="0" w:type="nil"/>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blStylePr w:type="firstRow">
      <w:rPr>
        <w:rFonts w:ascii="Arial" w:hAnsi="Arial" w:cs="Arial" w:hint="default"/>
        <w:b/>
        <w:color w:val="FFFFFF" w:themeColor="background1"/>
        <w:sz w:val="28"/>
        <w:szCs w:val="28"/>
      </w:rPr>
      <w:tblPr/>
      <w:tcPr>
        <w:shd w:val="clear" w:color="auto" w:fill="00B0B9"/>
      </w:tcPr>
    </w:tblStylePr>
    <w:tblStylePr w:type="lastRow">
      <w:rPr>
        <w:b/>
      </w:rPr>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0B3B5B"/>
    <w:rPr>
      <w:sz w:val="16"/>
      <w:szCs w:val="16"/>
    </w:rPr>
  </w:style>
  <w:style w:type="paragraph" w:styleId="CommentText">
    <w:name w:val="annotation text"/>
    <w:basedOn w:val="Normal"/>
    <w:link w:val="CommentTextChar"/>
    <w:uiPriority w:val="99"/>
    <w:unhideWhenUsed/>
    <w:rsid w:val="00521424"/>
    <w:pPr>
      <w:spacing w:line="240" w:lineRule="auto"/>
    </w:pPr>
    <w:rPr>
      <w:sz w:val="20"/>
      <w:szCs w:val="20"/>
    </w:rPr>
  </w:style>
  <w:style w:type="character" w:customStyle="1" w:styleId="CommentTextChar">
    <w:name w:val="Comment Text Char"/>
    <w:basedOn w:val="DefaultParagraphFont"/>
    <w:link w:val="CommentText"/>
    <w:uiPriority w:val="99"/>
    <w:rsid w:val="00521424"/>
    <w:rPr>
      <w:spacing w:val="3"/>
      <w:sz w:val="20"/>
      <w:szCs w:val="20"/>
    </w:rPr>
  </w:style>
  <w:style w:type="paragraph" w:styleId="CommentSubject">
    <w:name w:val="annotation subject"/>
    <w:basedOn w:val="CommentText"/>
    <w:next w:val="CommentText"/>
    <w:link w:val="CommentSubjectChar"/>
    <w:uiPriority w:val="99"/>
    <w:semiHidden/>
    <w:unhideWhenUsed/>
    <w:rsid w:val="00C122D8"/>
    <w:rPr>
      <w:b/>
      <w:bCs/>
    </w:rPr>
  </w:style>
  <w:style w:type="character" w:customStyle="1" w:styleId="CommentSubjectChar">
    <w:name w:val="Comment Subject Char"/>
    <w:basedOn w:val="CommentTextChar"/>
    <w:link w:val="CommentSubject"/>
    <w:uiPriority w:val="99"/>
    <w:semiHidden/>
    <w:rsid w:val="00C122D8"/>
    <w:rPr>
      <w:b/>
      <w:bCs/>
      <w:spacing w:val="3"/>
      <w:sz w:val="20"/>
      <w:szCs w:val="20"/>
    </w:rPr>
  </w:style>
  <w:style w:type="paragraph" w:styleId="Revision">
    <w:name w:val="Revision"/>
    <w:hidden/>
    <w:uiPriority w:val="99"/>
    <w:semiHidden/>
    <w:rsid w:val="00DC0F26"/>
    <w:pPr>
      <w:spacing w:after="0" w:line="240" w:lineRule="auto"/>
    </w:pPr>
    <w:rPr>
      <w:spacing w:val="3"/>
      <w:sz w:val="22"/>
    </w:rPr>
  </w:style>
  <w:style w:type="character" w:styleId="IntenseReference">
    <w:name w:val="Intense Reference"/>
    <w:basedOn w:val="DefaultParagraphFont"/>
    <w:uiPriority w:val="32"/>
    <w:qFormat/>
    <w:rsid w:val="007B60CC"/>
    <w:rPr>
      <w:b/>
      <w:bCs/>
      <w:smallCaps/>
      <w:color w:val="005A70" w:themeColor="accent1"/>
      <w:spacing w:val="5"/>
    </w:rPr>
  </w:style>
  <w:style w:type="paragraph" w:styleId="IntenseQuote">
    <w:name w:val="Intense Quote"/>
    <w:basedOn w:val="Normal"/>
    <w:next w:val="Normal"/>
    <w:link w:val="IntenseQuoteChar"/>
    <w:uiPriority w:val="30"/>
    <w:qFormat/>
    <w:rsid w:val="007B60CC"/>
    <w:pPr>
      <w:pBdr>
        <w:top w:val="single" w:sz="4" w:space="10" w:color="005A70" w:themeColor="accent1"/>
        <w:bottom w:val="single" w:sz="4" w:space="10" w:color="005A70" w:themeColor="accent1"/>
      </w:pBdr>
      <w:spacing w:before="360" w:after="360"/>
      <w:ind w:left="864" w:right="864"/>
      <w:jc w:val="center"/>
    </w:pPr>
    <w:rPr>
      <w:i/>
      <w:iCs/>
      <w:color w:val="005A70" w:themeColor="accent1"/>
    </w:rPr>
  </w:style>
  <w:style w:type="character" w:customStyle="1" w:styleId="IntenseQuoteChar">
    <w:name w:val="Intense Quote Char"/>
    <w:basedOn w:val="DefaultParagraphFont"/>
    <w:link w:val="IntenseQuote"/>
    <w:uiPriority w:val="30"/>
    <w:rsid w:val="007B60CC"/>
    <w:rPr>
      <w:i/>
      <w:iCs/>
      <w:color w:val="005A70" w:themeColor="accent1"/>
      <w:spacing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7301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mailto:fraud@dss.gov.au" TargetMode="External"/><Relationship Id="rId26" Type="http://schemas.openxmlformats.org/officeDocument/2006/relationships/hyperlink" Target="https://www.ag.gov.au/integrity/publications/australian-government-investigations-standards" TargetMode="External"/><Relationship Id="rId3" Type="http://schemas.openxmlformats.org/officeDocument/2006/relationships/styles" Target="styles.xml"/><Relationship Id="rId21" Type="http://schemas.openxmlformats.org/officeDocument/2006/relationships/hyperlink" Target="https://www.legislation.gov.au/C2013A00123/latest/version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PublicInterestDisclosures@dss.gov.au" TargetMode="External"/><Relationship Id="rId25" Type="http://schemas.openxmlformats.org/officeDocument/2006/relationships/hyperlink" Target="https://www.counterfraud.gov.au/library/commonwealth-fraud-and-corruption-control-framework-2024" TargetMode="External"/><Relationship Id="rId2" Type="http://schemas.openxmlformats.org/officeDocument/2006/relationships/numbering" Target="numbering.xml"/><Relationship Id="rId16" Type="http://schemas.openxmlformats.org/officeDocument/2006/relationships/hyperlink" Target="mailto:Fraud@dss.gov.au" TargetMode="External"/><Relationship Id="rId20" Type="http://schemas.openxmlformats.org/officeDocument/2006/relationships/hyperlink" Target="https://www.ag.gov.au/integrity/national-anti-corruption-commission" TargetMode="External"/><Relationship Id="rId29" Type="http://schemas.openxmlformats.org/officeDocument/2006/relationships/hyperlink" Target="https://www.protectivesecurity.gov.au/about/structure-protective-security-policy-frame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finance.gov.au/about-us/news/2022/revised-commonwealth-risk-management-policy-202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store.standards.org.au/reader/as-8001-2021?preview=1" TargetMode="External"/><Relationship Id="rId28" Type="http://schemas.openxmlformats.org/officeDocument/2006/relationships/hyperlink" Target="https://www.finance.gov.au/government/commonwealth-grants/commonwealth-grants-rules-and-guidelines" TargetMode="External"/><Relationship Id="rId10" Type="http://schemas.openxmlformats.org/officeDocument/2006/relationships/image" Target="media/image3.jpeg"/><Relationship Id="rId19" Type="http://schemas.openxmlformats.org/officeDocument/2006/relationships/hyperlink" Target="mailto:integrity@dss.gov.a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6.svg"/><Relationship Id="rId22" Type="http://schemas.openxmlformats.org/officeDocument/2006/relationships/hyperlink" Target="https://www.legislation.gov.au/F2014L00911/latest/text" TargetMode="External"/><Relationship Id="rId27" Type="http://schemas.openxmlformats.org/officeDocument/2006/relationships/hyperlink" Target="https://www.legislation.gov.au/C2022A00088/latest/text" TargetMode="External"/><Relationship Id="rId30" Type="http://schemas.openxmlformats.org/officeDocument/2006/relationships/hyperlink" Target="https://www.nacc.gov.au/reporting-and-investigating-corruption/how-to-make-repor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DSS Blue">
  <a:themeElements>
    <a:clrScheme name="DSS">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70C0"/>
      </a:hlink>
      <a:folHlink>
        <a:srgbClr val="0070C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23FDD-B040-45FF-A27B-F3E23CA3A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4232</Words>
  <Characters>26563</Characters>
  <Application>Microsoft Office Word</Application>
  <DocSecurity>0</DocSecurity>
  <Lines>659</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FRAUD AND CORRUPTION CONTROL PLAN 2026-2028</dc:title>
  <dc:subject/>
  <dc:creator/>
  <cp:keywords>[SEC=OFFICIAL]</cp:keywords>
  <cp:lastModifiedBy/>
  <cp:revision>1</cp:revision>
  <dcterms:created xsi:type="dcterms:W3CDTF">2026-07-14T05:21:00Z</dcterms:created>
  <dcterms:modified xsi:type="dcterms:W3CDTF">2026-07-14T05:22:00Z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B51A5B0BF72647C5B505FD48B6A220E6</vt:lpwstr>
  </property>
  <property fmtid="{D5CDD505-2E9C-101B-9397-08002B2CF9AE}" pid="8" name="PM_ProtectiveMarkingValue_Footer">
    <vt:lpwstr>OFFICIAL</vt:lpwstr>
  </property>
  <property fmtid="{D5CDD505-2E9C-101B-9397-08002B2CF9AE}" pid="9" name="PM_Originator_Hash_SHA1">
    <vt:lpwstr>EF3B9B4EBA12F846AE32F1483CEE000D35A0C8C5</vt:lpwstr>
  </property>
  <property fmtid="{D5CDD505-2E9C-101B-9397-08002B2CF9AE}" pid="10" name="PM_OriginationTimeStamp">
    <vt:lpwstr>2024-03-05T03:17:34Z</vt:lpwstr>
  </property>
  <property fmtid="{D5CDD505-2E9C-101B-9397-08002B2CF9AE}" pid="11" name="PM_ProtectiveMarkingValue_Header">
    <vt:lpwstr>OFFICIAL</vt:lpwstr>
  </property>
  <property fmtid="{D5CDD505-2E9C-101B-9397-08002B2CF9AE}" pid="12" name="MSIP_Label_eb34d90b-fc41-464d-af60-f74d721d0790_SetDate">
    <vt:lpwstr>2024-03-05T03:17:34Z</vt:lpwstr>
  </property>
  <property fmtid="{D5CDD505-2E9C-101B-9397-08002B2CF9AE}" pid="13" name="PM_ProtectiveMarkingImage_Footer">
    <vt:lpwstr>C:\Program Files (x86)\Common Files\janusNET Shared\janusSEAL\Images\DocumentSlashBlue.png</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Display">
    <vt:lpwstr>OFFICIAL</vt:lpwstr>
  </property>
  <property fmtid="{D5CDD505-2E9C-101B-9397-08002B2CF9AE}" pid="17" name="PM_Hash_Version">
    <vt:lpwstr>2024.1</vt:lpwstr>
  </property>
  <property fmtid="{D5CDD505-2E9C-101B-9397-08002B2CF9AE}" pid="18" name="PM_Hash_Salt_Prev">
    <vt:lpwstr>8132F804FBA64EEE71A4EA92A47CC30E</vt:lpwstr>
  </property>
  <property fmtid="{D5CDD505-2E9C-101B-9397-08002B2CF9AE}" pid="19" name="PM_Hash_Salt">
    <vt:lpwstr>AF8F9684F64766528196963B342F8203</vt:lpwstr>
  </property>
  <property fmtid="{D5CDD505-2E9C-101B-9397-08002B2CF9AE}" pid="20" name="PM_Hash_SHA1">
    <vt:lpwstr>DAEDCCCD6BD800021EAB1C2F3F4FD76485721B0A</vt:lpwstr>
  </property>
  <property fmtid="{D5CDD505-2E9C-101B-9397-08002B2CF9AE}" pid="21" name="PM_OriginatorUserAccountName_SHA256">
    <vt:lpwstr>52B97822998D45A5FE76FBF575035034760AD13EE13D3825DB38D567D3AEDC5E</vt:lpwstr>
  </property>
  <property fmtid="{D5CDD505-2E9C-101B-9397-08002B2CF9AE}" pid="22" name="PM_OriginatorDomainName_SHA256">
    <vt:lpwstr>E83A2A66C4061446A7E3732E8D44762184B6B377D962B96C83DC624302585857</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SIP_Label_eb34d90b-fc41-464d-af60-f74d721d0790_ActionId">
    <vt:lpwstr>4bce41930fd04e62a18334e742adae77</vt:lpwstr>
  </property>
  <property fmtid="{D5CDD505-2E9C-101B-9397-08002B2CF9AE}" pid="26" name="PMUuid">
    <vt:lpwstr>v=2022.2;d=gov.au;g=46DD6D7C-8107-577B-BC6E-F348953B2E44</vt:lpwstr>
  </property>
  <property fmtid="{D5CDD505-2E9C-101B-9397-08002B2CF9AE}" pid="27" name="MSIP_Label_eb34d90b-fc41-464d-af60-f74d721d0790_SiteId">
    <vt:lpwstr>61e36dd1-ca6e-4d61-aa0a-2b4eb88317a3</vt:lpwstr>
  </property>
  <property fmtid="{D5CDD505-2E9C-101B-9397-08002B2CF9AE}" pid="28" name="MSIP_Label_eb34d90b-fc41-464d-af60-f74d721d0790_Method">
    <vt:lpwstr>Privileged</vt:lpwstr>
  </property>
  <property fmtid="{D5CDD505-2E9C-101B-9397-08002B2CF9AE}" pid="29" name="MSIP_Label_eb34d90b-fc41-464d-af60-f74d721d0790_ContentBits">
    <vt:lpwstr>3</vt:lpwstr>
  </property>
  <property fmtid="{D5CDD505-2E9C-101B-9397-08002B2CF9AE}" pid="30" name="MSIP_Label_eb34d90b-fc41-464d-af60-f74d721d0790_Enabled">
    <vt:lpwstr>true</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v=2024.1;a=SHA256;h=4C3A334C1DA8DF0BA68EE978A9774EFD7F744872C387FFA34BA3821AD3CADC97</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