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20E0D" w14:textId="7BEC7286" w:rsidR="00C96FF3" w:rsidRPr="000A58CF" w:rsidRDefault="008D076C" w:rsidP="00D87759">
      <w:pPr>
        <w:pStyle w:val="Heading1"/>
      </w:pPr>
      <w:r>
        <w:t>Estimating the c</w:t>
      </w:r>
      <w:r w:rsidR="00DC3E60">
        <w:t xml:space="preserve">osts of children </w:t>
      </w:r>
    </w:p>
    <w:p w14:paraId="4AE34CBC" w14:textId="66A1B51F" w:rsidR="00D7707E" w:rsidRPr="000A58CF" w:rsidRDefault="00211565" w:rsidP="001812F9">
      <w:pPr>
        <w:pStyle w:val="ReportSubtitle"/>
        <w:spacing w:before="120" w:line="360" w:lineRule="auto"/>
        <w:rPr>
          <w:rFonts w:cs="Arial"/>
        </w:rPr>
      </w:pPr>
      <w:r>
        <w:rPr>
          <w:rFonts w:cs="Arial"/>
        </w:rPr>
        <w:t>Literature review</w:t>
      </w:r>
    </w:p>
    <w:p w14:paraId="045C4517" w14:textId="5A4958DF" w:rsidR="00C82A2E" w:rsidRPr="00222BC6" w:rsidRDefault="00C82A2E" w:rsidP="00D87759">
      <w:pPr>
        <w:pStyle w:val="ReportSubtitle"/>
        <w:spacing w:before="120" w:line="360" w:lineRule="auto"/>
      </w:pPr>
      <w:r w:rsidRPr="000A58CF">
        <w:t>Australian Institute of Family Studies</w:t>
      </w:r>
    </w:p>
    <w:p w14:paraId="1312057F" w14:textId="4BCFB6E1" w:rsidR="005F3D72" w:rsidRDefault="00CA7574" w:rsidP="00BB5B6D">
      <w:pPr>
        <w:pStyle w:val="PlaceholderImage"/>
        <w:spacing w:before="120" w:after="0" w:line="360" w:lineRule="auto"/>
        <w:rPr>
          <w:rFonts w:cs="Arial"/>
        </w:rPr>
      </w:pPr>
      <w:r w:rsidRPr="000A58CF">
        <w:rPr>
          <w:rFonts w:cs="Arial"/>
          <w:noProof/>
          <w:lang w:val="en-GB" w:eastAsia="en-GB" w:bidi="ar-SA"/>
        </w:rPr>
        <w:drawing>
          <wp:inline distT="0" distB="0" distL="0" distR="0" wp14:anchorId="4192B039" wp14:editId="337F5ED0">
            <wp:extent cx="2592000" cy="3492000"/>
            <wp:effectExtent l="6985" t="0" r="825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rot="4020000">
                      <a:off x="0" y="0"/>
                      <a:ext cx="2592000" cy="3492000"/>
                    </a:xfrm>
                    <a:prstGeom prst="rect">
                      <a:avLst/>
                    </a:prstGeom>
                    <a:noFill/>
                    <a:ln>
                      <a:noFill/>
                    </a:ln>
                  </pic:spPr>
                </pic:pic>
              </a:graphicData>
            </a:graphic>
          </wp:inline>
        </w:drawing>
      </w:r>
    </w:p>
    <w:p w14:paraId="64E56CA9" w14:textId="652FDC43" w:rsidR="003137AD" w:rsidRPr="004E50E8" w:rsidRDefault="003137AD" w:rsidP="00BB5B6D">
      <w:pPr>
        <w:spacing w:before="1160" w:after="120" w:line="240" w:lineRule="auto"/>
        <w:jc w:val="center"/>
        <w:rPr>
          <w:color w:val="241C44"/>
          <w:sz w:val="26"/>
          <w:szCs w:val="26"/>
        </w:rPr>
      </w:pPr>
      <w:r w:rsidRPr="004E50E8">
        <w:rPr>
          <w:color w:val="241C44"/>
          <w:sz w:val="26"/>
          <w:szCs w:val="26"/>
        </w:rPr>
        <w:t>Maja Gorniak</w:t>
      </w:r>
      <w:r w:rsidR="0038238E" w:rsidRPr="004E50E8">
        <w:rPr>
          <w:color w:val="241C44"/>
          <w:sz w:val="26"/>
          <w:szCs w:val="26"/>
        </w:rPr>
        <w:t xml:space="preserve"> and</w:t>
      </w:r>
      <w:r w:rsidRPr="004E50E8">
        <w:rPr>
          <w:color w:val="241C44"/>
          <w:sz w:val="26"/>
          <w:szCs w:val="26"/>
        </w:rPr>
        <w:t xml:space="preserve"> Catherine Andersson</w:t>
      </w:r>
    </w:p>
    <w:p w14:paraId="2E047906" w14:textId="460F37A3" w:rsidR="003137AD" w:rsidRPr="00A05717" w:rsidRDefault="003137AD" w:rsidP="00BB5B6D">
      <w:pPr>
        <w:pStyle w:val="HeaderCover"/>
        <w:spacing w:before="640"/>
        <w:rPr>
          <w:rFonts w:eastAsia="Times New Roman" w:cs="Arial"/>
          <w:noProof w:val="0"/>
          <w:color w:val="E7005E"/>
          <w:sz w:val="32"/>
          <w:szCs w:val="32"/>
          <w:lang w:val="en-AU" w:bidi="en-US"/>
        </w:rPr>
        <w:sectPr w:rsidR="003137AD" w:rsidRPr="00A05717" w:rsidSect="00C24D35">
          <w:headerReference w:type="default" r:id="rId9"/>
          <w:footerReference w:type="default" r:id="rId10"/>
          <w:headerReference w:type="first" r:id="rId11"/>
          <w:pgSz w:w="11901" w:h="16840"/>
          <w:pgMar w:top="1418" w:right="1701" w:bottom="1418" w:left="1701" w:header="1701" w:footer="680" w:gutter="0"/>
          <w:cols w:space="708"/>
          <w:noEndnote/>
          <w:titlePg/>
        </w:sectPr>
      </w:pPr>
      <w:r w:rsidRPr="00A05717">
        <w:rPr>
          <w:rFonts w:eastAsia="Times New Roman" w:cs="Arial"/>
          <w:noProof w:val="0"/>
          <w:color w:val="E7005E"/>
          <w:sz w:val="32"/>
          <w:szCs w:val="32"/>
          <w:lang w:val="en-AU" w:bidi="en-US"/>
        </w:rPr>
        <w:t>June 2024</w:t>
      </w:r>
    </w:p>
    <w:bookmarkStart w:id="0" w:name="_Toc244200125" w:displacedByCustomXml="next"/>
    <w:sdt>
      <w:sdtPr>
        <w:rPr>
          <w:bCs/>
          <w:color w:val="2C2624"/>
          <w:kern w:val="0"/>
          <w:sz w:val="20"/>
          <w:szCs w:val="20"/>
        </w:rPr>
        <w:id w:val="880978582"/>
        <w:docPartObj>
          <w:docPartGallery w:val="Table of Contents"/>
          <w:docPartUnique/>
        </w:docPartObj>
      </w:sdtPr>
      <w:sdtContent>
        <w:p w14:paraId="5494FA2F" w14:textId="383FCFE0" w:rsidR="00D44ED0" w:rsidRPr="000A58CF" w:rsidRDefault="00D44ED0" w:rsidP="00222BC6">
          <w:pPr>
            <w:pStyle w:val="Heading2"/>
          </w:pPr>
          <w:r>
            <w:t>Contents</w:t>
          </w:r>
          <w:bookmarkEnd w:id="0"/>
        </w:p>
        <w:p w14:paraId="15676F07" w14:textId="493BE23C" w:rsidR="00C52C2F" w:rsidRPr="00723501" w:rsidRDefault="00C0669A" w:rsidP="55984A4E">
          <w:pPr>
            <w:pStyle w:val="TOC1"/>
            <w:tabs>
              <w:tab w:val="clear" w:pos="8489"/>
              <w:tab w:val="right" w:leader="dot" w:pos="8475"/>
            </w:tabs>
            <w:rPr>
              <w:rStyle w:val="Hyperlink"/>
              <w:noProof/>
              <w:kern w:val="2"/>
              <w:lang w:eastAsia="en-AU"/>
            </w:rPr>
          </w:pPr>
          <w:r>
            <w:fldChar w:fldCharType="begin"/>
          </w:r>
          <w:r w:rsidR="00D44ED0">
            <w:instrText>TOC \o "1-3" \z \u \h</w:instrText>
          </w:r>
          <w:r>
            <w:fldChar w:fldCharType="separate"/>
          </w:r>
          <w:hyperlink w:anchor="_Toc244200125">
            <w:r w:rsidR="55984A4E" w:rsidRPr="55984A4E">
              <w:rPr>
                <w:rStyle w:val="Hyperlink"/>
              </w:rPr>
              <w:t>Contents</w:t>
            </w:r>
            <w:r w:rsidR="00D44ED0">
              <w:tab/>
            </w:r>
            <w:r w:rsidR="00D44ED0">
              <w:fldChar w:fldCharType="begin"/>
            </w:r>
            <w:r w:rsidR="00D44ED0">
              <w:instrText>PAGEREF _Toc244200125 \h</w:instrText>
            </w:r>
            <w:r w:rsidR="00D44ED0">
              <w:fldChar w:fldCharType="separate"/>
            </w:r>
            <w:r>
              <w:rPr>
                <w:noProof/>
              </w:rPr>
              <w:t>2</w:t>
            </w:r>
            <w:r w:rsidR="00D44ED0">
              <w:fldChar w:fldCharType="end"/>
            </w:r>
          </w:hyperlink>
        </w:p>
        <w:p w14:paraId="3C1B1E55" w14:textId="034FF23A" w:rsidR="00C52C2F" w:rsidRPr="00723501" w:rsidRDefault="55984A4E" w:rsidP="55984A4E">
          <w:pPr>
            <w:pStyle w:val="TOC1"/>
            <w:tabs>
              <w:tab w:val="clear" w:pos="8489"/>
              <w:tab w:val="right" w:leader="dot" w:pos="8475"/>
            </w:tabs>
            <w:rPr>
              <w:rStyle w:val="Hyperlink"/>
              <w:noProof/>
              <w:kern w:val="2"/>
              <w:lang w:eastAsia="en-AU"/>
            </w:rPr>
          </w:pPr>
          <w:hyperlink w:anchor="_Toc276206802">
            <w:r w:rsidRPr="55984A4E">
              <w:rPr>
                <w:rStyle w:val="Hyperlink"/>
              </w:rPr>
              <w:t>Executive Summary</w:t>
            </w:r>
            <w:r w:rsidR="00C0669A">
              <w:tab/>
            </w:r>
            <w:r w:rsidR="00C0669A">
              <w:fldChar w:fldCharType="begin"/>
            </w:r>
            <w:r w:rsidR="00C0669A">
              <w:instrText>PAGEREF _Toc276206802 \h</w:instrText>
            </w:r>
            <w:r w:rsidR="00C0669A">
              <w:fldChar w:fldCharType="separate"/>
            </w:r>
            <w:r w:rsidR="00C0669A">
              <w:rPr>
                <w:noProof/>
              </w:rPr>
              <w:t>3</w:t>
            </w:r>
            <w:r w:rsidR="00C0669A">
              <w:fldChar w:fldCharType="end"/>
            </w:r>
          </w:hyperlink>
        </w:p>
        <w:p w14:paraId="776784F5" w14:textId="4DA0F1DA" w:rsidR="00C52C2F" w:rsidRPr="00723501" w:rsidRDefault="55984A4E" w:rsidP="55984A4E">
          <w:pPr>
            <w:pStyle w:val="TOC1"/>
            <w:tabs>
              <w:tab w:val="clear" w:pos="8489"/>
              <w:tab w:val="right" w:leader="dot" w:pos="8475"/>
            </w:tabs>
            <w:rPr>
              <w:rStyle w:val="Hyperlink"/>
              <w:noProof/>
              <w:kern w:val="2"/>
              <w:lang w:eastAsia="en-AU"/>
            </w:rPr>
          </w:pPr>
          <w:hyperlink w:anchor="_Toc2088849542">
            <w:r w:rsidRPr="55984A4E">
              <w:rPr>
                <w:rStyle w:val="Hyperlink"/>
              </w:rPr>
              <w:t>Introduction</w:t>
            </w:r>
            <w:r w:rsidR="00C0669A">
              <w:tab/>
            </w:r>
            <w:r w:rsidR="00C0669A">
              <w:fldChar w:fldCharType="begin"/>
            </w:r>
            <w:r w:rsidR="00C0669A">
              <w:instrText>PAGEREF _Toc2088849542 \h</w:instrText>
            </w:r>
            <w:r w:rsidR="00C0669A">
              <w:fldChar w:fldCharType="separate"/>
            </w:r>
            <w:r w:rsidR="00C0669A">
              <w:rPr>
                <w:noProof/>
              </w:rPr>
              <w:t>5</w:t>
            </w:r>
            <w:r w:rsidR="00C0669A">
              <w:fldChar w:fldCharType="end"/>
            </w:r>
          </w:hyperlink>
        </w:p>
        <w:p w14:paraId="5964A24A" w14:textId="4F1306CA" w:rsidR="00C52C2F" w:rsidRPr="00723501" w:rsidRDefault="55984A4E" w:rsidP="55984A4E">
          <w:pPr>
            <w:pStyle w:val="TOC1"/>
            <w:tabs>
              <w:tab w:val="clear" w:pos="8489"/>
              <w:tab w:val="right" w:leader="dot" w:pos="8475"/>
            </w:tabs>
            <w:rPr>
              <w:rStyle w:val="Hyperlink"/>
              <w:noProof/>
              <w:kern w:val="2"/>
              <w:lang w:eastAsia="en-AU"/>
            </w:rPr>
          </w:pPr>
          <w:hyperlink w:anchor="_Toc2085902814">
            <w:r w:rsidRPr="55984A4E">
              <w:rPr>
                <w:rStyle w:val="Hyperlink"/>
              </w:rPr>
              <w:t>Method</w:t>
            </w:r>
            <w:r w:rsidR="00C0669A">
              <w:tab/>
            </w:r>
            <w:r w:rsidR="00C0669A">
              <w:fldChar w:fldCharType="begin"/>
            </w:r>
            <w:r w:rsidR="00C0669A">
              <w:instrText>PAGEREF _Toc2085902814 \h</w:instrText>
            </w:r>
            <w:r w:rsidR="00C0669A">
              <w:fldChar w:fldCharType="separate"/>
            </w:r>
            <w:r w:rsidR="00C0669A">
              <w:rPr>
                <w:noProof/>
              </w:rPr>
              <w:t>6</w:t>
            </w:r>
            <w:r w:rsidR="00C0669A">
              <w:fldChar w:fldCharType="end"/>
            </w:r>
          </w:hyperlink>
        </w:p>
        <w:p w14:paraId="04B2D152" w14:textId="7AA361CA" w:rsidR="00C52C2F" w:rsidRPr="00723501" w:rsidRDefault="55984A4E" w:rsidP="55984A4E">
          <w:pPr>
            <w:pStyle w:val="TOC3"/>
            <w:tabs>
              <w:tab w:val="right" w:leader="dot" w:pos="8475"/>
            </w:tabs>
            <w:rPr>
              <w:rStyle w:val="Hyperlink"/>
              <w:noProof/>
              <w:kern w:val="2"/>
              <w:lang w:eastAsia="en-AU"/>
            </w:rPr>
          </w:pPr>
          <w:hyperlink w:anchor="_Toc1906842742">
            <w:r w:rsidRPr="55984A4E">
              <w:rPr>
                <w:rStyle w:val="Hyperlink"/>
              </w:rPr>
              <w:t>Defining the costs of children</w:t>
            </w:r>
            <w:r w:rsidR="00C0669A">
              <w:tab/>
            </w:r>
            <w:r w:rsidR="00C0669A">
              <w:fldChar w:fldCharType="begin"/>
            </w:r>
            <w:r w:rsidR="00C0669A">
              <w:instrText>PAGEREF _Toc1906842742 \h</w:instrText>
            </w:r>
            <w:r w:rsidR="00C0669A">
              <w:fldChar w:fldCharType="separate"/>
            </w:r>
            <w:r w:rsidR="00C0669A">
              <w:rPr>
                <w:noProof/>
              </w:rPr>
              <w:t>6</w:t>
            </w:r>
            <w:r w:rsidR="00C0669A">
              <w:fldChar w:fldCharType="end"/>
            </w:r>
          </w:hyperlink>
        </w:p>
        <w:p w14:paraId="5B14E17F" w14:textId="2FB83253" w:rsidR="00C52C2F" w:rsidRPr="00723501" w:rsidRDefault="55984A4E" w:rsidP="55984A4E">
          <w:pPr>
            <w:pStyle w:val="TOC3"/>
            <w:tabs>
              <w:tab w:val="right" w:leader="dot" w:pos="8475"/>
            </w:tabs>
            <w:rPr>
              <w:rStyle w:val="Hyperlink"/>
              <w:noProof/>
              <w:kern w:val="2"/>
              <w:lang w:eastAsia="en-AU"/>
            </w:rPr>
          </w:pPr>
          <w:hyperlink w:anchor="_Toc325495824">
            <w:r w:rsidRPr="55984A4E">
              <w:rPr>
                <w:rStyle w:val="Hyperlink"/>
              </w:rPr>
              <w:t>Literature search and selection</w:t>
            </w:r>
            <w:r w:rsidR="00C0669A">
              <w:tab/>
            </w:r>
            <w:r w:rsidR="00C0669A">
              <w:fldChar w:fldCharType="begin"/>
            </w:r>
            <w:r w:rsidR="00C0669A">
              <w:instrText>PAGEREF _Toc325495824 \h</w:instrText>
            </w:r>
            <w:r w:rsidR="00C0669A">
              <w:fldChar w:fldCharType="separate"/>
            </w:r>
            <w:r w:rsidR="00C0669A">
              <w:rPr>
                <w:noProof/>
              </w:rPr>
              <w:t>6</w:t>
            </w:r>
            <w:r w:rsidR="00C0669A">
              <w:fldChar w:fldCharType="end"/>
            </w:r>
          </w:hyperlink>
        </w:p>
        <w:p w14:paraId="4B1BB381" w14:textId="749CA1A5" w:rsidR="00C52C2F" w:rsidRPr="00723501" w:rsidRDefault="55984A4E" w:rsidP="55984A4E">
          <w:pPr>
            <w:pStyle w:val="TOC1"/>
            <w:tabs>
              <w:tab w:val="clear" w:pos="8489"/>
              <w:tab w:val="right" w:leader="dot" w:pos="8475"/>
            </w:tabs>
            <w:rPr>
              <w:rStyle w:val="Hyperlink"/>
              <w:noProof/>
              <w:kern w:val="2"/>
              <w:lang w:eastAsia="en-AU"/>
            </w:rPr>
          </w:pPr>
          <w:hyperlink w:anchor="_Toc2040890980">
            <w:r w:rsidRPr="55984A4E">
              <w:rPr>
                <w:rStyle w:val="Hyperlink"/>
              </w:rPr>
              <w:t>Findings</w:t>
            </w:r>
            <w:r w:rsidR="00C0669A">
              <w:tab/>
            </w:r>
            <w:r w:rsidR="00C0669A">
              <w:fldChar w:fldCharType="begin"/>
            </w:r>
            <w:r w:rsidR="00C0669A">
              <w:instrText>PAGEREF _Toc2040890980 \h</w:instrText>
            </w:r>
            <w:r w:rsidR="00C0669A">
              <w:fldChar w:fldCharType="separate"/>
            </w:r>
            <w:r w:rsidR="00C0669A">
              <w:rPr>
                <w:noProof/>
              </w:rPr>
              <w:t>8</w:t>
            </w:r>
            <w:r w:rsidR="00C0669A">
              <w:fldChar w:fldCharType="end"/>
            </w:r>
          </w:hyperlink>
        </w:p>
        <w:p w14:paraId="00C24B10" w14:textId="5F6318FB" w:rsidR="00C52C2F" w:rsidRPr="00723501" w:rsidRDefault="55984A4E" w:rsidP="55984A4E">
          <w:pPr>
            <w:pStyle w:val="TOC2"/>
            <w:tabs>
              <w:tab w:val="clear" w:pos="8489"/>
              <w:tab w:val="right" w:leader="dot" w:pos="8475"/>
            </w:tabs>
            <w:rPr>
              <w:rStyle w:val="Hyperlink"/>
              <w:noProof/>
              <w:kern w:val="2"/>
              <w:lang w:eastAsia="en-AU"/>
            </w:rPr>
          </w:pPr>
          <w:hyperlink w:anchor="_Toc1425994545">
            <w:r w:rsidRPr="55984A4E">
              <w:rPr>
                <w:rStyle w:val="Hyperlink"/>
              </w:rPr>
              <w:t>Key methodological developments in estimating costs of children</w:t>
            </w:r>
            <w:r w:rsidR="00C0669A">
              <w:tab/>
            </w:r>
            <w:r w:rsidR="00C0669A">
              <w:fldChar w:fldCharType="begin"/>
            </w:r>
            <w:r w:rsidR="00C0669A">
              <w:instrText>PAGEREF _Toc1425994545 \h</w:instrText>
            </w:r>
            <w:r w:rsidR="00C0669A">
              <w:fldChar w:fldCharType="separate"/>
            </w:r>
            <w:r w:rsidR="00C0669A">
              <w:rPr>
                <w:noProof/>
              </w:rPr>
              <w:t>8</w:t>
            </w:r>
            <w:r w:rsidR="00C0669A">
              <w:fldChar w:fldCharType="end"/>
            </w:r>
          </w:hyperlink>
        </w:p>
        <w:p w14:paraId="38C64735" w14:textId="729DC7CD" w:rsidR="00C52C2F" w:rsidRPr="00723501" w:rsidRDefault="55984A4E" w:rsidP="55984A4E">
          <w:pPr>
            <w:pStyle w:val="TOC3"/>
            <w:tabs>
              <w:tab w:val="right" w:leader="dot" w:pos="8475"/>
            </w:tabs>
            <w:rPr>
              <w:rStyle w:val="Hyperlink"/>
              <w:noProof/>
              <w:kern w:val="2"/>
              <w:lang w:eastAsia="en-AU"/>
            </w:rPr>
          </w:pPr>
          <w:hyperlink w:anchor="_Toc1872868963">
            <w:r w:rsidRPr="55984A4E">
              <w:rPr>
                <w:rStyle w:val="Hyperlink"/>
              </w:rPr>
              <w:t>Budget standards approach</w:t>
            </w:r>
            <w:r w:rsidR="00C0669A">
              <w:tab/>
            </w:r>
            <w:r w:rsidR="00C0669A">
              <w:fldChar w:fldCharType="begin"/>
            </w:r>
            <w:r w:rsidR="00C0669A">
              <w:instrText>PAGEREF _Toc1872868963 \h</w:instrText>
            </w:r>
            <w:r w:rsidR="00C0669A">
              <w:fldChar w:fldCharType="separate"/>
            </w:r>
            <w:r w:rsidR="00C0669A">
              <w:rPr>
                <w:noProof/>
              </w:rPr>
              <w:t>9</w:t>
            </w:r>
            <w:r w:rsidR="00C0669A">
              <w:fldChar w:fldCharType="end"/>
            </w:r>
          </w:hyperlink>
        </w:p>
        <w:p w14:paraId="29A67E0B" w14:textId="69729D9C" w:rsidR="00C52C2F" w:rsidRPr="00723501" w:rsidRDefault="55984A4E" w:rsidP="55984A4E">
          <w:pPr>
            <w:pStyle w:val="TOC3"/>
            <w:tabs>
              <w:tab w:val="right" w:leader="dot" w:pos="8475"/>
            </w:tabs>
            <w:rPr>
              <w:rStyle w:val="Hyperlink"/>
              <w:noProof/>
              <w:kern w:val="2"/>
              <w:lang w:eastAsia="en-AU"/>
            </w:rPr>
          </w:pPr>
          <w:hyperlink w:anchor="_Toc1483513489">
            <w:r w:rsidRPr="55984A4E">
              <w:rPr>
                <w:rStyle w:val="Hyperlink"/>
              </w:rPr>
              <w:t>Self-reported economic wellbeing method</w:t>
            </w:r>
            <w:r w:rsidR="00C0669A">
              <w:tab/>
            </w:r>
            <w:r w:rsidR="00C0669A">
              <w:fldChar w:fldCharType="begin"/>
            </w:r>
            <w:r w:rsidR="00C0669A">
              <w:instrText>PAGEREF _Toc1483513489 \h</w:instrText>
            </w:r>
            <w:r w:rsidR="00C0669A">
              <w:fldChar w:fldCharType="separate"/>
            </w:r>
            <w:r w:rsidR="00C0669A">
              <w:rPr>
                <w:noProof/>
              </w:rPr>
              <w:t>10</w:t>
            </w:r>
            <w:r w:rsidR="00C0669A">
              <w:fldChar w:fldCharType="end"/>
            </w:r>
          </w:hyperlink>
        </w:p>
        <w:p w14:paraId="733E3D5E" w14:textId="6891734C" w:rsidR="00C52C2F" w:rsidRPr="00723501" w:rsidRDefault="55984A4E" w:rsidP="55984A4E">
          <w:pPr>
            <w:pStyle w:val="TOC3"/>
            <w:tabs>
              <w:tab w:val="right" w:leader="dot" w:pos="8475"/>
            </w:tabs>
            <w:rPr>
              <w:rStyle w:val="Hyperlink"/>
              <w:noProof/>
              <w:kern w:val="2"/>
              <w:lang w:eastAsia="en-AU"/>
            </w:rPr>
          </w:pPr>
          <w:hyperlink w:anchor="_Toc2090025395">
            <w:r w:rsidRPr="55984A4E">
              <w:rPr>
                <w:rStyle w:val="Hyperlink"/>
              </w:rPr>
              <w:t>Expenditure methods</w:t>
            </w:r>
            <w:r w:rsidR="00C0669A">
              <w:tab/>
            </w:r>
            <w:r w:rsidR="00C0669A">
              <w:fldChar w:fldCharType="begin"/>
            </w:r>
            <w:r w:rsidR="00C0669A">
              <w:instrText>PAGEREF _Toc2090025395 \h</w:instrText>
            </w:r>
            <w:r w:rsidR="00C0669A">
              <w:fldChar w:fldCharType="separate"/>
            </w:r>
            <w:r w:rsidR="00C0669A">
              <w:rPr>
                <w:noProof/>
              </w:rPr>
              <w:t>11</w:t>
            </w:r>
            <w:r w:rsidR="00C0669A">
              <w:fldChar w:fldCharType="end"/>
            </w:r>
          </w:hyperlink>
        </w:p>
        <w:p w14:paraId="35C52307" w14:textId="5702EB34" w:rsidR="00C52C2F" w:rsidRPr="00723501" w:rsidRDefault="55984A4E" w:rsidP="55984A4E">
          <w:pPr>
            <w:pStyle w:val="TOC3"/>
            <w:tabs>
              <w:tab w:val="right" w:leader="dot" w:pos="8475"/>
            </w:tabs>
            <w:rPr>
              <w:rStyle w:val="Hyperlink"/>
              <w:noProof/>
              <w:kern w:val="2"/>
              <w:lang w:eastAsia="en-AU"/>
            </w:rPr>
          </w:pPr>
          <w:hyperlink w:anchor="_Toc444768944">
            <w:r w:rsidRPr="55984A4E">
              <w:rPr>
                <w:rStyle w:val="Hyperlink"/>
              </w:rPr>
              <w:t>A comparison of the approaches</w:t>
            </w:r>
            <w:r w:rsidR="00C0669A">
              <w:tab/>
            </w:r>
            <w:r w:rsidR="00C0669A">
              <w:fldChar w:fldCharType="begin"/>
            </w:r>
            <w:r w:rsidR="00C0669A">
              <w:instrText>PAGEREF _Toc444768944 \h</w:instrText>
            </w:r>
            <w:r w:rsidR="00C0669A">
              <w:fldChar w:fldCharType="separate"/>
            </w:r>
            <w:r w:rsidR="00C0669A">
              <w:rPr>
                <w:noProof/>
              </w:rPr>
              <w:t>13</w:t>
            </w:r>
            <w:r w:rsidR="00C0669A">
              <w:fldChar w:fldCharType="end"/>
            </w:r>
          </w:hyperlink>
        </w:p>
        <w:p w14:paraId="66DDA253" w14:textId="52BB0CB9" w:rsidR="00C52C2F" w:rsidRPr="00723501" w:rsidRDefault="55984A4E" w:rsidP="55984A4E">
          <w:pPr>
            <w:pStyle w:val="TOC3"/>
            <w:tabs>
              <w:tab w:val="right" w:leader="dot" w:pos="8475"/>
            </w:tabs>
            <w:rPr>
              <w:rStyle w:val="Hyperlink"/>
              <w:noProof/>
              <w:kern w:val="2"/>
              <w:lang w:eastAsia="en-AU"/>
            </w:rPr>
          </w:pPr>
          <w:hyperlink w:anchor="_Toc102145024">
            <w:r w:rsidRPr="55984A4E">
              <w:rPr>
                <w:rStyle w:val="Hyperlink"/>
              </w:rPr>
              <w:t>Summary</w:t>
            </w:r>
            <w:r w:rsidR="00C0669A">
              <w:tab/>
            </w:r>
            <w:r w:rsidR="00C0669A">
              <w:fldChar w:fldCharType="begin"/>
            </w:r>
            <w:r w:rsidR="00C0669A">
              <w:instrText>PAGEREF _Toc102145024 \h</w:instrText>
            </w:r>
            <w:r w:rsidR="00C0669A">
              <w:fldChar w:fldCharType="separate"/>
            </w:r>
            <w:r w:rsidR="00C0669A">
              <w:rPr>
                <w:noProof/>
              </w:rPr>
              <w:t>13</w:t>
            </w:r>
            <w:r w:rsidR="00C0669A">
              <w:fldChar w:fldCharType="end"/>
            </w:r>
          </w:hyperlink>
        </w:p>
        <w:p w14:paraId="5FA941BC" w14:textId="7E707B60" w:rsidR="00C52C2F" w:rsidRPr="00723501" w:rsidRDefault="55984A4E" w:rsidP="55984A4E">
          <w:pPr>
            <w:pStyle w:val="TOC2"/>
            <w:tabs>
              <w:tab w:val="clear" w:pos="8489"/>
              <w:tab w:val="right" w:leader="dot" w:pos="8475"/>
            </w:tabs>
            <w:rPr>
              <w:rStyle w:val="Hyperlink"/>
              <w:noProof/>
              <w:kern w:val="2"/>
              <w:lang w:eastAsia="en-AU"/>
            </w:rPr>
          </w:pPr>
          <w:hyperlink w:anchor="_Toc1984061067">
            <w:r w:rsidRPr="55984A4E">
              <w:rPr>
                <w:rStyle w:val="Hyperlink"/>
              </w:rPr>
              <w:t>Patterns of care, shared care arrangements, housing, and child care</w:t>
            </w:r>
            <w:r w:rsidR="00C0669A">
              <w:tab/>
            </w:r>
            <w:r w:rsidR="00C0669A">
              <w:fldChar w:fldCharType="begin"/>
            </w:r>
            <w:r w:rsidR="00C0669A">
              <w:instrText>PAGEREF _Toc1984061067 \h</w:instrText>
            </w:r>
            <w:r w:rsidR="00C0669A">
              <w:fldChar w:fldCharType="separate"/>
            </w:r>
            <w:r w:rsidR="00C0669A">
              <w:rPr>
                <w:noProof/>
              </w:rPr>
              <w:t>15</w:t>
            </w:r>
            <w:r w:rsidR="00C0669A">
              <w:fldChar w:fldCharType="end"/>
            </w:r>
          </w:hyperlink>
        </w:p>
        <w:p w14:paraId="7B4BC59A" w14:textId="1872F66F" w:rsidR="00C52C2F" w:rsidRPr="00723501" w:rsidRDefault="55984A4E" w:rsidP="55984A4E">
          <w:pPr>
            <w:pStyle w:val="TOC3"/>
            <w:tabs>
              <w:tab w:val="right" w:leader="dot" w:pos="8475"/>
            </w:tabs>
            <w:rPr>
              <w:rStyle w:val="Hyperlink"/>
              <w:noProof/>
              <w:kern w:val="2"/>
              <w:lang w:eastAsia="en-AU"/>
            </w:rPr>
          </w:pPr>
          <w:hyperlink w:anchor="_Toc85893292">
            <w:r w:rsidRPr="55984A4E">
              <w:rPr>
                <w:rStyle w:val="Hyperlink"/>
              </w:rPr>
              <w:t>Costs of shared care across households</w:t>
            </w:r>
            <w:r w:rsidR="00C0669A">
              <w:tab/>
            </w:r>
            <w:r w:rsidR="00C0669A">
              <w:fldChar w:fldCharType="begin"/>
            </w:r>
            <w:r w:rsidR="00C0669A">
              <w:instrText>PAGEREF _Toc85893292 \h</w:instrText>
            </w:r>
            <w:r w:rsidR="00C0669A">
              <w:fldChar w:fldCharType="separate"/>
            </w:r>
            <w:r w:rsidR="00C0669A">
              <w:rPr>
                <w:noProof/>
              </w:rPr>
              <w:t>15</w:t>
            </w:r>
            <w:r w:rsidR="00C0669A">
              <w:fldChar w:fldCharType="end"/>
            </w:r>
          </w:hyperlink>
        </w:p>
        <w:p w14:paraId="24E88BE6" w14:textId="6AFF34E5" w:rsidR="00C52C2F" w:rsidRPr="00723501" w:rsidRDefault="55984A4E" w:rsidP="55984A4E">
          <w:pPr>
            <w:pStyle w:val="TOC3"/>
            <w:tabs>
              <w:tab w:val="right" w:leader="dot" w:pos="8475"/>
            </w:tabs>
            <w:rPr>
              <w:rStyle w:val="Hyperlink"/>
              <w:noProof/>
              <w:kern w:val="2"/>
              <w:lang w:eastAsia="en-AU"/>
            </w:rPr>
          </w:pPr>
          <w:hyperlink w:anchor="_Toc1248792526">
            <w:r w:rsidRPr="55984A4E">
              <w:rPr>
                <w:rStyle w:val="Hyperlink"/>
              </w:rPr>
              <w:t>Costs of housing</w:t>
            </w:r>
            <w:r w:rsidR="00C0669A">
              <w:tab/>
            </w:r>
            <w:r w:rsidR="00C0669A">
              <w:fldChar w:fldCharType="begin"/>
            </w:r>
            <w:r w:rsidR="00C0669A">
              <w:instrText>PAGEREF _Toc1248792526 \h</w:instrText>
            </w:r>
            <w:r w:rsidR="00C0669A">
              <w:fldChar w:fldCharType="separate"/>
            </w:r>
            <w:r w:rsidR="00C0669A">
              <w:rPr>
                <w:noProof/>
              </w:rPr>
              <w:t>17</w:t>
            </w:r>
            <w:r w:rsidR="00C0669A">
              <w:fldChar w:fldCharType="end"/>
            </w:r>
          </w:hyperlink>
        </w:p>
        <w:p w14:paraId="084BC037" w14:textId="33EED0BA" w:rsidR="00C52C2F" w:rsidRPr="00723501" w:rsidRDefault="55984A4E" w:rsidP="55984A4E">
          <w:pPr>
            <w:pStyle w:val="TOC3"/>
            <w:tabs>
              <w:tab w:val="right" w:leader="dot" w:pos="8475"/>
            </w:tabs>
            <w:rPr>
              <w:rStyle w:val="Hyperlink"/>
              <w:noProof/>
              <w:kern w:val="2"/>
              <w:lang w:eastAsia="en-AU"/>
            </w:rPr>
          </w:pPr>
          <w:hyperlink w:anchor="_Toc1394589206">
            <w:r w:rsidRPr="55984A4E">
              <w:rPr>
                <w:rStyle w:val="Hyperlink"/>
              </w:rPr>
              <w:t>Costs of child care</w:t>
            </w:r>
            <w:r w:rsidR="00C0669A">
              <w:tab/>
            </w:r>
            <w:r w:rsidR="00C0669A">
              <w:fldChar w:fldCharType="begin"/>
            </w:r>
            <w:r w:rsidR="00C0669A">
              <w:instrText>PAGEREF _Toc1394589206 \h</w:instrText>
            </w:r>
            <w:r w:rsidR="00C0669A">
              <w:fldChar w:fldCharType="separate"/>
            </w:r>
            <w:r w:rsidR="00C0669A">
              <w:rPr>
                <w:noProof/>
              </w:rPr>
              <w:t>19</w:t>
            </w:r>
            <w:r w:rsidR="00C0669A">
              <w:fldChar w:fldCharType="end"/>
            </w:r>
          </w:hyperlink>
        </w:p>
        <w:p w14:paraId="5D19A04C" w14:textId="46616181" w:rsidR="00C52C2F" w:rsidRPr="00723501" w:rsidRDefault="55984A4E" w:rsidP="55984A4E">
          <w:pPr>
            <w:pStyle w:val="TOC3"/>
            <w:tabs>
              <w:tab w:val="right" w:leader="dot" w:pos="8475"/>
            </w:tabs>
            <w:rPr>
              <w:rStyle w:val="Hyperlink"/>
              <w:noProof/>
              <w:kern w:val="2"/>
              <w:lang w:eastAsia="en-AU"/>
            </w:rPr>
          </w:pPr>
          <w:hyperlink w:anchor="_Toc1007432645">
            <w:r w:rsidRPr="55984A4E">
              <w:rPr>
                <w:rStyle w:val="Hyperlink"/>
              </w:rPr>
              <w:t>Summary</w:t>
            </w:r>
            <w:r w:rsidR="00C0669A">
              <w:tab/>
            </w:r>
            <w:r w:rsidR="00C0669A">
              <w:fldChar w:fldCharType="begin"/>
            </w:r>
            <w:r w:rsidR="00C0669A">
              <w:instrText>PAGEREF _Toc1007432645 \h</w:instrText>
            </w:r>
            <w:r w:rsidR="00C0669A">
              <w:fldChar w:fldCharType="separate"/>
            </w:r>
            <w:r w:rsidR="00C0669A">
              <w:rPr>
                <w:noProof/>
              </w:rPr>
              <w:t>19</w:t>
            </w:r>
            <w:r w:rsidR="00C0669A">
              <w:fldChar w:fldCharType="end"/>
            </w:r>
          </w:hyperlink>
        </w:p>
        <w:p w14:paraId="3B2764CB" w14:textId="416B7953" w:rsidR="00C52C2F" w:rsidRPr="00723501" w:rsidRDefault="55984A4E" w:rsidP="55984A4E">
          <w:pPr>
            <w:pStyle w:val="TOC1"/>
            <w:tabs>
              <w:tab w:val="clear" w:pos="8489"/>
              <w:tab w:val="right" w:leader="dot" w:pos="8475"/>
            </w:tabs>
            <w:rPr>
              <w:rStyle w:val="Hyperlink"/>
              <w:noProof/>
              <w:kern w:val="2"/>
              <w:lang w:eastAsia="en-AU"/>
            </w:rPr>
          </w:pPr>
          <w:hyperlink w:anchor="_Toc13143954">
            <w:r w:rsidRPr="55984A4E">
              <w:rPr>
                <w:rStyle w:val="Hyperlink"/>
              </w:rPr>
              <w:t>Discussion</w:t>
            </w:r>
            <w:r w:rsidR="00C0669A">
              <w:tab/>
            </w:r>
            <w:r w:rsidR="00C0669A">
              <w:fldChar w:fldCharType="begin"/>
            </w:r>
            <w:r w:rsidR="00C0669A">
              <w:instrText>PAGEREF _Toc13143954 \h</w:instrText>
            </w:r>
            <w:r w:rsidR="00C0669A">
              <w:fldChar w:fldCharType="separate"/>
            </w:r>
            <w:r w:rsidR="00C0669A">
              <w:rPr>
                <w:noProof/>
              </w:rPr>
              <w:t>21</w:t>
            </w:r>
            <w:r w:rsidR="00C0669A">
              <w:fldChar w:fldCharType="end"/>
            </w:r>
          </w:hyperlink>
        </w:p>
        <w:p w14:paraId="715289C6" w14:textId="2F00FE31" w:rsidR="00C52C2F" w:rsidRPr="00723501" w:rsidRDefault="55984A4E" w:rsidP="55984A4E">
          <w:pPr>
            <w:pStyle w:val="TOC1"/>
            <w:tabs>
              <w:tab w:val="clear" w:pos="8489"/>
              <w:tab w:val="right" w:leader="dot" w:pos="8475"/>
            </w:tabs>
            <w:rPr>
              <w:rStyle w:val="Hyperlink"/>
              <w:noProof/>
              <w:kern w:val="2"/>
              <w:lang w:eastAsia="en-AU"/>
            </w:rPr>
          </w:pPr>
          <w:hyperlink w:anchor="_Toc242556671">
            <w:r w:rsidRPr="55984A4E">
              <w:rPr>
                <w:rStyle w:val="Hyperlink"/>
              </w:rPr>
              <w:t>References</w:t>
            </w:r>
            <w:r w:rsidR="00C0669A">
              <w:tab/>
            </w:r>
            <w:r w:rsidR="00C0669A">
              <w:fldChar w:fldCharType="begin"/>
            </w:r>
            <w:r w:rsidR="00C0669A">
              <w:instrText>PAGEREF _Toc242556671 \h</w:instrText>
            </w:r>
            <w:r w:rsidR="00C0669A">
              <w:fldChar w:fldCharType="separate"/>
            </w:r>
            <w:r w:rsidR="00C0669A">
              <w:rPr>
                <w:noProof/>
              </w:rPr>
              <w:t>23</w:t>
            </w:r>
            <w:r w:rsidR="00C0669A">
              <w:fldChar w:fldCharType="end"/>
            </w:r>
          </w:hyperlink>
        </w:p>
        <w:p w14:paraId="067C5C75" w14:textId="12FB03B0" w:rsidR="00C52C2F" w:rsidRPr="00723501" w:rsidRDefault="55984A4E" w:rsidP="55984A4E">
          <w:pPr>
            <w:pStyle w:val="TOC1"/>
            <w:tabs>
              <w:tab w:val="clear" w:pos="8489"/>
              <w:tab w:val="right" w:leader="dot" w:pos="8475"/>
            </w:tabs>
            <w:rPr>
              <w:rStyle w:val="Hyperlink"/>
              <w:noProof/>
              <w:kern w:val="2"/>
              <w:lang w:eastAsia="en-AU"/>
            </w:rPr>
          </w:pPr>
          <w:hyperlink w:anchor="_Toc495885402">
            <w:r w:rsidRPr="55984A4E">
              <w:rPr>
                <w:rStyle w:val="Hyperlink"/>
              </w:rPr>
              <w:t>Appendix 1: An update of estimation methods</w:t>
            </w:r>
            <w:r w:rsidR="00C0669A">
              <w:tab/>
            </w:r>
            <w:r w:rsidR="00C0669A">
              <w:fldChar w:fldCharType="begin"/>
            </w:r>
            <w:r w:rsidR="00C0669A">
              <w:instrText>PAGEREF _Toc495885402 \h</w:instrText>
            </w:r>
            <w:r w:rsidR="00C0669A">
              <w:fldChar w:fldCharType="separate"/>
            </w:r>
            <w:r w:rsidR="00C0669A">
              <w:rPr>
                <w:noProof/>
              </w:rPr>
              <w:t>26</w:t>
            </w:r>
            <w:r w:rsidR="00C0669A">
              <w:fldChar w:fldCharType="end"/>
            </w:r>
          </w:hyperlink>
        </w:p>
        <w:p w14:paraId="6BF39ACA" w14:textId="3CD9DA3F" w:rsidR="00C52C2F" w:rsidRPr="00723501" w:rsidRDefault="55984A4E" w:rsidP="55984A4E">
          <w:pPr>
            <w:pStyle w:val="TOC3"/>
            <w:tabs>
              <w:tab w:val="right" w:leader="dot" w:pos="8475"/>
            </w:tabs>
            <w:rPr>
              <w:rStyle w:val="Hyperlink"/>
              <w:noProof/>
              <w:kern w:val="2"/>
              <w:lang w:eastAsia="en-AU"/>
            </w:rPr>
          </w:pPr>
          <w:hyperlink w:anchor="_Toc406954793">
            <w:r w:rsidRPr="55984A4E">
              <w:rPr>
                <w:rStyle w:val="Hyperlink"/>
              </w:rPr>
              <w:t>Household equivalence scales and expert scales</w:t>
            </w:r>
            <w:r w:rsidR="00C0669A">
              <w:tab/>
            </w:r>
            <w:r w:rsidR="00C0669A">
              <w:fldChar w:fldCharType="begin"/>
            </w:r>
            <w:r w:rsidR="00C0669A">
              <w:instrText>PAGEREF _Toc406954793 \h</w:instrText>
            </w:r>
            <w:r w:rsidR="00C0669A">
              <w:fldChar w:fldCharType="separate"/>
            </w:r>
            <w:r w:rsidR="00C0669A">
              <w:rPr>
                <w:noProof/>
              </w:rPr>
              <w:t>26</w:t>
            </w:r>
            <w:r w:rsidR="00C0669A">
              <w:fldChar w:fldCharType="end"/>
            </w:r>
          </w:hyperlink>
        </w:p>
        <w:p w14:paraId="7B86309D" w14:textId="02FF8B79" w:rsidR="00C52C2F" w:rsidRPr="00723501" w:rsidRDefault="55984A4E" w:rsidP="55984A4E">
          <w:pPr>
            <w:pStyle w:val="TOC1"/>
            <w:tabs>
              <w:tab w:val="clear" w:pos="8489"/>
              <w:tab w:val="right" w:leader="dot" w:pos="8475"/>
            </w:tabs>
            <w:rPr>
              <w:rStyle w:val="Hyperlink"/>
              <w:noProof/>
              <w:kern w:val="2"/>
              <w:lang w:eastAsia="en-AU"/>
            </w:rPr>
          </w:pPr>
          <w:hyperlink w:anchor="_Toc647424734">
            <w:r w:rsidRPr="55984A4E">
              <w:rPr>
                <w:rStyle w:val="Hyperlink"/>
              </w:rPr>
              <w:t>Appendix 2: Costs of children in shared care arrangements</w:t>
            </w:r>
            <w:r w:rsidR="00C0669A">
              <w:tab/>
            </w:r>
            <w:r w:rsidR="00C0669A">
              <w:fldChar w:fldCharType="begin"/>
            </w:r>
            <w:r w:rsidR="00C0669A">
              <w:instrText>PAGEREF _Toc647424734 \h</w:instrText>
            </w:r>
            <w:r w:rsidR="00C0669A">
              <w:fldChar w:fldCharType="separate"/>
            </w:r>
            <w:r w:rsidR="00C0669A">
              <w:rPr>
                <w:noProof/>
              </w:rPr>
              <w:t>29</w:t>
            </w:r>
            <w:r w:rsidR="00C0669A">
              <w:fldChar w:fldCharType="end"/>
            </w:r>
          </w:hyperlink>
          <w:r w:rsidR="00C0669A">
            <w:fldChar w:fldCharType="end"/>
          </w:r>
        </w:p>
      </w:sdtContent>
    </w:sdt>
    <w:p w14:paraId="0D0ED067" w14:textId="05D178FD" w:rsidR="008128E5" w:rsidRPr="000A58CF" w:rsidRDefault="008128E5" w:rsidP="001812F9">
      <w:pPr>
        <w:pStyle w:val="BodyText"/>
        <w:spacing w:line="360" w:lineRule="auto"/>
        <w:rPr>
          <w:rFonts w:cs="Arial"/>
        </w:rPr>
      </w:pPr>
      <w:r w:rsidRPr="000A58CF">
        <w:rPr>
          <w:rFonts w:cs="Arial"/>
        </w:rPr>
        <w:br w:type="page"/>
      </w:r>
    </w:p>
    <w:p w14:paraId="50A47A47" w14:textId="354FD494" w:rsidR="009F10A7" w:rsidRPr="000A58CF" w:rsidRDefault="009F10A7" w:rsidP="00222BC6">
      <w:pPr>
        <w:pStyle w:val="Heading2"/>
        <w:rPr>
          <w:rStyle w:val="normaltextrun"/>
        </w:rPr>
      </w:pPr>
      <w:bookmarkStart w:id="1" w:name="_Toc276206802"/>
      <w:r w:rsidRPr="55984A4E">
        <w:rPr>
          <w:rStyle w:val="normaltextrun"/>
        </w:rPr>
        <w:lastRenderedPageBreak/>
        <w:t>Executive Summary</w:t>
      </w:r>
      <w:bookmarkEnd w:id="1"/>
    </w:p>
    <w:p w14:paraId="4E766E00" w14:textId="00067584" w:rsidR="00BE39DD" w:rsidRDefault="00046E2C" w:rsidP="00B539F2">
      <w:pPr>
        <w:pStyle w:val="BodyText"/>
        <w:spacing w:line="276" w:lineRule="auto"/>
        <w:rPr>
          <w:rFonts w:cs="Arial"/>
          <w:color w:val="auto"/>
        </w:rPr>
      </w:pPr>
      <w:r>
        <w:rPr>
          <w:rFonts w:cs="Arial"/>
          <w:bCs/>
          <w:color w:val="auto"/>
        </w:rPr>
        <w:t xml:space="preserve">This </w:t>
      </w:r>
      <w:r w:rsidR="008D6353">
        <w:rPr>
          <w:rFonts w:cs="Arial"/>
          <w:bCs/>
          <w:color w:val="auto"/>
        </w:rPr>
        <w:t xml:space="preserve">review </w:t>
      </w:r>
      <w:r w:rsidR="00D01CA6">
        <w:rPr>
          <w:rFonts w:cs="Arial"/>
          <w:bCs/>
          <w:color w:val="auto"/>
        </w:rPr>
        <w:t>summaris</w:t>
      </w:r>
      <w:r>
        <w:rPr>
          <w:rFonts w:cs="Arial"/>
          <w:bCs/>
          <w:color w:val="auto"/>
        </w:rPr>
        <w:t>es</w:t>
      </w:r>
      <w:r w:rsidR="00D01CA6">
        <w:rPr>
          <w:rFonts w:cs="Arial"/>
          <w:bCs/>
          <w:color w:val="auto"/>
        </w:rPr>
        <w:t xml:space="preserve"> literature</w:t>
      </w:r>
      <w:r w:rsidR="00580365" w:rsidRPr="000A58CF">
        <w:rPr>
          <w:rFonts w:cs="Arial"/>
        </w:rPr>
        <w:t xml:space="preserve"> </w:t>
      </w:r>
      <w:r w:rsidR="00274DF9" w:rsidRPr="000A58CF">
        <w:rPr>
          <w:rFonts w:cs="Arial"/>
        </w:rPr>
        <w:t>published</w:t>
      </w:r>
      <w:r w:rsidR="00274DF9">
        <w:rPr>
          <w:rFonts w:cs="Arial"/>
        </w:rPr>
        <w:t xml:space="preserve"> </w:t>
      </w:r>
      <w:r w:rsidR="00F72CF4">
        <w:rPr>
          <w:rFonts w:cs="Arial"/>
          <w:color w:val="auto"/>
        </w:rPr>
        <w:t xml:space="preserve">from </w:t>
      </w:r>
      <w:r w:rsidR="00CF2F9B" w:rsidRPr="004E4D05">
        <w:rPr>
          <w:rFonts w:cs="Arial"/>
          <w:color w:val="auto"/>
        </w:rPr>
        <w:t xml:space="preserve">2005 to </w:t>
      </w:r>
      <w:r w:rsidR="00F72CF4">
        <w:rPr>
          <w:rFonts w:cs="Arial"/>
          <w:color w:val="auto"/>
        </w:rPr>
        <w:t xml:space="preserve">early </w:t>
      </w:r>
      <w:r w:rsidR="00CF2F9B" w:rsidRPr="004E4D05">
        <w:rPr>
          <w:rFonts w:cs="Arial"/>
          <w:color w:val="auto"/>
        </w:rPr>
        <w:t>2024</w:t>
      </w:r>
      <w:r w:rsidR="00782089">
        <w:rPr>
          <w:rFonts w:cs="Arial"/>
          <w:color w:val="auto"/>
        </w:rPr>
        <w:t xml:space="preserve"> </w:t>
      </w:r>
      <w:r w:rsidR="00782089" w:rsidRPr="000A58CF">
        <w:rPr>
          <w:rFonts w:cs="Arial"/>
          <w:color w:val="auto"/>
        </w:rPr>
        <w:t>on</w:t>
      </w:r>
      <w:r w:rsidR="00782089">
        <w:rPr>
          <w:rFonts w:cs="Arial"/>
          <w:color w:val="FF0000"/>
        </w:rPr>
        <w:t xml:space="preserve"> </w:t>
      </w:r>
      <w:r w:rsidR="00782089">
        <w:rPr>
          <w:rFonts w:cs="Arial"/>
          <w:color w:val="auto"/>
        </w:rPr>
        <w:t>costs of children research</w:t>
      </w:r>
      <w:r w:rsidR="00CF2F9B">
        <w:rPr>
          <w:rFonts w:cs="Arial"/>
          <w:color w:val="auto"/>
        </w:rPr>
        <w:t>.</w:t>
      </w:r>
      <w:r w:rsidR="0082524E">
        <w:rPr>
          <w:rFonts w:cs="Arial"/>
          <w:color w:val="auto"/>
        </w:rPr>
        <w:t xml:space="preserve"> The purpose</w:t>
      </w:r>
      <w:r w:rsidR="00B77DBD">
        <w:rPr>
          <w:rFonts w:cs="Arial"/>
          <w:color w:val="auto"/>
        </w:rPr>
        <w:t xml:space="preserve"> of this review was to</w:t>
      </w:r>
      <w:r w:rsidR="00BE39DD">
        <w:rPr>
          <w:rFonts w:cs="Arial"/>
          <w:color w:val="auto"/>
        </w:rPr>
        <w:t>:</w:t>
      </w:r>
      <w:r w:rsidR="00B77DBD">
        <w:rPr>
          <w:rFonts w:cs="Arial"/>
          <w:color w:val="auto"/>
        </w:rPr>
        <w:t xml:space="preserve"> </w:t>
      </w:r>
    </w:p>
    <w:p w14:paraId="57A6B61F" w14:textId="73783DE6" w:rsidR="00BE39DD" w:rsidRDefault="00B77DBD" w:rsidP="00BE39DD">
      <w:pPr>
        <w:pStyle w:val="ListBullet"/>
      </w:pPr>
      <w:r>
        <w:t xml:space="preserve">update the literature review undertaken for the </w:t>
      </w:r>
      <w:r w:rsidR="0093585B" w:rsidRPr="000A4A0B">
        <w:t>2005 Ministerial Taskforce on Child Support</w:t>
      </w:r>
      <w:r w:rsidR="0093585B">
        <w:t xml:space="preserve"> (Gray, 2007)</w:t>
      </w:r>
      <w:r w:rsidR="00C439AC">
        <w:t xml:space="preserve"> and highlight any key </w:t>
      </w:r>
      <w:r w:rsidR="00D56BAB">
        <w:t xml:space="preserve">recent </w:t>
      </w:r>
      <w:r w:rsidR="00C439AC">
        <w:t>methodological developments in the field</w:t>
      </w:r>
    </w:p>
    <w:p w14:paraId="61046F6D" w14:textId="56DCFD4B" w:rsidR="00BE39DD" w:rsidRDefault="00BE39DD" w:rsidP="00BE39DD">
      <w:pPr>
        <w:pStyle w:val="ListBullet"/>
      </w:pPr>
      <w:r>
        <w:t xml:space="preserve">identify and provide an overview of cost of children studies that estimate </w:t>
      </w:r>
      <w:r w:rsidRPr="00A22A32">
        <w:t>costs where children spend time in more than one household</w:t>
      </w:r>
      <w:r w:rsidR="00EB44B4">
        <w:t xml:space="preserve">, </w:t>
      </w:r>
      <w:r>
        <w:t>costs under different patterns of care</w:t>
      </w:r>
      <w:r w:rsidR="00EB44B4">
        <w:t>,</w:t>
      </w:r>
      <w:r>
        <w:t xml:space="preserve"> </w:t>
      </w:r>
      <w:r w:rsidRPr="00A22A32">
        <w:t xml:space="preserve">costs where </w:t>
      </w:r>
      <w:proofErr w:type="gramStart"/>
      <w:r w:rsidRPr="00A22A32">
        <w:t>child care</w:t>
      </w:r>
      <w:proofErr w:type="gramEnd"/>
      <w:r w:rsidRPr="00A22A32">
        <w:t xml:space="preserve"> is utilis</w:t>
      </w:r>
      <w:r>
        <w:t>ed</w:t>
      </w:r>
      <w:r w:rsidR="00AC5FAF">
        <w:t>, a</w:t>
      </w:r>
      <w:r>
        <w:t>n</w:t>
      </w:r>
      <w:r w:rsidR="00AC5FAF">
        <w:t>d</w:t>
      </w:r>
      <w:r w:rsidR="001C6A8F">
        <w:t xml:space="preserve"> </w:t>
      </w:r>
      <w:r>
        <w:t>costs for different housing</w:t>
      </w:r>
      <w:r w:rsidR="0055552E">
        <w:t xml:space="preserve"> tenure and housing</w:t>
      </w:r>
      <w:r>
        <w:t xml:space="preserve"> types.</w:t>
      </w:r>
    </w:p>
    <w:p w14:paraId="7A4A9681" w14:textId="1798C44E" w:rsidR="002557B4" w:rsidRDefault="00903DEB" w:rsidP="6DFAFB9A">
      <w:pPr>
        <w:pStyle w:val="BodyText"/>
        <w:spacing w:line="276" w:lineRule="auto"/>
        <w:rPr>
          <w:rFonts w:cs="Arial"/>
          <w:color w:val="auto"/>
        </w:rPr>
      </w:pPr>
      <w:r>
        <w:rPr>
          <w:rFonts w:cs="Arial"/>
          <w:color w:val="auto"/>
        </w:rPr>
        <w:t xml:space="preserve">Understanding the costs of children is </w:t>
      </w:r>
      <w:r w:rsidR="00027840">
        <w:rPr>
          <w:rFonts w:cs="Arial"/>
          <w:color w:val="auto"/>
        </w:rPr>
        <w:t>a key component of the child support scheme, where estimates of the costs of children inform the child support formula.</w:t>
      </w:r>
      <w:r w:rsidR="00110D2A">
        <w:rPr>
          <w:rFonts w:cs="Arial"/>
          <w:color w:val="auto"/>
        </w:rPr>
        <w:t xml:space="preserve"> The </w:t>
      </w:r>
      <w:r w:rsidR="008248E8">
        <w:rPr>
          <w:rFonts w:cs="Arial"/>
          <w:color w:val="auto"/>
        </w:rPr>
        <w:t xml:space="preserve">formula provides the mechanism for the costs of children to be distributed </w:t>
      </w:r>
      <w:r w:rsidR="0055552E">
        <w:rPr>
          <w:rFonts w:cs="Arial"/>
          <w:color w:val="auto"/>
        </w:rPr>
        <w:t>between both parents</w:t>
      </w:r>
      <w:r w:rsidR="008248E8">
        <w:rPr>
          <w:rFonts w:cs="Arial"/>
          <w:color w:val="auto"/>
        </w:rPr>
        <w:t>.</w:t>
      </w:r>
      <w:r w:rsidR="003B2908" w:rsidRPr="6DFAFB9A">
        <w:rPr>
          <w:rFonts w:cs="Arial"/>
          <w:color w:val="auto"/>
        </w:rPr>
        <w:t xml:space="preserve"> </w:t>
      </w:r>
      <w:r w:rsidR="0079613F" w:rsidRPr="6DFAFB9A">
        <w:rPr>
          <w:rFonts w:cs="Arial"/>
          <w:color w:val="auto"/>
        </w:rPr>
        <w:t xml:space="preserve">Gray </w:t>
      </w:r>
      <w:r w:rsidR="003B2908" w:rsidRPr="6DFAFB9A">
        <w:rPr>
          <w:rFonts w:cs="Arial"/>
          <w:color w:val="auto"/>
        </w:rPr>
        <w:t>(2007)</w:t>
      </w:r>
      <w:r w:rsidR="00ED07BE" w:rsidRPr="6DFAFB9A">
        <w:rPr>
          <w:rFonts w:cs="Arial"/>
          <w:color w:val="auto"/>
        </w:rPr>
        <w:t xml:space="preserve"> identified</w:t>
      </w:r>
      <w:r w:rsidR="003E6857" w:rsidRPr="6DFAFB9A">
        <w:rPr>
          <w:rFonts w:cs="Arial"/>
          <w:color w:val="auto"/>
        </w:rPr>
        <w:t xml:space="preserve"> </w:t>
      </w:r>
      <w:r w:rsidR="00DD4F19" w:rsidRPr="6DFAFB9A">
        <w:rPr>
          <w:rFonts w:cs="Arial"/>
          <w:color w:val="auto"/>
        </w:rPr>
        <w:t xml:space="preserve">different methods </w:t>
      </w:r>
      <w:r w:rsidR="00F02039" w:rsidRPr="6DFAFB9A">
        <w:rPr>
          <w:rFonts w:cs="Arial"/>
          <w:color w:val="auto"/>
        </w:rPr>
        <w:t>for estimating the cost of a child</w:t>
      </w:r>
      <w:r w:rsidR="00B539F2" w:rsidRPr="6DFAFB9A">
        <w:rPr>
          <w:rFonts w:cs="Arial"/>
          <w:color w:val="auto"/>
        </w:rPr>
        <w:t xml:space="preserve">, each </w:t>
      </w:r>
      <w:r w:rsidR="00B539F2" w:rsidRPr="6DFAFB9A" w:rsidDel="0055552E">
        <w:rPr>
          <w:rFonts w:cs="Arial"/>
          <w:color w:val="auto"/>
        </w:rPr>
        <w:t xml:space="preserve">with </w:t>
      </w:r>
      <w:r w:rsidR="00683BAB" w:rsidRPr="6DFAFB9A">
        <w:rPr>
          <w:rFonts w:cs="Arial"/>
          <w:color w:val="auto"/>
        </w:rPr>
        <w:t>its</w:t>
      </w:r>
      <w:r w:rsidR="00B539F2" w:rsidRPr="6DFAFB9A">
        <w:rPr>
          <w:rFonts w:cs="Arial"/>
          <w:color w:val="auto"/>
        </w:rPr>
        <w:t xml:space="preserve"> own strengths and limitations</w:t>
      </w:r>
      <w:r w:rsidR="00683BAB" w:rsidRPr="6DFAFB9A">
        <w:rPr>
          <w:rFonts w:cs="Arial"/>
          <w:color w:val="auto"/>
        </w:rPr>
        <w:t>. He</w:t>
      </w:r>
      <w:r w:rsidR="00F02039" w:rsidRPr="6DFAFB9A">
        <w:rPr>
          <w:rFonts w:cs="Arial"/>
          <w:color w:val="auto"/>
        </w:rPr>
        <w:t xml:space="preserve"> concluded </w:t>
      </w:r>
      <w:r w:rsidR="00B539F2" w:rsidRPr="6DFAFB9A">
        <w:rPr>
          <w:rFonts w:cs="Arial"/>
          <w:color w:val="auto"/>
        </w:rPr>
        <w:t xml:space="preserve">that ‘there is no unambiguous ‘true cost’ of a child and that, in the end it is a matter for judgment, but that this judgment needs to be informed by available empirical </w:t>
      </w:r>
      <w:proofErr w:type="gramStart"/>
      <w:r w:rsidR="00B539F2" w:rsidRPr="6DFAFB9A">
        <w:rPr>
          <w:rFonts w:cs="Arial"/>
          <w:color w:val="auto"/>
        </w:rPr>
        <w:t>estimates’</w:t>
      </w:r>
      <w:proofErr w:type="gramEnd"/>
      <w:r w:rsidR="00B539F2" w:rsidRPr="6DFAFB9A">
        <w:rPr>
          <w:rFonts w:cs="Arial"/>
          <w:color w:val="auto"/>
        </w:rPr>
        <w:t>.</w:t>
      </w:r>
      <w:r w:rsidR="002557B4" w:rsidRPr="6DFAFB9A">
        <w:rPr>
          <w:rFonts w:cs="Arial"/>
          <w:color w:val="auto"/>
        </w:rPr>
        <w:t xml:space="preserve"> </w:t>
      </w:r>
      <w:r w:rsidR="00727C76" w:rsidRPr="6DFAFB9A">
        <w:rPr>
          <w:rFonts w:cs="Arial"/>
          <w:color w:val="auto"/>
        </w:rPr>
        <w:t xml:space="preserve">Our review </w:t>
      </w:r>
      <w:r w:rsidR="00AD71AC" w:rsidRPr="6DFAFB9A">
        <w:rPr>
          <w:rFonts w:cs="Arial"/>
          <w:color w:val="auto"/>
        </w:rPr>
        <w:t xml:space="preserve">comes to </w:t>
      </w:r>
      <w:r w:rsidR="002F1A9B" w:rsidRPr="6DFAFB9A">
        <w:rPr>
          <w:rFonts w:cs="Arial"/>
          <w:color w:val="auto"/>
        </w:rPr>
        <w:t>a similar</w:t>
      </w:r>
      <w:r w:rsidR="00AD71AC" w:rsidRPr="6DFAFB9A">
        <w:rPr>
          <w:rFonts w:cs="Arial"/>
          <w:color w:val="auto"/>
        </w:rPr>
        <w:t xml:space="preserve"> conclusion</w:t>
      </w:r>
      <w:r w:rsidR="004E6ABB" w:rsidRPr="6DFAFB9A">
        <w:rPr>
          <w:rFonts w:cs="Arial"/>
          <w:color w:val="auto"/>
        </w:rPr>
        <w:t>.</w:t>
      </w:r>
      <w:r w:rsidR="00AD71AC" w:rsidRPr="6DFAFB9A">
        <w:rPr>
          <w:rFonts w:cs="Arial"/>
          <w:color w:val="auto"/>
        </w:rPr>
        <w:t xml:space="preserve"> </w:t>
      </w:r>
    </w:p>
    <w:p w14:paraId="4C496ECD" w14:textId="5FF2A74B" w:rsidR="00753B37" w:rsidRDefault="004E6ABB" w:rsidP="00734B24">
      <w:pPr>
        <w:pStyle w:val="BodyText"/>
        <w:spacing w:line="276" w:lineRule="auto"/>
        <w:rPr>
          <w:rFonts w:cs="Arial"/>
          <w:bCs/>
          <w:color w:val="auto"/>
        </w:rPr>
      </w:pPr>
      <w:r>
        <w:rPr>
          <w:rFonts w:cs="Arial"/>
          <w:bCs/>
          <w:color w:val="auto"/>
        </w:rPr>
        <w:t>T</w:t>
      </w:r>
      <w:r w:rsidR="009857DC">
        <w:rPr>
          <w:rFonts w:cs="Arial"/>
          <w:bCs/>
          <w:color w:val="auto"/>
        </w:rPr>
        <w:t xml:space="preserve">here are still many different methods </w:t>
      </w:r>
      <w:r w:rsidR="00D1775C">
        <w:rPr>
          <w:rFonts w:cs="Arial"/>
          <w:bCs/>
          <w:color w:val="auto"/>
        </w:rPr>
        <w:t>that are used to estimate the cost of a child</w:t>
      </w:r>
      <w:r w:rsidR="00544050">
        <w:rPr>
          <w:rFonts w:cs="Arial"/>
          <w:bCs/>
          <w:color w:val="auto"/>
        </w:rPr>
        <w:t xml:space="preserve">, </w:t>
      </w:r>
      <w:r w:rsidR="00E26158">
        <w:rPr>
          <w:rFonts w:cs="Arial"/>
          <w:bCs/>
          <w:color w:val="auto"/>
        </w:rPr>
        <w:t>with no obvious</w:t>
      </w:r>
      <w:r w:rsidR="000448DB">
        <w:rPr>
          <w:rFonts w:cs="Arial"/>
          <w:bCs/>
          <w:color w:val="auto"/>
        </w:rPr>
        <w:t xml:space="preserve"> ‘preferred’ approach.</w:t>
      </w:r>
      <w:r w:rsidR="00B064CD">
        <w:rPr>
          <w:rFonts w:cs="Arial"/>
          <w:bCs/>
          <w:color w:val="auto"/>
        </w:rPr>
        <w:t xml:space="preserve"> The </w:t>
      </w:r>
      <w:r w:rsidR="00DF7108">
        <w:rPr>
          <w:rFonts w:cs="Arial"/>
          <w:bCs/>
          <w:color w:val="auto"/>
        </w:rPr>
        <w:t xml:space="preserve">choice of </w:t>
      </w:r>
      <w:r w:rsidR="00B064CD">
        <w:rPr>
          <w:rFonts w:cs="Arial"/>
          <w:bCs/>
          <w:color w:val="auto"/>
        </w:rPr>
        <w:t xml:space="preserve">method </w:t>
      </w:r>
      <w:r w:rsidR="00AF58F4">
        <w:rPr>
          <w:rFonts w:cs="Arial"/>
          <w:bCs/>
          <w:color w:val="auto"/>
        </w:rPr>
        <w:t>typically</w:t>
      </w:r>
      <w:r w:rsidR="00B064CD">
        <w:rPr>
          <w:rFonts w:cs="Arial"/>
          <w:bCs/>
          <w:color w:val="auto"/>
        </w:rPr>
        <w:t xml:space="preserve"> depends on the question </w:t>
      </w:r>
      <w:r w:rsidR="00DF7108">
        <w:rPr>
          <w:rFonts w:cs="Arial"/>
          <w:bCs/>
          <w:color w:val="auto"/>
        </w:rPr>
        <w:t>being asked</w:t>
      </w:r>
      <w:r w:rsidR="00743E6A">
        <w:rPr>
          <w:rFonts w:cs="Arial"/>
          <w:bCs/>
          <w:color w:val="auto"/>
        </w:rPr>
        <w:t>, and</w:t>
      </w:r>
      <w:r w:rsidR="00DF7108">
        <w:rPr>
          <w:rFonts w:cs="Arial"/>
          <w:bCs/>
          <w:color w:val="auto"/>
        </w:rPr>
        <w:t xml:space="preserve"> </w:t>
      </w:r>
      <w:r w:rsidR="009D092B">
        <w:rPr>
          <w:rFonts w:cs="Arial"/>
          <w:bCs/>
          <w:color w:val="auto"/>
        </w:rPr>
        <w:t>the</w:t>
      </w:r>
      <w:r w:rsidR="00211B76" w:rsidDel="00743E6A">
        <w:rPr>
          <w:rFonts w:cs="Arial"/>
          <w:bCs/>
          <w:color w:val="auto"/>
        </w:rPr>
        <w:t xml:space="preserve"> methods</w:t>
      </w:r>
      <w:r w:rsidR="00EB5458" w:rsidDel="00743E6A">
        <w:rPr>
          <w:rFonts w:cs="Arial"/>
          <w:bCs/>
          <w:color w:val="auto"/>
        </w:rPr>
        <w:t xml:space="preserve"> </w:t>
      </w:r>
      <w:r w:rsidR="00D41E98">
        <w:rPr>
          <w:rFonts w:cs="Arial"/>
          <w:bCs/>
          <w:color w:val="auto"/>
        </w:rPr>
        <w:t xml:space="preserve">generally </w:t>
      </w:r>
      <w:r w:rsidR="000B5106">
        <w:rPr>
          <w:rFonts w:cs="Arial"/>
          <w:bCs/>
          <w:color w:val="auto"/>
        </w:rPr>
        <w:t>fall into one of three</w:t>
      </w:r>
      <w:r w:rsidR="009C7B35">
        <w:rPr>
          <w:rFonts w:cs="Arial"/>
          <w:bCs/>
          <w:color w:val="auto"/>
        </w:rPr>
        <w:t xml:space="preserve"> main groups:</w:t>
      </w:r>
    </w:p>
    <w:p w14:paraId="7AB19B42" w14:textId="11A14124" w:rsidR="00753B37" w:rsidRDefault="008F5662" w:rsidP="002557B4">
      <w:pPr>
        <w:pStyle w:val="ListBullet"/>
      </w:pPr>
      <w:r>
        <w:t>approaches that use b</w:t>
      </w:r>
      <w:r w:rsidR="006268A3">
        <w:t>udget standards</w:t>
      </w:r>
      <w:r w:rsidR="002D5AA8">
        <w:t>,</w:t>
      </w:r>
      <w:r w:rsidR="00DF7108">
        <w:t xml:space="preserve"> which address </w:t>
      </w:r>
      <w:r w:rsidR="00D572F8">
        <w:t>the</w:t>
      </w:r>
      <w:r w:rsidR="00DF7108">
        <w:t xml:space="preserve"> question of need</w:t>
      </w:r>
      <w:r w:rsidR="00F35754">
        <w:t>.</w:t>
      </w:r>
    </w:p>
    <w:p w14:paraId="3A3F66F2" w14:textId="32C925D3" w:rsidR="00753B37" w:rsidRDefault="008F5662" w:rsidP="002557B4">
      <w:pPr>
        <w:pStyle w:val="ListBullet"/>
      </w:pPr>
      <w:r>
        <w:t xml:space="preserve">approaches that use </w:t>
      </w:r>
      <w:r w:rsidR="000B0BE3">
        <w:t>self-reported</w:t>
      </w:r>
      <w:r>
        <w:t xml:space="preserve"> measures of economic wellbeing</w:t>
      </w:r>
      <w:r w:rsidR="0044134D">
        <w:t xml:space="preserve">, which address </w:t>
      </w:r>
      <w:r w:rsidR="00D572F8">
        <w:t>the</w:t>
      </w:r>
      <w:r w:rsidR="0044134D">
        <w:t xml:space="preserve"> question of </w:t>
      </w:r>
      <w:r w:rsidR="00FE0BA8">
        <w:t>equivalent living standards</w:t>
      </w:r>
      <w:r w:rsidR="00FF7712">
        <w:t xml:space="preserve"> (that is, </w:t>
      </w:r>
      <w:r w:rsidR="00FE0BA8">
        <w:rPr>
          <w:rFonts w:cs="Arial"/>
          <w:color w:val="2C2A29"/>
          <w:szCs w:val="20"/>
          <w:lang w:eastAsia="en-AU"/>
        </w:rPr>
        <w:t>h</w:t>
      </w:r>
      <w:r w:rsidR="00FE0BA8" w:rsidRPr="00491AC5">
        <w:rPr>
          <w:rFonts w:cs="Arial"/>
          <w:color w:val="2C2A29"/>
          <w:szCs w:val="20"/>
          <w:lang w:eastAsia="en-AU"/>
        </w:rPr>
        <w:t>ow much income a family with children require</w:t>
      </w:r>
      <w:r w:rsidR="002D5AA8">
        <w:rPr>
          <w:rFonts w:cs="Arial"/>
          <w:color w:val="2C2A29"/>
          <w:szCs w:val="20"/>
          <w:lang w:eastAsia="en-AU"/>
        </w:rPr>
        <w:t>s</w:t>
      </w:r>
      <w:r w:rsidR="00FE0BA8" w:rsidRPr="00491AC5">
        <w:rPr>
          <w:rFonts w:cs="Arial"/>
          <w:color w:val="2C2A29"/>
          <w:szCs w:val="20"/>
          <w:lang w:eastAsia="en-AU"/>
        </w:rPr>
        <w:t xml:space="preserve"> to be as well off as a family with no children</w:t>
      </w:r>
      <w:r w:rsidR="00FF7712">
        <w:rPr>
          <w:rFonts w:cs="Arial"/>
          <w:color w:val="2C2A29"/>
          <w:szCs w:val="20"/>
          <w:lang w:eastAsia="en-AU"/>
        </w:rPr>
        <w:t>)</w:t>
      </w:r>
      <w:r w:rsidR="00F35754">
        <w:rPr>
          <w:rFonts w:cs="Arial"/>
          <w:color w:val="2C2A29"/>
          <w:szCs w:val="20"/>
          <w:lang w:eastAsia="en-AU"/>
        </w:rPr>
        <w:t>.</w:t>
      </w:r>
    </w:p>
    <w:p w14:paraId="048F8221" w14:textId="2241701F" w:rsidR="00753B37" w:rsidRDefault="00753B37" w:rsidP="002557B4">
      <w:pPr>
        <w:pStyle w:val="ListBullet"/>
      </w:pPr>
      <w:r>
        <w:t>a</w:t>
      </w:r>
      <w:r w:rsidR="00A11237">
        <w:t>pproaches that use expenditure data</w:t>
      </w:r>
      <w:r w:rsidR="00F35754">
        <w:t>,</w:t>
      </w:r>
      <w:r w:rsidR="002D5AA8" w:rsidDel="002D5AA8">
        <w:t xml:space="preserve"> </w:t>
      </w:r>
      <w:r w:rsidR="002D5AA8">
        <w:t xml:space="preserve">which </w:t>
      </w:r>
      <w:r w:rsidR="00D572F8">
        <w:t xml:space="preserve">can either address the </w:t>
      </w:r>
      <w:r w:rsidR="002D5AA8">
        <w:t xml:space="preserve">question of how much parents </w:t>
      </w:r>
      <w:r w:rsidR="00D572F8">
        <w:t xml:space="preserve">spend on their children, or the question of equivalent living standards. </w:t>
      </w:r>
    </w:p>
    <w:p w14:paraId="54DC800B" w14:textId="54369B15" w:rsidR="003362DB" w:rsidRDefault="0057292A" w:rsidP="00B539F2">
      <w:pPr>
        <w:pStyle w:val="BodyText"/>
        <w:spacing w:line="276" w:lineRule="auto"/>
        <w:rPr>
          <w:rFonts w:cs="Arial"/>
          <w:bCs/>
          <w:color w:val="auto"/>
        </w:rPr>
      </w:pPr>
      <w:r>
        <w:rPr>
          <w:rFonts w:cs="Arial"/>
          <w:bCs/>
          <w:color w:val="auto"/>
        </w:rPr>
        <w:t>N</w:t>
      </w:r>
      <w:r w:rsidR="00E44474">
        <w:rPr>
          <w:rFonts w:cs="Arial"/>
          <w:bCs/>
          <w:color w:val="auto"/>
        </w:rPr>
        <w:t xml:space="preserve">one of these </w:t>
      </w:r>
      <w:r w:rsidR="00A848DE">
        <w:rPr>
          <w:rFonts w:cs="Arial"/>
          <w:bCs/>
          <w:color w:val="auto"/>
        </w:rPr>
        <w:t>methods</w:t>
      </w:r>
      <w:r w:rsidR="00E44474">
        <w:rPr>
          <w:rFonts w:cs="Arial"/>
          <w:bCs/>
          <w:color w:val="auto"/>
        </w:rPr>
        <w:t xml:space="preserve"> are new</w:t>
      </w:r>
      <w:r>
        <w:rPr>
          <w:rFonts w:cs="Arial"/>
          <w:bCs/>
          <w:color w:val="auto"/>
        </w:rPr>
        <w:t xml:space="preserve"> since the original review</w:t>
      </w:r>
      <w:r w:rsidR="004D54BA">
        <w:rPr>
          <w:rFonts w:cs="Arial"/>
          <w:bCs/>
          <w:color w:val="auto"/>
        </w:rPr>
        <w:t>. H</w:t>
      </w:r>
      <w:r w:rsidR="007E0849">
        <w:rPr>
          <w:rFonts w:cs="Arial"/>
          <w:bCs/>
          <w:color w:val="auto"/>
        </w:rPr>
        <w:t>owever</w:t>
      </w:r>
      <w:r w:rsidR="004D54BA">
        <w:rPr>
          <w:rFonts w:cs="Arial"/>
          <w:bCs/>
          <w:color w:val="auto"/>
        </w:rPr>
        <w:t>,</w:t>
      </w:r>
      <w:r w:rsidR="007E0849">
        <w:rPr>
          <w:rFonts w:cs="Arial"/>
          <w:bCs/>
          <w:color w:val="auto"/>
        </w:rPr>
        <w:t xml:space="preserve"> many of them have evolved in some wa</w:t>
      </w:r>
      <w:r w:rsidR="00753B37">
        <w:rPr>
          <w:rFonts w:cs="Arial"/>
          <w:bCs/>
          <w:color w:val="auto"/>
        </w:rPr>
        <w:t xml:space="preserve">y, such as the </w:t>
      </w:r>
      <w:r w:rsidR="001B0A10">
        <w:rPr>
          <w:rFonts w:cs="Arial"/>
          <w:bCs/>
          <w:color w:val="auto"/>
        </w:rPr>
        <w:t>standard of living they apply</w:t>
      </w:r>
      <w:r w:rsidR="00753B37">
        <w:rPr>
          <w:rFonts w:cs="Arial"/>
          <w:bCs/>
          <w:color w:val="auto"/>
        </w:rPr>
        <w:t xml:space="preserve">, </w:t>
      </w:r>
      <w:r w:rsidR="00C20C4A">
        <w:rPr>
          <w:rFonts w:cs="Arial"/>
          <w:bCs/>
          <w:color w:val="auto"/>
        </w:rPr>
        <w:t xml:space="preserve">the </w:t>
      </w:r>
      <w:r w:rsidR="00E45442">
        <w:rPr>
          <w:rFonts w:cs="Arial"/>
          <w:bCs/>
          <w:color w:val="auto"/>
        </w:rPr>
        <w:t xml:space="preserve">way they collect </w:t>
      </w:r>
      <w:r w:rsidR="00F655CE">
        <w:rPr>
          <w:rFonts w:cs="Arial"/>
          <w:bCs/>
          <w:color w:val="auto"/>
        </w:rPr>
        <w:t xml:space="preserve">and model </w:t>
      </w:r>
      <w:r w:rsidR="00E45442">
        <w:rPr>
          <w:rFonts w:cs="Arial"/>
          <w:bCs/>
          <w:color w:val="auto"/>
        </w:rPr>
        <w:t>data</w:t>
      </w:r>
      <w:r w:rsidR="00753B37">
        <w:rPr>
          <w:rFonts w:cs="Arial"/>
          <w:bCs/>
          <w:color w:val="auto"/>
        </w:rPr>
        <w:t>, and the</w:t>
      </w:r>
      <w:r w:rsidR="00D46320">
        <w:rPr>
          <w:rFonts w:cs="Arial"/>
          <w:bCs/>
          <w:color w:val="auto"/>
        </w:rPr>
        <w:t xml:space="preserve"> way they </w:t>
      </w:r>
      <w:r w:rsidR="00714CD1">
        <w:rPr>
          <w:rFonts w:cs="Arial"/>
          <w:bCs/>
          <w:color w:val="auto"/>
        </w:rPr>
        <w:t xml:space="preserve">address </w:t>
      </w:r>
      <w:r w:rsidR="00CF7731">
        <w:rPr>
          <w:rFonts w:cs="Arial"/>
          <w:bCs/>
          <w:color w:val="auto"/>
        </w:rPr>
        <w:t>more complex family and household types.</w:t>
      </w:r>
      <w:r w:rsidR="000522E2">
        <w:rPr>
          <w:rFonts w:cs="Arial"/>
          <w:bCs/>
          <w:color w:val="auto"/>
        </w:rPr>
        <w:t xml:space="preserve"> </w:t>
      </w:r>
      <w:r w:rsidR="004D54BA">
        <w:rPr>
          <w:rFonts w:cs="Arial"/>
          <w:bCs/>
          <w:color w:val="auto"/>
        </w:rPr>
        <w:t>Overall, there</w:t>
      </w:r>
      <w:r w:rsidR="003362DB">
        <w:rPr>
          <w:rFonts w:cs="Arial"/>
          <w:bCs/>
          <w:color w:val="auto"/>
        </w:rPr>
        <w:t xml:space="preserve"> continues to be </w:t>
      </w:r>
      <w:r w:rsidR="00C11EAD">
        <w:rPr>
          <w:rFonts w:cs="Arial"/>
          <w:bCs/>
          <w:color w:val="auto"/>
        </w:rPr>
        <w:t>ongoing</w:t>
      </w:r>
      <w:r w:rsidR="003362DB">
        <w:rPr>
          <w:rFonts w:cs="Arial"/>
          <w:bCs/>
          <w:color w:val="auto"/>
        </w:rPr>
        <w:t xml:space="preserve"> </w:t>
      </w:r>
      <w:r w:rsidR="00734B24">
        <w:rPr>
          <w:rFonts w:cs="Arial"/>
          <w:bCs/>
          <w:color w:val="auto"/>
        </w:rPr>
        <w:t>discussion around the</w:t>
      </w:r>
      <w:r w:rsidR="004F7140">
        <w:rPr>
          <w:rFonts w:cs="Arial"/>
          <w:bCs/>
          <w:color w:val="auto"/>
        </w:rPr>
        <w:t xml:space="preserve"> variation in </w:t>
      </w:r>
      <w:r w:rsidR="009E6332">
        <w:rPr>
          <w:rFonts w:cs="Arial"/>
          <w:bCs/>
          <w:color w:val="auto"/>
        </w:rPr>
        <w:t xml:space="preserve">the </w:t>
      </w:r>
      <w:r w:rsidR="004F7140">
        <w:rPr>
          <w:rFonts w:cs="Arial"/>
          <w:bCs/>
          <w:color w:val="auto"/>
        </w:rPr>
        <w:t>estimates produced by these different methods</w:t>
      </w:r>
      <w:r w:rsidR="00A20D9F">
        <w:t xml:space="preserve"> </w:t>
      </w:r>
      <w:r w:rsidR="004D54BA">
        <w:t xml:space="preserve">and whether one is more </w:t>
      </w:r>
      <w:r w:rsidR="004D7558">
        <w:t>‘appropriate’ or ‘</w:t>
      </w:r>
      <w:r w:rsidR="004D54BA">
        <w:t>accurate’ than the other</w:t>
      </w:r>
      <w:r w:rsidR="00446146">
        <w:t>.</w:t>
      </w:r>
    </w:p>
    <w:p w14:paraId="47C51E90" w14:textId="0054FC53" w:rsidR="000E2A1E" w:rsidRDefault="00804604" w:rsidP="00713637">
      <w:pPr>
        <w:pStyle w:val="BodyText"/>
        <w:spacing w:line="276" w:lineRule="auto"/>
        <w:rPr>
          <w:rFonts w:cs="Arial"/>
          <w:color w:val="auto"/>
        </w:rPr>
      </w:pPr>
      <w:r w:rsidRPr="6DFAFB9A">
        <w:rPr>
          <w:rFonts w:cs="Arial"/>
          <w:color w:val="auto"/>
        </w:rPr>
        <w:t>As part this review</w:t>
      </w:r>
      <w:r w:rsidR="00CF2E66" w:rsidRPr="6DFAFB9A">
        <w:rPr>
          <w:rFonts w:cs="Arial"/>
          <w:color w:val="auto"/>
        </w:rPr>
        <w:t>,</w:t>
      </w:r>
      <w:r w:rsidRPr="6DFAFB9A">
        <w:rPr>
          <w:rFonts w:cs="Arial"/>
          <w:color w:val="auto"/>
        </w:rPr>
        <w:t xml:space="preserve"> we were also aske</w:t>
      </w:r>
      <w:r w:rsidR="0084367E" w:rsidRPr="6DFAFB9A">
        <w:rPr>
          <w:rFonts w:cs="Arial"/>
          <w:color w:val="auto"/>
        </w:rPr>
        <w:t>d to investigate costs of children in respect of</w:t>
      </w:r>
      <w:r w:rsidR="0084367E" w:rsidRPr="6DFAFB9A" w:rsidDel="0055552E">
        <w:rPr>
          <w:rFonts w:cs="Arial"/>
          <w:color w:val="auto"/>
        </w:rPr>
        <w:t xml:space="preserve"> </w:t>
      </w:r>
      <w:r w:rsidR="0084367E" w:rsidRPr="6DFAFB9A">
        <w:rPr>
          <w:rFonts w:cs="Arial"/>
          <w:color w:val="auto"/>
        </w:rPr>
        <w:t>shared care across households</w:t>
      </w:r>
      <w:r w:rsidR="0055552E">
        <w:rPr>
          <w:rFonts w:cs="Arial"/>
          <w:color w:val="auto"/>
        </w:rPr>
        <w:t xml:space="preserve">, </w:t>
      </w:r>
      <w:r w:rsidR="00E86844">
        <w:rPr>
          <w:rFonts w:cs="Arial"/>
          <w:color w:val="auto"/>
        </w:rPr>
        <w:t>different</w:t>
      </w:r>
      <w:r w:rsidR="00E86844" w:rsidRPr="6DFAFB9A">
        <w:rPr>
          <w:rFonts w:cs="Arial"/>
          <w:color w:val="auto"/>
        </w:rPr>
        <w:t xml:space="preserve"> </w:t>
      </w:r>
      <w:r w:rsidR="0055552E">
        <w:rPr>
          <w:rFonts w:cs="Arial"/>
          <w:color w:val="auto"/>
        </w:rPr>
        <w:t xml:space="preserve">patterns of care </w:t>
      </w:r>
      <w:r w:rsidR="00E86844">
        <w:rPr>
          <w:rFonts w:cs="Arial"/>
          <w:color w:val="auto"/>
        </w:rPr>
        <w:t>within</w:t>
      </w:r>
      <w:r w:rsidR="0055552E">
        <w:rPr>
          <w:rFonts w:cs="Arial"/>
          <w:color w:val="auto"/>
        </w:rPr>
        <w:t xml:space="preserve"> households</w:t>
      </w:r>
      <w:r w:rsidR="0084367E" w:rsidRPr="6DFAFB9A">
        <w:rPr>
          <w:rFonts w:cs="Arial"/>
          <w:color w:val="auto"/>
        </w:rPr>
        <w:t xml:space="preserve">, </w:t>
      </w:r>
      <w:proofErr w:type="gramStart"/>
      <w:r w:rsidR="0084367E" w:rsidRPr="6DFAFB9A">
        <w:rPr>
          <w:rFonts w:cs="Arial"/>
          <w:color w:val="auto"/>
        </w:rPr>
        <w:t>child care</w:t>
      </w:r>
      <w:proofErr w:type="gramEnd"/>
      <w:r w:rsidR="0084367E" w:rsidRPr="6DFAFB9A">
        <w:rPr>
          <w:rFonts w:cs="Arial"/>
          <w:color w:val="auto"/>
        </w:rPr>
        <w:t xml:space="preserve"> costs and housing costs. </w:t>
      </w:r>
      <w:r w:rsidR="00723D1C">
        <w:rPr>
          <w:rFonts w:cs="Arial"/>
          <w:color w:val="auto"/>
        </w:rPr>
        <w:t>We did not identify any</w:t>
      </w:r>
      <w:r w:rsidR="002821C5" w:rsidRPr="6DFAFB9A" w:rsidDel="0055552E">
        <w:rPr>
          <w:rFonts w:cs="Arial"/>
          <w:color w:val="auto"/>
        </w:rPr>
        <w:t xml:space="preserve"> studies </w:t>
      </w:r>
      <w:r w:rsidR="001D0380">
        <w:rPr>
          <w:rFonts w:cs="Arial"/>
          <w:color w:val="auto"/>
        </w:rPr>
        <w:t>that</w:t>
      </w:r>
      <w:r w:rsidR="00AC2D50" w:rsidRPr="6DFAFB9A" w:rsidDel="0055552E">
        <w:rPr>
          <w:rFonts w:cs="Arial"/>
          <w:color w:val="auto"/>
        </w:rPr>
        <w:t xml:space="preserve"> estimate</w:t>
      </w:r>
      <w:r w:rsidR="00FF53A6" w:rsidRPr="6DFAFB9A" w:rsidDel="0055552E">
        <w:rPr>
          <w:rFonts w:cs="Arial"/>
          <w:color w:val="auto"/>
        </w:rPr>
        <w:t>d</w:t>
      </w:r>
      <w:r w:rsidR="00AC2D50" w:rsidRPr="6DFAFB9A" w:rsidDel="0055552E">
        <w:rPr>
          <w:rFonts w:cs="Arial"/>
          <w:color w:val="auto"/>
        </w:rPr>
        <w:t xml:space="preserve"> </w:t>
      </w:r>
      <w:r w:rsidR="003B4856">
        <w:rPr>
          <w:rFonts w:cs="Arial"/>
          <w:color w:val="auto"/>
        </w:rPr>
        <w:t>costs</w:t>
      </w:r>
      <w:r w:rsidR="00AC2D50" w:rsidRPr="6DFAFB9A" w:rsidDel="0055552E">
        <w:rPr>
          <w:rFonts w:cs="Arial"/>
          <w:color w:val="auto"/>
        </w:rPr>
        <w:t xml:space="preserve"> of children experiencing different patterns of care</w:t>
      </w:r>
      <w:r w:rsidR="006300F3" w:rsidRPr="6DFAFB9A" w:rsidDel="0055552E">
        <w:rPr>
          <w:rFonts w:cs="Arial"/>
          <w:color w:val="auto"/>
        </w:rPr>
        <w:t xml:space="preserve"> within </w:t>
      </w:r>
      <w:r w:rsidR="00DA79A4">
        <w:rPr>
          <w:rFonts w:cs="Arial"/>
          <w:color w:val="auto"/>
        </w:rPr>
        <w:t>households</w:t>
      </w:r>
      <w:r w:rsidR="00723D1C">
        <w:rPr>
          <w:rFonts w:cs="Arial"/>
          <w:color w:val="auto"/>
        </w:rPr>
        <w:t>.</w:t>
      </w:r>
    </w:p>
    <w:p w14:paraId="4270EB34" w14:textId="624CC469" w:rsidR="00946757" w:rsidRPr="0088521E" w:rsidRDefault="008F5AD2" w:rsidP="00713637">
      <w:pPr>
        <w:pStyle w:val="BodyText"/>
        <w:spacing w:line="276" w:lineRule="auto"/>
        <w:rPr>
          <w:rFonts w:cs="Arial"/>
          <w:color w:val="auto"/>
        </w:rPr>
      </w:pPr>
      <w:r w:rsidRPr="5A104D4B">
        <w:rPr>
          <w:rFonts w:cs="Arial"/>
          <w:color w:val="auto"/>
        </w:rPr>
        <w:t>Each of the s</w:t>
      </w:r>
      <w:r w:rsidR="00F14DD4" w:rsidRPr="5A104D4B">
        <w:rPr>
          <w:rFonts w:cs="Arial"/>
          <w:color w:val="auto"/>
        </w:rPr>
        <w:t>tudies</w:t>
      </w:r>
      <w:r w:rsidRPr="5A104D4B">
        <w:rPr>
          <w:rFonts w:cs="Arial"/>
          <w:color w:val="auto"/>
        </w:rPr>
        <w:t xml:space="preserve"> </w:t>
      </w:r>
      <w:r w:rsidR="00F14DD4" w:rsidRPr="5A104D4B">
        <w:rPr>
          <w:rFonts w:cs="Arial"/>
          <w:color w:val="auto"/>
        </w:rPr>
        <w:t xml:space="preserve">that </w:t>
      </w:r>
      <w:r w:rsidRPr="5A104D4B">
        <w:rPr>
          <w:rFonts w:cs="Arial"/>
          <w:color w:val="auto"/>
        </w:rPr>
        <w:t>estimated the costs of children in shared care arrangements used a different approach</w:t>
      </w:r>
      <w:r w:rsidR="0088521E" w:rsidRPr="5A104D4B">
        <w:rPr>
          <w:rFonts w:cs="Arial"/>
          <w:color w:val="auto"/>
        </w:rPr>
        <w:t xml:space="preserve"> to produce estimates</w:t>
      </w:r>
      <w:r w:rsidR="00BA6B30" w:rsidRPr="5A104D4B">
        <w:rPr>
          <w:rFonts w:cs="Arial"/>
          <w:color w:val="auto"/>
        </w:rPr>
        <w:t xml:space="preserve"> (</w:t>
      </w:r>
      <w:r w:rsidR="00F33913" w:rsidRPr="5A104D4B">
        <w:rPr>
          <w:rFonts w:cs="Arial"/>
          <w:color w:val="auto"/>
        </w:rPr>
        <w:t xml:space="preserve">budget standards, </w:t>
      </w:r>
      <w:r w:rsidR="00BA6B30" w:rsidRPr="5A104D4B">
        <w:rPr>
          <w:rFonts w:cs="Arial"/>
          <w:color w:val="auto"/>
        </w:rPr>
        <w:t xml:space="preserve">self-reported </w:t>
      </w:r>
      <w:r w:rsidR="00187EE5" w:rsidRPr="5A104D4B">
        <w:rPr>
          <w:rFonts w:cs="Arial"/>
          <w:color w:val="auto"/>
        </w:rPr>
        <w:t>economic wellbeing</w:t>
      </w:r>
      <w:r w:rsidR="001047E0" w:rsidRPr="5A104D4B">
        <w:rPr>
          <w:rFonts w:cs="Arial"/>
          <w:color w:val="auto"/>
        </w:rPr>
        <w:t xml:space="preserve"> and </w:t>
      </w:r>
      <w:r w:rsidR="00FF39C5" w:rsidRPr="5A104D4B">
        <w:rPr>
          <w:rFonts w:cs="Arial"/>
          <w:color w:val="auto"/>
        </w:rPr>
        <w:t xml:space="preserve">the </w:t>
      </w:r>
      <w:r w:rsidR="001047E0" w:rsidRPr="5A104D4B">
        <w:rPr>
          <w:rFonts w:cs="Arial"/>
          <w:color w:val="auto"/>
        </w:rPr>
        <w:t>expenditure</w:t>
      </w:r>
      <w:r w:rsidR="00FF39C5" w:rsidRPr="5A104D4B">
        <w:rPr>
          <w:rFonts w:cs="Arial"/>
          <w:color w:val="auto"/>
        </w:rPr>
        <w:t xml:space="preserve"> method). </w:t>
      </w:r>
      <w:r w:rsidR="001047E0" w:rsidRPr="5A104D4B">
        <w:rPr>
          <w:rFonts w:cs="Arial"/>
          <w:color w:val="auto"/>
        </w:rPr>
        <w:t>A</w:t>
      </w:r>
      <w:r w:rsidR="0088521E" w:rsidRPr="5A104D4B">
        <w:rPr>
          <w:rFonts w:cs="Arial"/>
          <w:color w:val="auto"/>
        </w:rPr>
        <w:t>ll came to the same conclusion</w:t>
      </w:r>
      <w:r w:rsidR="00BE2EF6" w:rsidRPr="5A104D4B">
        <w:rPr>
          <w:rFonts w:cs="Arial"/>
          <w:color w:val="auto"/>
        </w:rPr>
        <w:t>, that</w:t>
      </w:r>
      <w:r w:rsidR="0088521E" w:rsidRPr="5A104D4B">
        <w:rPr>
          <w:rFonts w:cs="Arial"/>
          <w:color w:val="auto"/>
        </w:rPr>
        <w:t xml:space="preserve"> </w:t>
      </w:r>
      <w:r w:rsidR="00CE6310" w:rsidRPr="5A104D4B">
        <w:rPr>
          <w:rFonts w:cs="Arial"/>
        </w:rPr>
        <w:t xml:space="preserve">the cost of a child </w:t>
      </w:r>
      <w:r w:rsidR="004C6445" w:rsidRPr="5A104D4B">
        <w:rPr>
          <w:rFonts w:cs="Arial"/>
        </w:rPr>
        <w:t xml:space="preserve">who is receiving direct care </w:t>
      </w:r>
      <w:r w:rsidR="00FD0B36" w:rsidRPr="5A104D4B">
        <w:rPr>
          <w:rFonts w:cs="Arial"/>
        </w:rPr>
        <w:t xml:space="preserve">by two separated parents </w:t>
      </w:r>
      <w:r w:rsidR="004C6445" w:rsidRPr="5A104D4B">
        <w:rPr>
          <w:rFonts w:cs="Arial"/>
        </w:rPr>
        <w:t>is</w:t>
      </w:r>
      <w:r w:rsidR="00786EA9" w:rsidRPr="5A104D4B">
        <w:rPr>
          <w:rFonts w:cs="Arial"/>
        </w:rPr>
        <w:t xml:space="preserve"> higher than a child </w:t>
      </w:r>
      <w:r w:rsidR="00FD0B36" w:rsidRPr="5A104D4B">
        <w:rPr>
          <w:rFonts w:cs="Arial"/>
        </w:rPr>
        <w:t>residing in an intact household</w:t>
      </w:r>
      <w:r w:rsidR="00BE2EF6" w:rsidRPr="5A104D4B">
        <w:rPr>
          <w:rFonts w:cs="Arial"/>
        </w:rPr>
        <w:t xml:space="preserve">. Further, </w:t>
      </w:r>
      <w:r w:rsidR="00437FF5" w:rsidRPr="5A104D4B">
        <w:rPr>
          <w:rFonts w:cs="Arial"/>
        </w:rPr>
        <w:t xml:space="preserve">the costs experienced by a </w:t>
      </w:r>
      <w:r w:rsidR="0055552E">
        <w:rPr>
          <w:rFonts w:cs="Arial"/>
        </w:rPr>
        <w:t xml:space="preserve">parent with minority care </w:t>
      </w:r>
      <w:r w:rsidR="00437FF5" w:rsidRPr="5A104D4B">
        <w:rPr>
          <w:rFonts w:cs="Arial"/>
        </w:rPr>
        <w:t xml:space="preserve">are </w:t>
      </w:r>
      <w:r w:rsidR="6AD44E48" w:rsidRPr="5A104D4B">
        <w:rPr>
          <w:rFonts w:cs="Arial"/>
        </w:rPr>
        <w:t>disproportionately</w:t>
      </w:r>
      <w:r w:rsidR="114495A1" w:rsidRPr="5A104D4B">
        <w:rPr>
          <w:rFonts w:cs="Arial"/>
        </w:rPr>
        <w:t xml:space="preserve"> </w:t>
      </w:r>
      <w:r w:rsidR="00F73CFF" w:rsidRPr="5A104D4B">
        <w:rPr>
          <w:rFonts w:cs="Arial"/>
        </w:rPr>
        <w:t xml:space="preserve">higher </w:t>
      </w:r>
      <w:r w:rsidRPr="5A104D4B">
        <w:rPr>
          <w:rFonts w:cs="Arial"/>
        </w:rPr>
        <w:t xml:space="preserve">than </w:t>
      </w:r>
      <w:r w:rsidR="00F73CFF" w:rsidRPr="5A104D4B">
        <w:rPr>
          <w:rFonts w:cs="Arial"/>
        </w:rPr>
        <w:t>the time spent caring for the child.</w:t>
      </w:r>
    </w:p>
    <w:p w14:paraId="46A2B7A7" w14:textId="169F528C" w:rsidR="00191F91" w:rsidRDefault="00191F91" w:rsidP="00713637">
      <w:pPr>
        <w:pStyle w:val="BodyText"/>
        <w:spacing w:line="276" w:lineRule="auto"/>
        <w:rPr>
          <w:rFonts w:cs="Arial"/>
          <w:color w:val="auto"/>
        </w:rPr>
      </w:pPr>
      <w:r>
        <w:rPr>
          <w:rFonts w:cs="Arial"/>
          <w:color w:val="auto"/>
        </w:rPr>
        <w:t xml:space="preserve">In relation to </w:t>
      </w:r>
      <w:proofErr w:type="gramStart"/>
      <w:r w:rsidR="00D03D4F">
        <w:rPr>
          <w:rFonts w:cs="Arial"/>
          <w:color w:val="auto"/>
        </w:rPr>
        <w:t>child care</w:t>
      </w:r>
      <w:proofErr w:type="gramEnd"/>
      <w:r w:rsidR="00D03D4F">
        <w:rPr>
          <w:rFonts w:cs="Arial"/>
          <w:color w:val="auto"/>
        </w:rPr>
        <w:t xml:space="preserve"> </w:t>
      </w:r>
      <w:r>
        <w:rPr>
          <w:rFonts w:cs="Arial"/>
          <w:color w:val="auto"/>
        </w:rPr>
        <w:t xml:space="preserve">costs, given the high degree of variation in </w:t>
      </w:r>
      <w:proofErr w:type="gramStart"/>
      <w:r>
        <w:rPr>
          <w:rFonts w:cs="Arial"/>
          <w:color w:val="auto"/>
        </w:rPr>
        <w:t>child care</w:t>
      </w:r>
      <w:proofErr w:type="gramEnd"/>
      <w:r>
        <w:rPr>
          <w:rFonts w:cs="Arial"/>
          <w:color w:val="auto"/>
        </w:rPr>
        <w:t xml:space="preserve"> systems across </w:t>
      </w:r>
      <w:r w:rsidR="00485C61">
        <w:rPr>
          <w:rFonts w:cs="Arial"/>
          <w:color w:val="auto"/>
        </w:rPr>
        <w:t>countries</w:t>
      </w:r>
      <w:r>
        <w:rPr>
          <w:rFonts w:cs="Arial"/>
          <w:color w:val="auto"/>
        </w:rPr>
        <w:t xml:space="preserve">, we only looked </w:t>
      </w:r>
      <w:r w:rsidR="00D03D4F">
        <w:rPr>
          <w:rFonts w:cs="Arial"/>
          <w:color w:val="auto"/>
        </w:rPr>
        <w:t xml:space="preserve">at </w:t>
      </w:r>
      <w:r>
        <w:rPr>
          <w:rFonts w:cs="Arial"/>
          <w:color w:val="auto"/>
        </w:rPr>
        <w:t xml:space="preserve">how studies incorporated </w:t>
      </w:r>
      <w:proofErr w:type="gramStart"/>
      <w:r>
        <w:rPr>
          <w:rFonts w:cs="Arial"/>
          <w:color w:val="auto"/>
        </w:rPr>
        <w:t>child care</w:t>
      </w:r>
      <w:proofErr w:type="gramEnd"/>
      <w:r>
        <w:rPr>
          <w:rFonts w:cs="Arial"/>
          <w:color w:val="auto"/>
        </w:rPr>
        <w:t xml:space="preserve"> costs into their estimates for the cost</w:t>
      </w:r>
      <w:r w:rsidR="00D03D4F">
        <w:rPr>
          <w:rFonts w:cs="Arial"/>
          <w:color w:val="auto"/>
        </w:rPr>
        <w:t>s</w:t>
      </w:r>
      <w:r>
        <w:rPr>
          <w:rFonts w:cs="Arial"/>
          <w:color w:val="auto"/>
        </w:rPr>
        <w:t xml:space="preserve"> of children</w:t>
      </w:r>
      <w:r w:rsidR="0066297A">
        <w:rPr>
          <w:rFonts w:cs="Arial"/>
          <w:color w:val="auto"/>
        </w:rPr>
        <w:t xml:space="preserve"> in Australia</w:t>
      </w:r>
      <w:r w:rsidR="00D03D4F">
        <w:rPr>
          <w:rFonts w:cs="Arial"/>
          <w:color w:val="auto"/>
        </w:rPr>
        <w:t xml:space="preserve">. </w:t>
      </w:r>
      <w:proofErr w:type="gramStart"/>
      <w:r w:rsidR="0018078D">
        <w:rPr>
          <w:rFonts w:cs="Arial"/>
          <w:color w:val="auto"/>
        </w:rPr>
        <w:t>Both of the studies</w:t>
      </w:r>
      <w:proofErr w:type="gramEnd"/>
      <w:r w:rsidR="0018078D">
        <w:rPr>
          <w:rFonts w:cs="Arial"/>
          <w:color w:val="auto"/>
        </w:rPr>
        <w:t xml:space="preserve"> we reviewed constructed </w:t>
      </w:r>
      <w:proofErr w:type="gramStart"/>
      <w:r w:rsidR="0018078D">
        <w:rPr>
          <w:rFonts w:cs="Arial"/>
          <w:color w:val="auto"/>
        </w:rPr>
        <w:t>child care</w:t>
      </w:r>
      <w:proofErr w:type="gramEnd"/>
      <w:r w:rsidR="0018078D">
        <w:rPr>
          <w:rFonts w:cs="Arial"/>
          <w:color w:val="auto"/>
        </w:rPr>
        <w:t xml:space="preserve"> costs based on the different family scenarios they were modelling</w:t>
      </w:r>
      <w:r w:rsidR="00FA2E4F">
        <w:rPr>
          <w:rFonts w:cs="Arial"/>
          <w:color w:val="auto"/>
        </w:rPr>
        <w:t>. They</w:t>
      </w:r>
      <w:r w:rsidR="00D21191">
        <w:rPr>
          <w:rFonts w:cs="Arial"/>
          <w:color w:val="auto"/>
        </w:rPr>
        <w:t xml:space="preserve"> </w:t>
      </w:r>
      <w:r w:rsidR="0018078D">
        <w:rPr>
          <w:rFonts w:cs="Arial"/>
          <w:color w:val="auto"/>
        </w:rPr>
        <w:t>us</w:t>
      </w:r>
      <w:r w:rsidR="00FA2E4F">
        <w:rPr>
          <w:rFonts w:cs="Arial"/>
          <w:color w:val="auto"/>
        </w:rPr>
        <w:t>ed</w:t>
      </w:r>
      <w:r w:rsidR="0018078D">
        <w:rPr>
          <w:rFonts w:cs="Arial"/>
          <w:color w:val="auto"/>
        </w:rPr>
        <w:t xml:space="preserve"> parental labour force status and income to estimate expected </w:t>
      </w:r>
      <w:proofErr w:type="gramStart"/>
      <w:r w:rsidR="0018078D">
        <w:rPr>
          <w:rFonts w:cs="Arial"/>
          <w:color w:val="auto"/>
        </w:rPr>
        <w:t>child care</w:t>
      </w:r>
      <w:proofErr w:type="gramEnd"/>
      <w:r w:rsidR="0018078D">
        <w:rPr>
          <w:rFonts w:cs="Arial"/>
          <w:color w:val="auto"/>
        </w:rPr>
        <w:t xml:space="preserve"> usage and cost, </w:t>
      </w:r>
      <w:r w:rsidR="006E2D85">
        <w:rPr>
          <w:rFonts w:cs="Arial"/>
          <w:color w:val="auto"/>
        </w:rPr>
        <w:t xml:space="preserve">though only one reported </w:t>
      </w:r>
      <w:proofErr w:type="gramStart"/>
      <w:r w:rsidR="006E2D85">
        <w:rPr>
          <w:rFonts w:cs="Arial"/>
          <w:color w:val="auto"/>
        </w:rPr>
        <w:t>child care</w:t>
      </w:r>
      <w:proofErr w:type="gramEnd"/>
      <w:r w:rsidR="006E2D85">
        <w:rPr>
          <w:rFonts w:cs="Arial"/>
          <w:color w:val="auto"/>
        </w:rPr>
        <w:t xml:space="preserve"> results separately</w:t>
      </w:r>
      <w:r w:rsidR="0018078D">
        <w:rPr>
          <w:rFonts w:cs="Arial"/>
          <w:color w:val="auto"/>
        </w:rPr>
        <w:t>.</w:t>
      </w:r>
      <w:r w:rsidR="006E2D85">
        <w:rPr>
          <w:rFonts w:cs="Arial"/>
          <w:color w:val="auto"/>
        </w:rPr>
        <w:t xml:space="preserve"> That study</w:t>
      </w:r>
      <w:r w:rsidR="00C25282">
        <w:rPr>
          <w:rFonts w:cs="Arial"/>
          <w:color w:val="auto"/>
        </w:rPr>
        <w:t>,</w:t>
      </w:r>
      <w:r w:rsidR="006E2D85">
        <w:rPr>
          <w:rFonts w:cs="Arial"/>
          <w:color w:val="auto"/>
        </w:rPr>
        <w:t xml:space="preserve"> using the expenditure </w:t>
      </w:r>
      <w:r w:rsidR="002B2CDC">
        <w:rPr>
          <w:rFonts w:cs="Arial"/>
          <w:color w:val="auto"/>
        </w:rPr>
        <w:t>method</w:t>
      </w:r>
      <w:r w:rsidR="00C25282">
        <w:rPr>
          <w:rFonts w:cs="Arial"/>
          <w:color w:val="auto"/>
        </w:rPr>
        <w:t>,</w:t>
      </w:r>
      <w:r w:rsidR="002B2CDC">
        <w:rPr>
          <w:rFonts w:cs="Arial"/>
          <w:color w:val="auto"/>
        </w:rPr>
        <w:t xml:space="preserve"> found that </w:t>
      </w:r>
      <w:proofErr w:type="gramStart"/>
      <w:r w:rsidR="002B2CDC">
        <w:rPr>
          <w:rFonts w:cs="Arial"/>
          <w:color w:val="auto"/>
        </w:rPr>
        <w:t>child care</w:t>
      </w:r>
      <w:proofErr w:type="gramEnd"/>
      <w:r w:rsidR="002B2CDC">
        <w:rPr>
          <w:rFonts w:cs="Arial"/>
          <w:color w:val="auto"/>
        </w:rPr>
        <w:t xml:space="preserve"> </w:t>
      </w:r>
      <w:r w:rsidR="002B2CDC">
        <w:rPr>
          <w:rFonts w:cs="Arial"/>
          <w:color w:val="auto"/>
        </w:rPr>
        <w:lastRenderedPageBreak/>
        <w:t>costs as a proportion of total lifetime child</w:t>
      </w:r>
      <w:r w:rsidR="00D557F8">
        <w:rPr>
          <w:rFonts w:cs="Arial"/>
          <w:color w:val="auto"/>
        </w:rPr>
        <w:t>-related</w:t>
      </w:r>
      <w:r w:rsidR="002B2CDC">
        <w:rPr>
          <w:rFonts w:cs="Arial"/>
          <w:color w:val="auto"/>
        </w:rPr>
        <w:t xml:space="preserve"> spending </w:t>
      </w:r>
      <w:r w:rsidR="00C25282">
        <w:rPr>
          <w:rFonts w:cs="Arial"/>
          <w:color w:val="auto"/>
        </w:rPr>
        <w:t>increased as family income increased.</w:t>
      </w:r>
      <w:r w:rsidR="004D7558">
        <w:rPr>
          <w:rFonts w:cs="Arial"/>
          <w:color w:val="auto"/>
        </w:rPr>
        <w:t xml:space="preserve">  </w:t>
      </w:r>
    </w:p>
    <w:p w14:paraId="2D4BD87A" w14:textId="310136CF" w:rsidR="00B126D6" w:rsidRPr="00701737" w:rsidRDefault="0013030B" w:rsidP="00701737">
      <w:pPr>
        <w:pStyle w:val="BodyText"/>
        <w:rPr>
          <w:rFonts w:cs="Arial"/>
          <w:color w:val="auto"/>
        </w:rPr>
      </w:pPr>
      <w:r w:rsidRPr="5A104D4B">
        <w:rPr>
          <w:rFonts w:cs="Arial"/>
          <w:color w:val="auto"/>
        </w:rPr>
        <w:t xml:space="preserve">Although different types </w:t>
      </w:r>
      <w:r w:rsidR="00E43297" w:rsidRPr="5A104D4B">
        <w:rPr>
          <w:rFonts w:cs="Arial"/>
          <w:color w:val="auto"/>
        </w:rPr>
        <w:t xml:space="preserve">of </w:t>
      </w:r>
      <w:r w:rsidRPr="5A104D4B">
        <w:rPr>
          <w:rFonts w:cs="Arial"/>
          <w:color w:val="auto"/>
        </w:rPr>
        <w:t>h</w:t>
      </w:r>
      <w:r w:rsidR="00F10E45" w:rsidRPr="5A104D4B">
        <w:rPr>
          <w:rFonts w:cs="Arial"/>
          <w:color w:val="auto"/>
        </w:rPr>
        <w:t xml:space="preserve">ousing costs were </w:t>
      </w:r>
      <w:r w:rsidR="00E11D9C" w:rsidRPr="5A104D4B">
        <w:rPr>
          <w:rFonts w:cs="Arial"/>
          <w:color w:val="auto"/>
        </w:rPr>
        <w:t xml:space="preserve">incorporated in </w:t>
      </w:r>
      <w:r w:rsidR="00143619" w:rsidRPr="5A104D4B">
        <w:rPr>
          <w:rFonts w:cs="Arial"/>
          <w:color w:val="auto"/>
        </w:rPr>
        <w:t xml:space="preserve">some </w:t>
      </w:r>
      <w:r w:rsidR="00DD684B" w:rsidRPr="5A104D4B">
        <w:rPr>
          <w:rFonts w:cs="Arial"/>
          <w:color w:val="auto"/>
        </w:rPr>
        <w:t>studies</w:t>
      </w:r>
      <w:r w:rsidR="00AB356B" w:rsidRPr="5A104D4B">
        <w:rPr>
          <w:rFonts w:cs="Arial"/>
          <w:color w:val="auto"/>
        </w:rPr>
        <w:t xml:space="preserve">, </w:t>
      </w:r>
      <w:r w:rsidR="000E5D99" w:rsidRPr="5A104D4B">
        <w:rPr>
          <w:rFonts w:cs="Arial"/>
          <w:color w:val="auto"/>
        </w:rPr>
        <w:t xml:space="preserve">the final estimates </w:t>
      </w:r>
      <w:r w:rsidR="00374452" w:rsidRPr="5A104D4B">
        <w:rPr>
          <w:rFonts w:cs="Arial"/>
          <w:color w:val="auto"/>
        </w:rPr>
        <w:t xml:space="preserve">were typically aggregated </w:t>
      </w:r>
      <w:r w:rsidR="00935B29" w:rsidRPr="5A104D4B">
        <w:rPr>
          <w:rFonts w:cs="Arial"/>
          <w:color w:val="auto"/>
        </w:rPr>
        <w:t>in</w:t>
      </w:r>
      <w:r w:rsidR="00374452" w:rsidRPr="5A104D4B">
        <w:rPr>
          <w:rFonts w:cs="Arial"/>
          <w:color w:val="auto"/>
        </w:rPr>
        <w:t xml:space="preserve">to a single ‘housing’ line </w:t>
      </w:r>
      <w:r w:rsidR="0038238E" w:rsidRPr="5A104D4B">
        <w:rPr>
          <w:rFonts w:cs="Arial"/>
          <w:color w:val="auto"/>
        </w:rPr>
        <w:t>item,</w:t>
      </w:r>
      <w:r w:rsidR="00C25282" w:rsidRPr="5A104D4B">
        <w:rPr>
          <w:rFonts w:cs="Arial"/>
          <w:color w:val="auto"/>
        </w:rPr>
        <w:t xml:space="preserve"> so </w:t>
      </w:r>
      <w:r w:rsidR="4F4755C6" w:rsidRPr="5A104D4B">
        <w:rPr>
          <w:rFonts w:cs="Arial"/>
          <w:color w:val="auto"/>
        </w:rPr>
        <w:t>it was not possible</w:t>
      </w:r>
      <w:r w:rsidR="00C25282" w:rsidRPr="5A104D4B">
        <w:rPr>
          <w:rFonts w:cs="Arial"/>
          <w:color w:val="auto"/>
        </w:rPr>
        <w:t xml:space="preserve"> to determine the costs of children by </w:t>
      </w:r>
      <w:r w:rsidR="00EF4EE0" w:rsidRPr="5A104D4B">
        <w:rPr>
          <w:rFonts w:cs="Arial"/>
          <w:color w:val="auto"/>
        </w:rPr>
        <w:t>housing type</w:t>
      </w:r>
      <w:r w:rsidR="00374452" w:rsidRPr="5A104D4B">
        <w:rPr>
          <w:rFonts w:cs="Arial"/>
          <w:color w:val="auto"/>
        </w:rPr>
        <w:t xml:space="preserve">. </w:t>
      </w:r>
      <w:r w:rsidR="00935B29" w:rsidRPr="5A104D4B">
        <w:rPr>
          <w:rFonts w:cs="Arial"/>
          <w:color w:val="auto"/>
        </w:rPr>
        <w:t xml:space="preserve">The </w:t>
      </w:r>
      <w:r w:rsidR="00EF4EE0" w:rsidRPr="5A104D4B">
        <w:rPr>
          <w:rFonts w:cs="Arial"/>
          <w:color w:val="auto"/>
        </w:rPr>
        <w:t>budget standards approach</w:t>
      </w:r>
      <w:r w:rsidR="00935B29" w:rsidRPr="5A104D4B">
        <w:rPr>
          <w:rFonts w:cs="Arial"/>
          <w:color w:val="auto"/>
        </w:rPr>
        <w:t xml:space="preserve"> </w:t>
      </w:r>
      <w:r w:rsidR="003859A3" w:rsidRPr="5A104D4B">
        <w:rPr>
          <w:rFonts w:cs="Arial"/>
          <w:color w:val="auto"/>
        </w:rPr>
        <w:t xml:space="preserve">generally used the weekly rental costs of private dwellings </w:t>
      </w:r>
      <w:r w:rsidR="003552D3" w:rsidRPr="5A104D4B">
        <w:rPr>
          <w:rFonts w:cs="Arial"/>
          <w:color w:val="auto"/>
        </w:rPr>
        <w:t>to estimate housing costs</w:t>
      </w:r>
      <w:r w:rsidR="00773C5B" w:rsidRPr="5A104D4B">
        <w:rPr>
          <w:rFonts w:cs="Arial"/>
          <w:color w:val="auto"/>
        </w:rPr>
        <w:t xml:space="preserve"> and varied the size of the property </w:t>
      </w:r>
      <w:r w:rsidR="00B52C07" w:rsidRPr="5A104D4B">
        <w:rPr>
          <w:rFonts w:cs="Arial"/>
          <w:color w:val="auto"/>
        </w:rPr>
        <w:t xml:space="preserve">depending on the size </w:t>
      </w:r>
      <w:r w:rsidR="00773C5B" w:rsidRPr="5A104D4B">
        <w:rPr>
          <w:rFonts w:cs="Arial"/>
          <w:color w:val="auto"/>
        </w:rPr>
        <w:t>of the different households</w:t>
      </w:r>
      <w:r w:rsidR="00B52C07" w:rsidRPr="5A104D4B">
        <w:rPr>
          <w:rFonts w:cs="Arial"/>
          <w:color w:val="auto"/>
        </w:rPr>
        <w:t xml:space="preserve">, </w:t>
      </w:r>
      <w:r w:rsidR="00EF4EE0" w:rsidRPr="5A104D4B">
        <w:rPr>
          <w:rFonts w:cs="Arial"/>
          <w:color w:val="auto"/>
        </w:rPr>
        <w:t xml:space="preserve">with </w:t>
      </w:r>
      <w:r w:rsidR="003C1393" w:rsidRPr="5A104D4B">
        <w:rPr>
          <w:rFonts w:cs="Arial"/>
          <w:color w:val="auto"/>
        </w:rPr>
        <w:t>s</w:t>
      </w:r>
      <w:r w:rsidR="005428DA" w:rsidRPr="5A104D4B">
        <w:rPr>
          <w:rFonts w:cs="Arial"/>
          <w:color w:val="auto"/>
        </w:rPr>
        <w:t xml:space="preserve">ome </w:t>
      </w:r>
      <w:r w:rsidR="003C1393" w:rsidRPr="5A104D4B">
        <w:rPr>
          <w:rFonts w:cs="Arial"/>
          <w:color w:val="auto"/>
        </w:rPr>
        <w:t>extend</w:t>
      </w:r>
      <w:r w:rsidR="00EF4EE0" w:rsidRPr="5A104D4B">
        <w:rPr>
          <w:rFonts w:cs="Arial"/>
          <w:color w:val="auto"/>
        </w:rPr>
        <w:t>ing</w:t>
      </w:r>
      <w:r w:rsidR="003C1393" w:rsidRPr="5A104D4B">
        <w:rPr>
          <w:rFonts w:cs="Arial"/>
          <w:color w:val="auto"/>
        </w:rPr>
        <w:t xml:space="preserve"> this to </w:t>
      </w:r>
      <w:r w:rsidR="005428DA" w:rsidRPr="5A104D4B">
        <w:rPr>
          <w:rFonts w:cs="Arial"/>
          <w:color w:val="auto"/>
        </w:rPr>
        <w:t>account</w:t>
      </w:r>
      <w:r w:rsidR="003C1393" w:rsidRPr="5A104D4B">
        <w:rPr>
          <w:rFonts w:cs="Arial"/>
          <w:color w:val="auto"/>
        </w:rPr>
        <w:t xml:space="preserve"> </w:t>
      </w:r>
      <w:r w:rsidR="005428DA" w:rsidRPr="5A104D4B">
        <w:rPr>
          <w:rFonts w:cs="Arial"/>
          <w:color w:val="auto"/>
        </w:rPr>
        <w:t xml:space="preserve">for </w:t>
      </w:r>
      <w:r w:rsidR="00F560FA" w:rsidRPr="5A104D4B">
        <w:rPr>
          <w:rFonts w:cs="Arial"/>
          <w:color w:val="auto"/>
        </w:rPr>
        <w:t>eligibility for social housing for low-income families</w:t>
      </w:r>
      <w:r w:rsidR="00F560FA" w:rsidRPr="00FE78BC">
        <w:rPr>
          <w:color w:val="auto"/>
        </w:rPr>
        <w:t>.</w:t>
      </w:r>
      <w:r w:rsidR="001419A2" w:rsidRPr="00FE78BC">
        <w:rPr>
          <w:color w:val="auto"/>
        </w:rPr>
        <w:t xml:space="preserve"> </w:t>
      </w:r>
      <w:r w:rsidR="000D6072" w:rsidRPr="00FE78BC">
        <w:rPr>
          <w:rFonts w:cs="Arial"/>
          <w:color w:val="auto"/>
          <w:sz w:val="22"/>
          <w:szCs w:val="28"/>
        </w:rPr>
        <w:t>I</w:t>
      </w:r>
      <w:r w:rsidR="000D6072" w:rsidRPr="00FE78BC">
        <w:rPr>
          <w:rFonts w:eastAsiaTheme="minorEastAsia" w:cs="Arial"/>
          <w:color w:val="auto"/>
          <w:szCs w:val="20"/>
          <w:lang w:bidi="ar-SA"/>
        </w:rPr>
        <w:t xml:space="preserve">n </w:t>
      </w:r>
      <w:r w:rsidR="00B449CA" w:rsidRPr="00FE78BC">
        <w:rPr>
          <w:rFonts w:eastAsiaTheme="minorEastAsia" w:cs="Arial"/>
          <w:color w:val="auto"/>
          <w:szCs w:val="20"/>
          <w:lang w:bidi="ar-SA"/>
        </w:rPr>
        <w:t>the expenditure studies</w:t>
      </w:r>
      <w:r w:rsidR="00220108" w:rsidRPr="00FE78BC">
        <w:rPr>
          <w:rFonts w:eastAsiaTheme="minorEastAsia" w:cs="Arial"/>
          <w:color w:val="auto"/>
          <w:szCs w:val="20"/>
          <w:lang w:bidi="ar-SA"/>
        </w:rPr>
        <w:t xml:space="preserve"> reviewed </w:t>
      </w:r>
      <w:r w:rsidR="000D6072" w:rsidRPr="00FE78BC">
        <w:rPr>
          <w:rFonts w:eastAsiaTheme="minorEastAsia" w:cs="Arial"/>
          <w:color w:val="auto"/>
          <w:szCs w:val="20"/>
          <w:lang w:bidi="ar-SA"/>
        </w:rPr>
        <w:t>it was unclear whether mortgage repayments were treated</w:t>
      </w:r>
      <w:r w:rsidR="00220108" w:rsidRPr="00FE78BC">
        <w:rPr>
          <w:rFonts w:eastAsiaTheme="minorEastAsia" w:cs="Arial"/>
          <w:color w:val="auto"/>
          <w:szCs w:val="20"/>
          <w:lang w:bidi="ar-SA"/>
        </w:rPr>
        <w:t xml:space="preserve"> as </w:t>
      </w:r>
      <w:r w:rsidR="000D6072" w:rsidRPr="00FE78BC">
        <w:rPr>
          <w:rFonts w:eastAsiaTheme="minorEastAsia" w:cs="Arial"/>
          <w:color w:val="auto"/>
          <w:szCs w:val="20"/>
          <w:lang w:bidi="ar-SA"/>
        </w:rPr>
        <w:t>expenses</w:t>
      </w:r>
      <w:r w:rsidR="00EE49C5" w:rsidRPr="00FE78BC">
        <w:rPr>
          <w:rFonts w:eastAsiaTheme="minorEastAsia" w:cs="Arial"/>
          <w:color w:val="auto"/>
          <w:szCs w:val="20"/>
          <w:lang w:bidi="ar-SA"/>
        </w:rPr>
        <w:t xml:space="preserve"> or as savings</w:t>
      </w:r>
      <w:r w:rsidR="00EE49C5">
        <w:rPr>
          <w:color w:val="auto"/>
        </w:rPr>
        <w:t>.</w:t>
      </w:r>
      <w:r w:rsidR="00B449CA">
        <w:rPr>
          <w:color w:val="auto"/>
        </w:rPr>
        <w:t xml:space="preserve"> </w:t>
      </w:r>
      <w:r w:rsidR="0038238E">
        <w:t>None covered all housing types.</w:t>
      </w:r>
      <w:r>
        <w:br w:type="page"/>
      </w:r>
    </w:p>
    <w:p w14:paraId="14998E22" w14:textId="7329FFEB" w:rsidR="00B1011C" w:rsidRPr="000A58CF" w:rsidRDefault="00B1011C" w:rsidP="00222BC6">
      <w:pPr>
        <w:pStyle w:val="Heading2"/>
      </w:pPr>
      <w:bookmarkStart w:id="2" w:name="_Toc2088849542"/>
      <w:r>
        <w:lastRenderedPageBreak/>
        <w:t>Introduction</w:t>
      </w:r>
      <w:bookmarkEnd w:id="2"/>
    </w:p>
    <w:p w14:paraId="7C30AB05" w14:textId="121ABCD8" w:rsidR="00EE40D6" w:rsidRDefault="00647024" w:rsidP="6DFAFB9A">
      <w:pPr>
        <w:pStyle w:val="BodyText"/>
        <w:spacing w:line="276" w:lineRule="auto"/>
        <w:rPr>
          <w:rFonts w:cs="Arial"/>
          <w:color w:val="auto"/>
        </w:rPr>
      </w:pPr>
      <w:r w:rsidRPr="6DFAFB9A">
        <w:rPr>
          <w:rFonts w:cs="Arial"/>
          <w:color w:val="auto"/>
        </w:rPr>
        <w:t>T</w:t>
      </w:r>
      <w:r w:rsidR="00036497" w:rsidRPr="6DFAFB9A">
        <w:rPr>
          <w:rFonts w:cs="Arial"/>
          <w:color w:val="auto"/>
        </w:rPr>
        <w:t>he Australian Institute of Family Studies</w:t>
      </w:r>
      <w:r w:rsidR="005C169B" w:rsidRPr="6DFAFB9A">
        <w:rPr>
          <w:rFonts w:cs="Arial"/>
          <w:color w:val="auto"/>
        </w:rPr>
        <w:t xml:space="preserve"> (AIFS)</w:t>
      </w:r>
      <w:r w:rsidRPr="6DFAFB9A">
        <w:rPr>
          <w:rFonts w:cs="Arial"/>
          <w:color w:val="auto"/>
        </w:rPr>
        <w:t xml:space="preserve"> </w:t>
      </w:r>
      <w:r w:rsidR="00391C52" w:rsidRPr="6DFAFB9A">
        <w:rPr>
          <w:rFonts w:cs="Arial"/>
          <w:color w:val="auto"/>
        </w:rPr>
        <w:t xml:space="preserve">was commissioned by the </w:t>
      </w:r>
      <w:r w:rsidR="000119B8" w:rsidRPr="6DFAFB9A">
        <w:rPr>
          <w:rFonts w:cs="Arial"/>
          <w:color w:val="auto"/>
        </w:rPr>
        <w:t xml:space="preserve">Department of Social Services </w:t>
      </w:r>
      <w:r w:rsidR="003A4CE6" w:rsidRPr="6DFAFB9A">
        <w:rPr>
          <w:rFonts w:cs="Arial"/>
          <w:color w:val="auto"/>
        </w:rPr>
        <w:t xml:space="preserve">to </w:t>
      </w:r>
      <w:r w:rsidR="00E17C8C" w:rsidRPr="6DFAFB9A">
        <w:rPr>
          <w:rFonts w:cs="Arial"/>
          <w:color w:val="auto"/>
        </w:rPr>
        <w:t>conduct</w:t>
      </w:r>
      <w:r w:rsidR="003A4CE6" w:rsidRPr="6DFAFB9A">
        <w:rPr>
          <w:rFonts w:cs="Arial"/>
          <w:color w:val="auto"/>
        </w:rPr>
        <w:t xml:space="preserve"> a literature review on cost</w:t>
      </w:r>
      <w:r w:rsidR="00AD262D" w:rsidRPr="6DFAFB9A">
        <w:rPr>
          <w:rFonts w:cs="Arial"/>
          <w:color w:val="auto"/>
        </w:rPr>
        <w:t>s</w:t>
      </w:r>
      <w:r w:rsidR="003A4CE6" w:rsidRPr="6DFAFB9A">
        <w:rPr>
          <w:rFonts w:cs="Arial"/>
          <w:color w:val="auto"/>
        </w:rPr>
        <w:t xml:space="preserve"> of children </w:t>
      </w:r>
      <w:r w:rsidR="00AD262D" w:rsidRPr="6DFAFB9A">
        <w:rPr>
          <w:rFonts w:cs="Arial"/>
          <w:color w:val="auto"/>
        </w:rPr>
        <w:t>research</w:t>
      </w:r>
      <w:r w:rsidR="000119B8" w:rsidRPr="6DFAFB9A">
        <w:rPr>
          <w:rFonts w:cs="Arial"/>
          <w:color w:val="auto"/>
        </w:rPr>
        <w:t>. This review is intended</w:t>
      </w:r>
      <w:r w:rsidR="00AD262D" w:rsidRPr="6DFAFB9A">
        <w:rPr>
          <w:rFonts w:cs="Arial"/>
          <w:color w:val="auto"/>
        </w:rPr>
        <w:t xml:space="preserve"> </w:t>
      </w:r>
      <w:r w:rsidR="00E70B66" w:rsidRPr="6DFAFB9A">
        <w:rPr>
          <w:rFonts w:cs="Arial"/>
          <w:color w:val="auto"/>
        </w:rPr>
        <w:t xml:space="preserve">to support the </w:t>
      </w:r>
      <w:r w:rsidR="000119B8" w:rsidRPr="6DFAFB9A">
        <w:rPr>
          <w:rFonts w:cs="Arial"/>
          <w:color w:val="auto"/>
        </w:rPr>
        <w:t xml:space="preserve">Child Support </w:t>
      </w:r>
      <w:r w:rsidR="00E70B66" w:rsidRPr="6DFAFB9A">
        <w:rPr>
          <w:rFonts w:cs="Arial"/>
          <w:color w:val="auto"/>
        </w:rPr>
        <w:t xml:space="preserve">Expert Panel </w:t>
      </w:r>
      <w:r w:rsidR="00A813ED" w:rsidRPr="6DFAFB9A">
        <w:rPr>
          <w:rFonts w:cs="Arial"/>
          <w:color w:val="auto"/>
        </w:rPr>
        <w:t>in their review of the child support formula</w:t>
      </w:r>
      <w:r w:rsidR="007E31E6">
        <w:rPr>
          <w:rFonts w:cs="Arial"/>
          <w:color w:val="auto"/>
        </w:rPr>
        <w:t xml:space="preserve">, which </w:t>
      </w:r>
      <w:r w:rsidR="00870EB7">
        <w:rPr>
          <w:rFonts w:cs="Arial"/>
          <w:color w:val="auto"/>
        </w:rPr>
        <w:t xml:space="preserve">defines how child support amounts are </w:t>
      </w:r>
      <w:r w:rsidR="00CB244C">
        <w:rPr>
          <w:rFonts w:cs="Arial"/>
          <w:color w:val="auto"/>
        </w:rPr>
        <w:t>calculated for separated families</w:t>
      </w:r>
      <w:r w:rsidR="00A813ED" w:rsidRPr="6DFAFB9A">
        <w:rPr>
          <w:rFonts w:cs="Arial"/>
          <w:color w:val="auto"/>
        </w:rPr>
        <w:t>.</w:t>
      </w:r>
      <w:r w:rsidR="00F35D75">
        <w:rPr>
          <w:rFonts w:cs="Arial"/>
          <w:color w:val="auto"/>
        </w:rPr>
        <w:t xml:space="preserve"> Understanding</w:t>
      </w:r>
      <w:r w:rsidR="000B5FA9">
        <w:rPr>
          <w:rFonts w:cs="Arial"/>
          <w:color w:val="auto"/>
        </w:rPr>
        <w:t xml:space="preserve"> the costs of children is a key component</w:t>
      </w:r>
      <w:r w:rsidR="00C72643">
        <w:rPr>
          <w:rFonts w:cs="Arial"/>
          <w:color w:val="auto"/>
        </w:rPr>
        <w:t xml:space="preserve"> as estimates inform t</w:t>
      </w:r>
      <w:r w:rsidR="004E6BFC">
        <w:rPr>
          <w:rFonts w:cs="Arial"/>
          <w:color w:val="auto"/>
        </w:rPr>
        <w:t xml:space="preserve">he cost of children table </w:t>
      </w:r>
      <w:r w:rsidR="00ED3EF3">
        <w:rPr>
          <w:rFonts w:cs="Arial"/>
          <w:color w:val="auto"/>
        </w:rPr>
        <w:t>used in the child support formula</w:t>
      </w:r>
      <w:r w:rsidR="003930AB">
        <w:rPr>
          <w:rFonts w:cs="Arial"/>
          <w:color w:val="auto"/>
        </w:rPr>
        <w:t>. The table</w:t>
      </w:r>
      <w:r w:rsidR="00ED3EF3">
        <w:rPr>
          <w:rFonts w:cs="Arial"/>
          <w:color w:val="auto"/>
        </w:rPr>
        <w:t xml:space="preserve"> </w:t>
      </w:r>
      <w:r w:rsidR="004E6BFC">
        <w:rPr>
          <w:rFonts w:cs="Arial"/>
          <w:color w:val="auto"/>
        </w:rPr>
        <w:t xml:space="preserve">calculates the cost of a child ‘net’ of </w:t>
      </w:r>
      <w:r w:rsidR="00D634C4">
        <w:rPr>
          <w:rFonts w:cs="Arial"/>
          <w:color w:val="auto"/>
        </w:rPr>
        <w:t>Family Tax Benefit Part A (</w:t>
      </w:r>
      <w:r w:rsidR="004E6BFC">
        <w:rPr>
          <w:rFonts w:cs="Arial"/>
          <w:color w:val="auto"/>
        </w:rPr>
        <w:t>FTB-A</w:t>
      </w:r>
      <w:r w:rsidR="00D634C4">
        <w:rPr>
          <w:rFonts w:cs="Arial"/>
          <w:color w:val="auto"/>
        </w:rPr>
        <w:t>)</w:t>
      </w:r>
      <w:r w:rsidR="004E6BFC">
        <w:rPr>
          <w:rFonts w:cs="Arial"/>
          <w:color w:val="auto"/>
        </w:rPr>
        <w:t xml:space="preserve"> paid to the family using fixed percentages of income and income bands decided by the 2004-05 Child Support Taskforce and informed by commissioned Australian research.</w:t>
      </w:r>
    </w:p>
    <w:p w14:paraId="21DDFED2" w14:textId="0A7EEE07" w:rsidR="00375CE2" w:rsidRDefault="00B06C32" w:rsidP="00301915">
      <w:pPr>
        <w:pStyle w:val="BodyText"/>
        <w:spacing w:line="276" w:lineRule="auto"/>
        <w:rPr>
          <w:rFonts w:cs="Arial"/>
          <w:bCs/>
          <w:color w:val="auto"/>
        </w:rPr>
      </w:pPr>
      <w:r>
        <w:rPr>
          <w:rFonts w:cs="Arial"/>
          <w:bCs/>
          <w:color w:val="auto"/>
        </w:rPr>
        <w:t xml:space="preserve">The review was conducted from </w:t>
      </w:r>
      <w:r w:rsidR="00195014">
        <w:rPr>
          <w:rFonts w:cs="Arial"/>
          <w:bCs/>
          <w:color w:val="auto"/>
        </w:rPr>
        <w:t>May to June 2024. This document summarises AIFS</w:t>
      </w:r>
      <w:r w:rsidR="00A66168">
        <w:rPr>
          <w:rFonts w:cs="Arial"/>
          <w:bCs/>
          <w:color w:val="auto"/>
        </w:rPr>
        <w:t>’</w:t>
      </w:r>
      <w:r w:rsidR="00195014">
        <w:rPr>
          <w:rFonts w:cs="Arial"/>
          <w:bCs/>
          <w:color w:val="auto"/>
        </w:rPr>
        <w:t xml:space="preserve"> approach and findings.</w:t>
      </w:r>
      <w:r w:rsidR="00EE40D6">
        <w:rPr>
          <w:rFonts w:cs="Arial"/>
          <w:bCs/>
          <w:color w:val="auto"/>
        </w:rPr>
        <w:t xml:space="preserve"> </w:t>
      </w:r>
    </w:p>
    <w:p w14:paraId="6342EABE" w14:textId="00143265" w:rsidR="00301915" w:rsidRDefault="00195014" w:rsidP="00301915">
      <w:pPr>
        <w:pStyle w:val="BodyText"/>
        <w:spacing w:line="276" w:lineRule="auto"/>
        <w:rPr>
          <w:rFonts w:cs="Arial"/>
          <w:bCs/>
          <w:color w:val="auto"/>
        </w:rPr>
      </w:pPr>
      <w:r>
        <w:rPr>
          <w:rFonts w:cs="Arial"/>
          <w:bCs/>
          <w:color w:val="auto"/>
        </w:rPr>
        <w:t>The</w:t>
      </w:r>
      <w:r w:rsidR="00301915">
        <w:rPr>
          <w:rFonts w:cs="Arial"/>
          <w:bCs/>
          <w:color w:val="auto"/>
        </w:rPr>
        <w:t xml:space="preserve"> objectives </w:t>
      </w:r>
      <w:r>
        <w:rPr>
          <w:rFonts w:cs="Arial"/>
          <w:bCs/>
          <w:color w:val="auto"/>
        </w:rPr>
        <w:t>of the</w:t>
      </w:r>
      <w:r w:rsidR="00301915">
        <w:rPr>
          <w:rFonts w:cs="Arial"/>
          <w:bCs/>
          <w:color w:val="auto"/>
        </w:rPr>
        <w:t xml:space="preserve"> review</w:t>
      </w:r>
      <w:r>
        <w:rPr>
          <w:rFonts w:cs="Arial"/>
          <w:bCs/>
          <w:color w:val="auto"/>
        </w:rPr>
        <w:t xml:space="preserve"> were</w:t>
      </w:r>
      <w:r w:rsidR="00301915">
        <w:rPr>
          <w:rFonts w:cs="Arial"/>
          <w:bCs/>
          <w:color w:val="auto"/>
        </w:rPr>
        <w:t>:</w:t>
      </w:r>
    </w:p>
    <w:p w14:paraId="19345876" w14:textId="4E7A8E57" w:rsidR="00301915" w:rsidRDefault="00301915" w:rsidP="6DFAFB9A">
      <w:pPr>
        <w:pStyle w:val="BodyText"/>
        <w:numPr>
          <w:ilvl w:val="0"/>
          <w:numId w:val="43"/>
        </w:numPr>
        <w:spacing w:line="276" w:lineRule="auto"/>
        <w:rPr>
          <w:rFonts w:cs="Arial"/>
          <w:color w:val="auto"/>
        </w:rPr>
      </w:pPr>
      <w:r w:rsidRPr="6DFAFB9A">
        <w:rPr>
          <w:rFonts w:cs="Arial"/>
          <w:color w:val="auto"/>
        </w:rPr>
        <w:t xml:space="preserve">to provide an update on any key methodological developments in costs of children research </w:t>
      </w:r>
      <w:r w:rsidR="008451A9" w:rsidRPr="6DFAFB9A">
        <w:rPr>
          <w:rFonts w:cs="Arial"/>
          <w:color w:val="auto"/>
        </w:rPr>
        <w:t>from</w:t>
      </w:r>
      <w:r w:rsidRPr="6DFAFB9A">
        <w:rPr>
          <w:rFonts w:cs="Arial"/>
          <w:color w:val="auto"/>
        </w:rPr>
        <w:t xml:space="preserve"> 2005 </w:t>
      </w:r>
      <w:r w:rsidR="008451A9" w:rsidRPr="6DFAFB9A">
        <w:rPr>
          <w:rFonts w:cs="Arial"/>
          <w:color w:val="auto"/>
        </w:rPr>
        <w:t>to early</w:t>
      </w:r>
      <w:r w:rsidRPr="6DFAFB9A">
        <w:rPr>
          <w:rFonts w:cs="Arial"/>
          <w:color w:val="auto"/>
        </w:rPr>
        <w:t xml:space="preserve"> 2024 in Australia and other OECD countries</w:t>
      </w:r>
    </w:p>
    <w:p w14:paraId="05E3BC9E" w14:textId="63A075EB" w:rsidR="00943B9C" w:rsidRDefault="00943B9C" w:rsidP="00943B9C">
      <w:pPr>
        <w:pStyle w:val="ListBullet"/>
        <w:numPr>
          <w:ilvl w:val="0"/>
          <w:numId w:val="43"/>
        </w:numPr>
      </w:pPr>
      <w:r>
        <w:t xml:space="preserve">to identify and provide an overview of cost of children studies that estimate </w:t>
      </w:r>
      <w:r w:rsidRPr="00A22A32">
        <w:t>costs where children spend time in more than one household</w:t>
      </w:r>
      <w:r>
        <w:t xml:space="preserve">, the costs under different patterns of care, </w:t>
      </w:r>
      <w:r w:rsidRPr="00A22A32">
        <w:t xml:space="preserve">costs where </w:t>
      </w:r>
      <w:proofErr w:type="gramStart"/>
      <w:r w:rsidRPr="00A22A32">
        <w:t>child care</w:t>
      </w:r>
      <w:proofErr w:type="gramEnd"/>
      <w:r w:rsidRPr="00A22A32">
        <w:t xml:space="preserve"> is utilis</w:t>
      </w:r>
      <w:r>
        <w:t>ed, and costs for different housing tenure and housing types.</w:t>
      </w:r>
    </w:p>
    <w:p w14:paraId="540ECD9B" w14:textId="0F9DE2D1" w:rsidR="00262AAF" w:rsidRDefault="00262AAF" w:rsidP="6DFAFB9A">
      <w:pPr>
        <w:pStyle w:val="BodyText"/>
        <w:spacing w:line="276" w:lineRule="auto"/>
        <w:rPr>
          <w:rFonts w:cs="Arial"/>
          <w:color w:val="auto"/>
        </w:rPr>
      </w:pPr>
      <w:r w:rsidRPr="5A104D4B">
        <w:rPr>
          <w:rFonts w:cs="Arial"/>
          <w:color w:val="auto"/>
        </w:rPr>
        <w:t xml:space="preserve">The review was designed to capture and analyse literature relating to the </w:t>
      </w:r>
      <w:r w:rsidR="00E955F1" w:rsidRPr="5A104D4B">
        <w:rPr>
          <w:rFonts w:cs="Arial"/>
          <w:color w:val="auto"/>
        </w:rPr>
        <w:t>two objectives.</w:t>
      </w:r>
      <w:r w:rsidR="00A55CDE" w:rsidRPr="5A104D4B">
        <w:rPr>
          <w:rFonts w:cs="Arial"/>
          <w:color w:val="auto"/>
        </w:rPr>
        <w:t xml:space="preserve"> To ensure timely delivery of this report, the number of documents for the literature review </w:t>
      </w:r>
      <w:r w:rsidRPr="5A104D4B">
        <w:rPr>
          <w:rFonts w:cs="Arial"/>
          <w:color w:val="auto"/>
        </w:rPr>
        <w:t xml:space="preserve">was capped </w:t>
      </w:r>
      <w:r w:rsidR="00A55CDE" w:rsidRPr="5A104D4B">
        <w:rPr>
          <w:rFonts w:cs="Arial"/>
          <w:color w:val="auto"/>
        </w:rPr>
        <w:t>at 3</w:t>
      </w:r>
      <w:r w:rsidR="00C478E6">
        <w:rPr>
          <w:rFonts w:cs="Arial"/>
          <w:color w:val="auto"/>
        </w:rPr>
        <w:t>4</w:t>
      </w:r>
      <w:r w:rsidR="00A55CDE" w:rsidRPr="5A104D4B">
        <w:rPr>
          <w:rFonts w:cs="Arial"/>
          <w:color w:val="auto"/>
        </w:rPr>
        <w:t xml:space="preserve">. </w:t>
      </w:r>
      <w:r w:rsidR="005D5956" w:rsidRPr="5A104D4B">
        <w:rPr>
          <w:rFonts w:cs="Arial"/>
          <w:color w:val="auto"/>
        </w:rPr>
        <w:t xml:space="preserve">More information about the search strategy is available in the next section. </w:t>
      </w:r>
      <w:r w:rsidR="00FD03B7" w:rsidRPr="5A104D4B">
        <w:rPr>
          <w:rFonts w:cs="Arial"/>
          <w:color w:val="auto"/>
        </w:rPr>
        <w:t xml:space="preserve">The findings are reported </w:t>
      </w:r>
      <w:r w:rsidR="00BC7F09" w:rsidRPr="5A104D4B">
        <w:rPr>
          <w:rFonts w:cs="Arial"/>
          <w:color w:val="auto"/>
        </w:rPr>
        <w:t>separately against each of the two review objectives</w:t>
      </w:r>
      <w:r w:rsidR="00434338" w:rsidRPr="5A104D4B">
        <w:rPr>
          <w:rFonts w:cs="Arial"/>
          <w:color w:val="auto"/>
        </w:rPr>
        <w:t>.</w:t>
      </w:r>
      <w:r w:rsidR="0074521A" w:rsidRPr="5A104D4B">
        <w:rPr>
          <w:rFonts w:cs="Arial"/>
          <w:color w:val="auto"/>
        </w:rPr>
        <w:t xml:space="preserve"> A discussion </w:t>
      </w:r>
      <w:r w:rsidR="34CDBB02" w:rsidRPr="5A104D4B">
        <w:rPr>
          <w:rFonts w:cs="Arial"/>
          <w:color w:val="auto"/>
        </w:rPr>
        <w:t>about the</w:t>
      </w:r>
      <w:r w:rsidR="67BFCC62" w:rsidRPr="5A104D4B">
        <w:rPr>
          <w:rFonts w:cs="Arial"/>
          <w:color w:val="auto"/>
        </w:rPr>
        <w:t xml:space="preserve"> </w:t>
      </w:r>
      <w:r w:rsidR="6AD3F831" w:rsidRPr="5A104D4B">
        <w:rPr>
          <w:rFonts w:cs="Arial"/>
          <w:color w:val="auto"/>
        </w:rPr>
        <w:t>results</w:t>
      </w:r>
      <w:r w:rsidR="34CDBB02" w:rsidRPr="5A104D4B">
        <w:rPr>
          <w:rFonts w:cs="Arial"/>
          <w:color w:val="auto"/>
        </w:rPr>
        <w:t xml:space="preserve"> </w:t>
      </w:r>
      <w:r w:rsidR="0074521A" w:rsidRPr="5A104D4B">
        <w:rPr>
          <w:rFonts w:cs="Arial"/>
          <w:color w:val="auto"/>
        </w:rPr>
        <w:t>concludes the report.</w:t>
      </w:r>
    </w:p>
    <w:p w14:paraId="0DF28420" w14:textId="77777777" w:rsidR="00832872" w:rsidRDefault="00832872">
      <w:pPr>
        <w:suppressAutoHyphens w:val="0"/>
        <w:spacing w:before="0" w:line="240" w:lineRule="auto"/>
        <w:jc w:val="left"/>
        <w:rPr>
          <w:rStyle w:val="normaltextrun"/>
          <w:rFonts w:cs="Arial"/>
          <w:color w:val="ED0C64"/>
          <w:kern w:val="32"/>
          <w:sz w:val="44"/>
        </w:rPr>
      </w:pPr>
      <w:r>
        <w:rPr>
          <w:rStyle w:val="normaltextrun"/>
        </w:rPr>
        <w:br w:type="page"/>
      </w:r>
    </w:p>
    <w:p w14:paraId="5C8B48EA" w14:textId="51503AF4" w:rsidR="002B33F4" w:rsidRDefault="002B33F4" w:rsidP="00222BC6">
      <w:pPr>
        <w:pStyle w:val="Heading2"/>
        <w:rPr>
          <w:rStyle w:val="normaltextrun"/>
        </w:rPr>
      </w:pPr>
      <w:bookmarkStart w:id="3" w:name="_Toc2085902814"/>
      <w:r w:rsidRPr="55984A4E">
        <w:rPr>
          <w:rStyle w:val="normaltextrun"/>
        </w:rPr>
        <w:lastRenderedPageBreak/>
        <w:t>Method</w:t>
      </w:r>
      <w:bookmarkEnd w:id="3"/>
    </w:p>
    <w:p w14:paraId="753D08A4" w14:textId="77777777" w:rsidR="000F6AA2" w:rsidRPr="000544F5" w:rsidRDefault="000F6AA2" w:rsidP="000544F5">
      <w:pPr>
        <w:pStyle w:val="Heading4"/>
      </w:pPr>
      <w:bookmarkStart w:id="4" w:name="_Toc1906842742"/>
      <w:r w:rsidRPr="000544F5">
        <w:t>Defining the costs of children</w:t>
      </w:r>
      <w:bookmarkEnd w:id="4"/>
    </w:p>
    <w:p w14:paraId="7A1CEDBD" w14:textId="51F93463" w:rsidR="00723636" w:rsidRDefault="000F6AA2" w:rsidP="000F6AA2">
      <w:pPr>
        <w:pStyle w:val="BodyText"/>
        <w:spacing w:line="276" w:lineRule="auto"/>
        <w:rPr>
          <w:lang w:bidi="ar-SA"/>
        </w:rPr>
      </w:pPr>
      <w:r>
        <w:rPr>
          <w:lang w:bidi="ar-SA"/>
        </w:rPr>
        <w:t>There are both direct and indirect costs associated with raising a child. Direct costs consist of explicit expenditures on children</w:t>
      </w:r>
      <w:r w:rsidR="00393C94">
        <w:rPr>
          <w:lang w:bidi="ar-SA"/>
        </w:rPr>
        <w:t xml:space="preserve"> (e.g., </w:t>
      </w:r>
      <w:r>
        <w:rPr>
          <w:lang w:bidi="ar-SA"/>
        </w:rPr>
        <w:t>the cost of food, clothes, schooling, and housing</w:t>
      </w:r>
      <w:r w:rsidR="00A0107D">
        <w:rPr>
          <w:lang w:bidi="ar-SA"/>
        </w:rPr>
        <w:t>)</w:t>
      </w:r>
      <w:r>
        <w:rPr>
          <w:lang w:bidi="ar-SA"/>
        </w:rPr>
        <w:t>. Indirect costs are the ‘opportunity costs’ or ‘time costs’ of children</w:t>
      </w:r>
      <w:r w:rsidR="00D16978">
        <w:rPr>
          <w:lang w:bidi="ar-SA"/>
        </w:rPr>
        <w:t xml:space="preserve"> (e.g., </w:t>
      </w:r>
      <w:r>
        <w:rPr>
          <w:lang w:bidi="ar-SA"/>
        </w:rPr>
        <w:t xml:space="preserve">the </w:t>
      </w:r>
      <w:r w:rsidR="00D16978">
        <w:rPr>
          <w:lang w:bidi="ar-SA"/>
        </w:rPr>
        <w:t xml:space="preserve">impact of time use by parents with the </w:t>
      </w:r>
      <w:r>
        <w:rPr>
          <w:lang w:bidi="ar-SA"/>
        </w:rPr>
        <w:t>addition of a child to a family</w:t>
      </w:r>
      <w:r w:rsidR="00A0107D">
        <w:rPr>
          <w:lang w:bidi="ar-SA"/>
        </w:rPr>
        <w:t>)</w:t>
      </w:r>
      <w:r w:rsidR="00723636">
        <w:rPr>
          <w:lang w:bidi="ar-SA"/>
        </w:rPr>
        <w:t>.</w:t>
      </w:r>
      <w:r>
        <w:rPr>
          <w:lang w:bidi="ar-SA"/>
        </w:rPr>
        <w:t xml:space="preserve"> Much of the literature focuses on direct costs. </w:t>
      </w:r>
    </w:p>
    <w:p w14:paraId="4C501B6A" w14:textId="43441D73" w:rsidR="00053F4B" w:rsidRDefault="00723636" w:rsidP="000F6AA2">
      <w:pPr>
        <w:pStyle w:val="BodyText"/>
        <w:spacing w:line="276" w:lineRule="auto"/>
        <w:rPr>
          <w:lang w:bidi="ar-SA"/>
        </w:rPr>
      </w:pPr>
      <w:r>
        <w:rPr>
          <w:lang w:bidi="ar-SA"/>
        </w:rPr>
        <w:t xml:space="preserve">In line with </w:t>
      </w:r>
      <w:r w:rsidR="000F6AA2">
        <w:rPr>
          <w:lang w:bidi="ar-SA"/>
        </w:rPr>
        <w:t>Gray</w:t>
      </w:r>
      <w:r>
        <w:rPr>
          <w:lang w:bidi="ar-SA"/>
        </w:rPr>
        <w:t xml:space="preserve"> (</w:t>
      </w:r>
      <w:r w:rsidR="000F6AA2">
        <w:rPr>
          <w:lang w:bidi="ar-SA"/>
        </w:rPr>
        <w:t>2007</w:t>
      </w:r>
      <w:r>
        <w:rPr>
          <w:lang w:bidi="ar-SA"/>
        </w:rPr>
        <w:t>)</w:t>
      </w:r>
      <w:r w:rsidR="000F6AA2">
        <w:rPr>
          <w:lang w:bidi="ar-SA"/>
        </w:rPr>
        <w:t xml:space="preserve">, </w:t>
      </w:r>
      <w:r>
        <w:rPr>
          <w:lang w:bidi="ar-SA"/>
        </w:rPr>
        <w:t>our review</w:t>
      </w:r>
      <w:r w:rsidR="000F6AA2">
        <w:rPr>
          <w:lang w:bidi="ar-SA"/>
        </w:rPr>
        <w:t xml:space="preserve"> focus</w:t>
      </w:r>
      <w:r>
        <w:rPr>
          <w:lang w:bidi="ar-SA"/>
        </w:rPr>
        <w:t>es</w:t>
      </w:r>
      <w:r w:rsidR="000F6AA2">
        <w:rPr>
          <w:lang w:bidi="ar-SA"/>
        </w:rPr>
        <w:t xml:space="preserve"> on the measurement of direct costs. </w:t>
      </w:r>
      <w:r w:rsidR="00053F4B" w:rsidRPr="38626D43">
        <w:rPr>
          <w:rFonts w:cs="Arial"/>
          <w:color w:val="2C2A29"/>
          <w:lang w:eastAsia="en-AU"/>
        </w:rPr>
        <w:t xml:space="preserve">We excluded studies that </w:t>
      </w:r>
      <w:r w:rsidR="00922173">
        <w:rPr>
          <w:rFonts w:cs="Arial"/>
          <w:color w:val="2C2A29"/>
          <w:lang w:eastAsia="en-AU"/>
        </w:rPr>
        <w:t xml:space="preserve">only </w:t>
      </w:r>
      <w:r w:rsidR="002D082C">
        <w:rPr>
          <w:rFonts w:cs="Arial"/>
          <w:color w:val="2C2A29"/>
          <w:lang w:eastAsia="en-AU"/>
        </w:rPr>
        <w:t>included</w:t>
      </w:r>
      <w:r w:rsidR="002D082C" w:rsidRPr="38626D43">
        <w:rPr>
          <w:rFonts w:cs="Arial"/>
          <w:color w:val="2C2A29"/>
          <w:lang w:eastAsia="en-AU"/>
        </w:rPr>
        <w:t xml:space="preserve"> </w:t>
      </w:r>
      <w:r w:rsidR="00053F4B" w:rsidRPr="38626D43">
        <w:rPr>
          <w:rFonts w:cs="Arial"/>
          <w:color w:val="2C2A29"/>
          <w:lang w:eastAsia="en-AU"/>
        </w:rPr>
        <w:t xml:space="preserve">the indirect costs of raising children. </w:t>
      </w:r>
    </w:p>
    <w:p w14:paraId="1E120971" w14:textId="174FF9FA" w:rsidR="000F6AA2" w:rsidRDefault="00645325" w:rsidP="000F6AA2">
      <w:pPr>
        <w:pStyle w:val="BodyText"/>
        <w:spacing w:line="276" w:lineRule="auto"/>
        <w:rPr>
          <w:lang w:eastAsia="en-AU"/>
        </w:rPr>
      </w:pPr>
      <w:r>
        <w:rPr>
          <w:lang w:eastAsia="en-AU"/>
        </w:rPr>
        <w:t xml:space="preserve">We used the following definition </w:t>
      </w:r>
      <w:r w:rsidR="007304D0">
        <w:rPr>
          <w:lang w:eastAsia="en-AU"/>
        </w:rPr>
        <w:t xml:space="preserve">for the direct costs of children </w:t>
      </w:r>
      <w:r>
        <w:rPr>
          <w:lang w:eastAsia="en-AU"/>
        </w:rPr>
        <w:t xml:space="preserve">from </w:t>
      </w:r>
      <w:r w:rsidR="000F6AA2">
        <w:rPr>
          <w:lang w:eastAsia="en-AU"/>
        </w:rPr>
        <w:t>Bradbury (2014</w:t>
      </w:r>
      <w:r w:rsidR="009F2D6E">
        <w:rPr>
          <w:lang w:eastAsia="en-AU"/>
        </w:rPr>
        <w:t>, p.1486</w:t>
      </w:r>
      <w:r w:rsidR="000F6AA2">
        <w:rPr>
          <w:lang w:eastAsia="en-AU"/>
        </w:rPr>
        <w:t xml:space="preserve">) </w:t>
      </w:r>
      <w:r>
        <w:rPr>
          <w:lang w:eastAsia="en-AU"/>
        </w:rPr>
        <w:t>when selecting literature for inclusion</w:t>
      </w:r>
      <w:r w:rsidR="007304D0">
        <w:rPr>
          <w:lang w:eastAsia="en-AU"/>
        </w:rPr>
        <w:t xml:space="preserve"> in our review:</w:t>
      </w:r>
      <w:r>
        <w:rPr>
          <w:lang w:eastAsia="en-AU"/>
        </w:rPr>
        <w:t xml:space="preserve"> </w:t>
      </w:r>
    </w:p>
    <w:p w14:paraId="3500FA56" w14:textId="3D57B44F" w:rsidR="000F6AA2" w:rsidRPr="00A05717" w:rsidRDefault="000F6AA2" w:rsidP="007304D0">
      <w:pPr>
        <w:pStyle w:val="Quote"/>
        <w:rPr>
          <w:color w:val="E7005E"/>
          <w:lang w:eastAsia="en-AU"/>
        </w:rPr>
      </w:pPr>
      <w:r w:rsidRPr="00A05717">
        <w:rPr>
          <w:color w:val="E7005E"/>
          <w:lang w:eastAsia="en-AU"/>
        </w:rPr>
        <w:t xml:space="preserve">The amount by which total resources would need to be higher in the household containing the child </w:t>
      </w:r>
      <w:proofErr w:type="gramStart"/>
      <w:r w:rsidRPr="00A05717">
        <w:rPr>
          <w:color w:val="E7005E"/>
          <w:lang w:eastAsia="en-AU"/>
        </w:rPr>
        <w:t>in order for</w:t>
      </w:r>
      <w:proofErr w:type="gramEnd"/>
      <w:r w:rsidRPr="00A05717">
        <w:rPr>
          <w:color w:val="E7005E"/>
          <w:lang w:eastAsia="en-AU"/>
        </w:rPr>
        <w:t xml:space="preserve"> parental living standards to be maintained at the level attained when there is no child in the household.</w:t>
      </w:r>
    </w:p>
    <w:p w14:paraId="3FEF6593" w14:textId="77777777" w:rsidR="005251D4" w:rsidRDefault="005251D4" w:rsidP="000544F5">
      <w:pPr>
        <w:pStyle w:val="Heading4"/>
      </w:pPr>
      <w:bookmarkStart w:id="5" w:name="_Toc168066328"/>
      <w:bookmarkStart w:id="6" w:name="_Toc325495824"/>
      <w:r>
        <w:t>Literature search and selection</w:t>
      </w:r>
      <w:bookmarkEnd w:id="5"/>
      <w:bookmarkEnd w:id="6"/>
    </w:p>
    <w:p w14:paraId="5E189C21" w14:textId="495FA152" w:rsidR="005251D4" w:rsidRDefault="005251D4" w:rsidP="005251D4">
      <w:pPr>
        <w:pStyle w:val="BodyText"/>
      </w:pPr>
      <w:r>
        <w:t>The search strategy adopted in this review aimed to identify key publications and prior works that have been pivotal to quantifying the cost of raising children in Australia and other OECD countries between</w:t>
      </w:r>
      <w:r w:rsidR="00F75BCE">
        <w:t xml:space="preserve"> 1</w:t>
      </w:r>
      <w:r w:rsidR="00F75BCE" w:rsidRPr="5A104D4B">
        <w:rPr>
          <w:vertAlign w:val="superscript"/>
        </w:rPr>
        <w:t>st</w:t>
      </w:r>
      <w:r w:rsidR="00F75BCE">
        <w:t xml:space="preserve"> January</w:t>
      </w:r>
      <w:r>
        <w:t xml:space="preserve"> 2005 and </w:t>
      </w:r>
      <w:r w:rsidR="005A01A4">
        <w:t>30</w:t>
      </w:r>
      <w:r w:rsidR="005A01A4" w:rsidRPr="5A104D4B">
        <w:rPr>
          <w:vertAlign w:val="superscript"/>
        </w:rPr>
        <w:t>th</w:t>
      </w:r>
      <w:r w:rsidR="005A01A4">
        <w:t xml:space="preserve"> April </w:t>
      </w:r>
      <w:r>
        <w:t>2024. The review included relevant articles, conceptual papers, position papers and reports by government agencies and peak bodies using multiple databases and information sources</w:t>
      </w:r>
      <w:r w:rsidR="00173517">
        <w:t>, including</w:t>
      </w:r>
      <w:r>
        <w:t xml:space="preserve"> </w:t>
      </w:r>
      <w:r w:rsidR="0069715A">
        <w:t xml:space="preserve">the </w:t>
      </w:r>
      <w:r>
        <w:t>AIFS library catalogue</w:t>
      </w:r>
      <w:r w:rsidR="00B04332">
        <w:t xml:space="preserve">, Catalogue Plus international databases, </w:t>
      </w:r>
      <w:r w:rsidR="00F07B86">
        <w:t>Google Scholar and a basic Google search</w:t>
      </w:r>
      <w:r>
        <w:t>.</w:t>
      </w:r>
      <w:r w:rsidR="00060B7E">
        <w:t xml:space="preserve"> </w:t>
      </w:r>
      <w:r>
        <w:t xml:space="preserve">Our search strategy is outlined in Table 1. </w:t>
      </w:r>
    </w:p>
    <w:p w14:paraId="712A951F" w14:textId="77777777" w:rsidR="005251D4" w:rsidRPr="00A05717" w:rsidRDefault="005251D4" w:rsidP="005251D4">
      <w:pPr>
        <w:pStyle w:val="TableCaption"/>
        <w:rPr>
          <w:color w:val="E7005E"/>
          <w:lang w:val="en-US" w:eastAsia="ja-JP"/>
        </w:rPr>
      </w:pPr>
      <w:bookmarkStart w:id="7" w:name="_Ref153900629"/>
      <w:r w:rsidRPr="00A05717">
        <w:rPr>
          <w:color w:val="E7005E"/>
          <w:lang w:val="en-US" w:eastAsia="ja-JP"/>
        </w:rPr>
        <w:t xml:space="preserve">Table </w:t>
      </w:r>
      <w:bookmarkEnd w:id="7"/>
      <w:r w:rsidRPr="00A05717">
        <w:rPr>
          <w:color w:val="E7005E"/>
          <w:lang w:val="en-US" w:eastAsia="ja-JP"/>
        </w:rPr>
        <w:t xml:space="preserve">1: Search strategy for </w:t>
      </w:r>
      <w:proofErr w:type="gramStart"/>
      <w:r w:rsidRPr="00A05717">
        <w:rPr>
          <w:color w:val="E7005E"/>
          <w:lang w:val="en-US" w:eastAsia="ja-JP"/>
        </w:rPr>
        <w:t>the literature</w:t>
      </w:r>
      <w:proofErr w:type="gramEnd"/>
      <w:r w:rsidRPr="00A05717">
        <w:rPr>
          <w:color w:val="E7005E"/>
          <w:lang w:val="en-US" w:eastAsia="ja-JP"/>
        </w:rPr>
        <w:t xml:space="preserve"> review</w:t>
      </w:r>
      <w:r w:rsidRPr="00A05717">
        <w:rPr>
          <w:color w:val="E7005E"/>
        </w:rPr>
        <w:t xml:space="preserve"> </w:t>
      </w:r>
    </w:p>
    <w:tbl>
      <w:tblPr>
        <w:tblStyle w:val="TableGrid"/>
        <w:tblW w:w="0" w:type="auto"/>
        <w:tblLayout w:type="fixed"/>
        <w:tblLook w:val="04A0" w:firstRow="1" w:lastRow="0" w:firstColumn="1" w:lastColumn="0" w:noHBand="0" w:noVBand="1"/>
      </w:tblPr>
      <w:tblGrid>
        <w:gridCol w:w="1701"/>
        <w:gridCol w:w="6714"/>
      </w:tblGrid>
      <w:tr w:rsidR="005251D4" w:rsidRPr="000D2698" w14:paraId="76EC91E4" w14:textId="77777777">
        <w:trPr>
          <w:cnfStyle w:val="100000000000" w:firstRow="1" w:lastRow="0" w:firstColumn="0" w:lastColumn="0" w:oddVBand="0" w:evenVBand="0" w:oddHBand="0" w:evenHBand="0" w:firstRowFirstColumn="0" w:firstRowLastColumn="0" w:lastRowFirstColumn="0" w:lastRowLastColumn="0"/>
          <w:trHeight w:val="300"/>
        </w:trPr>
        <w:tc>
          <w:tcPr>
            <w:tcW w:w="1701" w:type="dxa"/>
          </w:tcPr>
          <w:p w14:paraId="09A7BF20" w14:textId="77777777" w:rsidR="005251D4" w:rsidRPr="000D2698" w:rsidRDefault="005251D4">
            <w:pPr>
              <w:rPr>
                <w:rFonts w:eastAsia="Arial" w:cs="Arial"/>
                <w:b/>
                <w:bCs/>
                <w:color w:val="FFFFFF" w:themeColor="background1"/>
                <w:szCs w:val="20"/>
              </w:rPr>
            </w:pPr>
            <w:r w:rsidRPr="000D2698">
              <w:rPr>
                <w:rFonts w:eastAsia="Arial" w:cs="Arial"/>
                <w:b/>
                <w:bCs/>
                <w:color w:val="FFFFFF" w:themeColor="background1"/>
                <w:szCs w:val="20"/>
              </w:rPr>
              <w:t>Domain</w:t>
            </w:r>
          </w:p>
        </w:tc>
        <w:tc>
          <w:tcPr>
            <w:tcW w:w="6714" w:type="dxa"/>
          </w:tcPr>
          <w:p w14:paraId="035BE1A8" w14:textId="77777777" w:rsidR="005251D4" w:rsidRPr="000D2698" w:rsidRDefault="005251D4">
            <w:pPr>
              <w:rPr>
                <w:rFonts w:eastAsia="Arial" w:cs="Arial"/>
                <w:b/>
                <w:bCs/>
                <w:color w:val="FFFFFF" w:themeColor="background1"/>
                <w:szCs w:val="20"/>
              </w:rPr>
            </w:pPr>
            <w:r w:rsidRPr="000D2698">
              <w:rPr>
                <w:rFonts w:eastAsia="Arial" w:cs="Arial"/>
                <w:b/>
                <w:bCs/>
                <w:color w:val="FFFFFF" w:themeColor="background1"/>
                <w:szCs w:val="20"/>
              </w:rPr>
              <w:t>Keyword</w:t>
            </w:r>
          </w:p>
        </w:tc>
      </w:tr>
      <w:tr w:rsidR="005251D4" w:rsidRPr="000D2698" w14:paraId="6ECE2FA7" w14:textId="77777777">
        <w:trPr>
          <w:trHeight w:val="300"/>
        </w:trPr>
        <w:tc>
          <w:tcPr>
            <w:tcW w:w="1701" w:type="dxa"/>
          </w:tcPr>
          <w:p w14:paraId="6CA5C9F1" w14:textId="77777777" w:rsidR="005251D4" w:rsidRPr="000D2698" w:rsidRDefault="005251D4">
            <w:pPr>
              <w:rPr>
                <w:rFonts w:eastAsia="Arial" w:cs="Arial"/>
                <w:szCs w:val="20"/>
              </w:rPr>
            </w:pPr>
            <w:r w:rsidRPr="000D2698">
              <w:rPr>
                <w:rFonts w:eastAsia="Arial" w:cs="Arial"/>
                <w:szCs w:val="20"/>
              </w:rPr>
              <w:t xml:space="preserve">1 (outcome) </w:t>
            </w:r>
          </w:p>
        </w:tc>
        <w:tc>
          <w:tcPr>
            <w:tcW w:w="6714" w:type="dxa"/>
          </w:tcPr>
          <w:p w14:paraId="2F4114F8" w14:textId="23770941" w:rsidR="005251D4" w:rsidRPr="000D2698" w:rsidRDefault="005251D4">
            <w:pPr>
              <w:rPr>
                <w:rFonts w:eastAsia="Arial" w:cs="Arial"/>
                <w:szCs w:val="20"/>
              </w:rPr>
            </w:pPr>
            <w:r w:rsidRPr="000D2698">
              <w:rPr>
                <w:rFonts w:eastAsia="Arial" w:cs="Arial"/>
                <w:szCs w:val="20"/>
              </w:rPr>
              <w:t xml:space="preserve"> “cost</w:t>
            </w:r>
            <w:r w:rsidR="00C61E12">
              <w:rPr>
                <w:rFonts w:eastAsia="Arial" w:cs="Arial"/>
                <w:szCs w:val="20"/>
              </w:rPr>
              <w:t>*</w:t>
            </w:r>
            <w:r w:rsidRPr="000D2698">
              <w:rPr>
                <w:rFonts w:eastAsia="Arial" w:cs="Arial"/>
                <w:szCs w:val="20"/>
              </w:rPr>
              <w:t xml:space="preserve"> of children” OR “cost</w:t>
            </w:r>
            <w:r w:rsidR="00C61E12">
              <w:rPr>
                <w:rFonts w:eastAsia="Arial" w:cs="Arial"/>
                <w:szCs w:val="20"/>
              </w:rPr>
              <w:t>*</w:t>
            </w:r>
            <w:r w:rsidRPr="000D2698">
              <w:rPr>
                <w:rFonts w:eastAsia="Arial" w:cs="Arial"/>
                <w:szCs w:val="20"/>
              </w:rPr>
              <w:t xml:space="preserve"> of raising children” OR “expenditure on children”</w:t>
            </w:r>
            <w:r>
              <w:rPr>
                <w:rFonts w:eastAsia="Arial" w:cs="Arial"/>
                <w:szCs w:val="20"/>
              </w:rPr>
              <w:t xml:space="preserve"> </w:t>
            </w:r>
            <w:r w:rsidR="00C61E12">
              <w:rPr>
                <w:rFonts w:eastAsia="Arial" w:cs="Arial"/>
                <w:szCs w:val="20"/>
              </w:rPr>
              <w:t xml:space="preserve">OR </w:t>
            </w:r>
            <w:r w:rsidR="00701672" w:rsidRPr="00701672">
              <w:rPr>
                <w:rFonts w:eastAsia="Arial" w:cs="Arial"/>
                <w:i/>
                <w:iCs/>
                <w:szCs w:val="20"/>
              </w:rPr>
              <w:t>"</w:t>
            </w:r>
            <w:r w:rsidR="00701672" w:rsidRPr="00701672">
              <w:rPr>
                <w:rFonts w:eastAsia="Arial" w:cs="Arial"/>
                <w:szCs w:val="20"/>
              </w:rPr>
              <w:t>spending on children" OR "</w:t>
            </w:r>
            <w:r w:rsidR="00701672">
              <w:rPr>
                <w:rFonts w:eastAsia="Arial" w:cs="Arial"/>
                <w:szCs w:val="20"/>
              </w:rPr>
              <w:t>e</w:t>
            </w:r>
            <w:r w:rsidR="00701672" w:rsidRPr="00701672">
              <w:rPr>
                <w:rFonts w:eastAsia="Arial" w:cs="Arial"/>
                <w:szCs w:val="20"/>
              </w:rPr>
              <w:t>xpenditure* on children"</w:t>
            </w:r>
            <w:r w:rsidR="001A7EB9">
              <w:rPr>
                <w:rFonts w:eastAsia="Arial" w:cs="Arial"/>
                <w:szCs w:val="20"/>
              </w:rPr>
              <w:t xml:space="preserve"> OR</w:t>
            </w:r>
            <w:r w:rsidR="006D4737">
              <w:rPr>
                <w:rFonts w:eastAsia="Arial" w:cs="Arial"/>
                <w:szCs w:val="20"/>
              </w:rPr>
              <w:t xml:space="preserve"> “</w:t>
            </w:r>
            <w:proofErr w:type="gramStart"/>
            <w:r w:rsidR="006D4737">
              <w:rPr>
                <w:rFonts w:eastAsia="Arial" w:cs="Arial"/>
                <w:szCs w:val="20"/>
              </w:rPr>
              <w:t>child care</w:t>
            </w:r>
            <w:proofErr w:type="gramEnd"/>
            <w:r w:rsidR="006D4737">
              <w:rPr>
                <w:rFonts w:eastAsia="Arial" w:cs="Arial"/>
                <w:szCs w:val="20"/>
              </w:rPr>
              <w:t xml:space="preserve">” OR “housing” </w:t>
            </w:r>
          </w:p>
        </w:tc>
      </w:tr>
      <w:tr w:rsidR="005251D4" w:rsidRPr="000D2698" w14:paraId="79D49963" w14:textId="77777777">
        <w:trPr>
          <w:trHeight w:val="300"/>
        </w:trPr>
        <w:tc>
          <w:tcPr>
            <w:tcW w:w="1701" w:type="dxa"/>
          </w:tcPr>
          <w:p w14:paraId="77071765" w14:textId="77777777" w:rsidR="005251D4" w:rsidRPr="000D2698" w:rsidRDefault="005251D4">
            <w:pPr>
              <w:jc w:val="left"/>
              <w:rPr>
                <w:rFonts w:eastAsia="Arial" w:cs="Arial"/>
                <w:szCs w:val="20"/>
              </w:rPr>
            </w:pPr>
            <w:r w:rsidRPr="000D2698">
              <w:rPr>
                <w:rFonts w:eastAsia="Arial" w:cs="Arial"/>
                <w:szCs w:val="20"/>
              </w:rPr>
              <w:t>2 (quantification)</w:t>
            </w:r>
          </w:p>
        </w:tc>
        <w:tc>
          <w:tcPr>
            <w:tcW w:w="6714" w:type="dxa"/>
          </w:tcPr>
          <w:p w14:paraId="66197619" w14:textId="1F62645B" w:rsidR="005251D4" w:rsidRPr="000D2698" w:rsidRDefault="005251D4">
            <w:pPr>
              <w:rPr>
                <w:rFonts w:eastAsia="Arial" w:cs="Arial"/>
                <w:szCs w:val="20"/>
              </w:rPr>
            </w:pPr>
            <w:proofErr w:type="spellStart"/>
            <w:r w:rsidRPr="000D2698">
              <w:rPr>
                <w:rFonts w:eastAsia="Arial" w:cs="Arial"/>
                <w:szCs w:val="20"/>
              </w:rPr>
              <w:t>calculat</w:t>
            </w:r>
            <w:proofErr w:type="spellEnd"/>
            <w:r w:rsidRPr="000D2698">
              <w:rPr>
                <w:rFonts w:eastAsia="Arial" w:cs="Arial"/>
                <w:szCs w:val="20"/>
              </w:rPr>
              <w:t xml:space="preserve">* (calculate or calculating) OR develop* (develop or developing) OR </w:t>
            </w:r>
            <w:proofErr w:type="spellStart"/>
            <w:r w:rsidRPr="000D2698">
              <w:rPr>
                <w:rFonts w:eastAsia="Arial" w:cs="Arial"/>
                <w:szCs w:val="20"/>
              </w:rPr>
              <w:t>estimat</w:t>
            </w:r>
            <w:proofErr w:type="spellEnd"/>
            <w:r w:rsidRPr="000D2698">
              <w:rPr>
                <w:rFonts w:eastAsia="Arial" w:cs="Arial"/>
                <w:szCs w:val="20"/>
              </w:rPr>
              <w:t xml:space="preserve">* (estimate or estimating) OR </w:t>
            </w:r>
            <w:r w:rsidR="00AC4E92" w:rsidRPr="00AC4E92">
              <w:rPr>
                <w:rFonts w:eastAsia="Arial" w:cs="Arial"/>
                <w:szCs w:val="20"/>
              </w:rPr>
              <w:t xml:space="preserve">model or </w:t>
            </w:r>
            <w:proofErr w:type="spellStart"/>
            <w:r w:rsidR="00AC4E92" w:rsidRPr="00AC4E92">
              <w:rPr>
                <w:rFonts w:eastAsia="Arial" w:cs="Arial"/>
                <w:szCs w:val="20"/>
              </w:rPr>
              <w:t>quantif</w:t>
            </w:r>
            <w:proofErr w:type="spellEnd"/>
            <w:r w:rsidR="00AC4E92" w:rsidRPr="00AC4E92">
              <w:rPr>
                <w:rFonts w:eastAsia="Arial" w:cs="Arial"/>
                <w:szCs w:val="20"/>
              </w:rPr>
              <w:t xml:space="preserve">* </w:t>
            </w:r>
            <w:r w:rsidR="00AC4E92">
              <w:rPr>
                <w:rFonts w:eastAsia="Arial" w:cs="Arial"/>
                <w:szCs w:val="20"/>
              </w:rPr>
              <w:t xml:space="preserve">OR </w:t>
            </w:r>
            <w:r w:rsidR="0004734A">
              <w:rPr>
                <w:rFonts w:eastAsia="Arial" w:cs="Arial"/>
                <w:szCs w:val="20"/>
              </w:rPr>
              <w:t>“</w:t>
            </w:r>
            <w:r w:rsidRPr="000D2698">
              <w:rPr>
                <w:rFonts w:eastAsia="Arial" w:cs="Arial"/>
                <w:szCs w:val="20"/>
              </w:rPr>
              <w:t>Budget Standards</w:t>
            </w:r>
            <w:r w:rsidR="0004734A">
              <w:rPr>
                <w:rFonts w:eastAsia="Arial" w:cs="Arial"/>
                <w:szCs w:val="20"/>
              </w:rPr>
              <w:t>”</w:t>
            </w:r>
            <w:r w:rsidRPr="000D2698">
              <w:rPr>
                <w:rFonts w:eastAsia="Arial" w:cs="Arial"/>
                <w:szCs w:val="20"/>
              </w:rPr>
              <w:t xml:space="preserve"> OR </w:t>
            </w:r>
            <w:r w:rsidR="00AC4E92">
              <w:rPr>
                <w:rFonts w:eastAsia="Arial" w:cs="Arial"/>
                <w:szCs w:val="20"/>
              </w:rPr>
              <w:t>“</w:t>
            </w:r>
            <w:r>
              <w:rPr>
                <w:rFonts w:eastAsia="Arial" w:cs="Arial"/>
                <w:szCs w:val="20"/>
              </w:rPr>
              <w:t>equivalence scale</w:t>
            </w:r>
            <w:r w:rsidR="00AC4E92">
              <w:rPr>
                <w:rFonts w:eastAsia="Arial" w:cs="Arial"/>
                <w:szCs w:val="20"/>
              </w:rPr>
              <w:t>*”</w:t>
            </w:r>
          </w:p>
        </w:tc>
      </w:tr>
      <w:tr w:rsidR="00312BB4" w:rsidRPr="000D2698" w14:paraId="4BAE9358" w14:textId="77777777">
        <w:trPr>
          <w:trHeight w:val="300"/>
        </w:trPr>
        <w:tc>
          <w:tcPr>
            <w:tcW w:w="1701" w:type="dxa"/>
          </w:tcPr>
          <w:p w14:paraId="0B4F918D" w14:textId="7DB70CBC" w:rsidR="00312BB4" w:rsidRPr="000D2698" w:rsidRDefault="00312BB4">
            <w:pPr>
              <w:jc w:val="left"/>
              <w:rPr>
                <w:rFonts w:eastAsia="Arial" w:cs="Arial"/>
                <w:szCs w:val="20"/>
              </w:rPr>
            </w:pPr>
            <w:r>
              <w:rPr>
                <w:rFonts w:eastAsia="Arial" w:cs="Arial"/>
                <w:szCs w:val="20"/>
              </w:rPr>
              <w:t xml:space="preserve">3 </w:t>
            </w:r>
            <w:r w:rsidR="00105952">
              <w:rPr>
                <w:rFonts w:eastAsia="Arial" w:cs="Arial"/>
                <w:szCs w:val="20"/>
              </w:rPr>
              <w:t>(population)</w:t>
            </w:r>
          </w:p>
        </w:tc>
        <w:tc>
          <w:tcPr>
            <w:tcW w:w="6714" w:type="dxa"/>
          </w:tcPr>
          <w:p w14:paraId="068F8A05" w14:textId="69BF2628" w:rsidR="00312BB4" w:rsidRPr="000D2698" w:rsidRDefault="00105952">
            <w:pPr>
              <w:rPr>
                <w:rFonts w:eastAsia="Arial" w:cs="Arial"/>
                <w:szCs w:val="20"/>
              </w:rPr>
            </w:pPr>
            <w:r>
              <w:rPr>
                <w:rFonts w:eastAsia="Arial" w:cs="Arial"/>
                <w:szCs w:val="20"/>
              </w:rPr>
              <w:t>“</w:t>
            </w:r>
            <w:proofErr w:type="gramStart"/>
            <w:r>
              <w:rPr>
                <w:rFonts w:eastAsia="Arial" w:cs="Arial"/>
                <w:szCs w:val="20"/>
              </w:rPr>
              <w:t>separated</w:t>
            </w:r>
            <w:proofErr w:type="gramEnd"/>
            <w:r>
              <w:rPr>
                <w:rFonts w:eastAsia="Arial" w:cs="Arial"/>
                <w:szCs w:val="20"/>
              </w:rPr>
              <w:t xml:space="preserve"> families” OR “separated parents” OR</w:t>
            </w:r>
            <w:r w:rsidR="008E7297">
              <w:rPr>
                <w:rFonts w:eastAsia="Arial" w:cs="Arial"/>
                <w:szCs w:val="20"/>
              </w:rPr>
              <w:t xml:space="preserve"> “separated households” </w:t>
            </w:r>
            <w:r>
              <w:rPr>
                <w:rFonts w:eastAsia="Arial" w:cs="Arial"/>
                <w:szCs w:val="20"/>
              </w:rPr>
              <w:t xml:space="preserve"> </w:t>
            </w:r>
          </w:p>
        </w:tc>
      </w:tr>
    </w:tbl>
    <w:p w14:paraId="3CA8D261" w14:textId="18B17EB1" w:rsidR="00BF0652" w:rsidRDefault="00542349" w:rsidP="004558BE">
      <w:pPr>
        <w:pStyle w:val="BodyText"/>
        <w:rPr>
          <w:lang w:bidi="ar-SA"/>
        </w:rPr>
      </w:pPr>
      <w:r>
        <w:rPr>
          <w:lang w:bidi="ar-SA"/>
        </w:rPr>
        <w:t xml:space="preserve">Our search strategy </w:t>
      </w:r>
      <w:r w:rsidR="00A75A68">
        <w:rPr>
          <w:lang w:bidi="ar-SA"/>
        </w:rPr>
        <w:t>identified 104 papers</w:t>
      </w:r>
      <w:r w:rsidR="001724C1">
        <w:rPr>
          <w:lang w:bidi="ar-SA"/>
        </w:rPr>
        <w:t xml:space="preserve"> which we then</w:t>
      </w:r>
      <w:r w:rsidR="00ED54F9">
        <w:rPr>
          <w:lang w:bidi="ar-SA"/>
        </w:rPr>
        <w:t xml:space="preserve"> screened for relevance according to the objectives of this review. </w:t>
      </w:r>
    </w:p>
    <w:p w14:paraId="6DDB3EB8" w14:textId="1EFFB968" w:rsidR="004558BE" w:rsidRDefault="00ED54F9" w:rsidP="005251D4">
      <w:pPr>
        <w:pStyle w:val="BodyText"/>
        <w:rPr>
          <w:lang w:bidi="ar-SA"/>
        </w:rPr>
      </w:pPr>
      <w:r>
        <w:rPr>
          <w:lang w:bidi="ar-SA"/>
        </w:rPr>
        <w:t>We selected 30</w:t>
      </w:r>
      <w:r w:rsidR="00333CAE">
        <w:rPr>
          <w:lang w:bidi="ar-SA"/>
        </w:rPr>
        <w:t xml:space="preserve"> papers</w:t>
      </w:r>
      <w:r w:rsidR="00A91D31">
        <w:rPr>
          <w:lang w:bidi="ar-SA"/>
        </w:rPr>
        <w:t xml:space="preserve"> </w:t>
      </w:r>
      <w:r w:rsidR="00333CAE">
        <w:rPr>
          <w:lang w:bidi="ar-SA"/>
        </w:rPr>
        <w:t xml:space="preserve">that </w:t>
      </w:r>
      <w:r w:rsidR="0047217C">
        <w:rPr>
          <w:lang w:bidi="ar-SA"/>
        </w:rPr>
        <w:t>estimated the</w:t>
      </w:r>
      <w:r w:rsidR="00A0493E">
        <w:rPr>
          <w:lang w:bidi="ar-SA"/>
        </w:rPr>
        <w:t xml:space="preserve"> direct</w:t>
      </w:r>
      <w:r w:rsidR="00B1341D">
        <w:rPr>
          <w:lang w:bidi="ar-SA"/>
        </w:rPr>
        <w:t xml:space="preserve"> total</w:t>
      </w:r>
      <w:r w:rsidR="0047217C">
        <w:rPr>
          <w:lang w:bidi="ar-SA"/>
        </w:rPr>
        <w:t xml:space="preserve"> cost of </w:t>
      </w:r>
      <w:r w:rsidR="00A703B8">
        <w:rPr>
          <w:lang w:bidi="ar-SA"/>
        </w:rPr>
        <w:t xml:space="preserve">raising </w:t>
      </w:r>
      <w:r w:rsidR="0047217C">
        <w:rPr>
          <w:lang w:bidi="ar-SA"/>
        </w:rPr>
        <w:t>children</w:t>
      </w:r>
      <w:r w:rsidR="00C81344">
        <w:rPr>
          <w:lang w:bidi="ar-SA"/>
        </w:rPr>
        <w:t xml:space="preserve">, </w:t>
      </w:r>
      <w:r w:rsidR="00A31251">
        <w:rPr>
          <w:lang w:bidi="ar-SA"/>
        </w:rPr>
        <w:t xml:space="preserve">with </w:t>
      </w:r>
      <w:r w:rsidR="00196497">
        <w:rPr>
          <w:lang w:bidi="ar-SA"/>
        </w:rPr>
        <w:t>the</w:t>
      </w:r>
      <w:r w:rsidR="00A31251">
        <w:rPr>
          <w:lang w:bidi="ar-SA"/>
        </w:rPr>
        <w:t xml:space="preserve"> goal of informing </w:t>
      </w:r>
      <w:r w:rsidR="00196497">
        <w:rPr>
          <w:lang w:bidi="ar-SA"/>
        </w:rPr>
        <w:t>child-related policy</w:t>
      </w:r>
      <w:r w:rsidR="00311989">
        <w:rPr>
          <w:lang w:bidi="ar-SA"/>
        </w:rPr>
        <w:t>.</w:t>
      </w:r>
      <w:r w:rsidR="0070048C">
        <w:rPr>
          <w:lang w:bidi="ar-SA"/>
        </w:rPr>
        <w:t xml:space="preserve"> </w:t>
      </w:r>
      <w:r w:rsidR="004558BE">
        <w:rPr>
          <w:lang w:bidi="ar-SA"/>
        </w:rPr>
        <w:t xml:space="preserve">In addition to the </w:t>
      </w:r>
      <w:r w:rsidR="0014283F">
        <w:rPr>
          <w:lang w:bidi="ar-SA"/>
        </w:rPr>
        <w:t xml:space="preserve">30 </w:t>
      </w:r>
      <w:r w:rsidR="004558BE">
        <w:rPr>
          <w:lang w:bidi="ar-SA"/>
        </w:rPr>
        <w:t>papers selected from the literature search, we included</w:t>
      </w:r>
      <w:r w:rsidR="0014283F">
        <w:rPr>
          <w:lang w:bidi="ar-SA"/>
        </w:rPr>
        <w:t xml:space="preserve"> four additional papers</w:t>
      </w:r>
      <w:r w:rsidR="00556D2A">
        <w:rPr>
          <w:lang w:bidi="ar-SA"/>
        </w:rPr>
        <w:t xml:space="preserve"> due to their relevance</w:t>
      </w:r>
      <w:r w:rsidR="00195EE6">
        <w:rPr>
          <w:lang w:bidi="ar-SA"/>
        </w:rPr>
        <w:t>, outlined below:</w:t>
      </w:r>
    </w:p>
    <w:p w14:paraId="0898E064" w14:textId="6F6A9EE1" w:rsidR="00411D9B" w:rsidRDefault="00411D9B" w:rsidP="004558BE">
      <w:pPr>
        <w:pStyle w:val="BodyText"/>
        <w:numPr>
          <w:ilvl w:val="0"/>
          <w:numId w:val="48"/>
        </w:numPr>
        <w:rPr>
          <w:lang w:bidi="ar-SA"/>
        </w:rPr>
      </w:pPr>
      <w:r>
        <w:rPr>
          <w:rFonts w:cs="Arial"/>
          <w:color w:val="auto"/>
        </w:rPr>
        <w:lastRenderedPageBreak/>
        <w:t xml:space="preserve">One study </w:t>
      </w:r>
      <w:r w:rsidRPr="5A104D4B">
        <w:rPr>
          <w:rFonts w:cs="Arial"/>
          <w:color w:val="auto"/>
        </w:rPr>
        <w:t>that w</w:t>
      </w:r>
      <w:r>
        <w:rPr>
          <w:rFonts w:cs="Arial"/>
          <w:color w:val="auto"/>
        </w:rPr>
        <w:t>as prior to the search period (i</w:t>
      </w:r>
      <w:r w:rsidR="00CD7571">
        <w:rPr>
          <w:rFonts w:cs="Arial"/>
          <w:color w:val="auto"/>
        </w:rPr>
        <w:t>.</w:t>
      </w:r>
      <w:r>
        <w:rPr>
          <w:rFonts w:cs="Arial"/>
          <w:color w:val="auto"/>
        </w:rPr>
        <w:t>e</w:t>
      </w:r>
      <w:r w:rsidR="00CD7571">
        <w:rPr>
          <w:rFonts w:cs="Arial"/>
          <w:color w:val="auto"/>
        </w:rPr>
        <w:t>.</w:t>
      </w:r>
      <w:r>
        <w:rPr>
          <w:rFonts w:cs="Arial"/>
          <w:color w:val="auto"/>
        </w:rPr>
        <w:t xml:space="preserve"> pre</w:t>
      </w:r>
      <w:r w:rsidR="00816D56">
        <w:rPr>
          <w:rFonts w:cs="Arial"/>
          <w:color w:val="auto"/>
        </w:rPr>
        <w:t>-</w:t>
      </w:r>
      <w:r>
        <w:rPr>
          <w:rFonts w:cs="Arial"/>
          <w:color w:val="auto"/>
        </w:rPr>
        <w:t>2005)</w:t>
      </w:r>
      <w:r w:rsidRPr="5A104D4B">
        <w:rPr>
          <w:rFonts w:cs="Arial"/>
          <w:color w:val="auto"/>
        </w:rPr>
        <w:t xml:space="preserve"> </w:t>
      </w:r>
      <w:r>
        <w:rPr>
          <w:rFonts w:cs="Arial"/>
          <w:color w:val="auto"/>
        </w:rPr>
        <w:t>as it provided the basis for the most recent Australian estimates for the costs of children in shared care arrangements (Henman and Mitchell, 2001)</w:t>
      </w:r>
      <w:r w:rsidR="00930C91">
        <w:rPr>
          <w:rFonts w:cs="Arial"/>
          <w:color w:val="auto"/>
        </w:rPr>
        <w:t>.</w:t>
      </w:r>
      <w:r w:rsidR="0010792F">
        <w:rPr>
          <w:rStyle w:val="FootnoteReference"/>
          <w:rFonts w:cs="Arial"/>
          <w:color w:val="auto"/>
        </w:rPr>
        <w:footnoteReference w:id="2"/>
      </w:r>
    </w:p>
    <w:p w14:paraId="2C2195BA" w14:textId="0D757BAD" w:rsidR="00B456C0" w:rsidRPr="00AD6BC2" w:rsidRDefault="00B456C0" w:rsidP="004558BE">
      <w:pPr>
        <w:pStyle w:val="BodyText"/>
        <w:numPr>
          <w:ilvl w:val="0"/>
          <w:numId w:val="48"/>
        </w:numPr>
        <w:rPr>
          <w:lang w:bidi="ar-SA"/>
        </w:rPr>
      </w:pPr>
      <w:r>
        <w:rPr>
          <w:rFonts w:cs="Arial"/>
          <w:color w:val="auto"/>
        </w:rPr>
        <w:t>One</w:t>
      </w:r>
      <w:r w:rsidR="009322EC">
        <w:rPr>
          <w:rFonts w:cs="Arial"/>
          <w:color w:val="auto"/>
        </w:rPr>
        <w:t xml:space="preserve"> cost of children</w:t>
      </w:r>
      <w:r>
        <w:rPr>
          <w:rFonts w:cs="Arial"/>
          <w:color w:val="auto"/>
        </w:rPr>
        <w:t xml:space="preserve"> study that is</w:t>
      </w:r>
      <w:r w:rsidR="001E2B28">
        <w:rPr>
          <w:rFonts w:cs="Arial"/>
          <w:color w:val="auto"/>
        </w:rPr>
        <w:t xml:space="preserve"> an</w:t>
      </w:r>
      <w:r>
        <w:rPr>
          <w:rFonts w:cs="Arial"/>
          <w:color w:val="auto"/>
        </w:rPr>
        <w:t xml:space="preserve"> unpublished</w:t>
      </w:r>
      <w:r w:rsidR="001E2B28">
        <w:rPr>
          <w:rFonts w:cs="Arial"/>
          <w:color w:val="auto"/>
        </w:rPr>
        <w:t xml:space="preserve"> 2024 OECD working paper</w:t>
      </w:r>
      <w:r w:rsidR="00261246">
        <w:rPr>
          <w:rFonts w:cs="Arial"/>
          <w:color w:val="auto"/>
        </w:rPr>
        <w:t>,</w:t>
      </w:r>
      <w:r w:rsidR="002855BC">
        <w:rPr>
          <w:rFonts w:cs="Arial"/>
          <w:color w:val="auto"/>
        </w:rPr>
        <w:t xml:space="preserve"> </w:t>
      </w:r>
      <w:r w:rsidR="009322EC">
        <w:rPr>
          <w:rFonts w:cs="Arial"/>
          <w:color w:val="auto"/>
        </w:rPr>
        <w:t>which</w:t>
      </w:r>
      <w:r w:rsidR="002855BC">
        <w:rPr>
          <w:rFonts w:cs="Arial"/>
          <w:color w:val="auto"/>
        </w:rPr>
        <w:t xml:space="preserve"> </w:t>
      </w:r>
      <w:r w:rsidR="004A7A10">
        <w:rPr>
          <w:rFonts w:cs="Arial"/>
          <w:color w:val="auto"/>
        </w:rPr>
        <w:t>AIFS was aware of through the Expert Panel meeting</w:t>
      </w:r>
      <w:r w:rsidR="00195F22">
        <w:rPr>
          <w:rFonts w:cs="Arial"/>
          <w:color w:val="auto"/>
        </w:rPr>
        <w:t>, and was included</w:t>
      </w:r>
      <w:r w:rsidR="002855BC">
        <w:rPr>
          <w:rFonts w:cs="Arial"/>
          <w:color w:val="auto"/>
        </w:rPr>
        <w:t xml:space="preserve"> </w:t>
      </w:r>
      <w:r w:rsidR="00AD6BC2">
        <w:rPr>
          <w:rFonts w:cs="Arial"/>
          <w:color w:val="auto"/>
        </w:rPr>
        <w:t>due to its relevance</w:t>
      </w:r>
      <w:r w:rsidR="00BC3960">
        <w:rPr>
          <w:rFonts w:cs="Arial"/>
          <w:color w:val="auto"/>
        </w:rPr>
        <w:t xml:space="preserve"> and recency</w:t>
      </w:r>
      <w:r w:rsidR="00AD6BC2">
        <w:rPr>
          <w:rFonts w:cs="Arial"/>
          <w:color w:val="auto"/>
        </w:rPr>
        <w:t xml:space="preserve"> </w:t>
      </w:r>
      <w:r w:rsidR="002A7532">
        <w:rPr>
          <w:rFonts w:cs="Arial"/>
          <w:color w:val="auto"/>
        </w:rPr>
        <w:t xml:space="preserve">(Rapp and </w:t>
      </w:r>
      <w:proofErr w:type="spellStart"/>
      <w:r w:rsidR="003B29BC" w:rsidRPr="00E4255C">
        <w:t>Thévenon</w:t>
      </w:r>
      <w:proofErr w:type="spellEnd"/>
      <w:r w:rsidR="002A7532">
        <w:rPr>
          <w:rFonts w:cs="Arial"/>
          <w:color w:val="auto"/>
        </w:rPr>
        <w:t xml:space="preserve">, </w:t>
      </w:r>
      <w:r w:rsidR="007F4F1C">
        <w:rPr>
          <w:rFonts w:cs="Arial"/>
          <w:color w:val="auto"/>
        </w:rPr>
        <w:t>unpublished</w:t>
      </w:r>
      <w:r w:rsidR="002A7532">
        <w:rPr>
          <w:rFonts w:cs="Arial"/>
          <w:color w:val="auto"/>
        </w:rPr>
        <w:t>)</w:t>
      </w:r>
      <w:r w:rsidR="00930C91">
        <w:rPr>
          <w:rFonts w:cs="Arial"/>
          <w:color w:val="auto"/>
        </w:rPr>
        <w:t>.</w:t>
      </w:r>
    </w:p>
    <w:p w14:paraId="4C818409" w14:textId="371F85EF" w:rsidR="00AD6BC2" w:rsidRPr="004B09B7" w:rsidRDefault="006C7EEC" w:rsidP="004558BE">
      <w:pPr>
        <w:pStyle w:val="BodyText"/>
        <w:numPr>
          <w:ilvl w:val="0"/>
          <w:numId w:val="48"/>
        </w:numPr>
        <w:rPr>
          <w:lang w:bidi="ar-SA"/>
        </w:rPr>
      </w:pPr>
      <w:r>
        <w:rPr>
          <w:rFonts w:cs="Arial"/>
          <w:color w:val="auto"/>
        </w:rPr>
        <w:t xml:space="preserve">Two </w:t>
      </w:r>
      <w:r w:rsidR="005F720E">
        <w:rPr>
          <w:rFonts w:cs="Arial"/>
          <w:color w:val="auto"/>
        </w:rPr>
        <w:t xml:space="preserve">additional </w:t>
      </w:r>
      <w:r w:rsidR="00B0312C">
        <w:rPr>
          <w:rFonts w:cs="Arial"/>
          <w:color w:val="auto"/>
        </w:rPr>
        <w:t xml:space="preserve">published </w:t>
      </w:r>
      <w:r w:rsidR="00651F05">
        <w:rPr>
          <w:rFonts w:cs="Arial"/>
          <w:color w:val="auto"/>
        </w:rPr>
        <w:t xml:space="preserve">papers </w:t>
      </w:r>
      <w:r w:rsidR="0078299F">
        <w:rPr>
          <w:rFonts w:cs="Arial"/>
          <w:color w:val="auto"/>
        </w:rPr>
        <w:t>provided</w:t>
      </w:r>
      <w:r w:rsidR="00B40AAE">
        <w:rPr>
          <w:rFonts w:cs="Arial"/>
          <w:color w:val="auto"/>
        </w:rPr>
        <w:t xml:space="preserve"> by DSS</w:t>
      </w:r>
      <w:r w:rsidR="004B09B7">
        <w:rPr>
          <w:rFonts w:cs="Arial"/>
          <w:color w:val="auto"/>
        </w:rPr>
        <w:t>:</w:t>
      </w:r>
    </w:p>
    <w:p w14:paraId="074118F2" w14:textId="3498260C" w:rsidR="00EF2540" w:rsidRPr="00EF2540" w:rsidRDefault="00447292" w:rsidP="008E7DFB">
      <w:pPr>
        <w:pStyle w:val="BodyText"/>
        <w:numPr>
          <w:ilvl w:val="1"/>
          <w:numId w:val="48"/>
        </w:numPr>
        <w:rPr>
          <w:lang w:bidi="ar-SA"/>
        </w:rPr>
      </w:pPr>
      <w:r>
        <w:rPr>
          <w:lang w:bidi="ar-SA"/>
        </w:rPr>
        <w:t xml:space="preserve">One </w:t>
      </w:r>
      <w:r w:rsidR="00214401">
        <w:rPr>
          <w:lang w:bidi="ar-SA"/>
        </w:rPr>
        <w:t xml:space="preserve">study </w:t>
      </w:r>
      <w:r w:rsidR="00E015B7">
        <w:rPr>
          <w:lang w:bidi="ar-SA"/>
        </w:rPr>
        <w:t xml:space="preserve">estimated costs associated </w:t>
      </w:r>
      <w:r w:rsidR="00A764EE">
        <w:rPr>
          <w:lang w:bidi="ar-SA"/>
        </w:rPr>
        <w:t xml:space="preserve">for non-resident parents in the UK </w:t>
      </w:r>
      <w:r w:rsidR="00025D2A">
        <w:rPr>
          <w:lang w:bidi="ar-SA"/>
        </w:rPr>
        <w:t>(</w:t>
      </w:r>
      <w:r w:rsidR="00EF2540" w:rsidRPr="00EF2540">
        <w:t>Hill and Hirsch</w:t>
      </w:r>
      <w:r w:rsidR="00025D2A">
        <w:t xml:space="preserve">, </w:t>
      </w:r>
      <w:r w:rsidR="00EF2540" w:rsidRPr="00EF2540">
        <w:t>2024)</w:t>
      </w:r>
    </w:p>
    <w:p w14:paraId="3586800D" w14:textId="157FC05D" w:rsidR="00515F8D" w:rsidRDefault="00214401" w:rsidP="00515F8D">
      <w:pPr>
        <w:pStyle w:val="BodyText"/>
        <w:numPr>
          <w:ilvl w:val="1"/>
          <w:numId w:val="48"/>
        </w:numPr>
        <w:rPr>
          <w:lang w:bidi="ar-SA"/>
        </w:rPr>
      </w:pPr>
      <w:r>
        <w:rPr>
          <w:lang w:bidi="ar-SA"/>
        </w:rPr>
        <w:t xml:space="preserve">One study </w:t>
      </w:r>
      <w:r w:rsidR="00414B14">
        <w:rPr>
          <w:lang w:bidi="ar-SA"/>
        </w:rPr>
        <w:t xml:space="preserve">estimated </w:t>
      </w:r>
      <w:r w:rsidR="00061677">
        <w:rPr>
          <w:lang w:bidi="ar-SA"/>
        </w:rPr>
        <w:t xml:space="preserve">household </w:t>
      </w:r>
      <w:r w:rsidR="00414B14">
        <w:rPr>
          <w:lang w:bidi="ar-SA"/>
        </w:rPr>
        <w:t xml:space="preserve">equivalence scales </w:t>
      </w:r>
      <w:r w:rsidR="00061677">
        <w:rPr>
          <w:lang w:bidi="ar-SA"/>
        </w:rPr>
        <w:t xml:space="preserve">using Australian data </w:t>
      </w:r>
      <w:r w:rsidR="005F720E">
        <w:rPr>
          <w:lang w:bidi="ar-SA"/>
        </w:rPr>
        <w:t>(</w:t>
      </w:r>
      <w:r w:rsidR="00515F8D" w:rsidRPr="00515F8D">
        <w:t>Breunig</w:t>
      </w:r>
      <w:r w:rsidR="005F720E">
        <w:t xml:space="preserve"> and</w:t>
      </w:r>
      <w:r w:rsidR="00515F8D" w:rsidRPr="00515F8D">
        <w:t xml:space="preserve"> Cobb-Clark</w:t>
      </w:r>
      <w:r w:rsidR="005F720E">
        <w:t>,</w:t>
      </w:r>
      <w:r w:rsidR="00515F8D" w:rsidRPr="00515F8D">
        <w:t xml:space="preserve"> 2005)</w:t>
      </w:r>
      <w:r w:rsidR="005F720E">
        <w:t>.</w:t>
      </w:r>
      <w:r w:rsidR="00515F8D" w:rsidRPr="00515F8D">
        <w:t xml:space="preserve"> </w:t>
      </w:r>
    </w:p>
    <w:p w14:paraId="7B6AA0BF" w14:textId="3BA07DCB" w:rsidR="005251D4" w:rsidRDefault="006702D7" w:rsidP="005251D4">
      <w:pPr>
        <w:pStyle w:val="BodyText"/>
        <w:rPr>
          <w:lang w:bidi="ar-SA"/>
        </w:rPr>
      </w:pPr>
      <w:r w:rsidRPr="6DFAFB9A">
        <w:rPr>
          <w:lang w:bidi="ar-SA"/>
        </w:rPr>
        <w:t xml:space="preserve">The </w:t>
      </w:r>
      <w:r w:rsidR="00040A2B" w:rsidRPr="6DFAFB9A">
        <w:rPr>
          <w:lang w:bidi="ar-SA"/>
        </w:rPr>
        <w:t xml:space="preserve">full set </w:t>
      </w:r>
      <w:r w:rsidR="002F454A" w:rsidRPr="6DFAFB9A">
        <w:rPr>
          <w:lang w:bidi="ar-SA"/>
        </w:rPr>
        <w:t xml:space="preserve">of </w:t>
      </w:r>
      <w:r w:rsidRPr="6DFAFB9A">
        <w:rPr>
          <w:lang w:bidi="ar-SA"/>
        </w:rPr>
        <w:t xml:space="preserve">studies </w:t>
      </w:r>
      <w:r w:rsidR="00C30E90">
        <w:rPr>
          <w:lang w:bidi="ar-SA"/>
        </w:rPr>
        <w:t>selected</w:t>
      </w:r>
      <w:r w:rsidR="00C30E90" w:rsidRPr="6DFAFB9A">
        <w:rPr>
          <w:lang w:bidi="ar-SA"/>
        </w:rPr>
        <w:t xml:space="preserve"> </w:t>
      </w:r>
      <w:r w:rsidR="00C30E90">
        <w:rPr>
          <w:lang w:bidi="ar-SA"/>
        </w:rPr>
        <w:t>for</w:t>
      </w:r>
      <w:r w:rsidR="00FF5EC7" w:rsidRPr="6DFAFB9A">
        <w:rPr>
          <w:lang w:bidi="ar-SA"/>
        </w:rPr>
        <w:t xml:space="preserve"> this review </w:t>
      </w:r>
      <w:r w:rsidR="00816D56">
        <w:rPr>
          <w:lang w:bidi="ar-SA"/>
        </w:rPr>
        <w:t>is</w:t>
      </w:r>
      <w:r w:rsidRPr="6DFAFB9A">
        <w:rPr>
          <w:lang w:bidi="ar-SA"/>
        </w:rPr>
        <w:t xml:space="preserve"> in the </w:t>
      </w:r>
      <w:r w:rsidR="00FF5EC7" w:rsidRPr="6DFAFB9A">
        <w:rPr>
          <w:lang w:bidi="ar-SA"/>
        </w:rPr>
        <w:t>References</w:t>
      </w:r>
      <w:r w:rsidRPr="6DFAFB9A">
        <w:rPr>
          <w:lang w:bidi="ar-SA"/>
        </w:rPr>
        <w:t xml:space="preserve"> </w:t>
      </w:r>
      <w:r w:rsidR="00FF5EC7" w:rsidRPr="6DFAFB9A">
        <w:rPr>
          <w:lang w:bidi="ar-SA"/>
        </w:rPr>
        <w:t>section of this report</w:t>
      </w:r>
      <w:r w:rsidR="004F0A13" w:rsidRPr="6DFAFB9A">
        <w:rPr>
          <w:lang w:bidi="ar-SA"/>
        </w:rPr>
        <w:t>.</w:t>
      </w:r>
    </w:p>
    <w:p w14:paraId="41001448" w14:textId="77777777" w:rsidR="00045CA4" w:rsidRDefault="00045CA4" w:rsidP="55984A4E">
      <w:pPr>
        <w:suppressAutoHyphens w:val="0"/>
        <w:spacing w:before="0" w:line="240" w:lineRule="auto"/>
        <w:jc w:val="left"/>
        <w:rPr>
          <w:rStyle w:val="normaltextrun"/>
          <w:rFonts w:cs="Arial"/>
          <w:color w:val="ED0C64"/>
          <w:kern w:val="32"/>
          <w:sz w:val="44"/>
          <w:szCs w:val="44"/>
        </w:rPr>
      </w:pPr>
      <w:r w:rsidRPr="55984A4E">
        <w:rPr>
          <w:rStyle w:val="normaltextrun"/>
        </w:rPr>
        <w:br w:type="page"/>
      </w:r>
    </w:p>
    <w:p w14:paraId="6AF74007" w14:textId="3FF8A5DE" w:rsidR="004D4EC1" w:rsidRPr="00222BC6" w:rsidRDefault="00020CD6" w:rsidP="00222BC6">
      <w:pPr>
        <w:pStyle w:val="Heading2"/>
      </w:pPr>
      <w:bookmarkStart w:id="8" w:name="_Toc2040890980"/>
      <w:r w:rsidRPr="00222BC6">
        <w:lastRenderedPageBreak/>
        <w:t>Findings</w:t>
      </w:r>
      <w:bookmarkEnd w:id="8"/>
    </w:p>
    <w:p w14:paraId="77D48EE4" w14:textId="204AF119" w:rsidR="00AE4581" w:rsidRPr="00BB54C3" w:rsidRDefault="00B344F5" w:rsidP="00BB54C3">
      <w:pPr>
        <w:pStyle w:val="Heading3"/>
      </w:pPr>
      <w:bookmarkStart w:id="9" w:name="_Toc1425994545"/>
      <w:r w:rsidRPr="00BB54C3">
        <w:t>Key methodological developments in estimating costs of children</w:t>
      </w:r>
      <w:bookmarkEnd w:id="9"/>
    </w:p>
    <w:p w14:paraId="395AD8A0" w14:textId="3E816DF7" w:rsidR="005A3FDD" w:rsidRDefault="005A3FDD" w:rsidP="38626D43">
      <w:pPr>
        <w:pStyle w:val="BodyText"/>
        <w:spacing w:line="276" w:lineRule="auto"/>
        <w:rPr>
          <w:rFonts w:cs="Arial"/>
          <w:color w:val="auto"/>
        </w:rPr>
      </w:pPr>
      <w:r w:rsidRPr="38626D43">
        <w:rPr>
          <w:rFonts w:cs="Arial"/>
          <w:color w:val="auto"/>
        </w:rPr>
        <w:t xml:space="preserve">In </w:t>
      </w:r>
      <w:r w:rsidR="003A2471" w:rsidRPr="38626D43">
        <w:rPr>
          <w:rFonts w:cs="Arial"/>
          <w:color w:val="auto"/>
        </w:rPr>
        <w:t>his</w:t>
      </w:r>
      <w:r w:rsidRPr="38626D43">
        <w:rPr>
          <w:rFonts w:cs="Arial"/>
          <w:color w:val="auto"/>
        </w:rPr>
        <w:t xml:space="preserve"> original review, Gray</w:t>
      </w:r>
      <w:r w:rsidR="003A2471" w:rsidRPr="38626D43">
        <w:rPr>
          <w:rFonts w:cs="Arial"/>
          <w:color w:val="auto"/>
        </w:rPr>
        <w:t xml:space="preserve"> (2007)</w:t>
      </w:r>
      <w:r w:rsidRPr="38626D43">
        <w:rPr>
          <w:rFonts w:cs="Arial"/>
          <w:color w:val="auto"/>
        </w:rPr>
        <w:t xml:space="preserve"> framed the </w:t>
      </w:r>
      <w:r w:rsidR="00123691">
        <w:rPr>
          <w:rFonts w:cs="Arial"/>
          <w:color w:val="auto"/>
        </w:rPr>
        <w:t>approaches</w:t>
      </w:r>
      <w:r w:rsidRPr="38626D43">
        <w:rPr>
          <w:rFonts w:cs="Arial"/>
          <w:color w:val="auto"/>
        </w:rPr>
        <w:t xml:space="preserve"> according to </w:t>
      </w:r>
      <w:r w:rsidR="000269DB">
        <w:rPr>
          <w:rFonts w:cs="Arial"/>
          <w:color w:val="auto"/>
        </w:rPr>
        <w:t>the</w:t>
      </w:r>
      <w:r w:rsidRPr="38626D43">
        <w:rPr>
          <w:rFonts w:cs="Arial"/>
          <w:color w:val="auto"/>
        </w:rPr>
        <w:t xml:space="preserve"> question</w:t>
      </w:r>
      <w:r w:rsidR="002D082C">
        <w:rPr>
          <w:rFonts w:cs="Arial"/>
          <w:color w:val="auto"/>
        </w:rPr>
        <w:t xml:space="preserve"> the </w:t>
      </w:r>
      <w:r w:rsidR="00F16C87">
        <w:rPr>
          <w:rFonts w:cs="Arial"/>
          <w:color w:val="auto"/>
        </w:rPr>
        <w:t xml:space="preserve">method was seeking </w:t>
      </w:r>
      <w:r w:rsidR="00302DED" w:rsidRPr="38626D43">
        <w:rPr>
          <w:rFonts w:cs="Arial"/>
          <w:color w:val="auto"/>
        </w:rPr>
        <w:t>address</w:t>
      </w:r>
      <w:r w:rsidRPr="38626D43">
        <w:rPr>
          <w:rFonts w:cs="Arial"/>
          <w:color w:val="auto"/>
        </w:rPr>
        <w:t>:</w:t>
      </w:r>
    </w:p>
    <w:p w14:paraId="6D354BA0" w14:textId="77777777" w:rsidR="005A3FDD" w:rsidRPr="004338B4" w:rsidRDefault="005A3FDD" w:rsidP="005A3FDD">
      <w:pPr>
        <w:numPr>
          <w:ilvl w:val="0"/>
          <w:numId w:val="36"/>
        </w:numPr>
        <w:shd w:val="clear" w:color="auto" w:fill="FFFFFF"/>
        <w:suppressAutoHyphens w:val="0"/>
        <w:spacing w:before="0" w:line="276" w:lineRule="auto"/>
        <w:ind w:left="1020"/>
        <w:jc w:val="left"/>
        <w:rPr>
          <w:rFonts w:eastAsia="Times New Roman" w:cs="Arial"/>
          <w:color w:val="2C2A29"/>
          <w:szCs w:val="20"/>
          <w:lang w:eastAsia="en-AU"/>
        </w:rPr>
      </w:pPr>
      <w:r w:rsidRPr="004338B4">
        <w:rPr>
          <w:rFonts w:eastAsia="Times New Roman" w:cs="Arial"/>
          <w:color w:val="2C2A29"/>
          <w:szCs w:val="20"/>
          <w:lang w:eastAsia="en-AU"/>
        </w:rPr>
        <w:t xml:space="preserve">The needs question: How much income does a family with children need compared to a childless family, </w:t>
      </w:r>
      <w:proofErr w:type="gramStart"/>
      <w:r w:rsidRPr="004338B4">
        <w:rPr>
          <w:rFonts w:eastAsia="Times New Roman" w:cs="Arial"/>
          <w:color w:val="2C2A29"/>
          <w:szCs w:val="20"/>
          <w:lang w:eastAsia="en-AU"/>
        </w:rPr>
        <w:t>in order to</w:t>
      </w:r>
      <w:proofErr w:type="gramEnd"/>
      <w:r w:rsidRPr="004338B4">
        <w:rPr>
          <w:rFonts w:eastAsia="Times New Roman" w:cs="Arial"/>
          <w:color w:val="2C2A29"/>
          <w:szCs w:val="20"/>
          <w:lang w:eastAsia="en-AU"/>
        </w:rPr>
        <w:t xml:space="preserve"> attain a specific standard of living? For example, to be above a poverty line, or to attain a modest but adequate standard of living.</w:t>
      </w:r>
    </w:p>
    <w:p w14:paraId="7E5D812F" w14:textId="77777777" w:rsidR="00491AC5" w:rsidRDefault="005A3FDD" w:rsidP="00491AC5">
      <w:pPr>
        <w:numPr>
          <w:ilvl w:val="0"/>
          <w:numId w:val="36"/>
        </w:numPr>
        <w:shd w:val="clear" w:color="auto" w:fill="FFFFFF"/>
        <w:suppressAutoHyphens w:val="0"/>
        <w:spacing w:before="0" w:line="276" w:lineRule="auto"/>
        <w:ind w:left="1020"/>
        <w:jc w:val="left"/>
        <w:rPr>
          <w:rFonts w:eastAsia="Times New Roman" w:cs="Arial"/>
          <w:color w:val="2C2A29"/>
          <w:szCs w:val="20"/>
          <w:lang w:eastAsia="en-AU"/>
        </w:rPr>
      </w:pPr>
      <w:r w:rsidRPr="004338B4">
        <w:rPr>
          <w:rFonts w:eastAsia="Times New Roman" w:cs="Arial"/>
          <w:color w:val="2C2A29"/>
          <w:szCs w:val="20"/>
          <w:lang w:eastAsia="en-AU"/>
        </w:rPr>
        <w:t>The expenditure question: How much do parents spend on their children?</w:t>
      </w:r>
    </w:p>
    <w:p w14:paraId="71323FA4" w14:textId="7DC4146C" w:rsidR="00126287" w:rsidRPr="00302DED" w:rsidRDefault="005A3FDD" w:rsidP="00302DED">
      <w:pPr>
        <w:numPr>
          <w:ilvl w:val="0"/>
          <w:numId w:val="36"/>
        </w:numPr>
        <w:shd w:val="clear" w:color="auto" w:fill="FFFFFF"/>
        <w:suppressAutoHyphens w:val="0"/>
        <w:spacing w:before="0" w:line="276" w:lineRule="auto"/>
        <w:ind w:left="1020"/>
        <w:jc w:val="left"/>
        <w:rPr>
          <w:rFonts w:eastAsia="Times New Roman" w:cs="Arial"/>
          <w:color w:val="2C2A29"/>
          <w:szCs w:val="20"/>
          <w:lang w:eastAsia="en-AU"/>
        </w:rPr>
      </w:pPr>
      <w:r w:rsidRPr="00491AC5">
        <w:rPr>
          <w:rFonts w:cs="Arial"/>
          <w:color w:val="2C2A29"/>
          <w:szCs w:val="20"/>
          <w:lang w:eastAsia="en-AU"/>
        </w:rPr>
        <w:t>The iso-welfare (or equivalent living standards) question: How much income does a family with children require to be as well off as a family with no children?</w:t>
      </w:r>
      <w:r w:rsidR="0073268D">
        <w:rPr>
          <w:rFonts w:cs="Arial"/>
          <w:color w:val="2C2A29"/>
          <w:szCs w:val="20"/>
          <w:lang w:eastAsia="en-AU"/>
        </w:rPr>
        <w:t xml:space="preserve"> </w:t>
      </w:r>
    </w:p>
    <w:p w14:paraId="35421632" w14:textId="52F63BDE" w:rsidR="00987015" w:rsidRDefault="00E07462" w:rsidP="38626D43">
      <w:pPr>
        <w:pStyle w:val="BodyText"/>
        <w:spacing w:line="276" w:lineRule="auto"/>
        <w:rPr>
          <w:rFonts w:cs="Arial"/>
          <w:color w:val="auto"/>
          <w:lang w:eastAsia="en-AU"/>
        </w:rPr>
      </w:pPr>
      <w:r w:rsidRPr="38626D43">
        <w:rPr>
          <w:rFonts w:cs="Arial"/>
          <w:color w:val="auto"/>
          <w:lang w:eastAsia="en-AU"/>
        </w:rPr>
        <w:t xml:space="preserve">Our review found no new </w:t>
      </w:r>
      <w:r w:rsidR="000E3A08">
        <w:rPr>
          <w:rFonts w:cs="Arial"/>
          <w:color w:val="auto"/>
          <w:lang w:eastAsia="en-AU"/>
        </w:rPr>
        <w:t>approaches</w:t>
      </w:r>
      <w:r w:rsidR="00737A03" w:rsidRPr="38626D43">
        <w:rPr>
          <w:rFonts w:cs="Arial"/>
          <w:color w:val="auto"/>
          <w:lang w:eastAsia="en-AU"/>
        </w:rPr>
        <w:t>. T</w:t>
      </w:r>
      <w:r w:rsidR="00252D9D" w:rsidRPr="38626D43">
        <w:rPr>
          <w:rFonts w:cs="Arial"/>
          <w:color w:val="auto"/>
        </w:rPr>
        <w:t xml:space="preserve">he recent literature groups the </w:t>
      </w:r>
      <w:r w:rsidR="000E3A08">
        <w:rPr>
          <w:rFonts w:cs="Arial"/>
          <w:color w:val="auto"/>
        </w:rPr>
        <w:t>approaches</w:t>
      </w:r>
      <w:r w:rsidR="00252D9D" w:rsidRPr="38626D43">
        <w:rPr>
          <w:rFonts w:cs="Arial"/>
          <w:color w:val="auto"/>
        </w:rPr>
        <w:t xml:space="preserve"> </w:t>
      </w:r>
      <w:r w:rsidR="00CC25FC" w:rsidRPr="38626D43">
        <w:rPr>
          <w:rFonts w:cs="Arial"/>
          <w:color w:val="auto"/>
        </w:rPr>
        <w:t>according to</w:t>
      </w:r>
      <w:r w:rsidR="00252D9D" w:rsidRPr="38626D43">
        <w:rPr>
          <w:rFonts w:cs="Arial"/>
          <w:color w:val="auto"/>
        </w:rPr>
        <w:t xml:space="preserve"> the data they use</w:t>
      </w:r>
      <w:r w:rsidR="00737A03" w:rsidRPr="38626D43">
        <w:rPr>
          <w:rFonts w:cs="Arial"/>
          <w:color w:val="auto"/>
        </w:rPr>
        <w:t>, rather than the question they address</w:t>
      </w:r>
      <w:r w:rsidR="00B32AAB" w:rsidRPr="38626D43">
        <w:rPr>
          <w:rFonts w:cs="Arial"/>
          <w:color w:val="auto"/>
        </w:rPr>
        <w:t xml:space="preserve">. </w:t>
      </w:r>
      <w:r w:rsidR="004415C9" w:rsidRPr="38626D43">
        <w:rPr>
          <w:rFonts w:cs="Arial"/>
          <w:color w:val="auto"/>
          <w:lang w:eastAsia="en-AU"/>
        </w:rPr>
        <w:t xml:space="preserve">These are summarised in </w:t>
      </w:r>
      <w:r w:rsidR="00CD7571">
        <w:rPr>
          <w:rFonts w:cs="Arial"/>
          <w:color w:val="auto"/>
          <w:lang w:eastAsia="en-AU"/>
        </w:rPr>
        <w:t>T</w:t>
      </w:r>
      <w:r w:rsidR="00CD7571" w:rsidRPr="38626D43">
        <w:rPr>
          <w:rFonts w:cs="Arial"/>
          <w:color w:val="auto"/>
          <w:lang w:eastAsia="en-AU"/>
        </w:rPr>
        <w:t xml:space="preserve">able </w:t>
      </w:r>
      <w:r w:rsidR="004415C9" w:rsidRPr="38626D43">
        <w:rPr>
          <w:rFonts w:cs="Arial"/>
          <w:color w:val="auto"/>
          <w:lang w:eastAsia="en-AU"/>
        </w:rPr>
        <w:t>2</w:t>
      </w:r>
      <w:r w:rsidR="00C34CF6" w:rsidRPr="38626D43">
        <w:rPr>
          <w:rFonts w:cs="Arial"/>
          <w:color w:val="auto"/>
          <w:lang w:eastAsia="en-AU"/>
        </w:rPr>
        <w:t xml:space="preserve">. </w:t>
      </w:r>
      <w:r w:rsidR="00585EDD" w:rsidRPr="38626D43">
        <w:rPr>
          <w:rFonts w:cs="Arial"/>
          <w:color w:val="auto"/>
          <w:lang w:eastAsia="en-AU"/>
        </w:rPr>
        <w:t>T</w:t>
      </w:r>
      <w:r w:rsidR="00D40601" w:rsidRPr="38626D43">
        <w:rPr>
          <w:rFonts w:cs="Arial"/>
          <w:color w:val="auto"/>
          <w:lang w:eastAsia="en-AU"/>
        </w:rPr>
        <w:t xml:space="preserve">he remainder of this section looks at </w:t>
      </w:r>
      <w:r w:rsidR="00E602ED" w:rsidRPr="38626D43">
        <w:rPr>
          <w:rFonts w:cs="Arial"/>
          <w:color w:val="auto"/>
          <w:lang w:eastAsia="en-AU"/>
        </w:rPr>
        <w:t xml:space="preserve">how these </w:t>
      </w:r>
      <w:r w:rsidR="000E3A08">
        <w:rPr>
          <w:rFonts w:cs="Arial"/>
          <w:color w:val="auto"/>
          <w:lang w:eastAsia="en-AU"/>
        </w:rPr>
        <w:t>approaches</w:t>
      </w:r>
      <w:r w:rsidR="00E602ED" w:rsidRPr="38626D43">
        <w:rPr>
          <w:rFonts w:cs="Arial"/>
          <w:color w:val="auto"/>
          <w:lang w:eastAsia="en-AU"/>
        </w:rPr>
        <w:t xml:space="preserve"> have evolved from 2005 to early 2024.</w:t>
      </w:r>
    </w:p>
    <w:p w14:paraId="533A4819" w14:textId="2DA826D8" w:rsidR="00304815" w:rsidRPr="00A05717" w:rsidRDefault="001A1DFD" w:rsidP="00FC32A3">
      <w:pPr>
        <w:pStyle w:val="TableCaption"/>
        <w:rPr>
          <w:color w:val="E7005E"/>
          <w:lang w:bidi="ar-SA"/>
        </w:rPr>
      </w:pPr>
      <w:r w:rsidRPr="00A05717">
        <w:rPr>
          <w:color w:val="E7005E"/>
          <w:lang w:val="en-US" w:eastAsia="ja-JP"/>
        </w:rPr>
        <w:t xml:space="preserve">Table 2: An overview of the types of approaches </w:t>
      </w:r>
      <w:r w:rsidR="00D030DF" w:rsidRPr="00A05717">
        <w:rPr>
          <w:color w:val="E7005E"/>
          <w:lang w:val="en-US" w:eastAsia="ja-JP"/>
        </w:rPr>
        <w:t>used in the literature to estimate the cost of children</w:t>
      </w:r>
    </w:p>
    <w:tbl>
      <w:tblPr>
        <w:tblStyle w:val="TableGrid"/>
        <w:tblW w:w="9178" w:type="dxa"/>
        <w:tblLook w:val="04A0" w:firstRow="1" w:lastRow="0" w:firstColumn="1" w:lastColumn="0" w:noHBand="0" w:noVBand="1"/>
      </w:tblPr>
      <w:tblGrid>
        <w:gridCol w:w="2268"/>
        <w:gridCol w:w="2879"/>
        <w:gridCol w:w="4031"/>
      </w:tblGrid>
      <w:tr w:rsidR="00F05A5F" w14:paraId="6CFC03D1" w14:textId="6FBDA74C" w:rsidTr="00D82380">
        <w:trPr>
          <w:cnfStyle w:val="100000000000" w:firstRow="1" w:lastRow="0" w:firstColumn="0" w:lastColumn="0" w:oddVBand="0" w:evenVBand="0" w:oddHBand="0" w:evenHBand="0" w:firstRowFirstColumn="0" w:firstRowLastColumn="0" w:lastRowFirstColumn="0" w:lastRowLastColumn="0"/>
          <w:trHeight w:val="936"/>
        </w:trPr>
        <w:tc>
          <w:tcPr>
            <w:tcW w:w="2268" w:type="dxa"/>
          </w:tcPr>
          <w:p w14:paraId="0CE29F0A" w14:textId="505055A2" w:rsidR="00F05A5F" w:rsidRDefault="00F05A5F" w:rsidP="001812F9">
            <w:pPr>
              <w:pStyle w:val="BodyText"/>
              <w:spacing w:line="360" w:lineRule="auto"/>
              <w:rPr>
                <w:lang w:bidi="ar-SA"/>
              </w:rPr>
            </w:pPr>
            <w:r w:rsidRPr="00320606">
              <w:rPr>
                <w:b/>
                <w:bCs/>
                <w:color w:val="auto"/>
              </w:rPr>
              <w:t xml:space="preserve">Type of approaches used </w:t>
            </w:r>
          </w:p>
        </w:tc>
        <w:tc>
          <w:tcPr>
            <w:tcW w:w="2879" w:type="dxa"/>
          </w:tcPr>
          <w:p w14:paraId="756E72B5" w14:textId="776601C7" w:rsidR="00F05A5F" w:rsidRDefault="00F05A5F" w:rsidP="001812F9">
            <w:pPr>
              <w:pStyle w:val="BodyText"/>
              <w:spacing w:line="360" w:lineRule="auto"/>
              <w:rPr>
                <w:lang w:bidi="ar-SA"/>
              </w:rPr>
            </w:pPr>
            <w:r w:rsidRPr="00320606">
              <w:rPr>
                <w:b/>
                <w:bCs/>
                <w:color w:val="auto"/>
              </w:rPr>
              <w:t>Input(/s)</w:t>
            </w:r>
          </w:p>
        </w:tc>
        <w:tc>
          <w:tcPr>
            <w:tcW w:w="4031" w:type="dxa"/>
          </w:tcPr>
          <w:p w14:paraId="59C80824" w14:textId="41E7641B" w:rsidR="00F05A5F" w:rsidRDefault="00F05A5F" w:rsidP="001812F9">
            <w:pPr>
              <w:pStyle w:val="BodyText"/>
              <w:spacing w:line="360" w:lineRule="auto"/>
              <w:rPr>
                <w:lang w:bidi="ar-SA"/>
              </w:rPr>
            </w:pPr>
            <w:r w:rsidRPr="00320606">
              <w:rPr>
                <w:b/>
                <w:bCs/>
                <w:color w:val="auto"/>
              </w:rPr>
              <w:t>What do they do?</w:t>
            </w:r>
          </w:p>
        </w:tc>
      </w:tr>
      <w:tr w:rsidR="00F05A5F" w14:paraId="54031F1F" w14:textId="0F1CF767" w:rsidTr="00D82380">
        <w:trPr>
          <w:trHeight w:val="2029"/>
        </w:trPr>
        <w:tc>
          <w:tcPr>
            <w:tcW w:w="2268" w:type="dxa"/>
          </w:tcPr>
          <w:p w14:paraId="00022902" w14:textId="3E2E47B6" w:rsidR="000E4F3E" w:rsidRDefault="008F4167" w:rsidP="002B05F5">
            <w:pPr>
              <w:shd w:val="clear" w:color="auto" w:fill="FFFFFF"/>
              <w:suppressAutoHyphens w:val="0"/>
              <w:spacing w:before="0" w:line="276" w:lineRule="auto"/>
              <w:jc w:val="left"/>
            </w:pPr>
            <w:r>
              <w:t>Budget standards</w:t>
            </w:r>
            <w:r w:rsidR="000E4F3E">
              <w:t xml:space="preserve"> method</w:t>
            </w:r>
            <w:r>
              <w:t>:</w:t>
            </w:r>
          </w:p>
          <w:p w14:paraId="28E16559" w14:textId="213B6E46" w:rsidR="00F05A5F" w:rsidRPr="00320606" w:rsidRDefault="00F05A5F" w:rsidP="000E4F3E">
            <w:pPr>
              <w:shd w:val="clear" w:color="auto" w:fill="FFFFFF"/>
              <w:suppressAutoHyphens w:val="0"/>
              <w:spacing w:line="276" w:lineRule="auto"/>
              <w:jc w:val="left"/>
            </w:pPr>
            <w:r w:rsidRPr="00320606">
              <w:t>Approaches based on</w:t>
            </w:r>
            <w:r>
              <w:t xml:space="preserve"> normative judgments and</w:t>
            </w:r>
            <w:r w:rsidRPr="00320606">
              <w:t xml:space="preserve"> ‘baskets of goods’ </w:t>
            </w:r>
          </w:p>
          <w:p w14:paraId="6B9526EC" w14:textId="4BC39A01" w:rsidR="00F05A5F" w:rsidRDefault="00F05A5F" w:rsidP="008F4167">
            <w:pPr>
              <w:shd w:val="clear" w:color="auto" w:fill="FFFFFF"/>
              <w:suppressAutoHyphens w:val="0"/>
              <w:spacing w:before="0" w:line="276" w:lineRule="auto"/>
              <w:jc w:val="left"/>
            </w:pPr>
          </w:p>
        </w:tc>
        <w:tc>
          <w:tcPr>
            <w:tcW w:w="2879" w:type="dxa"/>
          </w:tcPr>
          <w:p w14:paraId="0FA9067F" w14:textId="232B00EC" w:rsidR="00F05A5F" w:rsidRPr="00320606" w:rsidRDefault="00F05A5F" w:rsidP="002B05F5">
            <w:pPr>
              <w:numPr>
                <w:ilvl w:val="0"/>
                <w:numId w:val="19"/>
              </w:numPr>
              <w:shd w:val="clear" w:color="auto" w:fill="FFFFFF"/>
              <w:tabs>
                <w:tab w:val="num" w:pos="720"/>
              </w:tabs>
              <w:suppressAutoHyphens w:val="0"/>
              <w:spacing w:before="0" w:line="276" w:lineRule="auto"/>
              <w:jc w:val="left"/>
            </w:pPr>
            <w:r w:rsidRPr="00320606">
              <w:t>Expert opinions on the needs of children</w:t>
            </w:r>
            <w:r>
              <w:t xml:space="preserve"> – “normative” data</w:t>
            </w:r>
          </w:p>
          <w:p w14:paraId="037BE605" w14:textId="7C537834" w:rsidR="00F05A5F" w:rsidRPr="00C901EA" w:rsidRDefault="00F05A5F" w:rsidP="002B05F5">
            <w:pPr>
              <w:numPr>
                <w:ilvl w:val="0"/>
                <w:numId w:val="19"/>
              </w:numPr>
              <w:shd w:val="clear" w:color="auto" w:fill="FFFFFF"/>
              <w:tabs>
                <w:tab w:val="num" w:pos="720"/>
              </w:tabs>
              <w:suppressAutoHyphens w:val="0"/>
              <w:spacing w:before="0" w:line="276" w:lineRule="auto"/>
              <w:jc w:val="left"/>
            </w:pPr>
            <w:r>
              <w:t>Focus groups with</w:t>
            </w:r>
            <w:r w:rsidRPr="00320606">
              <w:t xml:space="preserve"> members of </w:t>
            </w:r>
            <w:r>
              <w:t>different</w:t>
            </w:r>
            <w:r w:rsidRPr="00320606">
              <w:t xml:space="preserve"> household types to develop consensual view of needs </w:t>
            </w:r>
            <w:r>
              <w:t xml:space="preserve"> </w:t>
            </w:r>
          </w:p>
          <w:p w14:paraId="4E75C933" w14:textId="3A62F880" w:rsidR="00F05A5F" w:rsidRPr="0006454C" w:rsidRDefault="00F05A5F" w:rsidP="002B05F5">
            <w:pPr>
              <w:numPr>
                <w:ilvl w:val="0"/>
                <w:numId w:val="19"/>
              </w:numPr>
              <w:shd w:val="clear" w:color="auto" w:fill="FFFFFF"/>
              <w:tabs>
                <w:tab w:val="num" w:pos="720"/>
              </w:tabs>
              <w:suppressAutoHyphens w:val="0"/>
              <w:spacing w:before="0" w:line="276" w:lineRule="auto"/>
              <w:jc w:val="left"/>
            </w:pPr>
            <w:r w:rsidRPr="0006454C">
              <w:t>Prices of household goods</w:t>
            </w:r>
          </w:p>
        </w:tc>
        <w:tc>
          <w:tcPr>
            <w:tcW w:w="4031" w:type="dxa"/>
          </w:tcPr>
          <w:p w14:paraId="654BD713" w14:textId="56C7F510" w:rsidR="00F05A5F" w:rsidRDefault="00F05A5F" w:rsidP="003E5362">
            <w:pPr>
              <w:pStyle w:val="BodyText"/>
              <w:spacing w:before="0" w:line="276" w:lineRule="auto"/>
              <w:rPr>
                <w:lang w:bidi="ar-SA"/>
              </w:rPr>
            </w:pPr>
            <w:r w:rsidRPr="00320606">
              <w:t>Create baskets of goods for different family types that provides each family with the same standard of living and value each basket to estimate difference</w:t>
            </w:r>
            <w:r w:rsidR="00110EEB">
              <w:t>s</w:t>
            </w:r>
            <w:r w:rsidRPr="00320606">
              <w:t xml:space="preserve"> between family types</w:t>
            </w:r>
          </w:p>
        </w:tc>
      </w:tr>
      <w:tr w:rsidR="00DC4984" w14:paraId="3767049E" w14:textId="09A1F6A0" w:rsidTr="00D82380">
        <w:trPr>
          <w:trHeight w:val="2252"/>
        </w:trPr>
        <w:tc>
          <w:tcPr>
            <w:tcW w:w="2268" w:type="dxa"/>
          </w:tcPr>
          <w:p w14:paraId="20CB86DC" w14:textId="6DC99C51" w:rsidR="000E4F3E" w:rsidRDefault="009B329B" w:rsidP="003E5362">
            <w:pPr>
              <w:pStyle w:val="BodyText"/>
              <w:spacing w:before="0" w:line="276" w:lineRule="auto"/>
            </w:pPr>
            <w:r>
              <w:t>Self-reported economic wellbeing</w:t>
            </w:r>
            <w:r w:rsidR="000E4F3E">
              <w:t>:</w:t>
            </w:r>
          </w:p>
          <w:p w14:paraId="72C98101" w14:textId="20095340" w:rsidR="00DC4984" w:rsidRDefault="00DC4984" w:rsidP="002B05F5">
            <w:pPr>
              <w:pStyle w:val="BodyText"/>
              <w:spacing w:line="276" w:lineRule="auto"/>
            </w:pPr>
            <w:r w:rsidRPr="00320606">
              <w:t xml:space="preserve">Approaches based on </w:t>
            </w:r>
            <w:r>
              <w:t xml:space="preserve">subjective measures of economic wellbeing, or </w:t>
            </w:r>
            <w:r w:rsidRPr="00320606">
              <w:t>proxies of living standards</w:t>
            </w:r>
          </w:p>
        </w:tc>
        <w:tc>
          <w:tcPr>
            <w:tcW w:w="2879" w:type="dxa"/>
          </w:tcPr>
          <w:p w14:paraId="18BA3532" w14:textId="0D709E73" w:rsidR="00DC4984" w:rsidRPr="00605672" w:rsidRDefault="00DC4984" w:rsidP="002B05F5">
            <w:pPr>
              <w:shd w:val="clear" w:color="auto" w:fill="FFFFFF"/>
              <w:tabs>
                <w:tab w:val="num" w:pos="720"/>
              </w:tabs>
              <w:suppressAutoHyphens w:val="0"/>
              <w:spacing w:before="0" w:line="276" w:lineRule="auto"/>
              <w:jc w:val="left"/>
            </w:pPr>
            <w:r w:rsidRPr="00320606">
              <w:t>Self-reported (subjective) measures of economic wellbeing, such as the ability to afford certain goods and services, or satisfaction with income as a proxy for standard of living</w:t>
            </w:r>
          </w:p>
        </w:tc>
        <w:tc>
          <w:tcPr>
            <w:tcW w:w="4031" w:type="dxa"/>
          </w:tcPr>
          <w:p w14:paraId="257F0B14" w14:textId="347B4944" w:rsidR="00DC4984" w:rsidRDefault="00DC4984" w:rsidP="003E5362">
            <w:pPr>
              <w:pStyle w:val="BodyText"/>
              <w:spacing w:before="0" w:line="276" w:lineRule="auto"/>
              <w:rPr>
                <w:lang w:bidi="ar-SA"/>
              </w:rPr>
            </w:pPr>
            <w:r w:rsidRPr="00320606">
              <w:t>Calculate the levels of income at which utility is equal across different families, using proxies of living standards from survey data</w:t>
            </w:r>
          </w:p>
        </w:tc>
      </w:tr>
      <w:tr w:rsidR="00DC4984" w14:paraId="274853CC" w14:textId="77777777" w:rsidTr="00D82380">
        <w:trPr>
          <w:trHeight w:val="566"/>
        </w:trPr>
        <w:tc>
          <w:tcPr>
            <w:tcW w:w="2268" w:type="dxa"/>
          </w:tcPr>
          <w:p w14:paraId="1C150A08" w14:textId="6EDFCCB9" w:rsidR="000E4F3E" w:rsidRDefault="000E4F3E" w:rsidP="004253E2">
            <w:pPr>
              <w:pStyle w:val="BodyText"/>
              <w:spacing w:before="0" w:line="276" w:lineRule="auto"/>
            </w:pPr>
            <w:r>
              <w:lastRenderedPageBreak/>
              <w:t>Expenditure method</w:t>
            </w:r>
            <w:r w:rsidR="008869E6">
              <w:t>:</w:t>
            </w:r>
          </w:p>
          <w:p w14:paraId="5782492D" w14:textId="76CFC713" w:rsidR="00DC4984" w:rsidRPr="00320606" w:rsidRDefault="00DC4984" w:rsidP="002B05F5">
            <w:pPr>
              <w:pStyle w:val="BodyText"/>
              <w:spacing w:line="276" w:lineRule="auto"/>
            </w:pPr>
            <w:r w:rsidRPr="00320606">
              <w:t xml:space="preserve">Approaches based on </w:t>
            </w:r>
            <w:r>
              <w:t xml:space="preserve">consumption </w:t>
            </w:r>
          </w:p>
        </w:tc>
        <w:tc>
          <w:tcPr>
            <w:tcW w:w="2879" w:type="dxa"/>
          </w:tcPr>
          <w:p w14:paraId="07C553C4" w14:textId="77777777" w:rsidR="00DC4984" w:rsidRDefault="00DC4984" w:rsidP="002B05F5">
            <w:pPr>
              <w:numPr>
                <w:ilvl w:val="0"/>
                <w:numId w:val="20"/>
              </w:numPr>
              <w:shd w:val="clear" w:color="auto" w:fill="FFFFFF"/>
              <w:tabs>
                <w:tab w:val="num" w:pos="720"/>
              </w:tabs>
              <w:suppressAutoHyphens w:val="0"/>
              <w:spacing w:before="0" w:line="276" w:lineRule="auto"/>
              <w:jc w:val="left"/>
            </w:pPr>
            <w:r w:rsidRPr="00320606">
              <w:t>Expenditure survey data for different types of households</w:t>
            </w:r>
          </w:p>
          <w:p w14:paraId="3C3E18EB" w14:textId="14E0676C" w:rsidR="00DC4984" w:rsidRPr="00320606" w:rsidRDefault="00DC4984" w:rsidP="002B05F5">
            <w:pPr>
              <w:pStyle w:val="BodyText"/>
              <w:numPr>
                <w:ilvl w:val="0"/>
                <w:numId w:val="20"/>
              </w:numPr>
              <w:spacing w:line="276" w:lineRule="auto"/>
            </w:pPr>
            <w:r w:rsidRPr="00605672">
              <w:t xml:space="preserve">Assumptions about the standards of living that can be </w:t>
            </w:r>
            <w:r>
              <w:t>made</w:t>
            </w:r>
            <w:r w:rsidRPr="00605672">
              <w:t xml:space="preserve"> from consumption patterns</w:t>
            </w:r>
          </w:p>
        </w:tc>
        <w:tc>
          <w:tcPr>
            <w:tcW w:w="4031" w:type="dxa"/>
          </w:tcPr>
          <w:p w14:paraId="07E52D7E" w14:textId="77777777" w:rsidR="00534375" w:rsidRDefault="00A6459D" w:rsidP="004253E2">
            <w:pPr>
              <w:pStyle w:val="BodyText"/>
              <w:spacing w:before="0" w:line="276" w:lineRule="auto"/>
            </w:pPr>
            <w:r>
              <w:t>One set of methods</w:t>
            </w:r>
            <w:r w:rsidR="00F6769C">
              <w:t xml:space="preserve"> seek to estimate </w:t>
            </w:r>
            <w:r w:rsidR="00F6769C" w:rsidRPr="00C52FDF">
              <w:t xml:space="preserve">actual </w:t>
            </w:r>
            <w:r w:rsidR="00F6769C">
              <w:t xml:space="preserve">expenditures on children for different sets of households. </w:t>
            </w:r>
          </w:p>
          <w:p w14:paraId="354EB37B" w14:textId="20661859" w:rsidR="00DC4984" w:rsidRPr="00320606" w:rsidRDefault="00F6769C" w:rsidP="002B05F5">
            <w:pPr>
              <w:pStyle w:val="BodyText"/>
              <w:spacing w:line="276" w:lineRule="auto"/>
            </w:pPr>
            <w:r>
              <w:t xml:space="preserve">Another set of methods </w:t>
            </w:r>
            <w:r w:rsidR="00534375">
              <w:t xml:space="preserve">seek to estimate expenditure indirectly by </w:t>
            </w:r>
            <w:r w:rsidR="00E901E9">
              <w:t>making assumptions about standards of living from the data.</w:t>
            </w:r>
          </w:p>
        </w:tc>
      </w:tr>
    </w:tbl>
    <w:p w14:paraId="510BA716" w14:textId="42A72E13" w:rsidR="00304815" w:rsidRPr="00304815" w:rsidRDefault="00D030DF" w:rsidP="001812F9">
      <w:pPr>
        <w:pStyle w:val="BodyText"/>
        <w:spacing w:line="360" w:lineRule="auto"/>
        <w:rPr>
          <w:lang w:bidi="ar-SA"/>
        </w:rPr>
      </w:pPr>
      <w:r>
        <w:rPr>
          <w:lang w:bidi="ar-SA"/>
        </w:rPr>
        <w:t>Source</w:t>
      </w:r>
      <w:r w:rsidR="005A1E04">
        <w:rPr>
          <w:lang w:bidi="ar-SA"/>
        </w:rPr>
        <w:t>s</w:t>
      </w:r>
      <w:r>
        <w:rPr>
          <w:lang w:bidi="ar-SA"/>
        </w:rPr>
        <w:t xml:space="preserve">: </w:t>
      </w:r>
      <w:r w:rsidR="005A1E04">
        <w:rPr>
          <w:lang w:bidi="ar-SA"/>
        </w:rPr>
        <w:t xml:space="preserve">Bradbury, 2014; </w:t>
      </w:r>
      <w:r w:rsidR="00C15B19">
        <w:rPr>
          <w:lang w:bidi="ar-SA"/>
        </w:rPr>
        <w:t xml:space="preserve">Social Metrics Commission, 2019; Rapp and </w:t>
      </w:r>
      <w:proofErr w:type="spellStart"/>
      <w:r w:rsidR="003B29BC" w:rsidRPr="00E4255C">
        <w:t>Thévenon</w:t>
      </w:r>
      <w:proofErr w:type="spellEnd"/>
      <w:r w:rsidR="00C15B19">
        <w:rPr>
          <w:lang w:bidi="ar-SA"/>
        </w:rPr>
        <w:t xml:space="preserve">, </w:t>
      </w:r>
      <w:r w:rsidR="007F4F1C">
        <w:rPr>
          <w:lang w:bidi="ar-SA"/>
        </w:rPr>
        <w:t>unpublished</w:t>
      </w:r>
      <w:r w:rsidR="002B05F5">
        <w:rPr>
          <w:lang w:bidi="ar-SA"/>
        </w:rPr>
        <w:t>.</w:t>
      </w:r>
    </w:p>
    <w:p w14:paraId="59AED987" w14:textId="2A3E1BDC" w:rsidR="00930669" w:rsidRDefault="00BB4394" w:rsidP="000544F5">
      <w:pPr>
        <w:pStyle w:val="Heading4"/>
      </w:pPr>
      <w:bookmarkStart w:id="10" w:name="_Toc1872868963"/>
      <w:r>
        <w:t>Budget standards approach</w:t>
      </w:r>
      <w:bookmarkEnd w:id="10"/>
    </w:p>
    <w:p w14:paraId="5360EE88" w14:textId="0432CE53" w:rsidR="00D12A65" w:rsidRDefault="003F2903" w:rsidP="002B05F5">
      <w:pPr>
        <w:pStyle w:val="BodyText"/>
        <w:spacing w:line="276" w:lineRule="auto"/>
        <w:rPr>
          <w:lang w:bidi="ar-SA"/>
        </w:rPr>
      </w:pPr>
      <w:r>
        <w:rPr>
          <w:lang w:bidi="ar-SA"/>
        </w:rPr>
        <w:t>The budget standard</w:t>
      </w:r>
      <w:r w:rsidR="0016462B">
        <w:rPr>
          <w:lang w:bidi="ar-SA"/>
        </w:rPr>
        <w:t>s</w:t>
      </w:r>
      <w:r>
        <w:rPr>
          <w:lang w:bidi="ar-SA"/>
        </w:rPr>
        <w:t xml:space="preserve"> approach </w:t>
      </w:r>
      <w:r w:rsidR="009A2BE1">
        <w:rPr>
          <w:lang w:bidi="ar-SA"/>
        </w:rPr>
        <w:t>con</w:t>
      </w:r>
      <w:r w:rsidR="00A22F1E">
        <w:rPr>
          <w:lang w:bidi="ar-SA"/>
        </w:rPr>
        <w:t>sists of creating a basket of goods for different family types</w:t>
      </w:r>
      <w:r w:rsidR="002D1F88">
        <w:rPr>
          <w:lang w:bidi="ar-SA"/>
        </w:rPr>
        <w:t xml:space="preserve"> that achieves the same standard of living across families. </w:t>
      </w:r>
      <w:r w:rsidR="008F5C13">
        <w:rPr>
          <w:lang w:bidi="ar-SA"/>
        </w:rPr>
        <w:t xml:space="preserve">A range of approaches </w:t>
      </w:r>
      <w:r w:rsidR="008F3740">
        <w:rPr>
          <w:lang w:bidi="ar-SA"/>
        </w:rPr>
        <w:t xml:space="preserve">are used </w:t>
      </w:r>
      <w:r w:rsidR="00465B44">
        <w:rPr>
          <w:lang w:bidi="ar-SA"/>
        </w:rPr>
        <w:t xml:space="preserve">to determine </w:t>
      </w:r>
      <w:r w:rsidR="00C7568F">
        <w:rPr>
          <w:lang w:bidi="ar-SA"/>
        </w:rPr>
        <w:t xml:space="preserve">the </w:t>
      </w:r>
      <w:r w:rsidR="00465B44">
        <w:rPr>
          <w:lang w:bidi="ar-SA"/>
        </w:rPr>
        <w:t>‘need</w:t>
      </w:r>
      <w:r w:rsidR="00C7568F">
        <w:rPr>
          <w:lang w:bidi="ar-SA"/>
        </w:rPr>
        <w:t>s</w:t>
      </w:r>
      <w:r w:rsidR="00465B44">
        <w:rPr>
          <w:lang w:bidi="ar-SA"/>
        </w:rPr>
        <w:t xml:space="preserve">’ </w:t>
      </w:r>
      <w:r w:rsidR="00C7568F">
        <w:rPr>
          <w:lang w:bidi="ar-SA"/>
        </w:rPr>
        <w:t>of different</w:t>
      </w:r>
      <w:r w:rsidR="00465B44">
        <w:rPr>
          <w:lang w:bidi="ar-SA"/>
        </w:rPr>
        <w:t xml:space="preserve"> families</w:t>
      </w:r>
      <w:r w:rsidR="00B240A7">
        <w:rPr>
          <w:lang w:bidi="ar-SA"/>
        </w:rPr>
        <w:t>. Some approaches</w:t>
      </w:r>
      <w:r w:rsidR="00A22FC0">
        <w:rPr>
          <w:lang w:bidi="ar-SA"/>
        </w:rPr>
        <w:t xml:space="preserve"> rely on</w:t>
      </w:r>
      <w:r w:rsidR="00F95712">
        <w:rPr>
          <w:lang w:bidi="ar-SA"/>
        </w:rPr>
        <w:t xml:space="preserve"> expert judgment</w:t>
      </w:r>
      <w:r w:rsidR="00724939">
        <w:rPr>
          <w:lang w:bidi="ar-SA"/>
        </w:rPr>
        <w:t>s</w:t>
      </w:r>
      <w:r w:rsidR="00C7375B">
        <w:rPr>
          <w:lang w:bidi="ar-SA"/>
        </w:rPr>
        <w:t xml:space="preserve"> (</w:t>
      </w:r>
      <w:r w:rsidR="002D5236">
        <w:rPr>
          <w:lang w:bidi="ar-SA"/>
        </w:rPr>
        <w:t>e.g.</w:t>
      </w:r>
      <w:r w:rsidR="00724939">
        <w:rPr>
          <w:lang w:bidi="ar-SA"/>
        </w:rPr>
        <w:t>, nutritionists</w:t>
      </w:r>
      <w:r w:rsidR="00C7375B">
        <w:rPr>
          <w:lang w:bidi="ar-SA"/>
        </w:rPr>
        <w:t>)</w:t>
      </w:r>
      <w:r w:rsidR="00724939">
        <w:rPr>
          <w:lang w:bidi="ar-SA"/>
        </w:rPr>
        <w:t xml:space="preserve">, </w:t>
      </w:r>
      <w:r w:rsidR="00511DD4">
        <w:rPr>
          <w:lang w:bidi="ar-SA"/>
        </w:rPr>
        <w:t>some</w:t>
      </w:r>
      <w:r w:rsidR="00724939">
        <w:rPr>
          <w:lang w:bidi="ar-SA"/>
        </w:rPr>
        <w:t xml:space="preserve"> rely on qualitative research with members of the public</w:t>
      </w:r>
      <w:r w:rsidR="00511DD4">
        <w:rPr>
          <w:lang w:bidi="ar-SA"/>
        </w:rPr>
        <w:t xml:space="preserve"> to form ‘consensual’ budget standards, and others use a combination of both</w:t>
      </w:r>
      <w:r w:rsidR="00A245B9">
        <w:rPr>
          <w:lang w:bidi="ar-SA"/>
        </w:rPr>
        <w:t xml:space="preserve"> </w:t>
      </w:r>
      <w:r w:rsidR="00933B60">
        <w:rPr>
          <w:lang w:bidi="ar-SA"/>
        </w:rPr>
        <w:t xml:space="preserve">(Social </w:t>
      </w:r>
      <w:r w:rsidR="00491296">
        <w:rPr>
          <w:lang w:bidi="ar-SA"/>
        </w:rPr>
        <w:t>Metrics Commission, 2019)</w:t>
      </w:r>
      <w:r w:rsidR="00156354">
        <w:rPr>
          <w:lang w:bidi="ar-SA"/>
        </w:rPr>
        <w:t>.</w:t>
      </w:r>
      <w:r w:rsidR="00933B60">
        <w:rPr>
          <w:lang w:bidi="ar-SA"/>
        </w:rPr>
        <w:t xml:space="preserve"> </w:t>
      </w:r>
      <w:r w:rsidR="004503DC">
        <w:rPr>
          <w:lang w:bidi="ar-SA"/>
        </w:rPr>
        <w:t xml:space="preserve">Once the basket is defined, it can be valued with current prices, </w:t>
      </w:r>
      <w:r w:rsidR="003C7041">
        <w:rPr>
          <w:lang w:bidi="ar-SA"/>
        </w:rPr>
        <w:t xml:space="preserve">and the cost of different family types estimated. </w:t>
      </w:r>
    </w:p>
    <w:p w14:paraId="68DAA352" w14:textId="12BC47A0" w:rsidR="00140166" w:rsidRDefault="0090225E" w:rsidP="002B05F5">
      <w:pPr>
        <w:pStyle w:val="BodyText"/>
        <w:spacing w:line="276" w:lineRule="auto"/>
        <w:rPr>
          <w:lang w:bidi="ar-SA"/>
        </w:rPr>
      </w:pPr>
      <w:r>
        <w:rPr>
          <w:lang w:bidi="ar-SA"/>
        </w:rPr>
        <w:t>T</w:t>
      </w:r>
      <w:r w:rsidR="00FE0497">
        <w:rPr>
          <w:lang w:bidi="ar-SA"/>
        </w:rPr>
        <w:t xml:space="preserve">he main purpose of budget standards is to provide </w:t>
      </w:r>
      <w:r w:rsidR="00ED3E9E">
        <w:rPr>
          <w:lang w:bidi="ar-SA"/>
        </w:rPr>
        <w:t>e</w:t>
      </w:r>
      <w:r w:rsidR="00960D5A">
        <w:rPr>
          <w:lang w:bidi="ar-SA"/>
        </w:rPr>
        <w:t xml:space="preserve">stimates </w:t>
      </w:r>
      <w:r w:rsidR="0024381D">
        <w:rPr>
          <w:lang w:bidi="ar-SA"/>
        </w:rPr>
        <w:t>of</w:t>
      </w:r>
      <w:r w:rsidR="00ED3E9E">
        <w:rPr>
          <w:lang w:bidi="ar-SA"/>
        </w:rPr>
        <w:t xml:space="preserve"> the level of income required to maintain a certain standard of living</w:t>
      </w:r>
      <w:r w:rsidR="00B8463C">
        <w:rPr>
          <w:lang w:bidi="ar-SA"/>
        </w:rPr>
        <w:t xml:space="preserve">. </w:t>
      </w:r>
      <w:r w:rsidR="006E2162">
        <w:rPr>
          <w:lang w:bidi="ar-SA"/>
        </w:rPr>
        <w:t>Policymakers can use these estimates</w:t>
      </w:r>
      <w:r>
        <w:rPr>
          <w:lang w:bidi="ar-SA"/>
        </w:rPr>
        <w:t xml:space="preserve"> </w:t>
      </w:r>
      <w:r w:rsidR="001C7A5F">
        <w:rPr>
          <w:lang w:bidi="ar-SA"/>
        </w:rPr>
        <w:t>to inform decisions</w:t>
      </w:r>
      <w:r w:rsidR="001016E2">
        <w:rPr>
          <w:lang w:bidi="ar-SA"/>
        </w:rPr>
        <w:t xml:space="preserve"> including the setting of the minimum wage, foster care allowances and levels of child support</w:t>
      </w:r>
      <w:r w:rsidR="00B8463C">
        <w:rPr>
          <w:lang w:bidi="ar-SA"/>
        </w:rPr>
        <w:t xml:space="preserve"> </w:t>
      </w:r>
      <w:r w:rsidR="00A27BAC" w:rsidDel="00B8463C">
        <w:rPr>
          <w:lang w:bidi="ar-SA"/>
        </w:rPr>
        <w:t>(Bradbury, 2014)</w:t>
      </w:r>
      <w:r w:rsidR="00D12A65" w:rsidDel="00B8463C">
        <w:rPr>
          <w:lang w:bidi="ar-SA"/>
        </w:rPr>
        <w:t xml:space="preserve">. </w:t>
      </w:r>
      <w:r w:rsidR="002F4045">
        <w:rPr>
          <w:lang w:bidi="ar-SA"/>
        </w:rPr>
        <w:t>A key advantage of this approach for child support is that</w:t>
      </w:r>
      <w:r w:rsidR="00165D52">
        <w:rPr>
          <w:lang w:bidi="ar-SA"/>
        </w:rPr>
        <w:t xml:space="preserve"> </w:t>
      </w:r>
      <w:r w:rsidR="005310D7">
        <w:rPr>
          <w:lang w:bidi="ar-SA"/>
        </w:rPr>
        <w:t xml:space="preserve">it compares income allocation by household type. </w:t>
      </w:r>
      <w:r w:rsidR="00B906B9">
        <w:rPr>
          <w:lang w:bidi="ar-SA"/>
        </w:rPr>
        <w:t>P</w:t>
      </w:r>
      <w:r w:rsidR="002F40F5">
        <w:rPr>
          <w:lang w:bidi="ar-SA"/>
        </w:rPr>
        <w:t xml:space="preserve">olicymakers </w:t>
      </w:r>
      <w:r w:rsidR="001F5899">
        <w:rPr>
          <w:lang w:bidi="ar-SA"/>
        </w:rPr>
        <w:t>can use</w:t>
      </w:r>
      <w:r w:rsidR="003D7CB0">
        <w:rPr>
          <w:lang w:bidi="ar-SA"/>
        </w:rPr>
        <w:t xml:space="preserve"> these</w:t>
      </w:r>
      <w:r w:rsidR="001F5899">
        <w:rPr>
          <w:lang w:bidi="ar-SA"/>
        </w:rPr>
        <w:t xml:space="preserve"> budgets to</w:t>
      </w:r>
      <w:r w:rsidR="00746A1A">
        <w:rPr>
          <w:lang w:bidi="ar-SA"/>
        </w:rPr>
        <w:t xml:space="preserve"> estimate the cost of a child by</w:t>
      </w:r>
      <w:r w:rsidR="00451234">
        <w:rPr>
          <w:lang w:bidi="ar-SA"/>
        </w:rPr>
        <w:t xml:space="preserve"> tak</w:t>
      </w:r>
      <w:r w:rsidR="00746A1A">
        <w:rPr>
          <w:lang w:bidi="ar-SA"/>
        </w:rPr>
        <w:t>ing</w:t>
      </w:r>
      <w:r w:rsidR="00451234">
        <w:rPr>
          <w:lang w:bidi="ar-SA"/>
        </w:rPr>
        <w:t xml:space="preserve"> the cost of a couple with</w:t>
      </w:r>
      <w:r w:rsidR="004805C0">
        <w:rPr>
          <w:lang w:bidi="ar-SA"/>
        </w:rPr>
        <w:t xml:space="preserve"> one </w:t>
      </w:r>
      <w:r w:rsidR="00451234">
        <w:rPr>
          <w:lang w:bidi="ar-SA"/>
        </w:rPr>
        <w:t>child</w:t>
      </w:r>
      <w:r w:rsidR="004805C0">
        <w:rPr>
          <w:lang w:bidi="ar-SA"/>
        </w:rPr>
        <w:t xml:space="preserve"> and</w:t>
      </w:r>
      <w:r w:rsidR="00451234">
        <w:rPr>
          <w:lang w:bidi="ar-SA"/>
        </w:rPr>
        <w:t xml:space="preserve"> subtract</w:t>
      </w:r>
      <w:r w:rsidR="00DC6F30">
        <w:rPr>
          <w:lang w:bidi="ar-SA"/>
        </w:rPr>
        <w:t>ing</w:t>
      </w:r>
      <w:r w:rsidR="00451234">
        <w:rPr>
          <w:lang w:bidi="ar-SA"/>
        </w:rPr>
        <w:t xml:space="preserve"> the cost of a childless couple</w:t>
      </w:r>
      <w:r w:rsidR="00C74C0C">
        <w:rPr>
          <w:lang w:bidi="ar-SA"/>
        </w:rPr>
        <w:t xml:space="preserve">, </w:t>
      </w:r>
      <w:r w:rsidR="004805C0">
        <w:rPr>
          <w:lang w:bidi="ar-SA"/>
        </w:rPr>
        <w:t>measured at the same standard of living</w:t>
      </w:r>
      <w:r w:rsidR="00C74C0C">
        <w:rPr>
          <w:lang w:bidi="ar-SA"/>
        </w:rPr>
        <w:t>.</w:t>
      </w:r>
    </w:p>
    <w:p w14:paraId="7B016EF9" w14:textId="5859D481" w:rsidR="00E22D93" w:rsidRDefault="005969CF" w:rsidP="002B05F5">
      <w:pPr>
        <w:pStyle w:val="BodyText"/>
        <w:spacing w:line="276" w:lineRule="auto"/>
        <w:rPr>
          <w:lang w:bidi="ar-SA"/>
        </w:rPr>
      </w:pPr>
      <w:r>
        <w:rPr>
          <w:lang w:bidi="ar-SA"/>
        </w:rPr>
        <w:t>Although these methods are well regarded</w:t>
      </w:r>
      <w:r w:rsidR="00DE6F31">
        <w:rPr>
          <w:lang w:bidi="ar-SA"/>
        </w:rPr>
        <w:t xml:space="preserve"> in the literature</w:t>
      </w:r>
      <w:r w:rsidR="00426547">
        <w:rPr>
          <w:lang w:bidi="ar-SA"/>
        </w:rPr>
        <w:t>, intuitive</w:t>
      </w:r>
      <w:r>
        <w:rPr>
          <w:lang w:bidi="ar-SA"/>
        </w:rPr>
        <w:t xml:space="preserve"> and</w:t>
      </w:r>
      <w:r w:rsidR="00426547">
        <w:rPr>
          <w:lang w:bidi="ar-SA"/>
        </w:rPr>
        <w:t xml:space="preserve"> used</w:t>
      </w:r>
      <w:r>
        <w:rPr>
          <w:lang w:bidi="ar-SA"/>
        </w:rPr>
        <w:t xml:space="preserve"> in many countries as a national poverty measure</w:t>
      </w:r>
      <w:r w:rsidR="00F40CDE">
        <w:rPr>
          <w:lang w:bidi="ar-SA"/>
        </w:rPr>
        <w:t xml:space="preserve"> (Deeming, 2020)</w:t>
      </w:r>
      <w:r w:rsidR="00B43FC4">
        <w:rPr>
          <w:lang w:bidi="ar-SA"/>
        </w:rPr>
        <w:t xml:space="preserve">, </w:t>
      </w:r>
      <w:r w:rsidR="001D7B88">
        <w:rPr>
          <w:lang w:bidi="ar-SA"/>
        </w:rPr>
        <w:t xml:space="preserve">there are </w:t>
      </w:r>
      <w:r w:rsidR="00602E71">
        <w:rPr>
          <w:lang w:bidi="ar-SA"/>
        </w:rPr>
        <w:t>drawbacks</w:t>
      </w:r>
      <w:r w:rsidR="006E33FF">
        <w:rPr>
          <w:lang w:bidi="ar-SA"/>
        </w:rPr>
        <w:t xml:space="preserve">. </w:t>
      </w:r>
      <w:r w:rsidR="00145FBE">
        <w:rPr>
          <w:lang w:bidi="ar-SA"/>
        </w:rPr>
        <w:t xml:space="preserve">Firstly, </w:t>
      </w:r>
      <w:r w:rsidR="00D47654">
        <w:rPr>
          <w:lang w:bidi="ar-SA"/>
        </w:rPr>
        <w:t xml:space="preserve">extensive judgment is required to </w:t>
      </w:r>
      <w:r w:rsidR="00AA1C91">
        <w:rPr>
          <w:lang w:bidi="ar-SA"/>
        </w:rPr>
        <w:t xml:space="preserve">identify </w:t>
      </w:r>
      <w:r w:rsidR="007C6465">
        <w:rPr>
          <w:lang w:bidi="ar-SA"/>
        </w:rPr>
        <w:t>and price the goods</w:t>
      </w:r>
      <w:r w:rsidR="0083776D">
        <w:rPr>
          <w:lang w:bidi="ar-SA"/>
        </w:rPr>
        <w:t xml:space="preserve"> and services</w:t>
      </w:r>
      <w:r w:rsidR="002D3E80">
        <w:rPr>
          <w:lang w:bidi="ar-SA"/>
        </w:rPr>
        <w:t xml:space="preserve"> that are included in the budgets </w:t>
      </w:r>
      <w:r w:rsidR="00321A4A">
        <w:rPr>
          <w:lang w:bidi="ar-SA"/>
        </w:rPr>
        <w:t xml:space="preserve">in the first place (Rapp and </w:t>
      </w:r>
      <w:proofErr w:type="spellStart"/>
      <w:r w:rsidR="003B29BC" w:rsidRPr="00E4255C">
        <w:t>Thévenon</w:t>
      </w:r>
      <w:proofErr w:type="spellEnd"/>
      <w:r w:rsidR="00321A4A">
        <w:rPr>
          <w:lang w:bidi="ar-SA"/>
        </w:rPr>
        <w:t xml:space="preserve">, </w:t>
      </w:r>
      <w:r w:rsidR="007F4F1C">
        <w:rPr>
          <w:lang w:bidi="ar-SA"/>
        </w:rPr>
        <w:t>unpublished</w:t>
      </w:r>
      <w:r w:rsidR="00321A4A">
        <w:rPr>
          <w:lang w:bidi="ar-SA"/>
        </w:rPr>
        <w:t>). Secondly, data can quickly become outdated</w:t>
      </w:r>
      <w:r w:rsidR="004256E2">
        <w:rPr>
          <w:lang w:bidi="ar-SA"/>
        </w:rPr>
        <w:t xml:space="preserve"> and frequent revisions of the budget standards are required to keep them relevant and current (</w:t>
      </w:r>
      <w:r w:rsidR="006B2565">
        <w:rPr>
          <w:lang w:bidi="ar-SA"/>
        </w:rPr>
        <w:t xml:space="preserve">Social Metrics Commission, 2019). </w:t>
      </w:r>
      <w:r w:rsidR="00A2242E">
        <w:rPr>
          <w:lang w:bidi="ar-SA"/>
        </w:rPr>
        <w:t>Budget standards are also typically estimated for a specific set of family types, and it</w:t>
      </w:r>
      <w:r w:rsidR="00836A97">
        <w:rPr>
          <w:lang w:bidi="ar-SA"/>
        </w:rPr>
        <w:t xml:space="preserve"> can be challenging to apply this approach to estimate </w:t>
      </w:r>
      <w:r w:rsidR="00573773">
        <w:rPr>
          <w:lang w:bidi="ar-SA"/>
        </w:rPr>
        <w:t xml:space="preserve">how costs vary for complex family arrangements, for example, separated or blended families (Rapp and </w:t>
      </w:r>
      <w:proofErr w:type="spellStart"/>
      <w:r w:rsidR="003B29BC" w:rsidRPr="00E4255C">
        <w:t>Thévenon</w:t>
      </w:r>
      <w:proofErr w:type="spellEnd"/>
      <w:r w:rsidR="00573773">
        <w:rPr>
          <w:lang w:bidi="ar-SA"/>
        </w:rPr>
        <w:t xml:space="preserve">, </w:t>
      </w:r>
      <w:r w:rsidR="000177F8">
        <w:rPr>
          <w:lang w:bidi="ar-SA"/>
        </w:rPr>
        <w:t>unpublished</w:t>
      </w:r>
      <w:r w:rsidR="00573773">
        <w:rPr>
          <w:lang w:bidi="ar-SA"/>
        </w:rPr>
        <w:t>).</w:t>
      </w:r>
    </w:p>
    <w:p w14:paraId="0DAD9B69" w14:textId="28C0797D" w:rsidR="00925507" w:rsidRPr="003E1CB7" w:rsidRDefault="00925507" w:rsidP="004E50E8">
      <w:pPr>
        <w:pStyle w:val="Heading5"/>
      </w:pPr>
      <w:r>
        <w:t xml:space="preserve">Internationally </w:t>
      </w:r>
    </w:p>
    <w:p w14:paraId="104FB38C" w14:textId="42F5DF87" w:rsidR="004E508B" w:rsidRDefault="001D7833" w:rsidP="002B05F5">
      <w:pPr>
        <w:pStyle w:val="BodyText"/>
        <w:spacing w:line="276" w:lineRule="auto"/>
        <w:rPr>
          <w:lang w:bidi="ar-SA"/>
        </w:rPr>
      </w:pPr>
      <w:r>
        <w:t>In 2008, r</w:t>
      </w:r>
      <w:r w:rsidR="0085774D">
        <w:t>esearchers in the</w:t>
      </w:r>
      <w:r w:rsidR="005A4A4D" w:rsidRPr="005A4A4D">
        <w:t xml:space="preserve"> U</w:t>
      </w:r>
      <w:r w:rsidR="00C138E9">
        <w:t xml:space="preserve">nited Kingdom </w:t>
      </w:r>
      <w:r w:rsidR="002877B2">
        <w:t xml:space="preserve">(UK) </w:t>
      </w:r>
      <w:r w:rsidR="005A4A4D" w:rsidRPr="005A4A4D">
        <w:t>developed a Minimum Income Standard (MIS</w:t>
      </w:r>
      <w:r>
        <w:t>)</w:t>
      </w:r>
      <w:r w:rsidR="005021EA">
        <w:t xml:space="preserve"> with the aim</w:t>
      </w:r>
      <w:r>
        <w:t xml:space="preserve"> to </w:t>
      </w:r>
      <w:r w:rsidR="005A4A4D" w:rsidRPr="005A4A4D">
        <w:t>create an evidence-based benchmark of what income people in the UK require to meet their material needs and participate in society</w:t>
      </w:r>
      <w:r>
        <w:t xml:space="preserve"> (</w:t>
      </w:r>
      <w:r w:rsidR="00ED4582">
        <w:t>Bradshaw et al</w:t>
      </w:r>
      <w:r w:rsidR="00AD6BF8">
        <w:t>.</w:t>
      </w:r>
      <w:r w:rsidR="00ED4582">
        <w:t xml:space="preserve">, 2008). They </w:t>
      </w:r>
      <w:r w:rsidR="008C1635">
        <w:t xml:space="preserve">used a </w:t>
      </w:r>
      <w:r w:rsidR="008C1635" w:rsidRPr="00592EBA">
        <w:t>consensual</w:t>
      </w:r>
      <w:r w:rsidR="008C1635">
        <w:t xml:space="preserve"> approach; shifting</w:t>
      </w:r>
      <w:r w:rsidR="005A4A4D" w:rsidRPr="005A4A4D">
        <w:t xml:space="preserve"> from expert-led decisions to using focus groups with the public to inform decisions</w:t>
      </w:r>
      <w:r w:rsidR="008C1635">
        <w:t xml:space="preserve"> around needs of children</w:t>
      </w:r>
      <w:r w:rsidR="005A4A4D" w:rsidRPr="005A4A4D">
        <w:t>.</w:t>
      </w:r>
      <w:r w:rsidR="0010772C">
        <w:t xml:space="preserve"> They also applied the Minimum Income for Healthy Living (MIHL) as the standard of living,</w:t>
      </w:r>
      <w:r w:rsidR="00722C9A">
        <w:t xml:space="preserve"> </w:t>
      </w:r>
      <w:r w:rsidR="00152DB7">
        <w:t xml:space="preserve">which had been developed in </w:t>
      </w:r>
      <w:r w:rsidR="00C70BA6">
        <w:rPr>
          <w:lang w:bidi="ar-SA"/>
        </w:rPr>
        <w:t>the UK public health literature</w:t>
      </w:r>
      <w:r w:rsidR="00152DB7">
        <w:rPr>
          <w:lang w:bidi="ar-SA"/>
        </w:rPr>
        <w:t xml:space="preserve"> (</w:t>
      </w:r>
      <w:r w:rsidR="00C70BA6">
        <w:t>Morris and Deeming, 2004</w:t>
      </w:r>
      <w:r w:rsidR="00DB61E7">
        <w:t>,</w:t>
      </w:r>
      <w:r w:rsidR="00781C33">
        <w:t xml:space="preserve"> as</w:t>
      </w:r>
      <w:r w:rsidR="00681AF9">
        <w:t xml:space="preserve"> cited in</w:t>
      </w:r>
      <w:r w:rsidR="000225A5">
        <w:t xml:space="preserve"> Bradshaw et al</w:t>
      </w:r>
      <w:r w:rsidR="00AD6BF8">
        <w:t>.</w:t>
      </w:r>
      <w:r w:rsidR="000225A5">
        <w:t>, 2008</w:t>
      </w:r>
      <w:r w:rsidR="00C70BA6">
        <w:t>).</w:t>
      </w:r>
      <w:r w:rsidR="00152DB7">
        <w:t xml:space="preserve"> </w:t>
      </w:r>
    </w:p>
    <w:p w14:paraId="4EC0F4E9" w14:textId="7E4BC182" w:rsidR="004E508B" w:rsidRDefault="00EA3FC2" w:rsidP="002B05F5">
      <w:pPr>
        <w:pStyle w:val="BodyText"/>
        <w:spacing w:line="276" w:lineRule="auto"/>
      </w:pPr>
      <w:r>
        <w:t>Bedford</w:t>
      </w:r>
      <w:r w:rsidR="00234AE8">
        <w:t xml:space="preserve"> and colleagues</w:t>
      </w:r>
      <w:r w:rsidR="0048311B">
        <w:t xml:space="preserve"> </w:t>
      </w:r>
      <w:r>
        <w:t>(</w:t>
      </w:r>
      <w:r w:rsidR="0048311B">
        <w:t>2023, p.2</w:t>
      </w:r>
      <w:r>
        <w:t>) provide t</w:t>
      </w:r>
      <w:r w:rsidR="004E508B">
        <w:t>he central idea underpinning the MIHL</w:t>
      </w:r>
      <w:r>
        <w:t>:</w:t>
      </w:r>
    </w:p>
    <w:p w14:paraId="5B807E36" w14:textId="01C53FB1" w:rsidR="004E508B" w:rsidRPr="00A05717" w:rsidRDefault="004E508B" w:rsidP="00BE697F">
      <w:pPr>
        <w:pStyle w:val="Quote"/>
        <w:rPr>
          <w:color w:val="E7005E"/>
        </w:rPr>
      </w:pPr>
      <w:r w:rsidRPr="00A05717">
        <w:rPr>
          <w:color w:val="E7005E"/>
        </w:rPr>
        <w:t xml:space="preserve">The basic idea is that the budgets should allow </w:t>
      </w:r>
      <w:proofErr w:type="gramStart"/>
      <w:r w:rsidRPr="00A05717">
        <w:rPr>
          <w:color w:val="E7005E"/>
        </w:rPr>
        <w:t>each individual</w:t>
      </w:r>
      <w:proofErr w:type="gramEnd"/>
      <w:r w:rsidRPr="00A05717">
        <w:rPr>
          <w:color w:val="E7005E"/>
        </w:rPr>
        <w:t xml:space="preserve"> to lead a fully healthy life in </w:t>
      </w:r>
      <w:proofErr w:type="gramStart"/>
      <w:r w:rsidRPr="00A05717">
        <w:rPr>
          <w:color w:val="E7005E"/>
        </w:rPr>
        <w:t>all of</w:t>
      </w:r>
      <w:proofErr w:type="gramEnd"/>
      <w:r w:rsidRPr="00A05717">
        <w:rPr>
          <w:color w:val="E7005E"/>
        </w:rPr>
        <w:t xml:space="preserve"> its dimensions, in their roles as family members, workers and consumers. The MIHL standard is thus designed to ensure that </w:t>
      </w:r>
      <w:proofErr w:type="gramStart"/>
      <w:r w:rsidRPr="00A05717">
        <w:rPr>
          <w:color w:val="E7005E"/>
        </w:rPr>
        <w:t>each individual</w:t>
      </w:r>
      <w:proofErr w:type="gramEnd"/>
      <w:r w:rsidRPr="00A05717">
        <w:rPr>
          <w:color w:val="E7005E"/>
        </w:rPr>
        <w:t xml:space="preserve"> </w:t>
      </w:r>
      <w:proofErr w:type="gramStart"/>
      <w:r w:rsidRPr="00A05717">
        <w:rPr>
          <w:color w:val="E7005E"/>
        </w:rPr>
        <w:t xml:space="preserve">is </w:t>
      </w:r>
      <w:r w:rsidRPr="00A05717">
        <w:rPr>
          <w:color w:val="E7005E"/>
        </w:rPr>
        <w:lastRenderedPageBreak/>
        <w:t>able to</w:t>
      </w:r>
      <w:proofErr w:type="gramEnd"/>
      <w:r w:rsidRPr="00A05717">
        <w:rPr>
          <w:color w:val="E7005E"/>
        </w:rPr>
        <w:t xml:space="preserve"> achieve levels of consumption (of food, clothing, medications, transportation, personal care, and so on) and participation (in lifestyle, exercise and social activities) that are consistent with healthy living</w:t>
      </w:r>
      <w:r w:rsidR="2BFAAAA2" w:rsidRPr="00A05717">
        <w:rPr>
          <w:color w:val="E7005E"/>
        </w:rPr>
        <w:t>.</w:t>
      </w:r>
    </w:p>
    <w:p w14:paraId="6BFC57CE" w14:textId="16EBE826" w:rsidR="005A4A4D" w:rsidRDefault="005A4A4D" w:rsidP="002B05F5">
      <w:pPr>
        <w:pStyle w:val="BodyText"/>
        <w:spacing w:line="276" w:lineRule="auto"/>
      </w:pPr>
      <w:r w:rsidRPr="005A4A4D">
        <w:t xml:space="preserve">Annual estimates of the MIS have been published </w:t>
      </w:r>
      <w:r w:rsidR="000B6A07">
        <w:t>since this first study</w:t>
      </w:r>
      <w:r w:rsidR="009B2B3A">
        <w:t xml:space="preserve"> in 2008</w:t>
      </w:r>
      <w:r w:rsidRPr="005A4A4D">
        <w:t>, the most recent in 2023</w:t>
      </w:r>
      <w:r w:rsidR="009E738A">
        <w:t xml:space="preserve">. </w:t>
      </w:r>
    </w:p>
    <w:p w14:paraId="3BB476BB" w14:textId="16A6F9EF" w:rsidR="00914AA4" w:rsidRPr="00105A3E" w:rsidRDefault="00937ED9" w:rsidP="002B05F5">
      <w:pPr>
        <w:pStyle w:val="BodyText"/>
        <w:spacing w:line="276" w:lineRule="auto"/>
      </w:pPr>
      <w:r>
        <w:t xml:space="preserve">The MIS method </w:t>
      </w:r>
      <w:r w:rsidR="00F605A5">
        <w:t>has been</w:t>
      </w:r>
      <w:r>
        <w:t xml:space="preserve"> adopted and modified by other European countries, including </w:t>
      </w:r>
      <w:r w:rsidR="008E3769">
        <w:t>Ireland, France and Portugal</w:t>
      </w:r>
      <w:r w:rsidR="00121C7C">
        <w:t xml:space="preserve"> (Deeming, 2020)</w:t>
      </w:r>
      <w:r w:rsidR="008E3769">
        <w:t xml:space="preserve">. </w:t>
      </w:r>
      <w:r w:rsidR="00105A3E">
        <w:t>Other European countries with national budget standards include the Netherlands, Sweden, Finland, Belgium, Norway and Denmark. There is variation in how these budgets are constructed, which costs they include, the types of households represented, and how they have been applied in policy settings</w:t>
      </w:r>
      <w:r w:rsidR="00AC3B4B">
        <w:t xml:space="preserve"> (Deeming,</w:t>
      </w:r>
      <w:r w:rsidR="00105A3E">
        <w:t xml:space="preserve"> </w:t>
      </w:r>
      <w:r w:rsidR="001B1C8A">
        <w:t xml:space="preserve">2020). </w:t>
      </w:r>
      <w:r w:rsidR="00105A3E">
        <w:t>Typically,</w:t>
      </w:r>
      <w:r w:rsidR="00946A9F">
        <w:t xml:space="preserve"> the</w:t>
      </w:r>
      <w:r w:rsidR="00105A3E">
        <w:t xml:space="preserve"> budget standards are used as a benchmark to study the adequacy of minimum income protection and to measure poverty. </w:t>
      </w:r>
      <w:r w:rsidR="007F4705">
        <w:t>The European Commission has</w:t>
      </w:r>
      <w:r w:rsidR="00B612B7">
        <w:t xml:space="preserve"> also</w:t>
      </w:r>
      <w:r w:rsidR="00795F19">
        <w:t xml:space="preserve"> </w:t>
      </w:r>
      <w:r w:rsidR="00FA4538">
        <w:t xml:space="preserve">piloted the use of budget standards </w:t>
      </w:r>
      <w:r w:rsidR="0002646A">
        <w:t>to develop comparable budgets across</w:t>
      </w:r>
      <w:r w:rsidR="0002646A" w:rsidRPr="38626D43">
        <w:rPr>
          <w:i/>
          <w:iCs/>
        </w:rPr>
        <w:t xml:space="preserve"> </w:t>
      </w:r>
      <w:r w:rsidR="0002646A">
        <w:t xml:space="preserve">countries </w:t>
      </w:r>
      <w:r w:rsidR="00CB6E33">
        <w:t>(</w:t>
      </w:r>
      <w:proofErr w:type="spellStart"/>
      <w:r w:rsidR="00711242">
        <w:t>Goedemé</w:t>
      </w:r>
      <w:proofErr w:type="spellEnd"/>
      <w:r w:rsidR="00711242">
        <w:t xml:space="preserve"> et al</w:t>
      </w:r>
      <w:r w:rsidR="00CB6E33">
        <w:t xml:space="preserve">., </w:t>
      </w:r>
      <w:r w:rsidR="00711242">
        <w:t>2015</w:t>
      </w:r>
      <w:r w:rsidR="00CB6E33">
        <w:t xml:space="preserve">) </w:t>
      </w:r>
      <w:r w:rsidR="004C6B54">
        <w:t xml:space="preserve">as a way of </w:t>
      </w:r>
      <w:r w:rsidR="00795F19">
        <w:t>monitoring</w:t>
      </w:r>
      <w:r w:rsidR="004C6B54">
        <w:t xml:space="preserve"> the adequacy of income support</w:t>
      </w:r>
      <w:r w:rsidR="00795F19">
        <w:t xml:space="preserve"> across </w:t>
      </w:r>
      <w:proofErr w:type="gramStart"/>
      <w:r w:rsidR="00795F19">
        <w:t>Europe</w:t>
      </w:r>
      <w:r w:rsidR="00AB7BCF">
        <w:t>.</w:t>
      </w:r>
      <w:r w:rsidR="00883B28">
        <w:t xml:space="preserve"> </w:t>
      </w:r>
      <w:r w:rsidR="00AB7BCF">
        <w:t xml:space="preserve">  </w:t>
      </w:r>
      <w:proofErr w:type="gramEnd"/>
      <w:r w:rsidR="00E1213E">
        <w:t>.</w:t>
      </w:r>
      <w:r w:rsidR="00F667C6">
        <w:t xml:space="preserve"> </w:t>
      </w:r>
    </w:p>
    <w:p w14:paraId="5B576D14" w14:textId="173AE4CA" w:rsidR="003E1CB7" w:rsidRPr="004E50E8" w:rsidRDefault="003E1CB7" w:rsidP="004E50E8">
      <w:pPr>
        <w:pStyle w:val="Heading5"/>
      </w:pPr>
      <w:r w:rsidRPr="004E50E8">
        <w:t>In Australia</w:t>
      </w:r>
    </w:p>
    <w:p w14:paraId="5A2AE756" w14:textId="6003C811" w:rsidR="008E514D" w:rsidRDefault="00CC6EC4" w:rsidP="004E50E8">
      <w:pPr>
        <w:pStyle w:val="BodyText"/>
      </w:pPr>
      <w:r>
        <w:t xml:space="preserve">Budget standards have a long history </w:t>
      </w:r>
      <w:r w:rsidR="00876F48">
        <w:t>in Australia</w:t>
      </w:r>
      <w:r w:rsidR="000F029F">
        <w:t>. They</w:t>
      </w:r>
      <w:r w:rsidR="00876F48">
        <w:t xml:space="preserve"> were used to set the basic wage in 1907</w:t>
      </w:r>
      <w:r w:rsidR="00F73706">
        <w:t>,</w:t>
      </w:r>
      <w:r w:rsidR="009C6613">
        <w:t xml:space="preserve"> and they are still used </w:t>
      </w:r>
      <w:r w:rsidR="000D3E1E">
        <w:t xml:space="preserve">today </w:t>
      </w:r>
      <w:r w:rsidR="009C6613">
        <w:t xml:space="preserve">to guide the </w:t>
      </w:r>
      <w:r w:rsidR="007A7391">
        <w:t xml:space="preserve">setting of the minimum wage </w:t>
      </w:r>
      <w:r w:rsidR="00C075FC">
        <w:t>(Fair Work Commission, 2023)</w:t>
      </w:r>
      <w:r w:rsidR="008E514D">
        <w:t>.</w:t>
      </w:r>
    </w:p>
    <w:p w14:paraId="055C9AF8" w14:textId="4AF3BF85" w:rsidR="00FE6B7F" w:rsidRPr="00FF5B11" w:rsidRDefault="00117398" w:rsidP="38626D43">
      <w:pPr>
        <w:pStyle w:val="BodyText"/>
        <w:spacing w:line="276" w:lineRule="auto"/>
        <w:rPr>
          <w:i/>
          <w:iCs/>
          <w:lang w:bidi="ar-SA"/>
        </w:rPr>
      </w:pPr>
      <w:r>
        <w:t xml:space="preserve">Gray (2007) </w:t>
      </w:r>
      <w:r w:rsidR="00026F6A">
        <w:t xml:space="preserve">provides </w:t>
      </w:r>
      <w:r w:rsidR="00B45BD6">
        <w:t xml:space="preserve">a history </w:t>
      </w:r>
      <w:r w:rsidR="00026F6A">
        <w:t>of the modern budget standards</w:t>
      </w:r>
      <w:r w:rsidR="000E222B">
        <w:t xml:space="preserve"> developed </w:t>
      </w:r>
      <w:r w:rsidR="00B45BD6">
        <w:t xml:space="preserve">in Australia </w:t>
      </w:r>
      <w:r w:rsidR="008C0263">
        <w:t xml:space="preserve">by the Social Policy Research Centre </w:t>
      </w:r>
      <w:r w:rsidR="005C72D8">
        <w:t>(SPRC)</w:t>
      </w:r>
      <w:r w:rsidR="00C812BE">
        <w:t xml:space="preserve"> in the late 1990s</w:t>
      </w:r>
      <w:r w:rsidR="000A0229">
        <w:t xml:space="preserve">. </w:t>
      </w:r>
      <w:r w:rsidR="00873EAA">
        <w:t xml:space="preserve">In our review, we found two recent updates of </w:t>
      </w:r>
      <w:r w:rsidR="00FE6B7F" w:rsidRPr="38626D43">
        <w:rPr>
          <w:lang w:bidi="ar-SA"/>
        </w:rPr>
        <w:t>the Australian budget standards</w:t>
      </w:r>
      <w:r w:rsidR="3C0BA8DB" w:rsidRPr="38626D43">
        <w:rPr>
          <w:lang w:bidi="ar-SA"/>
        </w:rPr>
        <w:t>.</w:t>
      </w:r>
      <w:r w:rsidR="00FE6B7F" w:rsidRPr="38626D43">
        <w:rPr>
          <w:lang w:bidi="ar-SA"/>
        </w:rPr>
        <w:t xml:space="preserve"> The 2017 </w:t>
      </w:r>
      <w:r w:rsidR="00C0755E" w:rsidRPr="38626D43">
        <w:rPr>
          <w:lang w:bidi="ar-SA"/>
        </w:rPr>
        <w:t>update</w:t>
      </w:r>
      <w:r w:rsidR="00FE6B7F" w:rsidRPr="38626D43">
        <w:rPr>
          <w:i/>
          <w:iCs/>
        </w:rPr>
        <w:t xml:space="preserve"> </w:t>
      </w:r>
      <w:r w:rsidR="00FE6B7F" w:rsidRPr="38626D43">
        <w:rPr>
          <w:lang w:bidi="ar-SA"/>
        </w:rPr>
        <w:t xml:space="preserve">(Saunders </w:t>
      </w:r>
      <w:r w:rsidR="00742B25" w:rsidRPr="38626D43">
        <w:rPr>
          <w:lang w:bidi="ar-SA"/>
        </w:rPr>
        <w:t>and Bedford</w:t>
      </w:r>
      <w:r w:rsidR="00FE6B7F" w:rsidRPr="38626D43">
        <w:rPr>
          <w:lang w:bidi="ar-SA"/>
        </w:rPr>
        <w:t xml:space="preserve">) </w:t>
      </w:r>
      <w:r w:rsidR="00FE6B7F">
        <w:t>changed the</w:t>
      </w:r>
      <w:r w:rsidR="00FE6B7F" w:rsidRPr="38626D43">
        <w:rPr>
          <w:lang w:bidi="ar-SA"/>
        </w:rPr>
        <w:t xml:space="preserve"> living standards that had been historically applied to the budgets – the low cost and modest but adequate - to align with the MIHL developed in the UK public health literature</w:t>
      </w:r>
      <w:r w:rsidR="00A43839" w:rsidRPr="38626D43">
        <w:rPr>
          <w:lang w:bidi="ar-SA"/>
        </w:rPr>
        <w:t>.</w:t>
      </w:r>
      <w:r w:rsidR="00E40119">
        <w:rPr>
          <w:lang w:bidi="ar-SA"/>
        </w:rPr>
        <w:t xml:space="preserve"> </w:t>
      </w:r>
      <w:r w:rsidR="002D48E3">
        <w:rPr>
          <w:lang w:bidi="ar-SA"/>
        </w:rPr>
        <w:t>Two standards were developed, unemployed (and looking for work) and low income (minimum wage) individuals and families. The family types examined include singles living alon</w:t>
      </w:r>
      <w:r w:rsidR="00C812BE">
        <w:rPr>
          <w:lang w:bidi="ar-SA"/>
        </w:rPr>
        <w:t>e</w:t>
      </w:r>
      <w:r w:rsidR="002D48E3">
        <w:rPr>
          <w:lang w:bidi="ar-SA"/>
        </w:rPr>
        <w:t>, couples living as the only adult</w:t>
      </w:r>
      <w:r w:rsidR="00A4444B">
        <w:rPr>
          <w:lang w:bidi="ar-SA"/>
        </w:rPr>
        <w:t>s</w:t>
      </w:r>
      <w:r w:rsidR="002D48E3">
        <w:rPr>
          <w:lang w:bidi="ar-SA"/>
        </w:rPr>
        <w:t xml:space="preserve"> in a household, and selected couples and single parents with primary school aged children. </w:t>
      </w:r>
      <w:r w:rsidR="00373699">
        <w:rPr>
          <w:lang w:bidi="ar-SA"/>
        </w:rPr>
        <w:t>Saunders and Bedfor</w:t>
      </w:r>
      <w:r w:rsidR="00377E42">
        <w:rPr>
          <w:lang w:bidi="ar-SA"/>
        </w:rPr>
        <w:t>d publish</w:t>
      </w:r>
      <w:r w:rsidR="00A4444B">
        <w:rPr>
          <w:lang w:bidi="ar-SA"/>
        </w:rPr>
        <w:t>ed</w:t>
      </w:r>
      <w:r w:rsidR="00377E42">
        <w:rPr>
          <w:lang w:bidi="ar-SA"/>
        </w:rPr>
        <w:t xml:space="preserve"> the </w:t>
      </w:r>
      <w:r w:rsidR="00F95950">
        <w:rPr>
          <w:lang w:bidi="ar-SA"/>
        </w:rPr>
        <w:t xml:space="preserve">explicit </w:t>
      </w:r>
      <w:r w:rsidR="00377E42">
        <w:rPr>
          <w:lang w:bidi="ar-SA"/>
        </w:rPr>
        <w:t xml:space="preserve">costs of children arising from this study </w:t>
      </w:r>
      <w:r w:rsidR="00617ADB">
        <w:rPr>
          <w:lang w:bidi="ar-SA"/>
        </w:rPr>
        <w:t xml:space="preserve">in an AIFS </w:t>
      </w:r>
      <w:r w:rsidR="00617ADB" w:rsidRPr="001A68B8">
        <w:rPr>
          <w:lang w:bidi="ar-SA"/>
        </w:rPr>
        <w:t>Family Matters</w:t>
      </w:r>
      <w:r w:rsidR="00617ADB">
        <w:rPr>
          <w:lang w:bidi="ar-SA"/>
        </w:rPr>
        <w:t xml:space="preserve"> article (2018)</w:t>
      </w:r>
      <w:r w:rsidR="00D633BB">
        <w:rPr>
          <w:lang w:bidi="ar-SA"/>
        </w:rPr>
        <w:t>.</w:t>
      </w:r>
      <w:r w:rsidR="002D48E3">
        <w:rPr>
          <w:lang w:bidi="ar-SA"/>
        </w:rPr>
        <w:t xml:space="preserve"> </w:t>
      </w:r>
    </w:p>
    <w:p w14:paraId="45F382A0" w14:textId="007BBAA4" w:rsidR="00E970FB" w:rsidRDefault="00FE6B7F" w:rsidP="00D11118">
      <w:pPr>
        <w:pStyle w:val="BodyText"/>
        <w:spacing w:line="276" w:lineRule="auto"/>
        <w:rPr>
          <w:lang w:bidi="ar-SA"/>
        </w:rPr>
      </w:pPr>
      <w:r w:rsidRPr="38626D43">
        <w:rPr>
          <w:lang w:bidi="ar-SA"/>
        </w:rPr>
        <w:t>The</w:t>
      </w:r>
      <w:r w:rsidR="00D87267" w:rsidRPr="38626D43">
        <w:rPr>
          <w:lang w:bidi="ar-SA"/>
        </w:rPr>
        <w:t xml:space="preserve"> 2023 update </w:t>
      </w:r>
      <w:r w:rsidRPr="38626D43">
        <w:rPr>
          <w:lang w:bidi="ar-SA"/>
        </w:rPr>
        <w:t>prepared for the Fair Work Commission (</w:t>
      </w:r>
      <w:r w:rsidR="00253743" w:rsidRPr="38626D43">
        <w:rPr>
          <w:lang w:bidi="ar-SA"/>
        </w:rPr>
        <w:t xml:space="preserve">Bedford </w:t>
      </w:r>
      <w:r w:rsidRPr="38626D43">
        <w:rPr>
          <w:lang w:bidi="ar-SA"/>
        </w:rPr>
        <w:t>et al</w:t>
      </w:r>
      <w:r w:rsidR="009E2D72">
        <w:rPr>
          <w:lang w:bidi="ar-SA"/>
        </w:rPr>
        <w:t>.</w:t>
      </w:r>
      <w:r w:rsidR="001C1F43" w:rsidRPr="38626D43">
        <w:rPr>
          <w:lang w:bidi="ar-SA"/>
        </w:rPr>
        <w:t>, 2023</w:t>
      </w:r>
      <w:r w:rsidRPr="38626D43">
        <w:rPr>
          <w:lang w:bidi="ar-SA"/>
        </w:rPr>
        <w:t>)</w:t>
      </w:r>
      <w:r w:rsidR="00F6201F" w:rsidRPr="38626D43">
        <w:rPr>
          <w:lang w:bidi="ar-SA"/>
        </w:rPr>
        <w:t xml:space="preserve"> u</w:t>
      </w:r>
      <w:r w:rsidRPr="38626D43">
        <w:rPr>
          <w:lang w:bidi="ar-SA"/>
        </w:rPr>
        <w:t>pdated the basket of goods and prices of goods to 2022</w:t>
      </w:r>
      <w:r w:rsidR="002D48E3">
        <w:rPr>
          <w:lang w:bidi="ar-SA"/>
        </w:rPr>
        <w:t xml:space="preserve"> for low</w:t>
      </w:r>
      <w:r w:rsidR="00C812BE">
        <w:rPr>
          <w:lang w:bidi="ar-SA"/>
        </w:rPr>
        <w:t>-</w:t>
      </w:r>
      <w:r w:rsidR="002D48E3">
        <w:rPr>
          <w:lang w:bidi="ar-SA"/>
        </w:rPr>
        <w:t>income families only</w:t>
      </w:r>
      <w:r w:rsidR="00501C22" w:rsidRPr="38626D43">
        <w:rPr>
          <w:lang w:bidi="ar-SA"/>
        </w:rPr>
        <w:t>.</w:t>
      </w:r>
      <w:r w:rsidR="002D48E3">
        <w:rPr>
          <w:lang w:bidi="ar-SA"/>
        </w:rPr>
        <w:t xml:space="preserve"> The living standard was pitched above the minimum wage at a median ‘low wage’ income.</w:t>
      </w:r>
      <w:r w:rsidR="00501C22" w:rsidRPr="38626D43">
        <w:rPr>
          <w:lang w:bidi="ar-SA"/>
        </w:rPr>
        <w:t xml:space="preserve"> It was also</w:t>
      </w:r>
      <w:r w:rsidRPr="38626D43">
        <w:rPr>
          <w:lang w:bidi="ar-SA"/>
        </w:rPr>
        <w:t xml:space="preserve"> the first </w:t>
      </w:r>
      <w:r w:rsidR="00501C22" w:rsidRPr="38626D43">
        <w:rPr>
          <w:lang w:bidi="ar-SA"/>
        </w:rPr>
        <w:t>update</w:t>
      </w:r>
      <w:r w:rsidRPr="38626D43">
        <w:rPr>
          <w:lang w:bidi="ar-SA"/>
        </w:rPr>
        <w:t xml:space="preserve"> in Australia conducted following the COVID-19 pandemic and reflected the shift in ways of living in a post-pandemic world</w:t>
      </w:r>
      <w:r w:rsidR="00501C22" w:rsidRPr="38626D43">
        <w:rPr>
          <w:lang w:bidi="ar-SA"/>
        </w:rPr>
        <w:t xml:space="preserve"> (</w:t>
      </w:r>
      <w:r w:rsidR="00C12A7F" w:rsidRPr="38626D43">
        <w:rPr>
          <w:lang w:bidi="ar-SA"/>
        </w:rPr>
        <w:t>for example</w:t>
      </w:r>
      <w:r w:rsidR="001C1F43" w:rsidRPr="38626D43">
        <w:rPr>
          <w:lang w:bidi="ar-SA"/>
        </w:rPr>
        <w:t>, the rise in online learning and working from home</w:t>
      </w:r>
      <w:r w:rsidR="00501C22" w:rsidRPr="38626D43">
        <w:rPr>
          <w:lang w:bidi="ar-SA"/>
        </w:rPr>
        <w:t>)</w:t>
      </w:r>
      <w:r w:rsidRPr="38626D43">
        <w:rPr>
          <w:lang w:bidi="ar-SA"/>
        </w:rPr>
        <w:t xml:space="preserve">. </w:t>
      </w:r>
      <w:r w:rsidR="00927DFA">
        <w:rPr>
          <w:lang w:bidi="ar-SA"/>
        </w:rPr>
        <w:t>T</w:t>
      </w:r>
      <w:r w:rsidRPr="38626D43">
        <w:rPr>
          <w:lang w:bidi="ar-SA"/>
        </w:rPr>
        <w:t xml:space="preserve">he 2023 </w:t>
      </w:r>
      <w:r w:rsidR="00255829" w:rsidRPr="38626D43">
        <w:rPr>
          <w:lang w:bidi="ar-SA"/>
        </w:rPr>
        <w:t>update</w:t>
      </w:r>
      <w:r w:rsidRPr="38626D43">
        <w:rPr>
          <w:lang w:bidi="ar-SA"/>
        </w:rPr>
        <w:t xml:space="preserve"> </w:t>
      </w:r>
      <w:r w:rsidR="009C5881" w:rsidRPr="38626D43">
        <w:rPr>
          <w:lang w:bidi="ar-SA"/>
        </w:rPr>
        <w:t>publish</w:t>
      </w:r>
      <w:r w:rsidR="00931022">
        <w:rPr>
          <w:lang w:bidi="ar-SA"/>
        </w:rPr>
        <w:t>ed</w:t>
      </w:r>
      <w:r w:rsidR="009C5881" w:rsidRPr="38626D43">
        <w:rPr>
          <w:lang w:bidi="ar-SA"/>
        </w:rPr>
        <w:t xml:space="preserve"> budgets for </w:t>
      </w:r>
      <w:r w:rsidR="00247311">
        <w:rPr>
          <w:lang w:bidi="ar-SA"/>
        </w:rPr>
        <w:t>11</w:t>
      </w:r>
      <w:r w:rsidR="002D5D42">
        <w:rPr>
          <w:lang w:bidi="ar-SA"/>
        </w:rPr>
        <w:t xml:space="preserve"> low-income</w:t>
      </w:r>
      <w:r w:rsidR="009C5881" w:rsidRPr="38626D43">
        <w:rPr>
          <w:lang w:bidi="ar-SA"/>
        </w:rPr>
        <w:t xml:space="preserve"> </w:t>
      </w:r>
      <w:r w:rsidR="00934CB5" w:rsidRPr="38626D43">
        <w:rPr>
          <w:lang w:bidi="ar-SA"/>
        </w:rPr>
        <w:t>family types</w:t>
      </w:r>
      <w:r w:rsidR="00931022">
        <w:rPr>
          <w:lang w:bidi="ar-SA"/>
        </w:rPr>
        <w:t xml:space="preserve"> (see </w:t>
      </w:r>
      <w:r w:rsidR="00050890" w:rsidRPr="38626D43">
        <w:rPr>
          <w:lang w:bidi="ar-SA"/>
        </w:rPr>
        <w:t xml:space="preserve">Tables </w:t>
      </w:r>
      <w:r w:rsidR="00305A42">
        <w:rPr>
          <w:lang w:bidi="ar-SA"/>
        </w:rPr>
        <w:t>5</w:t>
      </w:r>
      <w:r w:rsidR="00B14212">
        <w:rPr>
          <w:lang w:bidi="ar-SA"/>
        </w:rPr>
        <w:t xml:space="preserve"> and </w:t>
      </w:r>
      <w:r w:rsidR="00305A42">
        <w:rPr>
          <w:lang w:bidi="ar-SA"/>
        </w:rPr>
        <w:t>6</w:t>
      </w:r>
      <w:r w:rsidR="00551B4F">
        <w:rPr>
          <w:lang w:bidi="ar-SA"/>
        </w:rPr>
        <w:t xml:space="preserve"> </w:t>
      </w:r>
      <w:r w:rsidR="00050890" w:rsidRPr="38626D43">
        <w:rPr>
          <w:lang w:bidi="ar-SA"/>
        </w:rPr>
        <w:t xml:space="preserve">in </w:t>
      </w:r>
      <w:r w:rsidRPr="38626D43">
        <w:rPr>
          <w:lang w:bidi="ar-SA"/>
        </w:rPr>
        <w:t xml:space="preserve">Appendix </w:t>
      </w:r>
      <w:r w:rsidR="00083190" w:rsidRPr="38626D43">
        <w:rPr>
          <w:lang w:bidi="ar-SA"/>
        </w:rPr>
        <w:t>1</w:t>
      </w:r>
      <w:r w:rsidR="00931022">
        <w:rPr>
          <w:lang w:bidi="ar-SA"/>
        </w:rPr>
        <w:t>)</w:t>
      </w:r>
      <w:r w:rsidRPr="38626D43">
        <w:rPr>
          <w:lang w:bidi="ar-SA"/>
        </w:rPr>
        <w:t>.</w:t>
      </w:r>
      <w:r w:rsidR="00316E24">
        <w:rPr>
          <w:lang w:bidi="ar-SA"/>
        </w:rPr>
        <w:t xml:space="preserve"> </w:t>
      </w:r>
    </w:p>
    <w:p w14:paraId="3DA19CF3" w14:textId="3561CA3A" w:rsidR="00C73DB6" w:rsidRPr="007C7C3D" w:rsidRDefault="00FF5A56" w:rsidP="000544F5">
      <w:pPr>
        <w:pStyle w:val="Heading4"/>
      </w:pPr>
      <w:bookmarkStart w:id="11" w:name="_Toc168066333"/>
      <w:bookmarkStart w:id="12" w:name="_Toc1483513489"/>
      <w:r>
        <w:t>S</w:t>
      </w:r>
      <w:r w:rsidR="003E6C92">
        <w:t xml:space="preserve">elf-reported </w:t>
      </w:r>
      <w:r w:rsidR="00C73DB6">
        <w:t>economic wellbeing</w:t>
      </w:r>
      <w:bookmarkEnd w:id="11"/>
      <w:r w:rsidR="004440C2">
        <w:t xml:space="preserve"> method</w:t>
      </w:r>
      <w:bookmarkEnd w:id="12"/>
    </w:p>
    <w:p w14:paraId="6940B0CD" w14:textId="63D857CD" w:rsidR="005A45DD" w:rsidRDefault="00D07A06" w:rsidP="00EA7426">
      <w:pPr>
        <w:pStyle w:val="BodyText"/>
        <w:spacing w:line="276" w:lineRule="auto"/>
        <w:rPr>
          <w:lang w:bidi="ar-SA"/>
        </w:rPr>
      </w:pPr>
      <w:r>
        <w:rPr>
          <w:lang w:bidi="ar-SA"/>
        </w:rPr>
        <w:t xml:space="preserve">Examples of self-reported measures of </w:t>
      </w:r>
      <w:r w:rsidR="00492895">
        <w:rPr>
          <w:lang w:bidi="ar-SA"/>
        </w:rPr>
        <w:t xml:space="preserve">economic </w:t>
      </w:r>
      <w:r>
        <w:rPr>
          <w:lang w:bidi="ar-SA"/>
        </w:rPr>
        <w:t>wellbeing include survey</w:t>
      </w:r>
      <w:r w:rsidR="009A3556">
        <w:rPr>
          <w:lang w:bidi="ar-SA"/>
        </w:rPr>
        <w:t xml:space="preserve"> </w:t>
      </w:r>
      <w:r>
        <w:rPr>
          <w:lang w:bidi="ar-SA"/>
        </w:rPr>
        <w:t>q</w:t>
      </w:r>
      <w:r w:rsidR="004C5C4A">
        <w:rPr>
          <w:lang w:bidi="ar-SA"/>
        </w:rPr>
        <w:t>uestions around economic strain</w:t>
      </w:r>
      <w:r w:rsidR="00CD38E3">
        <w:rPr>
          <w:lang w:bidi="ar-SA"/>
        </w:rPr>
        <w:t xml:space="preserve">, </w:t>
      </w:r>
      <w:r w:rsidR="004C5C4A">
        <w:rPr>
          <w:lang w:bidi="ar-SA"/>
        </w:rPr>
        <w:t>satisfaction with incom</w:t>
      </w:r>
      <w:r w:rsidR="00B80426">
        <w:rPr>
          <w:lang w:bidi="ar-SA"/>
        </w:rPr>
        <w:t>e</w:t>
      </w:r>
      <w:r w:rsidR="00CD38E3">
        <w:rPr>
          <w:lang w:bidi="ar-SA"/>
        </w:rPr>
        <w:t xml:space="preserve">, </w:t>
      </w:r>
      <w:r w:rsidR="00424ABE">
        <w:rPr>
          <w:lang w:bidi="ar-SA"/>
        </w:rPr>
        <w:t>and ability to purchase a home</w:t>
      </w:r>
      <w:r w:rsidR="00B80426">
        <w:rPr>
          <w:lang w:bidi="ar-SA"/>
        </w:rPr>
        <w:t>. These survey responses</w:t>
      </w:r>
      <w:r w:rsidR="00D7183E">
        <w:rPr>
          <w:lang w:bidi="ar-SA"/>
        </w:rPr>
        <w:t xml:space="preserve"> can be used as a proxy for measuring and equalising standard of living </w:t>
      </w:r>
      <w:r w:rsidR="00F42E4E">
        <w:rPr>
          <w:lang w:bidi="ar-SA"/>
        </w:rPr>
        <w:t xml:space="preserve">across different household types. </w:t>
      </w:r>
      <w:r w:rsidR="00C812BE">
        <w:rPr>
          <w:lang w:bidi="ar-SA"/>
        </w:rPr>
        <w:t xml:space="preserve">There has been limited Australian research using this method. Breunig and Cobb-Clark (2005) constructed equivalence scales for Australia using this approach and the HILDA longitudinal survey. The costs of children using this approach produced significantly higher costs of children than expenditure-based methods. </w:t>
      </w:r>
      <w:r w:rsidR="003E451A">
        <w:rPr>
          <w:lang w:bidi="ar-SA"/>
        </w:rPr>
        <w:t xml:space="preserve">Below, we outline recent international applications of this method. </w:t>
      </w:r>
    </w:p>
    <w:p w14:paraId="36BE670D" w14:textId="01F6767B" w:rsidR="00C17DF3" w:rsidRDefault="00C17DF3" w:rsidP="004E50E8">
      <w:pPr>
        <w:pStyle w:val="Heading5"/>
        <w:spacing w:line="240" w:lineRule="auto"/>
      </w:pPr>
      <w:r>
        <w:lastRenderedPageBreak/>
        <w:t xml:space="preserve">Internationally </w:t>
      </w:r>
    </w:p>
    <w:p w14:paraId="7EDF9B47" w14:textId="71917CA5" w:rsidR="005B53A5" w:rsidRDefault="000442A6" w:rsidP="00EA7426">
      <w:pPr>
        <w:pStyle w:val="BodyText"/>
        <w:spacing w:line="276" w:lineRule="auto"/>
        <w:rPr>
          <w:lang w:bidi="ar-SA"/>
        </w:rPr>
      </w:pPr>
      <w:r w:rsidRPr="38626D43">
        <w:rPr>
          <w:lang w:bidi="ar-SA"/>
        </w:rPr>
        <w:t>Our review found that this</w:t>
      </w:r>
      <w:r w:rsidR="003E03BA" w:rsidRPr="38626D43">
        <w:rPr>
          <w:lang w:bidi="ar-SA"/>
        </w:rPr>
        <w:t xml:space="preserve"> approach </w:t>
      </w:r>
      <w:r w:rsidR="00F44C67">
        <w:rPr>
          <w:lang w:bidi="ar-SA"/>
        </w:rPr>
        <w:t>was</w:t>
      </w:r>
      <w:r w:rsidR="57D77432" w:rsidRPr="38626D43">
        <w:rPr>
          <w:lang w:bidi="ar-SA"/>
        </w:rPr>
        <w:t xml:space="preserve"> </w:t>
      </w:r>
      <w:r w:rsidR="00AC5854" w:rsidRPr="38626D43">
        <w:rPr>
          <w:lang w:bidi="ar-SA"/>
        </w:rPr>
        <w:t>more common</w:t>
      </w:r>
      <w:r w:rsidR="78973CCA" w:rsidRPr="38626D43">
        <w:rPr>
          <w:lang w:bidi="ar-SA"/>
        </w:rPr>
        <w:t>ly reported</w:t>
      </w:r>
      <w:r w:rsidR="00AC5854" w:rsidRPr="38626D43">
        <w:rPr>
          <w:lang w:bidi="ar-SA"/>
        </w:rPr>
        <w:t xml:space="preserve"> in</w:t>
      </w:r>
      <w:r w:rsidR="00E931EF" w:rsidRPr="38626D43">
        <w:rPr>
          <w:lang w:bidi="ar-SA"/>
        </w:rPr>
        <w:t xml:space="preserve"> the</w:t>
      </w:r>
      <w:r w:rsidR="00AC5854" w:rsidRPr="38626D43">
        <w:rPr>
          <w:lang w:bidi="ar-SA"/>
        </w:rPr>
        <w:t xml:space="preserve"> </w:t>
      </w:r>
      <w:r w:rsidRPr="38626D43">
        <w:rPr>
          <w:lang w:bidi="ar-SA"/>
        </w:rPr>
        <w:t>Europe</w:t>
      </w:r>
      <w:r w:rsidR="00E931EF" w:rsidRPr="38626D43">
        <w:rPr>
          <w:lang w:bidi="ar-SA"/>
        </w:rPr>
        <w:t>an literature</w:t>
      </w:r>
      <w:r w:rsidR="00E94158" w:rsidRPr="38626D43">
        <w:rPr>
          <w:lang w:bidi="ar-SA"/>
        </w:rPr>
        <w:t xml:space="preserve"> (</w:t>
      </w:r>
      <w:r w:rsidR="009B6C59" w:rsidRPr="38626D43">
        <w:rPr>
          <w:lang w:bidi="ar-SA"/>
        </w:rPr>
        <w:t>Martin, 20</w:t>
      </w:r>
      <w:r w:rsidR="00276E17" w:rsidRPr="38626D43">
        <w:rPr>
          <w:lang w:bidi="ar-SA"/>
        </w:rPr>
        <w:t>17</w:t>
      </w:r>
      <w:r w:rsidR="00E97140" w:rsidRPr="38626D43">
        <w:rPr>
          <w:lang w:bidi="ar-SA"/>
        </w:rPr>
        <w:t>;</w:t>
      </w:r>
      <w:r w:rsidR="00276E17" w:rsidRPr="38626D43">
        <w:rPr>
          <w:lang w:bidi="ar-SA"/>
        </w:rPr>
        <w:t xml:space="preserve"> </w:t>
      </w:r>
      <w:r w:rsidR="007E4ADA">
        <w:rPr>
          <w:lang w:bidi="ar-SA"/>
        </w:rPr>
        <w:t>Morawski</w:t>
      </w:r>
      <w:r w:rsidR="000F1D47">
        <w:rPr>
          <w:lang w:bidi="ar-SA"/>
        </w:rPr>
        <w:t>,</w:t>
      </w:r>
      <w:r w:rsidR="00276E17" w:rsidRPr="38626D43">
        <w:rPr>
          <w:lang w:bidi="ar-SA"/>
        </w:rPr>
        <w:t xml:space="preserve"> </w:t>
      </w:r>
      <w:r w:rsidR="00661005" w:rsidRPr="00661005">
        <w:rPr>
          <w:lang w:bidi="ar-SA"/>
        </w:rPr>
        <w:t>Kalbarczyk-</w:t>
      </w:r>
      <w:proofErr w:type="spellStart"/>
      <w:r w:rsidR="00661005" w:rsidRPr="00661005">
        <w:rPr>
          <w:lang w:bidi="ar-SA"/>
        </w:rPr>
        <w:t>Stęclik</w:t>
      </w:r>
      <w:proofErr w:type="spellEnd"/>
      <w:r w:rsidR="00661005" w:rsidRPr="00661005">
        <w:rPr>
          <w:lang w:bidi="ar-SA"/>
        </w:rPr>
        <w:t xml:space="preserve">, </w:t>
      </w:r>
      <w:r w:rsidR="00661005">
        <w:rPr>
          <w:lang w:bidi="ar-SA"/>
        </w:rPr>
        <w:t xml:space="preserve">and </w:t>
      </w:r>
      <w:proofErr w:type="spellStart"/>
      <w:r w:rsidR="00661005" w:rsidRPr="00661005">
        <w:rPr>
          <w:lang w:bidi="ar-SA"/>
        </w:rPr>
        <w:t>Miśta</w:t>
      </w:r>
      <w:proofErr w:type="spellEnd"/>
      <w:r w:rsidR="00545902">
        <w:rPr>
          <w:lang w:bidi="ar-SA"/>
        </w:rPr>
        <w:t xml:space="preserve">, </w:t>
      </w:r>
      <w:r w:rsidR="00661005" w:rsidRPr="00661005">
        <w:rPr>
          <w:lang w:bidi="ar-SA"/>
        </w:rPr>
        <w:t>2017</w:t>
      </w:r>
      <w:r w:rsidR="00661005">
        <w:rPr>
          <w:lang w:bidi="ar-SA"/>
        </w:rPr>
        <w:t>;</w:t>
      </w:r>
      <w:r w:rsidR="00276E17" w:rsidRPr="38626D43">
        <w:rPr>
          <w:lang w:bidi="ar-SA"/>
        </w:rPr>
        <w:t xml:space="preserve"> Martin and Perivier, 2018</w:t>
      </w:r>
      <w:r w:rsidR="00E97140" w:rsidRPr="38626D43">
        <w:rPr>
          <w:lang w:bidi="ar-SA"/>
        </w:rPr>
        <w:t>;</w:t>
      </w:r>
      <w:r w:rsidR="00C43A20" w:rsidRPr="38626D43">
        <w:rPr>
          <w:lang w:bidi="ar-SA"/>
        </w:rPr>
        <w:t xml:space="preserve"> </w:t>
      </w:r>
      <w:r w:rsidR="008204DD" w:rsidRPr="38626D43">
        <w:rPr>
          <w:lang w:bidi="ar-SA"/>
        </w:rPr>
        <w:t xml:space="preserve">Rapp and </w:t>
      </w:r>
      <w:proofErr w:type="spellStart"/>
      <w:r w:rsidR="003B29BC" w:rsidRPr="00E4255C">
        <w:t>Thévenon</w:t>
      </w:r>
      <w:proofErr w:type="spellEnd"/>
      <w:r w:rsidR="008204DD" w:rsidRPr="38626D43">
        <w:rPr>
          <w:lang w:bidi="ar-SA"/>
        </w:rPr>
        <w:t xml:space="preserve">, </w:t>
      </w:r>
      <w:r w:rsidR="000177F8">
        <w:rPr>
          <w:lang w:bidi="ar-SA"/>
        </w:rPr>
        <w:t>unpublished</w:t>
      </w:r>
      <w:r w:rsidR="00E97140" w:rsidRPr="38626D43">
        <w:rPr>
          <w:lang w:bidi="ar-SA"/>
        </w:rPr>
        <w:t>)</w:t>
      </w:r>
      <w:r w:rsidR="008204DD" w:rsidRPr="38626D43">
        <w:rPr>
          <w:lang w:bidi="ar-SA"/>
        </w:rPr>
        <w:t>.</w:t>
      </w:r>
      <w:r w:rsidR="00DF0393" w:rsidRPr="38626D43">
        <w:rPr>
          <w:lang w:bidi="ar-SA"/>
        </w:rPr>
        <w:t xml:space="preserve"> T</w:t>
      </w:r>
      <w:r w:rsidR="005B53A5" w:rsidRPr="38626D43">
        <w:rPr>
          <w:lang w:bidi="ar-SA"/>
        </w:rPr>
        <w:t xml:space="preserve">wo reasons noted for its popularity are: </w:t>
      </w:r>
    </w:p>
    <w:p w14:paraId="146264F6" w14:textId="1C3EDADE" w:rsidR="005B53A5" w:rsidRDefault="004965FD" w:rsidP="005B53A5">
      <w:pPr>
        <w:pStyle w:val="ListBullet"/>
      </w:pPr>
      <w:r>
        <w:t>the standard of living is based on a household’s own experience</w:t>
      </w:r>
      <w:r w:rsidR="00782215">
        <w:t xml:space="preserve"> of economic wellbeing and may reflect lived experience better than a statistica</w:t>
      </w:r>
      <w:r w:rsidR="005960D4">
        <w:t>l measure</w:t>
      </w:r>
    </w:p>
    <w:p w14:paraId="052B41FB" w14:textId="5FF674F2" w:rsidR="00705EDD" w:rsidRDefault="005F3E3A" w:rsidP="005B53A5">
      <w:pPr>
        <w:pStyle w:val="ListBullet"/>
      </w:pPr>
      <w:r>
        <w:t xml:space="preserve">survey data on economic wellbeing are often captured at more frequent intervals than detailed household expenditure data, which makes analysis more accessible. </w:t>
      </w:r>
    </w:p>
    <w:p w14:paraId="4FC98E94" w14:textId="0BDC0D5D" w:rsidR="00063AC7" w:rsidRDefault="003119C4" w:rsidP="00EA7426">
      <w:pPr>
        <w:pStyle w:val="BodyText"/>
        <w:spacing w:line="276" w:lineRule="auto"/>
        <w:rPr>
          <w:lang w:bidi="ar-SA"/>
        </w:rPr>
      </w:pPr>
      <w:r>
        <w:rPr>
          <w:lang w:bidi="ar-SA"/>
        </w:rPr>
        <w:t xml:space="preserve">This approach </w:t>
      </w:r>
      <w:r w:rsidR="000F0C3C">
        <w:rPr>
          <w:lang w:bidi="ar-SA"/>
        </w:rPr>
        <w:t>also has</w:t>
      </w:r>
      <w:r>
        <w:rPr>
          <w:lang w:bidi="ar-SA"/>
        </w:rPr>
        <w:t xml:space="preserve"> </w:t>
      </w:r>
      <w:r w:rsidR="00F234BD">
        <w:rPr>
          <w:lang w:bidi="ar-SA"/>
        </w:rPr>
        <w:t>drawbacks</w:t>
      </w:r>
      <w:r>
        <w:rPr>
          <w:lang w:bidi="ar-SA"/>
        </w:rPr>
        <w:t xml:space="preserve">. </w:t>
      </w:r>
      <w:r w:rsidR="00702A13">
        <w:rPr>
          <w:lang w:bidi="ar-SA"/>
        </w:rPr>
        <w:t xml:space="preserve">Using subjective measures of economic wellbeing to compare across </w:t>
      </w:r>
      <w:r w:rsidR="00C7110A">
        <w:rPr>
          <w:lang w:bidi="ar-SA"/>
        </w:rPr>
        <w:t>households is challenging</w:t>
      </w:r>
      <w:r w:rsidR="00950A0E">
        <w:rPr>
          <w:lang w:bidi="ar-SA"/>
        </w:rPr>
        <w:t xml:space="preserve"> as</w:t>
      </w:r>
      <w:r w:rsidR="00C7110A">
        <w:rPr>
          <w:lang w:bidi="ar-SA"/>
        </w:rPr>
        <w:t xml:space="preserve"> </w:t>
      </w:r>
      <w:r w:rsidR="00054C6A">
        <w:rPr>
          <w:lang w:bidi="ar-SA"/>
        </w:rPr>
        <w:t xml:space="preserve">different families may have different reference points </w:t>
      </w:r>
      <w:r w:rsidR="00C45BC6">
        <w:rPr>
          <w:lang w:bidi="ar-SA"/>
        </w:rPr>
        <w:t>when evaluating their own wellbeing</w:t>
      </w:r>
      <w:r w:rsidR="005109E0">
        <w:rPr>
          <w:lang w:bidi="ar-SA"/>
        </w:rPr>
        <w:t>. I</w:t>
      </w:r>
      <w:r w:rsidR="00C45BC6">
        <w:rPr>
          <w:lang w:bidi="ar-SA"/>
        </w:rPr>
        <w:t xml:space="preserve">nstead of comparing their </w:t>
      </w:r>
      <w:r w:rsidR="00305396">
        <w:rPr>
          <w:lang w:bidi="ar-SA"/>
        </w:rPr>
        <w:t xml:space="preserve">experience to that of others in society, they may be comparing to their own previous experiences, </w:t>
      </w:r>
      <w:r w:rsidR="00E16655">
        <w:rPr>
          <w:lang w:bidi="ar-SA"/>
        </w:rPr>
        <w:t xml:space="preserve">or to other people that they know (Social Metrics Commission, 2019). </w:t>
      </w:r>
      <w:r w:rsidR="005109E0">
        <w:rPr>
          <w:lang w:bidi="ar-SA"/>
        </w:rPr>
        <w:t>Another</w:t>
      </w:r>
      <w:r w:rsidR="004A6D41">
        <w:rPr>
          <w:lang w:bidi="ar-SA"/>
        </w:rPr>
        <w:t xml:space="preserve"> challenge is determining which </w:t>
      </w:r>
      <w:r w:rsidR="00B85BED">
        <w:rPr>
          <w:lang w:bidi="ar-SA"/>
        </w:rPr>
        <w:t xml:space="preserve">factors should be controlled for </w:t>
      </w:r>
      <w:r w:rsidR="001F057F">
        <w:rPr>
          <w:lang w:bidi="ar-SA"/>
        </w:rPr>
        <w:t>when modelling subjective wellbeing</w:t>
      </w:r>
      <w:r w:rsidR="0050631C">
        <w:rPr>
          <w:lang w:bidi="ar-SA"/>
        </w:rPr>
        <w:t xml:space="preserve"> against income. </w:t>
      </w:r>
    </w:p>
    <w:p w14:paraId="63831190" w14:textId="7567CC36" w:rsidR="00D5485C" w:rsidRPr="00810CE1" w:rsidRDefault="00017481" w:rsidP="00EA7426">
      <w:pPr>
        <w:pStyle w:val="BodyText"/>
        <w:spacing w:line="276" w:lineRule="auto"/>
      </w:pPr>
      <w:r>
        <w:t xml:space="preserve">Rapp and </w:t>
      </w:r>
      <w:proofErr w:type="spellStart"/>
      <w:r w:rsidR="003B29BC" w:rsidRPr="00E4255C">
        <w:t>Thévenon</w:t>
      </w:r>
      <w:proofErr w:type="spellEnd"/>
      <w:r>
        <w:t xml:space="preserve"> </w:t>
      </w:r>
      <w:r w:rsidR="009422A5">
        <w:t>(</w:t>
      </w:r>
      <w:r w:rsidR="000177F8">
        <w:t>unpublished</w:t>
      </w:r>
      <w:r w:rsidR="009422A5">
        <w:t>) observe that</w:t>
      </w:r>
      <w:r w:rsidR="008E5720">
        <w:t xml:space="preserve"> </w:t>
      </w:r>
      <w:r w:rsidR="007713DD">
        <w:t xml:space="preserve">large households, at all income levels, </w:t>
      </w:r>
      <w:r w:rsidR="00045048">
        <w:t xml:space="preserve">experience more financial strain </w:t>
      </w:r>
      <w:r w:rsidR="009C6631">
        <w:t xml:space="preserve">than smaller households. </w:t>
      </w:r>
      <w:r w:rsidR="00E12D4E">
        <w:t xml:space="preserve">They use this </w:t>
      </w:r>
      <w:r w:rsidR="00017546">
        <w:t xml:space="preserve">observation to </w:t>
      </w:r>
      <w:r>
        <w:t xml:space="preserve">argue that </w:t>
      </w:r>
      <w:r w:rsidR="00052985">
        <w:t xml:space="preserve">it is </w:t>
      </w:r>
      <w:r w:rsidR="009C1AC6">
        <w:t>‘appropriate to assess the cost of children, based on the differences in responses to the questions on financial ease attributable to household composition and potentially other characteristics of family living arrangements’</w:t>
      </w:r>
      <w:r w:rsidR="00366BD2">
        <w:t xml:space="preserve"> (p</w:t>
      </w:r>
      <w:r w:rsidR="00D87D4F">
        <w:t>.16)</w:t>
      </w:r>
      <w:r w:rsidR="00731BE9">
        <w:t xml:space="preserve">. </w:t>
      </w:r>
      <w:r w:rsidR="00725D6B">
        <w:t>However, t</w:t>
      </w:r>
      <w:r w:rsidR="00D5485C">
        <w:t>he Social Metrics Commission (2019) highlights that</w:t>
      </w:r>
      <w:r w:rsidR="002F5643">
        <w:t>, despite the appeal of these approaches,</w:t>
      </w:r>
      <w:r w:rsidR="001F7CE2">
        <w:t xml:space="preserve"> ‘</w:t>
      </w:r>
      <w:r w:rsidR="00D5485C">
        <w:t>difficulties in measuring utility directly mean that such approaches have not moved beyond the realm of academic usage</w:t>
      </w:r>
      <w:r w:rsidR="004F0EE3">
        <w:t xml:space="preserve">’ (p.32). </w:t>
      </w:r>
    </w:p>
    <w:p w14:paraId="374F7C67" w14:textId="2327FAAF" w:rsidR="00E821C5" w:rsidRDefault="004440C2" w:rsidP="000544F5">
      <w:pPr>
        <w:pStyle w:val="Heading4"/>
      </w:pPr>
      <w:bookmarkStart w:id="13" w:name="_Toc168066334"/>
      <w:bookmarkStart w:id="14" w:name="_Toc2090025395"/>
      <w:r>
        <w:t>E</w:t>
      </w:r>
      <w:r w:rsidR="00E821C5">
        <w:t>xpenditure</w:t>
      </w:r>
      <w:bookmarkEnd w:id="13"/>
      <w:r>
        <w:t xml:space="preserve"> method</w:t>
      </w:r>
      <w:r w:rsidR="00DD4660">
        <w:t>s</w:t>
      </w:r>
      <w:bookmarkEnd w:id="14"/>
      <w:r w:rsidR="00E821C5">
        <w:t xml:space="preserve"> </w:t>
      </w:r>
    </w:p>
    <w:p w14:paraId="0085009D" w14:textId="03D8F7BA" w:rsidR="00182415" w:rsidRDefault="00E821C5" w:rsidP="00EA7426">
      <w:pPr>
        <w:pStyle w:val="BodyText"/>
        <w:spacing w:line="276" w:lineRule="auto"/>
        <w:rPr>
          <w:lang w:bidi="ar-SA"/>
        </w:rPr>
      </w:pPr>
      <w:r>
        <w:rPr>
          <w:lang w:bidi="ar-SA"/>
        </w:rPr>
        <w:t xml:space="preserve">There </w:t>
      </w:r>
      <w:r w:rsidR="00152498">
        <w:rPr>
          <w:lang w:bidi="ar-SA"/>
        </w:rPr>
        <w:t>are</w:t>
      </w:r>
      <w:r>
        <w:rPr>
          <w:lang w:bidi="ar-SA"/>
        </w:rPr>
        <w:t xml:space="preserve"> a broad range of methods that use expenditure data to estimate the </w:t>
      </w:r>
      <w:r w:rsidR="002D5D42">
        <w:rPr>
          <w:lang w:bidi="ar-SA"/>
        </w:rPr>
        <w:t xml:space="preserve">economic </w:t>
      </w:r>
      <w:r>
        <w:rPr>
          <w:lang w:bidi="ar-SA"/>
        </w:rPr>
        <w:t>cost of children</w:t>
      </w:r>
      <w:r w:rsidR="00274CB8">
        <w:rPr>
          <w:lang w:bidi="ar-SA"/>
        </w:rPr>
        <w:t xml:space="preserve">. </w:t>
      </w:r>
      <w:r w:rsidR="0054754C">
        <w:rPr>
          <w:lang w:bidi="ar-SA"/>
        </w:rPr>
        <w:t xml:space="preserve">These methods </w:t>
      </w:r>
      <w:r w:rsidR="005909EE">
        <w:rPr>
          <w:lang w:bidi="ar-SA"/>
        </w:rPr>
        <w:t>seek to</w:t>
      </w:r>
      <w:r w:rsidR="00653F19">
        <w:rPr>
          <w:lang w:bidi="ar-SA"/>
        </w:rPr>
        <w:t xml:space="preserve"> examine and</w:t>
      </w:r>
      <w:r w:rsidR="005909EE">
        <w:rPr>
          <w:lang w:bidi="ar-SA"/>
        </w:rPr>
        <w:t xml:space="preserve"> </w:t>
      </w:r>
      <w:r w:rsidR="002544D6">
        <w:rPr>
          <w:lang w:bidi="ar-SA"/>
        </w:rPr>
        <w:t xml:space="preserve">estimate </w:t>
      </w:r>
      <w:r w:rsidR="00C71A00">
        <w:rPr>
          <w:lang w:bidi="ar-SA"/>
        </w:rPr>
        <w:t xml:space="preserve">differences </w:t>
      </w:r>
      <w:r w:rsidR="002544D6">
        <w:rPr>
          <w:lang w:bidi="ar-SA"/>
        </w:rPr>
        <w:t>in household expenditure</w:t>
      </w:r>
      <w:r w:rsidR="00C71A00">
        <w:rPr>
          <w:lang w:bidi="ar-SA"/>
        </w:rPr>
        <w:t xml:space="preserve"> for households with and without children. </w:t>
      </w:r>
      <w:r w:rsidR="00D546E1">
        <w:rPr>
          <w:lang w:bidi="ar-SA"/>
        </w:rPr>
        <w:t xml:space="preserve">Bradbury </w:t>
      </w:r>
      <w:r w:rsidR="00713441">
        <w:rPr>
          <w:lang w:bidi="ar-SA"/>
        </w:rPr>
        <w:t>(2014, p</w:t>
      </w:r>
      <w:r w:rsidR="00AB57F5">
        <w:rPr>
          <w:lang w:bidi="ar-SA"/>
        </w:rPr>
        <w:t>.149</w:t>
      </w:r>
      <w:r w:rsidR="000450FE">
        <w:rPr>
          <w:lang w:bidi="ar-SA"/>
        </w:rPr>
        <w:t>0-1491</w:t>
      </w:r>
      <w:r w:rsidR="00713441">
        <w:rPr>
          <w:lang w:bidi="ar-SA"/>
        </w:rPr>
        <w:t xml:space="preserve">) </w:t>
      </w:r>
      <w:r w:rsidR="00D546E1">
        <w:rPr>
          <w:lang w:bidi="ar-SA"/>
        </w:rPr>
        <w:t>explains</w:t>
      </w:r>
      <w:r w:rsidR="00713441">
        <w:rPr>
          <w:lang w:bidi="ar-SA"/>
        </w:rPr>
        <w:t xml:space="preserve"> the challenge</w:t>
      </w:r>
      <w:r w:rsidR="002150E8">
        <w:rPr>
          <w:lang w:bidi="ar-SA"/>
        </w:rPr>
        <w:t>s</w:t>
      </w:r>
      <w:r w:rsidR="00713441">
        <w:rPr>
          <w:lang w:bidi="ar-SA"/>
        </w:rPr>
        <w:t xml:space="preserve"> associated with this</w:t>
      </w:r>
      <w:r w:rsidR="00D546E1">
        <w:rPr>
          <w:lang w:bidi="ar-SA"/>
        </w:rPr>
        <w:t>:</w:t>
      </w:r>
    </w:p>
    <w:p w14:paraId="48920BBD" w14:textId="7F2F98F4" w:rsidR="00AB57F5" w:rsidRPr="00A05717" w:rsidRDefault="00366BD2" w:rsidP="00451297">
      <w:pPr>
        <w:pStyle w:val="Quote"/>
        <w:rPr>
          <w:color w:val="E7005E"/>
        </w:rPr>
      </w:pPr>
      <w:r w:rsidRPr="00A05717">
        <w:rPr>
          <w:color w:val="E7005E"/>
        </w:rPr>
        <w:t>…</w:t>
      </w:r>
      <w:r w:rsidR="00AB57F5" w:rsidRPr="00A05717">
        <w:rPr>
          <w:color w:val="E7005E"/>
        </w:rPr>
        <w:t>this is not as straightforward as simply observing the expenditures on</w:t>
      </w:r>
      <w:r w:rsidR="00451297" w:rsidRPr="00A05717">
        <w:rPr>
          <w:color w:val="E7005E"/>
        </w:rPr>
        <w:t xml:space="preserve"> </w:t>
      </w:r>
      <w:r w:rsidR="00AB57F5" w:rsidRPr="00A05717">
        <w:rPr>
          <w:color w:val="E7005E"/>
        </w:rPr>
        <w:t>child-related goods. First, many goods (such as housing) contain substantial public</w:t>
      </w:r>
      <w:r w:rsidR="00451297" w:rsidRPr="00A05717">
        <w:rPr>
          <w:color w:val="E7005E"/>
        </w:rPr>
        <w:t xml:space="preserve"> </w:t>
      </w:r>
      <w:r w:rsidR="00AB57F5" w:rsidRPr="00A05717">
        <w:rPr>
          <w:color w:val="E7005E"/>
        </w:rPr>
        <w:t>components which are shared by all household members. Second, even where</w:t>
      </w:r>
      <w:r w:rsidR="00451297" w:rsidRPr="00A05717">
        <w:rPr>
          <w:color w:val="E7005E"/>
        </w:rPr>
        <w:t xml:space="preserve"> </w:t>
      </w:r>
      <w:r w:rsidR="00AB57F5" w:rsidRPr="00A05717">
        <w:rPr>
          <w:color w:val="E7005E"/>
        </w:rPr>
        <w:t>goods are close to being purely private (such as many foods which do not require</w:t>
      </w:r>
      <w:r w:rsidR="00C57FF1" w:rsidRPr="00A05717">
        <w:rPr>
          <w:color w:val="E7005E"/>
        </w:rPr>
        <w:t xml:space="preserve"> preparation), they are typically purchased at the household level, and so individual consumption cannot be observed.</w:t>
      </w:r>
    </w:p>
    <w:p w14:paraId="1DA337B9" w14:textId="72DAF4B7" w:rsidR="00D87D4F" w:rsidRDefault="0082437E" w:rsidP="00EA7426">
      <w:pPr>
        <w:pStyle w:val="BodyText"/>
        <w:spacing w:line="276" w:lineRule="auto"/>
        <w:rPr>
          <w:lang w:bidi="ar-SA"/>
        </w:rPr>
      </w:pPr>
      <w:r>
        <w:rPr>
          <w:lang w:bidi="ar-SA"/>
        </w:rPr>
        <w:t xml:space="preserve">Some studies </w:t>
      </w:r>
      <w:r w:rsidR="00113054">
        <w:rPr>
          <w:lang w:bidi="ar-SA"/>
        </w:rPr>
        <w:t xml:space="preserve">attempt to </w:t>
      </w:r>
      <w:r w:rsidR="000154B8">
        <w:rPr>
          <w:lang w:bidi="ar-SA"/>
        </w:rPr>
        <w:t>estimate expenditure</w:t>
      </w:r>
      <w:r w:rsidR="00113054">
        <w:rPr>
          <w:lang w:bidi="ar-SA"/>
        </w:rPr>
        <w:t xml:space="preserve"> directly. </w:t>
      </w:r>
      <w:r w:rsidR="0051568A">
        <w:rPr>
          <w:lang w:bidi="ar-SA"/>
        </w:rPr>
        <w:t>A simple approach consists of aggregating child-specific expenses (i</w:t>
      </w:r>
      <w:r w:rsidR="00E261B0">
        <w:rPr>
          <w:lang w:bidi="ar-SA"/>
        </w:rPr>
        <w:t>.</w:t>
      </w:r>
      <w:r w:rsidR="0051568A">
        <w:rPr>
          <w:lang w:bidi="ar-SA"/>
        </w:rPr>
        <w:t>e.</w:t>
      </w:r>
      <w:r w:rsidR="00E261B0">
        <w:rPr>
          <w:lang w:bidi="ar-SA"/>
        </w:rPr>
        <w:t>,</w:t>
      </w:r>
      <w:r w:rsidR="0051568A">
        <w:rPr>
          <w:lang w:bidi="ar-SA"/>
        </w:rPr>
        <w:t xml:space="preserve"> clothing, childcare, and education) and allocating a fraction of shared household expenses (i</w:t>
      </w:r>
      <w:r w:rsidR="00E261B0">
        <w:rPr>
          <w:lang w:bidi="ar-SA"/>
        </w:rPr>
        <w:t>.</w:t>
      </w:r>
      <w:r w:rsidR="0051568A">
        <w:rPr>
          <w:lang w:bidi="ar-SA"/>
        </w:rPr>
        <w:t>e.</w:t>
      </w:r>
      <w:r w:rsidR="00CA0DF0">
        <w:rPr>
          <w:lang w:bidi="ar-SA"/>
        </w:rPr>
        <w:t>,</w:t>
      </w:r>
      <w:r w:rsidR="0051568A">
        <w:rPr>
          <w:lang w:bidi="ar-SA"/>
        </w:rPr>
        <w:t xml:space="preserve"> housing, food and transportation) to children based on assumptions or other survey data. The United States </w:t>
      </w:r>
      <w:r w:rsidR="00ED6CF0">
        <w:rPr>
          <w:lang w:bidi="ar-SA"/>
        </w:rPr>
        <w:t xml:space="preserve">Department </w:t>
      </w:r>
      <w:r w:rsidR="0051568A">
        <w:rPr>
          <w:lang w:bidi="ar-SA"/>
        </w:rPr>
        <w:t>of Agriculture (USDA) has been publishing estimates of the costs of children using this approach since 1960, with the most recent estimates published using 2015 data</w:t>
      </w:r>
      <w:r w:rsidR="00930BF8">
        <w:rPr>
          <w:lang w:bidi="ar-SA"/>
        </w:rPr>
        <w:t xml:space="preserve"> (Lino et al., 2017)</w:t>
      </w:r>
      <w:r w:rsidR="0051568A">
        <w:rPr>
          <w:lang w:bidi="ar-SA"/>
        </w:rPr>
        <w:t xml:space="preserve">. Bonke and Browning (2011) </w:t>
      </w:r>
      <w:r w:rsidR="00246BF5">
        <w:rPr>
          <w:lang w:bidi="ar-SA"/>
        </w:rPr>
        <w:t>modify the Danish Household Expenditure survey to ask respondents directly about how household good</w:t>
      </w:r>
      <w:r w:rsidR="0009124E">
        <w:rPr>
          <w:lang w:bidi="ar-SA"/>
        </w:rPr>
        <w:t>s</w:t>
      </w:r>
      <w:r w:rsidR="00246BF5">
        <w:rPr>
          <w:lang w:bidi="ar-SA"/>
        </w:rPr>
        <w:t xml:space="preserve"> are allocated</w:t>
      </w:r>
      <w:r w:rsidR="007309AB">
        <w:rPr>
          <w:lang w:bidi="ar-SA"/>
        </w:rPr>
        <w:t xml:space="preserve"> between household members. </w:t>
      </w:r>
      <w:r w:rsidR="00BD5812">
        <w:rPr>
          <w:lang w:bidi="ar-SA"/>
        </w:rPr>
        <w:t xml:space="preserve">They find that </w:t>
      </w:r>
      <w:r w:rsidR="00742FA7">
        <w:rPr>
          <w:lang w:bidi="ar-SA"/>
        </w:rPr>
        <w:t>‘the average Danish family allocated 44% of total assignable spending on non-food durables and services to children</w:t>
      </w:r>
      <w:r w:rsidR="00917E34">
        <w:rPr>
          <w:lang w:bidi="ar-SA"/>
        </w:rPr>
        <w:t>’</w:t>
      </w:r>
      <w:r w:rsidR="00D81EA4">
        <w:rPr>
          <w:lang w:bidi="ar-SA"/>
        </w:rPr>
        <w:t xml:space="preserve"> (p.</w:t>
      </w:r>
      <w:r w:rsidR="005154AF">
        <w:rPr>
          <w:lang w:bidi="ar-SA"/>
        </w:rPr>
        <w:t xml:space="preserve">F123). </w:t>
      </w:r>
    </w:p>
    <w:p w14:paraId="137E6D9A" w14:textId="2F6036E7" w:rsidR="005C4896" w:rsidRDefault="005672E1" w:rsidP="00EA7426">
      <w:pPr>
        <w:pStyle w:val="BodyText"/>
        <w:spacing w:line="276" w:lineRule="auto"/>
        <w:rPr>
          <w:lang w:bidi="ar-SA"/>
        </w:rPr>
      </w:pPr>
      <w:r>
        <w:rPr>
          <w:lang w:bidi="ar-SA"/>
        </w:rPr>
        <w:t xml:space="preserve">There </w:t>
      </w:r>
      <w:r w:rsidR="00626511">
        <w:rPr>
          <w:lang w:bidi="ar-SA"/>
        </w:rPr>
        <w:t>is also</w:t>
      </w:r>
      <w:r>
        <w:rPr>
          <w:lang w:bidi="ar-SA"/>
        </w:rPr>
        <w:t xml:space="preserve"> a </w:t>
      </w:r>
      <w:r w:rsidR="006F5E34">
        <w:rPr>
          <w:lang w:bidi="ar-SA"/>
        </w:rPr>
        <w:t>broad class of methods</w:t>
      </w:r>
      <w:r w:rsidR="00626511">
        <w:rPr>
          <w:lang w:bidi="ar-SA"/>
        </w:rPr>
        <w:t xml:space="preserve"> that</w:t>
      </w:r>
      <w:r w:rsidR="007D1DF4">
        <w:rPr>
          <w:lang w:bidi="ar-SA"/>
        </w:rPr>
        <w:t xml:space="preserve"> estimate expenditure</w:t>
      </w:r>
      <w:r w:rsidR="00AF403C">
        <w:rPr>
          <w:lang w:bidi="ar-SA"/>
        </w:rPr>
        <w:t xml:space="preserve"> indirectly</w:t>
      </w:r>
      <w:r w:rsidR="0071552E">
        <w:rPr>
          <w:lang w:bidi="ar-SA"/>
        </w:rPr>
        <w:t xml:space="preserve"> using econometric modelling to estimate the economic cost of children</w:t>
      </w:r>
      <w:r w:rsidR="00650FD1">
        <w:rPr>
          <w:lang w:bidi="ar-SA"/>
        </w:rPr>
        <w:t xml:space="preserve">. </w:t>
      </w:r>
      <w:r w:rsidR="00E32AF7">
        <w:rPr>
          <w:lang w:bidi="ar-SA"/>
        </w:rPr>
        <w:t>This set of methods</w:t>
      </w:r>
      <w:r w:rsidR="00D43BDC">
        <w:rPr>
          <w:lang w:bidi="ar-SA"/>
        </w:rPr>
        <w:t xml:space="preserve"> </w:t>
      </w:r>
      <w:r w:rsidR="00E32AF7">
        <w:rPr>
          <w:lang w:bidi="ar-SA"/>
        </w:rPr>
        <w:t>requires</w:t>
      </w:r>
      <w:r w:rsidR="002D5D42">
        <w:rPr>
          <w:lang w:bidi="ar-SA"/>
        </w:rPr>
        <w:t xml:space="preserve"> </w:t>
      </w:r>
      <w:r w:rsidR="002D5D42">
        <w:rPr>
          <w:lang w:bidi="ar-SA"/>
        </w:rPr>
        <w:lastRenderedPageBreak/>
        <w:t>comprehensive expenditure data, the development of a standard of living estimator and a range of assumptions to model household expenditure and estimate the costs of children</w:t>
      </w:r>
      <w:r w:rsidR="00E32AF7">
        <w:rPr>
          <w:lang w:bidi="ar-SA"/>
        </w:rPr>
        <w:t xml:space="preserve">. </w:t>
      </w:r>
      <w:r w:rsidR="00F63999">
        <w:rPr>
          <w:lang w:bidi="ar-SA"/>
        </w:rPr>
        <w:t xml:space="preserve">These </w:t>
      </w:r>
      <w:r w:rsidR="00650FD1">
        <w:rPr>
          <w:lang w:bidi="ar-SA"/>
        </w:rPr>
        <w:t xml:space="preserve">methods </w:t>
      </w:r>
      <w:r w:rsidR="00F63999">
        <w:rPr>
          <w:lang w:bidi="ar-SA"/>
        </w:rPr>
        <w:t>include the Engel</w:t>
      </w:r>
      <w:r w:rsidR="000461E8">
        <w:rPr>
          <w:lang w:bidi="ar-SA"/>
        </w:rPr>
        <w:t xml:space="preserve"> method,</w:t>
      </w:r>
      <w:r w:rsidR="002D5D42">
        <w:rPr>
          <w:lang w:bidi="ar-SA"/>
        </w:rPr>
        <w:t xml:space="preserve"> that most other methods have built upon, </w:t>
      </w:r>
      <w:r w:rsidR="000461E8">
        <w:rPr>
          <w:lang w:bidi="ar-SA"/>
        </w:rPr>
        <w:t>the Rothbarth method</w:t>
      </w:r>
      <w:r w:rsidR="00563E1D">
        <w:rPr>
          <w:lang w:bidi="ar-SA"/>
        </w:rPr>
        <w:t>, the iso-prop method, expenditure systems and demand systems</w:t>
      </w:r>
      <w:r w:rsidR="006F63F5">
        <w:rPr>
          <w:lang w:bidi="ar-SA"/>
        </w:rPr>
        <w:t>. Gray (2007) provides a</w:t>
      </w:r>
      <w:r w:rsidR="000E2814">
        <w:rPr>
          <w:lang w:bidi="ar-SA"/>
        </w:rPr>
        <w:t>n</w:t>
      </w:r>
      <w:r w:rsidR="006F63F5">
        <w:rPr>
          <w:lang w:bidi="ar-SA"/>
        </w:rPr>
        <w:t xml:space="preserve"> </w:t>
      </w:r>
      <w:r w:rsidR="000E2814">
        <w:rPr>
          <w:lang w:bidi="ar-SA"/>
        </w:rPr>
        <w:t xml:space="preserve">overview of these methods and their associated </w:t>
      </w:r>
      <w:r w:rsidR="00CC7F8A">
        <w:rPr>
          <w:lang w:bidi="ar-SA"/>
        </w:rPr>
        <w:t xml:space="preserve">benefits and </w:t>
      </w:r>
      <w:r w:rsidR="00C21091">
        <w:rPr>
          <w:lang w:bidi="ar-SA"/>
        </w:rPr>
        <w:t>drawbacks</w:t>
      </w:r>
      <w:r w:rsidR="00CC7F8A">
        <w:rPr>
          <w:lang w:bidi="ar-SA"/>
        </w:rPr>
        <w:t>.</w:t>
      </w:r>
    </w:p>
    <w:p w14:paraId="57593789" w14:textId="2A1220A4" w:rsidR="00ED2602" w:rsidRDefault="0075059D" w:rsidP="00EA7426">
      <w:pPr>
        <w:pStyle w:val="BodyText"/>
        <w:spacing w:line="276" w:lineRule="auto"/>
      </w:pPr>
      <w:r w:rsidRPr="00C94817">
        <w:rPr>
          <w:lang w:bidi="ar-SA"/>
        </w:rPr>
        <w:t>Our review found</w:t>
      </w:r>
      <w:r>
        <w:rPr>
          <w:lang w:bidi="ar-SA"/>
        </w:rPr>
        <w:t xml:space="preserve"> three </w:t>
      </w:r>
      <w:r w:rsidR="00F25ED5">
        <w:t>developments in th</w:t>
      </w:r>
      <w:r w:rsidR="004A3B61">
        <w:t>e field of expenditure methods</w:t>
      </w:r>
      <w:r w:rsidR="00D86D38">
        <w:t>:</w:t>
      </w:r>
      <w:r w:rsidR="00F25ED5">
        <w:t xml:space="preserve"> </w:t>
      </w:r>
    </w:p>
    <w:p w14:paraId="61773757" w14:textId="62A98F7A" w:rsidR="00DC3340" w:rsidRPr="00263E6B" w:rsidRDefault="00DC3340" w:rsidP="00263E6B">
      <w:pPr>
        <w:pStyle w:val="ListBullet"/>
        <w:rPr>
          <w:color w:val="auto"/>
        </w:rPr>
      </w:pPr>
      <w:r w:rsidRPr="007A145B">
        <w:rPr>
          <w:color w:val="auto"/>
        </w:rPr>
        <w:t>S</w:t>
      </w:r>
      <w:r w:rsidR="00F25ED5" w:rsidRPr="007A145B">
        <w:rPr>
          <w:color w:val="auto"/>
        </w:rPr>
        <w:t xml:space="preserve">emiparametric </w:t>
      </w:r>
      <w:r w:rsidR="007C566E" w:rsidRPr="007A145B">
        <w:rPr>
          <w:color w:val="auto"/>
        </w:rPr>
        <w:t>techniques</w:t>
      </w:r>
      <w:r w:rsidR="00532361">
        <w:rPr>
          <w:color w:val="auto"/>
        </w:rPr>
        <w:t>. T</w:t>
      </w:r>
      <w:r w:rsidR="0036762F">
        <w:rPr>
          <w:color w:val="auto"/>
        </w:rPr>
        <w:t>hese are less restrictive than their predecessors</w:t>
      </w:r>
      <w:r w:rsidR="00532361">
        <w:rPr>
          <w:color w:val="auto"/>
        </w:rPr>
        <w:t>. T</w:t>
      </w:r>
      <w:r w:rsidR="00AE6EA2">
        <w:rPr>
          <w:color w:val="auto"/>
        </w:rPr>
        <w:t>hey allo</w:t>
      </w:r>
      <w:r w:rsidR="00A66220">
        <w:rPr>
          <w:color w:val="auto"/>
        </w:rPr>
        <w:t xml:space="preserve">w the relationship between income and expenditure share to be non-linear </w:t>
      </w:r>
      <w:r w:rsidR="00D2782E">
        <w:rPr>
          <w:color w:val="auto"/>
        </w:rPr>
        <w:t>(</w:t>
      </w:r>
      <w:r w:rsidR="00D2782E" w:rsidRPr="00D2782E">
        <w:rPr>
          <w:color w:val="auto"/>
        </w:rPr>
        <w:t>Bütikofer</w:t>
      </w:r>
      <w:r w:rsidR="00D2782E">
        <w:rPr>
          <w:color w:val="auto"/>
        </w:rPr>
        <w:t>, 2012)</w:t>
      </w:r>
      <w:r w:rsidR="00532361">
        <w:rPr>
          <w:color w:val="auto"/>
        </w:rPr>
        <w:t>.</w:t>
      </w:r>
      <w:r w:rsidR="00263E6B">
        <w:rPr>
          <w:color w:val="auto"/>
        </w:rPr>
        <w:t xml:space="preserve"> </w:t>
      </w:r>
      <w:r w:rsidRPr="00263E6B">
        <w:rPr>
          <w:color w:val="auto"/>
        </w:rPr>
        <w:t xml:space="preserve">Although </w:t>
      </w:r>
      <w:r w:rsidR="00263E6B">
        <w:rPr>
          <w:color w:val="auto"/>
        </w:rPr>
        <w:t>they</w:t>
      </w:r>
      <w:r w:rsidRPr="00263E6B">
        <w:rPr>
          <w:color w:val="auto"/>
        </w:rPr>
        <w:t xml:space="preserve"> are more flexible, drawbacks include a reliance on selecting ‘homogenous subsets of households’ (Dudel, </w:t>
      </w:r>
      <w:proofErr w:type="spellStart"/>
      <w:r w:rsidRPr="00263E6B">
        <w:rPr>
          <w:color w:val="auto"/>
        </w:rPr>
        <w:t>Garbuszus</w:t>
      </w:r>
      <w:proofErr w:type="spellEnd"/>
      <w:r w:rsidRPr="00263E6B">
        <w:rPr>
          <w:color w:val="auto"/>
        </w:rPr>
        <w:t xml:space="preserve"> and Schmied, 202</w:t>
      </w:r>
      <w:r w:rsidR="00F70DEE" w:rsidRPr="00263E6B">
        <w:rPr>
          <w:color w:val="auto"/>
        </w:rPr>
        <w:t>1</w:t>
      </w:r>
      <w:r w:rsidRPr="00263E6B">
        <w:rPr>
          <w:color w:val="auto"/>
        </w:rPr>
        <w:t xml:space="preserve">). </w:t>
      </w:r>
    </w:p>
    <w:p w14:paraId="1EF1859A" w14:textId="52EBA461" w:rsidR="00ED2602" w:rsidRPr="000A75B2" w:rsidRDefault="00BA607A" w:rsidP="00336E19">
      <w:pPr>
        <w:pStyle w:val="ListBullet"/>
        <w:rPr>
          <w:color w:val="auto"/>
        </w:rPr>
      </w:pPr>
      <w:r w:rsidRPr="38626D43">
        <w:rPr>
          <w:color w:val="auto"/>
        </w:rPr>
        <w:t>N</w:t>
      </w:r>
      <w:r w:rsidR="00F25ED5" w:rsidRPr="38626D43">
        <w:rPr>
          <w:color w:val="auto"/>
        </w:rPr>
        <w:t xml:space="preserve">on-parametric or counterfactual </w:t>
      </w:r>
      <w:r w:rsidR="007C566E" w:rsidRPr="38626D43">
        <w:rPr>
          <w:color w:val="auto"/>
        </w:rPr>
        <w:t>techniques</w:t>
      </w:r>
      <w:r w:rsidR="00532361">
        <w:rPr>
          <w:color w:val="auto"/>
        </w:rPr>
        <w:t>. T</w:t>
      </w:r>
      <w:r w:rsidRPr="38626D43">
        <w:rPr>
          <w:color w:val="auto"/>
        </w:rPr>
        <w:t xml:space="preserve">hese </w:t>
      </w:r>
      <w:r w:rsidR="007C566E" w:rsidRPr="38626D43">
        <w:rPr>
          <w:color w:val="auto"/>
        </w:rPr>
        <w:t>techniques</w:t>
      </w:r>
      <w:r w:rsidRPr="38626D43">
        <w:rPr>
          <w:color w:val="auto"/>
        </w:rPr>
        <w:t xml:space="preserve"> </w:t>
      </w:r>
      <w:r w:rsidR="00AC7624" w:rsidRPr="38626D43">
        <w:rPr>
          <w:color w:val="auto"/>
        </w:rPr>
        <w:t xml:space="preserve">are the least restrictive </w:t>
      </w:r>
      <w:r w:rsidR="002938AA" w:rsidRPr="38626D43">
        <w:rPr>
          <w:color w:val="auto"/>
        </w:rPr>
        <w:t>in their underlying assumptions</w:t>
      </w:r>
      <w:r w:rsidR="00E32E84">
        <w:rPr>
          <w:color w:val="auto"/>
        </w:rPr>
        <w:t>.</w:t>
      </w:r>
      <w:r w:rsidR="000A75B2" w:rsidRPr="38626D43">
        <w:rPr>
          <w:color w:val="auto"/>
        </w:rPr>
        <w:t xml:space="preserve"> </w:t>
      </w:r>
      <w:r w:rsidR="00E32E84">
        <w:rPr>
          <w:color w:val="auto"/>
        </w:rPr>
        <w:t>T</w:t>
      </w:r>
      <w:r w:rsidR="000A75B2" w:rsidRPr="38626D43">
        <w:rPr>
          <w:color w:val="auto"/>
        </w:rPr>
        <w:t xml:space="preserve">hey </w:t>
      </w:r>
      <w:r w:rsidRPr="38626D43">
        <w:rPr>
          <w:color w:val="auto"/>
        </w:rPr>
        <w:t>seek to formalise the household sample selection by undertaking a matching process prior to estimating equivalence scales (Szulc, 2009</w:t>
      </w:r>
      <w:r w:rsidR="00A75ABE">
        <w:rPr>
          <w:color w:val="auto"/>
        </w:rPr>
        <w:t>;</w:t>
      </w:r>
      <w:r w:rsidRPr="38626D43">
        <w:rPr>
          <w:color w:val="auto"/>
        </w:rPr>
        <w:t xml:space="preserve"> Dudel 2015).</w:t>
      </w:r>
      <w:r w:rsidR="000A75B2" w:rsidRPr="38626D43">
        <w:rPr>
          <w:color w:val="auto"/>
        </w:rPr>
        <w:t xml:space="preserve"> They key drawback is that, due to their non-parametric nature, they do not produce point estimates</w:t>
      </w:r>
      <w:r w:rsidR="004102EA">
        <w:rPr>
          <w:color w:val="auto"/>
        </w:rPr>
        <w:t>, rather, they produce a</w:t>
      </w:r>
      <w:r w:rsidR="00132B6B">
        <w:rPr>
          <w:color w:val="auto"/>
        </w:rPr>
        <w:t>n interval of estimates</w:t>
      </w:r>
      <w:r w:rsidR="000A75B2" w:rsidRPr="38626D43">
        <w:rPr>
          <w:color w:val="auto"/>
        </w:rPr>
        <w:t xml:space="preserve"> (Dudel</w:t>
      </w:r>
      <w:r w:rsidR="00C824DF">
        <w:rPr>
          <w:color w:val="auto"/>
        </w:rPr>
        <w:t xml:space="preserve"> et al</w:t>
      </w:r>
      <w:r w:rsidR="00FB0646">
        <w:rPr>
          <w:color w:val="auto"/>
        </w:rPr>
        <w:t>.</w:t>
      </w:r>
      <w:r w:rsidR="00C824DF">
        <w:rPr>
          <w:color w:val="auto"/>
        </w:rPr>
        <w:t>,</w:t>
      </w:r>
      <w:r w:rsidR="000A75B2" w:rsidRPr="38626D43">
        <w:rPr>
          <w:color w:val="auto"/>
        </w:rPr>
        <w:t xml:space="preserve"> 2021).</w:t>
      </w:r>
      <w:r w:rsidR="0014474B">
        <w:rPr>
          <w:color w:val="auto"/>
        </w:rPr>
        <w:t xml:space="preserve"> This means that, instead of producing a</w:t>
      </w:r>
      <w:r w:rsidR="00070057">
        <w:rPr>
          <w:color w:val="auto"/>
        </w:rPr>
        <w:t xml:space="preserve"> single estimate </w:t>
      </w:r>
      <w:r w:rsidR="00F224B0">
        <w:rPr>
          <w:color w:val="auto"/>
        </w:rPr>
        <w:t xml:space="preserve">for an equivalence scale, such as 1.5, this method will produce an interval, such as </w:t>
      </w:r>
      <w:r w:rsidR="00694A08">
        <w:rPr>
          <w:color w:val="auto"/>
        </w:rPr>
        <w:t>[</w:t>
      </w:r>
      <w:r w:rsidR="00F224B0">
        <w:rPr>
          <w:color w:val="auto"/>
        </w:rPr>
        <w:t>1.2</w:t>
      </w:r>
      <w:r w:rsidR="00694A08">
        <w:rPr>
          <w:color w:val="auto"/>
        </w:rPr>
        <w:t xml:space="preserve"> to 1.</w:t>
      </w:r>
      <w:r w:rsidR="006766E6">
        <w:rPr>
          <w:color w:val="auto"/>
        </w:rPr>
        <w:t>7</w:t>
      </w:r>
      <w:r w:rsidR="00EB4AD9">
        <w:rPr>
          <w:color w:val="auto"/>
        </w:rPr>
        <w:t>], which can be difficult to apply to a policy question</w:t>
      </w:r>
      <w:r w:rsidR="006766E6">
        <w:rPr>
          <w:color w:val="auto"/>
        </w:rPr>
        <w:t>.</w:t>
      </w:r>
      <w:r w:rsidR="00A140BE">
        <w:rPr>
          <w:color w:val="auto"/>
        </w:rPr>
        <w:t xml:space="preserve"> </w:t>
      </w:r>
      <w:r w:rsidR="00E32546">
        <w:rPr>
          <w:color w:val="auto"/>
        </w:rPr>
        <w:t xml:space="preserve">Dudel </w:t>
      </w:r>
      <w:r w:rsidR="00FB0646">
        <w:rPr>
          <w:color w:val="auto"/>
        </w:rPr>
        <w:t>and colleagues</w:t>
      </w:r>
      <w:r w:rsidR="00D014FE">
        <w:rPr>
          <w:color w:val="auto"/>
        </w:rPr>
        <w:t xml:space="preserve"> </w:t>
      </w:r>
      <w:r w:rsidR="00434D03">
        <w:rPr>
          <w:color w:val="auto"/>
        </w:rPr>
        <w:t xml:space="preserve">(2021) </w:t>
      </w:r>
      <w:r w:rsidR="00E32546">
        <w:rPr>
          <w:color w:val="auto"/>
        </w:rPr>
        <w:t xml:space="preserve">suggest that </w:t>
      </w:r>
      <w:r w:rsidR="00D014FE">
        <w:rPr>
          <w:color w:val="auto"/>
        </w:rPr>
        <w:t>this can be circumvented by estimating the geometric mean</w:t>
      </w:r>
      <w:r w:rsidR="00434D03">
        <w:rPr>
          <w:color w:val="auto"/>
        </w:rPr>
        <w:t>;</w:t>
      </w:r>
      <w:r w:rsidR="00D014FE">
        <w:rPr>
          <w:color w:val="auto"/>
        </w:rPr>
        <w:t xml:space="preserve"> however, </w:t>
      </w:r>
      <w:r w:rsidR="00DC6F91">
        <w:rPr>
          <w:color w:val="auto"/>
        </w:rPr>
        <w:t xml:space="preserve">they </w:t>
      </w:r>
      <w:r w:rsidR="00434D03">
        <w:rPr>
          <w:color w:val="auto"/>
        </w:rPr>
        <w:t xml:space="preserve">state that </w:t>
      </w:r>
      <w:r w:rsidR="000B1B55">
        <w:rPr>
          <w:color w:val="auto"/>
        </w:rPr>
        <w:t>doing so can lead to ‘potentially biased estimates</w:t>
      </w:r>
      <w:r w:rsidR="00A02528">
        <w:rPr>
          <w:color w:val="auto"/>
        </w:rPr>
        <w:t>’ (</w:t>
      </w:r>
      <w:r w:rsidR="00694B01">
        <w:rPr>
          <w:color w:val="auto"/>
        </w:rPr>
        <w:t xml:space="preserve">p.1639). </w:t>
      </w:r>
    </w:p>
    <w:p w14:paraId="3681AE88" w14:textId="2BC55E02" w:rsidR="002F19D9" w:rsidRPr="007A145B" w:rsidRDefault="00BA607A" w:rsidP="00ED2602">
      <w:pPr>
        <w:pStyle w:val="ListBullet"/>
        <w:rPr>
          <w:color w:val="auto"/>
          <w:lang w:bidi="ar-SA"/>
        </w:rPr>
      </w:pPr>
      <w:r w:rsidRPr="007A145B">
        <w:rPr>
          <w:color w:val="auto"/>
        </w:rPr>
        <w:t>I</w:t>
      </w:r>
      <w:r w:rsidR="00F25ED5" w:rsidRPr="007A145B">
        <w:rPr>
          <w:color w:val="auto"/>
        </w:rPr>
        <w:t xml:space="preserve">ndifference scale </w:t>
      </w:r>
      <w:r w:rsidR="007C566E" w:rsidRPr="007A145B">
        <w:rPr>
          <w:color w:val="auto"/>
        </w:rPr>
        <w:t>techniques</w:t>
      </w:r>
      <w:r w:rsidR="00532361">
        <w:rPr>
          <w:color w:val="auto"/>
        </w:rPr>
        <w:t>. T</w:t>
      </w:r>
      <w:r w:rsidR="003240BD" w:rsidRPr="007A145B">
        <w:rPr>
          <w:color w:val="auto"/>
        </w:rPr>
        <w:t xml:space="preserve">hese </w:t>
      </w:r>
      <w:r w:rsidR="007C566E" w:rsidRPr="007A145B">
        <w:rPr>
          <w:color w:val="auto"/>
        </w:rPr>
        <w:t>techniques</w:t>
      </w:r>
      <w:r w:rsidR="003240BD" w:rsidRPr="007A145B">
        <w:rPr>
          <w:color w:val="auto"/>
        </w:rPr>
        <w:t xml:space="preserve"> seek to challenge the assumption that households are a single decision-making unit. </w:t>
      </w:r>
      <w:proofErr w:type="spellStart"/>
      <w:r w:rsidR="003240BD" w:rsidRPr="007A145B">
        <w:rPr>
          <w:color w:val="auto"/>
        </w:rPr>
        <w:t>Chiappori</w:t>
      </w:r>
      <w:proofErr w:type="spellEnd"/>
      <w:r w:rsidR="003240BD" w:rsidRPr="007A145B">
        <w:rPr>
          <w:color w:val="auto"/>
        </w:rPr>
        <w:t xml:space="preserve"> (2016) estimates both economies of scale of additional household members, but also the transfer of resources within a household. Rapp and </w:t>
      </w:r>
      <w:proofErr w:type="spellStart"/>
      <w:r w:rsidR="003B29BC" w:rsidRPr="00E4255C">
        <w:t>Thévenon</w:t>
      </w:r>
      <w:proofErr w:type="spellEnd"/>
      <w:r w:rsidR="003240BD" w:rsidRPr="007A145B">
        <w:rPr>
          <w:color w:val="auto"/>
        </w:rPr>
        <w:t xml:space="preserve"> (</w:t>
      </w:r>
      <w:r w:rsidR="000177F8">
        <w:rPr>
          <w:color w:val="auto"/>
        </w:rPr>
        <w:t>unpublished</w:t>
      </w:r>
      <w:r w:rsidR="003240BD" w:rsidRPr="007A145B">
        <w:rPr>
          <w:color w:val="auto"/>
        </w:rPr>
        <w:t xml:space="preserve">) suggest that the key drawback of this </w:t>
      </w:r>
      <w:r w:rsidR="007C566E" w:rsidRPr="007A145B">
        <w:rPr>
          <w:color w:val="auto"/>
        </w:rPr>
        <w:t>technique</w:t>
      </w:r>
      <w:r w:rsidR="003240BD" w:rsidRPr="007A145B">
        <w:rPr>
          <w:color w:val="auto"/>
        </w:rPr>
        <w:t xml:space="preserve"> is the reliance on data that allocates expenditure to different family members, which is often not readily available.</w:t>
      </w:r>
      <w:r w:rsidR="008B2192" w:rsidRPr="007A145B">
        <w:rPr>
          <w:color w:val="auto"/>
        </w:rPr>
        <w:t xml:space="preserve"> </w:t>
      </w:r>
    </w:p>
    <w:p w14:paraId="63839647" w14:textId="74E4D35D" w:rsidR="00CB7393" w:rsidRDefault="00CB7393" w:rsidP="004E50E8">
      <w:pPr>
        <w:pStyle w:val="Heading5"/>
      </w:pPr>
      <w:r>
        <w:t>Internationally</w:t>
      </w:r>
    </w:p>
    <w:p w14:paraId="0FCE496F" w14:textId="4186247C" w:rsidR="00CB7393" w:rsidRDefault="00CB7393" w:rsidP="00EA7426">
      <w:pPr>
        <w:pStyle w:val="BodyText"/>
        <w:spacing w:line="276" w:lineRule="auto"/>
      </w:pPr>
      <w:r>
        <w:t xml:space="preserve">Dudel, </w:t>
      </w:r>
      <w:proofErr w:type="spellStart"/>
      <w:r>
        <w:t>Garbuszus</w:t>
      </w:r>
      <w:proofErr w:type="spellEnd"/>
      <w:r>
        <w:t xml:space="preserve"> and Schmied (2021) conducted a comparison of techniques to estimate equivalence scales (a metric for costs of children output – see Appendix 1 for more detail) using German expenditure data. They applied a set of ‘theoretically and empirically grounded criteria’ to assess the plausibility of the estimates produced across the methods (including the three above) and found that ‘</w:t>
      </w:r>
      <w:r w:rsidRPr="00B97FAD">
        <w:t>the more plausible estimates are based on demand systems or newer semi- and non</w:t>
      </w:r>
      <w:r>
        <w:t>-</w:t>
      </w:r>
      <w:r w:rsidRPr="00B97FAD">
        <w:t xml:space="preserve">parametric </w:t>
      </w:r>
      <w:proofErr w:type="gramStart"/>
      <w:r>
        <w:t>techniques</w:t>
      </w:r>
      <w:r w:rsidRPr="00B97FAD">
        <w:t>’</w:t>
      </w:r>
      <w:proofErr w:type="gramEnd"/>
      <w:r>
        <w:t xml:space="preserve">. Table </w:t>
      </w:r>
      <w:r w:rsidR="00070ADF">
        <w:rPr>
          <w:color w:val="auto"/>
        </w:rPr>
        <w:t>7</w:t>
      </w:r>
      <w:r>
        <w:t xml:space="preserve"> in Appendix 1 contains the results of this comparison</w:t>
      </w:r>
      <w:r w:rsidR="0075643F">
        <w:t>.</w:t>
      </w:r>
    </w:p>
    <w:p w14:paraId="7DE7F413" w14:textId="480C1F60" w:rsidR="00E821C5" w:rsidRDefault="00E821C5" w:rsidP="004E50E8">
      <w:pPr>
        <w:pStyle w:val="Heading5"/>
      </w:pPr>
      <w:r>
        <w:t>In Australia</w:t>
      </w:r>
    </w:p>
    <w:p w14:paraId="7B9A5E79" w14:textId="756BE2AE" w:rsidR="00615EF7" w:rsidRPr="00D7594B" w:rsidRDefault="00226915" w:rsidP="000375D9">
      <w:pPr>
        <w:shd w:val="clear" w:color="auto" w:fill="FFFFFF"/>
        <w:suppressAutoHyphens w:val="0"/>
        <w:spacing w:after="120" w:line="276" w:lineRule="auto"/>
        <w:jc w:val="left"/>
        <w:rPr>
          <w:rFonts w:eastAsia="Times New Roman" w:cs="Arial"/>
          <w:color w:val="2C2A29"/>
          <w:szCs w:val="20"/>
          <w:lang w:eastAsia="en-AU"/>
        </w:rPr>
      </w:pPr>
      <w:r>
        <w:rPr>
          <w:rFonts w:eastAsia="Times New Roman" w:cs="Arial"/>
          <w:color w:val="2C2A29"/>
          <w:szCs w:val="20"/>
          <w:lang w:eastAsia="en-AU"/>
        </w:rPr>
        <w:t>Ou</w:t>
      </w:r>
      <w:r w:rsidR="00FE383E">
        <w:rPr>
          <w:rFonts w:eastAsia="Times New Roman" w:cs="Arial"/>
          <w:color w:val="2C2A29"/>
          <w:szCs w:val="20"/>
          <w:lang w:eastAsia="en-AU"/>
        </w:rPr>
        <w:t>r</w:t>
      </w:r>
      <w:r>
        <w:rPr>
          <w:rFonts w:eastAsia="Times New Roman" w:cs="Arial"/>
          <w:color w:val="2C2A29"/>
          <w:szCs w:val="20"/>
          <w:lang w:eastAsia="en-AU"/>
        </w:rPr>
        <w:t xml:space="preserve"> review </w:t>
      </w:r>
      <w:r w:rsidR="006A2F0F">
        <w:rPr>
          <w:rFonts w:eastAsia="Times New Roman" w:cs="Arial"/>
          <w:color w:val="2C2A29"/>
          <w:szCs w:val="20"/>
          <w:lang w:eastAsia="en-AU"/>
        </w:rPr>
        <w:t>did not find any studies that use</w:t>
      </w:r>
      <w:r w:rsidR="00FE383E">
        <w:rPr>
          <w:rFonts w:eastAsia="Times New Roman" w:cs="Arial"/>
          <w:color w:val="2C2A29"/>
          <w:szCs w:val="20"/>
          <w:lang w:eastAsia="en-AU"/>
        </w:rPr>
        <w:t>d</w:t>
      </w:r>
      <w:r w:rsidR="006A2F0F">
        <w:rPr>
          <w:rFonts w:eastAsia="Times New Roman" w:cs="Arial"/>
          <w:color w:val="2C2A29"/>
          <w:szCs w:val="20"/>
          <w:lang w:eastAsia="en-AU"/>
        </w:rPr>
        <w:t xml:space="preserve"> any of the newer expenditure method</w:t>
      </w:r>
      <w:r w:rsidR="007C566E">
        <w:rPr>
          <w:rFonts w:eastAsia="Times New Roman" w:cs="Arial"/>
          <w:color w:val="2C2A29"/>
          <w:szCs w:val="20"/>
          <w:lang w:eastAsia="en-AU"/>
        </w:rPr>
        <w:t xml:space="preserve"> techniques</w:t>
      </w:r>
      <w:r w:rsidR="006A2F0F">
        <w:rPr>
          <w:rFonts w:eastAsia="Times New Roman" w:cs="Arial"/>
          <w:color w:val="2C2A29"/>
          <w:szCs w:val="20"/>
          <w:lang w:eastAsia="en-AU"/>
        </w:rPr>
        <w:t xml:space="preserve"> to estimate the cost</w:t>
      </w:r>
      <w:r w:rsidR="00A718CE">
        <w:rPr>
          <w:rFonts w:eastAsia="Times New Roman" w:cs="Arial"/>
          <w:color w:val="2C2A29"/>
          <w:szCs w:val="20"/>
          <w:lang w:eastAsia="en-AU"/>
        </w:rPr>
        <w:t>s</w:t>
      </w:r>
      <w:r w:rsidR="006A2F0F">
        <w:rPr>
          <w:rFonts w:eastAsia="Times New Roman" w:cs="Arial"/>
          <w:color w:val="2C2A29"/>
          <w:szCs w:val="20"/>
          <w:lang w:eastAsia="en-AU"/>
        </w:rPr>
        <w:t xml:space="preserve"> of children. </w:t>
      </w:r>
      <w:r w:rsidR="004961EE">
        <w:t xml:space="preserve">Phillips </w:t>
      </w:r>
      <w:r w:rsidR="009141D7">
        <w:rPr>
          <w:rFonts w:eastAsia="Times New Roman" w:cs="Arial"/>
          <w:color w:val="2C2A29"/>
          <w:szCs w:val="20"/>
          <w:lang w:eastAsia="en-AU"/>
        </w:rPr>
        <w:t xml:space="preserve">and colleagues </w:t>
      </w:r>
      <w:r w:rsidR="004961EE">
        <w:rPr>
          <w:rFonts w:eastAsia="Times New Roman" w:cs="Arial"/>
          <w:color w:val="2C2A29"/>
          <w:szCs w:val="20"/>
          <w:lang w:eastAsia="en-AU"/>
        </w:rPr>
        <w:t xml:space="preserve">(2013) </w:t>
      </w:r>
      <w:r w:rsidR="009A617C">
        <w:rPr>
          <w:rFonts w:eastAsia="Times New Roman" w:cs="Arial"/>
          <w:color w:val="2C2A29"/>
          <w:szCs w:val="20"/>
          <w:lang w:eastAsia="en-AU"/>
        </w:rPr>
        <w:t>used the ABS’ Household Expenditure Survey data to estimate the cost</w:t>
      </w:r>
      <w:r w:rsidR="00A718CE">
        <w:rPr>
          <w:rFonts w:eastAsia="Times New Roman" w:cs="Arial"/>
          <w:color w:val="2C2A29"/>
          <w:szCs w:val="20"/>
          <w:lang w:eastAsia="en-AU"/>
        </w:rPr>
        <w:t>s</w:t>
      </w:r>
      <w:r w:rsidR="009A617C">
        <w:rPr>
          <w:rFonts w:eastAsia="Times New Roman" w:cs="Arial"/>
          <w:color w:val="2C2A29"/>
          <w:szCs w:val="20"/>
          <w:lang w:eastAsia="en-AU"/>
        </w:rPr>
        <w:t xml:space="preserve"> of children</w:t>
      </w:r>
      <w:r w:rsidR="004961EE">
        <w:rPr>
          <w:rFonts w:eastAsia="Times New Roman" w:cs="Arial"/>
          <w:color w:val="2C2A29"/>
          <w:szCs w:val="20"/>
          <w:lang w:eastAsia="en-AU"/>
        </w:rPr>
        <w:t xml:space="preserve"> using</w:t>
      </w:r>
      <w:r w:rsidR="009A617C">
        <w:rPr>
          <w:rFonts w:eastAsia="Times New Roman" w:cs="Arial"/>
          <w:color w:val="2C2A29"/>
          <w:szCs w:val="20"/>
          <w:lang w:eastAsia="en-AU"/>
        </w:rPr>
        <w:t xml:space="preserve"> the iso-prop </w:t>
      </w:r>
      <w:r w:rsidR="007C566E">
        <w:rPr>
          <w:rFonts w:eastAsia="Times New Roman" w:cs="Arial"/>
          <w:color w:val="2C2A29"/>
          <w:szCs w:val="20"/>
          <w:lang w:eastAsia="en-AU"/>
        </w:rPr>
        <w:t>method</w:t>
      </w:r>
      <w:r w:rsidR="009A617C">
        <w:rPr>
          <w:rFonts w:eastAsia="Times New Roman" w:cs="Arial"/>
          <w:color w:val="2C2A29"/>
          <w:szCs w:val="20"/>
          <w:lang w:eastAsia="en-AU"/>
        </w:rPr>
        <w:t xml:space="preserve"> covered in Gray (2007)</w:t>
      </w:r>
      <w:r w:rsidR="00D86D38">
        <w:rPr>
          <w:rFonts w:eastAsia="Times New Roman" w:cs="Arial"/>
          <w:color w:val="2C2A29"/>
          <w:szCs w:val="20"/>
          <w:lang w:eastAsia="en-AU"/>
        </w:rPr>
        <w:t>.</w:t>
      </w:r>
      <w:r w:rsidR="004E401F">
        <w:rPr>
          <w:rFonts w:eastAsia="Times New Roman" w:cs="Arial"/>
          <w:color w:val="2C2A29"/>
          <w:szCs w:val="20"/>
          <w:lang w:eastAsia="en-AU"/>
        </w:rPr>
        <w:t xml:space="preserve"> </w:t>
      </w:r>
      <w:r w:rsidR="0011427E">
        <w:rPr>
          <w:rFonts w:eastAsia="Times New Roman" w:cs="Arial"/>
          <w:color w:val="2C2A29"/>
          <w:szCs w:val="20"/>
          <w:lang w:eastAsia="en-AU"/>
        </w:rPr>
        <w:t>However, u</w:t>
      </w:r>
      <w:r w:rsidR="004E401F">
        <w:rPr>
          <w:rFonts w:eastAsia="Times New Roman" w:cs="Arial"/>
          <w:color w:val="2C2A29"/>
          <w:szCs w:val="20"/>
          <w:lang w:eastAsia="en-AU"/>
        </w:rPr>
        <w:t>nlike the expenditure-based study conducted by Percival and Harding (2005)</w:t>
      </w:r>
      <w:r w:rsidR="00D538FC">
        <w:rPr>
          <w:rFonts w:eastAsia="Times New Roman" w:cs="Arial"/>
          <w:color w:val="2C2A29"/>
          <w:szCs w:val="20"/>
          <w:lang w:eastAsia="en-AU"/>
        </w:rPr>
        <w:t xml:space="preserve"> for the Taskforce, </w:t>
      </w:r>
      <w:r w:rsidR="00474F0E">
        <w:rPr>
          <w:rFonts w:eastAsia="Times New Roman" w:cs="Arial"/>
          <w:color w:val="2C2A29"/>
          <w:szCs w:val="20"/>
          <w:lang w:eastAsia="en-AU"/>
        </w:rPr>
        <w:t xml:space="preserve">Phillips </w:t>
      </w:r>
      <w:r w:rsidR="009141D7">
        <w:rPr>
          <w:rFonts w:eastAsia="Times New Roman" w:cs="Arial"/>
          <w:color w:val="2C2A29"/>
          <w:szCs w:val="20"/>
          <w:lang w:eastAsia="en-AU"/>
        </w:rPr>
        <w:t>and colleagues</w:t>
      </w:r>
      <w:r w:rsidR="00474F0E">
        <w:rPr>
          <w:rFonts w:eastAsia="Times New Roman" w:cs="Arial"/>
          <w:color w:val="2C2A29"/>
          <w:szCs w:val="20"/>
          <w:lang w:eastAsia="en-AU"/>
        </w:rPr>
        <w:t xml:space="preserve"> (2013)</w:t>
      </w:r>
      <w:r w:rsidR="00D538FC">
        <w:rPr>
          <w:rFonts w:eastAsia="Times New Roman" w:cs="Arial"/>
          <w:color w:val="2C2A29"/>
          <w:szCs w:val="20"/>
          <w:lang w:eastAsia="en-AU"/>
        </w:rPr>
        <w:t xml:space="preserve"> included </w:t>
      </w:r>
      <w:r w:rsidR="009E3C0F">
        <w:rPr>
          <w:rFonts w:eastAsia="Times New Roman" w:cs="Arial"/>
          <w:color w:val="2C2A29"/>
          <w:szCs w:val="20"/>
          <w:lang w:eastAsia="en-AU"/>
        </w:rPr>
        <w:t xml:space="preserve">the costs of </w:t>
      </w:r>
      <w:proofErr w:type="gramStart"/>
      <w:r w:rsidR="00D538FC">
        <w:rPr>
          <w:rFonts w:eastAsia="Times New Roman" w:cs="Arial"/>
          <w:color w:val="2C2A29"/>
          <w:szCs w:val="20"/>
          <w:lang w:eastAsia="en-AU"/>
        </w:rPr>
        <w:t>child</w:t>
      </w:r>
      <w:r w:rsidR="0011427E">
        <w:rPr>
          <w:rFonts w:eastAsia="Times New Roman" w:cs="Arial"/>
          <w:color w:val="2C2A29"/>
          <w:szCs w:val="20"/>
          <w:lang w:eastAsia="en-AU"/>
        </w:rPr>
        <w:t xml:space="preserve"> </w:t>
      </w:r>
      <w:r w:rsidR="00D538FC">
        <w:rPr>
          <w:rFonts w:eastAsia="Times New Roman" w:cs="Arial"/>
          <w:color w:val="2C2A29"/>
          <w:szCs w:val="20"/>
          <w:lang w:eastAsia="en-AU"/>
        </w:rPr>
        <w:t>care</w:t>
      </w:r>
      <w:proofErr w:type="gramEnd"/>
      <w:r w:rsidR="00D538FC">
        <w:rPr>
          <w:rFonts w:eastAsia="Times New Roman" w:cs="Arial"/>
          <w:color w:val="2C2A29"/>
          <w:szCs w:val="20"/>
          <w:lang w:eastAsia="en-AU"/>
        </w:rPr>
        <w:t>. Percival and Harding (2005) estimated that</w:t>
      </w:r>
      <w:r w:rsidR="005211D1">
        <w:rPr>
          <w:rFonts w:eastAsia="Times New Roman" w:cs="Arial"/>
          <w:color w:val="2C2A29"/>
          <w:szCs w:val="20"/>
          <w:lang w:eastAsia="en-AU"/>
        </w:rPr>
        <w:t>, for low-income families,</w:t>
      </w:r>
      <w:r w:rsidR="007F68D5">
        <w:rPr>
          <w:rFonts w:eastAsia="Times New Roman" w:cs="Arial"/>
          <w:color w:val="2C2A29"/>
          <w:szCs w:val="20"/>
          <w:lang w:eastAsia="en-AU"/>
        </w:rPr>
        <w:t xml:space="preserve"> the cost of </w:t>
      </w:r>
      <w:r w:rsidR="00B06AA0">
        <w:rPr>
          <w:rFonts w:eastAsia="Times New Roman" w:cs="Arial"/>
          <w:color w:val="2C2A29"/>
          <w:szCs w:val="20"/>
          <w:lang w:eastAsia="en-AU"/>
        </w:rPr>
        <w:t>three children</w:t>
      </w:r>
      <w:r w:rsidR="007F68D5">
        <w:rPr>
          <w:rFonts w:eastAsia="Times New Roman" w:cs="Arial"/>
          <w:color w:val="2C2A29"/>
          <w:szCs w:val="20"/>
          <w:lang w:eastAsia="en-AU"/>
        </w:rPr>
        <w:t xml:space="preserve"> </w:t>
      </w:r>
      <w:r w:rsidR="00833046">
        <w:rPr>
          <w:rFonts w:eastAsia="Times New Roman" w:cs="Arial"/>
          <w:color w:val="2C2A29"/>
          <w:szCs w:val="20"/>
          <w:lang w:eastAsia="en-AU"/>
        </w:rPr>
        <w:t xml:space="preserve">amounted to </w:t>
      </w:r>
      <w:r w:rsidR="005211D1">
        <w:rPr>
          <w:rFonts w:eastAsia="Times New Roman" w:cs="Arial"/>
          <w:color w:val="2C2A29"/>
          <w:szCs w:val="20"/>
          <w:lang w:eastAsia="en-AU"/>
        </w:rPr>
        <w:t>44</w:t>
      </w:r>
      <w:r w:rsidR="00833046">
        <w:rPr>
          <w:rFonts w:eastAsia="Times New Roman" w:cs="Arial"/>
          <w:color w:val="2C2A29"/>
          <w:szCs w:val="20"/>
          <w:lang w:eastAsia="en-AU"/>
        </w:rPr>
        <w:t xml:space="preserve">% of family income, and </w:t>
      </w:r>
      <w:r w:rsidR="00F9641B">
        <w:rPr>
          <w:rFonts w:eastAsia="Times New Roman" w:cs="Arial"/>
          <w:color w:val="2C2A29"/>
          <w:szCs w:val="20"/>
          <w:lang w:eastAsia="en-AU"/>
        </w:rPr>
        <w:t>24</w:t>
      </w:r>
      <w:r w:rsidR="00833046">
        <w:rPr>
          <w:rFonts w:eastAsia="Times New Roman" w:cs="Arial"/>
          <w:color w:val="2C2A29"/>
          <w:szCs w:val="20"/>
          <w:lang w:eastAsia="en-AU"/>
        </w:rPr>
        <w:t xml:space="preserve">% of income for high income families. </w:t>
      </w:r>
      <w:r w:rsidR="00E019BF">
        <w:rPr>
          <w:rFonts w:eastAsia="Times New Roman" w:cs="Arial"/>
          <w:color w:val="2C2A29"/>
          <w:szCs w:val="20"/>
          <w:lang w:eastAsia="en-AU"/>
        </w:rPr>
        <w:t xml:space="preserve">Despite the inclusion of </w:t>
      </w:r>
      <w:proofErr w:type="gramStart"/>
      <w:r w:rsidR="00E019BF">
        <w:rPr>
          <w:rFonts w:eastAsia="Times New Roman" w:cs="Arial"/>
          <w:color w:val="2C2A29"/>
          <w:szCs w:val="20"/>
          <w:lang w:eastAsia="en-AU"/>
        </w:rPr>
        <w:t>child</w:t>
      </w:r>
      <w:r w:rsidR="0011427E">
        <w:rPr>
          <w:rFonts w:eastAsia="Times New Roman" w:cs="Arial"/>
          <w:color w:val="2C2A29"/>
          <w:szCs w:val="20"/>
          <w:lang w:eastAsia="en-AU"/>
        </w:rPr>
        <w:t xml:space="preserve"> </w:t>
      </w:r>
      <w:r w:rsidR="00E019BF">
        <w:rPr>
          <w:rFonts w:eastAsia="Times New Roman" w:cs="Arial"/>
          <w:color w:val="2C2A29"/>
          <w:szCs w:val="20"/>
          <w:lang w:eastAsia="en-AU"/>
        </w:rPr>
        <w:t>care</w:t>
      </w:r>
      <w:proofErr w:type="gramEnd"/>
      <w:r w:rsidR="003761B4">
        <w:rPr>
          <w:rFonts w:eastAsia="Times New Roman" w:cs="Arial"/>
          <w:color w:val="2C2A29"/>
          <w:szCs w:val="20"/>
          <w:lang w:eastAsia="en-AU"/>
        </w:rPr>
        <w:t xml:space="preserve"> costs</w:t>
      </w:r>
      <w:r w:rsidR="00E019BF">
        <w:rPr>
          <w:rFonts w:eastAsia="Times New Roman" w:cs="Arial"/>
          <w:color w:val="2C2A29"/>
          <w:szCs w:val="20"/>
          <w:lang w:eastAsia="en-AU"/>
        </w:rPr>
        <w:t xml:space="preserve">, </w:t>
      </w:r>
      <w:r w:rsidR="00AA79A4">
        <w:rPr>
          <w:rFonts w:eastAsia="Times New Roman" w:cs="Arial"/>
          <w:color w:val="2C2A29"/>
          <w:szCs w:val="20"/>
          <w:lang w:eastAsia="en-AU"/>
        </w:rPr>
        <w:t xml:space="preserve">Phillips </w:t>
      </w:r>
      <w:r w:rsidR="009141D7">
        <w:rPr>
          <w:rFonts w:eastAsia="Times New Roman" w:cs="Arial"/>
          <w:color w:val="2C2A29"/>
          <w:szCs w:val="20"/>
          <w:lang w:eastAsia="en-AU"/>
        </w:rPr>
        <w:t xml:space="preserve">and colleagues </w:t>
      </w:r>
      <w:r w:rsidR="00AA79A4">
        <w:rPr>
          <w:rFonts w:eastAsia="Times New Roman" w:cs="Arial"/>
          <w:color w:val="2C2A29"/>
          <w:szCs w:val="20"/>
          <w:lang w:eastAsia="en-AU"/>
        </w:rPr>
        <w:t xml:space="preserve">(2013) </w:t>
      </w:r>
      <w:r w:rsidR="00E019BF">
        <w:rPr>
          <w:rFonts w:eastAsia="Times New Roman" w:cs="Arial"/>
          <w:color w:val="2C2A29"/>
          <w:szCs w:val="20"/>
          <w:lang w:eastAsia="en-AU"/>
        </w:rPr>
        <w:t xml:space="preserve">come to a similar conclusion. They </w:t>
      </w:r>
      <w:r w:rsidR="00985D8A">
        <w:rPr>
          <w:rFonts w:eastAsia="Times New Roman" w:cs="Arial"/>
          <w:color w:val="2C2A29"/>
          <w:szCs w:val="20"/>
          <w:lang w:eastAsia="en-AU"/>
        </w:rPr>
        <w:t>found that</w:t>
      </w:r>
      <w:r w:rsidR="00235325">
        <w:rPr>
          <w:rFonts w:eastAsia="Times New Roman" w:cs="Arial"/>
          <w:color w:val="2C2A29"/>
          <w:szCs w:val="20"/>
          <w:lang w:eastAsia="en-AU"/>
        </w:rPr>
        <w:t xml:space="preserve"> low-income families spend around 41% of their income </w:t>
      </w:r>
      <w:r w:rsidR="005432BE">
        <w:rPr>
          <w:rFonts w:eastAsia="Times New Roman" w:cs="Arial"/>
          <w:color w:val="2C2A29"/>
          <w:szCs w:val="20"/>
          <w:lang w:eastAsia="en-AU"/>
        </w:rPr>
        <w:t xml:space="preserve">on their children if they have three children, and </w:t>
      </w:r>
      <w:r w:rsidR="009C4AC5">
        <w:rPr>
          <w:rFonts w:eastAsia="Times New Roman" w:cs="Arial"/>
          <w:color w:val="2C2A29"/>
          <w:szCs w:val="20"/>
          <w:lang w:eastAsia="en-AU"/>
        </w:rPr>
        <w:t>high-income</w:t>
      </w:r>
      <w:r w:rsidR="005432BE">
        <w:rPr>
          <w:rFonts w:eastAsia="Times New Roman" w:cs="Arial"/>
          <w:color w:val="2C2A29"/>
          <w:szCs w:val="20"/>
          <w:lang w:eastAsia="en-AU"/>
        </w:rPr>
        <w:t xml:space="preserve"> families spend around 21% of their income. </w:t>
      </w:r>
    </w:p>
    <w:p w14:paraId="0D305B75" w14:textId="56C2D1CF" w:rsidR="00473371" w:rsidRPr="000544F5" w:rsidRDefault="00473371" w:rsidP="000544F5">
      <w:pPr>
        <w:pStyle w:val="Heading4"/>
        <w:rPr>
          <w:kern w:val="32"/>
        </w:rPr>
      </w:pPr>
      <w:bookmarkStart w:id="15" w:name="_Toc168066335"/>
      <w:bookmarkStart w:id="16" w:name="_Toc444768944"/>
      <w:r w:rsidRPr="000544F5">
        <w:rPr>
          <w:kern w:val="32"/>
        </w:rPr>
        <w:lastRenderedPageBreak/>
        <w:t>A comparison of the approaches</w:t>
      </w:r>
      <w:bookmarkEnd w:id="15"/>
      <w:bookmarkEnd w:id="16"/>
      <w:r w:rsidR="00217F82" w:rsidRPr="000544F5">
        <w:rPr>
          <w:kern w:val="32"/>
        </w:rPr>
        <w:t xml:space="preserve"> </w:t>
      </w:r>
    </w:p>
    <w:p w14:paraId="01EF62C4" w14:textId="1A0C14FF" w:rsidR="008D7EBE" w:rsidRDefault="00265C43" w:rsidP="00992FA9">
      <w:pPr>
        <w:pStyle w:val="BodyText"/>
        <w:spacing w:line="276" w:lineRule="auto"/>
      </w:pPr>
      <w:r>
        <w:t xml:space="preserve">Estimates of the cost of children arising from these different methods vary, and the choice of method can have a significant impact on our understanding of the needs of different families (Social Metrics Commission, 2019). </w:t>
      </w:r>
      <w:r w:rsidR="002616FF">
        <w:t>A</w:t>
      </w:r>
      <w:r w:rsidR="002E2526">
        <w:t xml:space="preserve"> </w:t>
      </w:r>
      <w:r w:rsidR="002616FF">
        <w:t>UK</w:t>
      </w:r>
      <w:r w:rsidR="00B84FC2">
        <w:t xml:space="preserve"> study </w:t>
      </w:r>
      <w:r w:rsidR="00D31BE6">
        <w:t>examined the variation</w:t>
      </w:r>
      <w:r w:rsidR="00702406">
        <w:t xml:space="preserve"> between</w:t>
      </w:r>
      <w:r w:rsidR="00DB0266">
        <w:t xml:space="preserve"> estimates produced by </w:t>
      </w:r>
      <w:r w:rsidR="00E53C69">
        <w:t>expert scale</w:t>
      </w:r>
      <w:r w:rsidR="00E53C69" w:rsidRPr="00FC5D73">
        <w:rPr>
          <w:color w:val="auto"/>
        </w:rPr>
        <w:t>s</w:t>
      </w:r>
      <w:r w:rsidR="00724638" w:rsidRPr="00FC5D73">
        <w:rPr>
          <w:color w:val="auto"/>
        </w:rPr>
        <w:t xml:space="preserve"> </w:t>
      </w:r>
      <w:r w:rsidR="00D30BDA" w:rsidRPr="00FC5D73">
        <w:rPr>
          <w:color w:val="auto"/>
        </w:rPr>
        <w:t>(see Appendix 1: Equivalence scales and expert scales)</w:t>
      </w:r>
      <w:r w:rsidR="002E72A8" w:rsidRPr="00FC5D73">
        <w:rPr>
          <w:color w:val="auto"/>
        </w:rPr>
        <w:t>,</w:t>
      </w:r>
      <w:r w:rsidR="00AB5C40" w:rsidRPr="00FC5D73">
        <w:rPr>
          <w:color w:val="auto"/>
        </w:rPr>
        <w:t xml:space="preserve"> </w:t>
      </w:r>
      <w:r w:rsidR="0084720D">
        <w:t xml:space="preserve">by </w:t>
      </w:r>
      <w:r w:rsidR="006A75D9">
        <w:t>two sets of budget standards</w:t>
      </w:r>
      <w:r w:rsidR="00AD0AE8">
        <w:t xml:space="preserve"> approaches</w:t>
      </w:r>
      <w:r w:rsidR="006A75D9">
        <w:t xml:space="preserve"> </w:t>
      </w:r>
      <w:r w:rsidR="00AD0AE8">
        <w:t xml:space="preserve">and </w:t>
      </w:r>
      <w:r w:rsidR="0084720D">
        <w:t xml:space="preserve">by </w:t>
      </w:r>
      <w:r w:rsidR="00AD0AE8">
        <w:t xml:space="preserve">one expenditure data approach </w:t>
      </w:r>
      <w:r w:rsidR="003660E1">
        <w:t>(Social Metrics Commission, 2019)</w:t>
      </w:r>
      <w:r w:rsidR="00440D98">
        <w:t>.</w:t>
      </w:r>
      <w:r w:rsidR="00EF573B">
        <w:t xml:space="preserve"> </w:t>
      </w:r>
      <w:r w:rsidR="00043912">
        <w:t>T</w:t>
      </w:r>
      <w:r w:rsidR="00E37A14">
        <w:t>he authors</w:t>
      </w:r>
      <w:r w:rsidR="00213086">
        <w:t xml:space="preserve"> found that, </w:t>
      </w:r>
      <w:r w:rsidR="00043912">
        <w:t xml:space="preserve">across the methods, </w:t>
      </w:r>
      <w:r w:rsidR="00213086">
        <w:t>c</w:t>
      </w:r>
      <w:r w:rsidR="00026859">
        <w:t xml:space="preserve">ompared to a single </w:t>
      </w:r>
      <w:r w:rsidR="009C695F">
        <w:t xml:space="preserve">adult living alone (with a need of </w:t>
      </w:r>
      <w:r w:rsidR="00702406">
        <w:t>1</w:t>
      </w:r>
      <w:r w:rsidR="009C695F">
        <w:t xml:space="preserve">) </w:t>
      </w:r>
      <w:r w:rsidR="00942FE8">
        <w:t>the estim</w:t>
      </w:r>
      <w:r w:rsidR="00EF573B">
        <w:t xml:space="preserve">ates of </w:t>
      </w:r>
      <w:r w:rsidR="00ED1EC1">
        <w:t>equivalisation</w:t>
      </w:r>
      <w:r w:rsidR="00C32D6C">
        <w:t xml:space="preserve"> factors</w:t>
      </w:r>
      <w:r w:rsidR="00ED1EC1">
        <w:t xml:space="preserve"> </w:t>
      </w:r>
      <w:r w:rsidR="006E58E4">
        <w:t xml:space="preserve">for a couple with </w:t>
      </w:r>
      <w:r w:rsidR="00702406">
        <w:t>2</w:t>
      </w:r>
      <w:r w:rsidR="00C32D6C">
        <w:t xml:space="preserve"> </w:t>
      </w:r>
      <w:r w:rsidR="006E58E4">
        <w:t>child</w:t>
      </w:r>
      <w:r w:rsidR="00C32D6C">
        <w:t>ren</w:t>
      </w:r>
      <w:r w:rsidR="006E58E4">
        <w:t xml:space="preserve"> </w:t>
      </w:r>
      <w:r w:rsidR="00ED1EC1">
        <w:t>varied between</w:t>
      </w:r>
      <w:r w:rsidR="00EF573B">
        <w:t xml:space="preserve"> </w:t>
      </w:r>
      <w:r w:rsidR="00C32D6C">
        <w:t xml:space="preserve">2.00 </w:t>
      </w:r>
      <w:r w:rsidR="00D65758">
        <w:t>(one expert scale)</w:t>
      </w:r>
      <w:r w:rsidR="00C32D6C">
        <w:t xml:space="preserve"> and 2.68</w:t>
      </w:r>
      <w:r w:rsidR="00D65758">
        <w:t xml:space="preserve"> </w:t>
      </w:r>
      <w:r w:rsidR="00961992">
        <w:t>(an expenditure approach)</w:t>
      </w:r>
      <w:r w:rsidR="002E2526">
        <w:t>.</w:t>
      </w:r>
      <w:r w:rsidR="00C32D6C">
        <w:t xml:space="preserve"> </w:t>
      </w:r>
      <w:r w:rsidR="00BE757C">
        <w:t xml:space="preserve">In </w:t>
      </w:r>
      <w:r w:rsidR="00C021C3">
        <w:t xml:space="preserve">Australian dollar terms, this is a difference of </w:t>
      </w:r>
      <w:r w:rsidR="00C420C4">
        <w:t>around $200 a week</w:t>
      </w:r>
      <w:r w:rsidR="00AC17C6">
        <w:t>.</w:t>
      </w:r>
      <w:r w:rsidR="00061600">
        <w:t xml:space="preserve"> </w:t>
      </w:r>
      <w:r w:rsidR="008E068E">
        <w:t xml:space="preserve">The authors argue that the size of this </w:t>
      </w:r>
      <w:r w:rsidR="00B774F8">
        <w:t>difference means that the choice of scale ‘has a significant impact on our understanding of poverty</w:t>
      </w:r>
      <w:r w:rsidR="003351F3">
        <w:t>’ (Social Metrics Commission, 2019, p.23). T</w:t>
      </w:r>
      <w:r w:rsidR="007101CE">
        <w:t xml:space="preserve">able </w:t>
      </w:r>
      <w:r w:rsidR="00EE6B6B">
        <w:t>8</w:t>
      </w:r>
      <w:r w:rsidR="007A30A4">
        <w:t xml:space="preserve"> in </w:t>
      </w:r>
      <w:r w:rsidR="007101CE">
        <w:t>Appendix 1 contains t</w:t>
      </w:r>
      <w:r w:rsidR="00061600">
        <w:t>he estimates from this study</w:t>
      </w:r>
      <w:r w:rsidR="007101CE">
        <w:t xml:space="preserve">. </w:t>
      </w:r>
    </w:p>
    <w:p w14:paraId="40868F7D" w14:textId="6F54CDA2" w:rsidR="009F646E" w:rsidRDefault="00D83C6A" w:rsidP="00EA7426">
      <w:pPr>
        <w:pStyle w:val="BodyText"/>
        <w:spacing w:line="276" w:lineRule="auto"/>
      </w:pPr>
      <w:r>
        <w:t>In the</w:t>
      </w:r>
      <w:r w:rsidR="008D7EBE">
        <w:t xml:space="preserve"> most recent set of Australian budget standards</w:t>
      </w:r>
      <w:r>
        <w:t>,</w:t>
      </w:r>
      <w:r w:rsidR="008D7EBE">
        <w:t xml:space="preserve"> </w:t>
      </w:r>
      <w:r w:rsidR="00174BF7" w:rsidRPr="00174BF7">
        <w:t xml:space="preserve">Bedford </w:t>
      </w:r>
      <w:r w:rsidR="00702406">
        <w:t>and colleagues</w:t>
      </w:r>
      <w:r>
        <w:t xml:space="preserve"> (</w:t>
      </w:r>
      <w:r w:rsidR="00174BF7" w:rsidRPr="00174BF7">
        <w:t>2023)</w:t>
      </w:r>
      <w:r w:rsidR="004F4791">
        <w:t xml:space="preserve"> </w:t>
      </w:r>
      <w:r w:rsidR="00174BF7">
        <w:t>compare</w:t>
      </w:r>
      <w:r w:rsidR="00B631D4">
        <w:t>d</w:t>
      </w:r>
      <w:r w:rsidR="00174BF7">
        <w:t xml:space="preserve"> </w:t>
      </w:r>
      <w:r w:rsidR="00907E52">
        <w:t xml:space="preserve">the budget </w:t>
      </w:r>
      <w:r w:rsidR="003364B9">
        <w:t xml:space="preserve">estimates </w:t>
      </w:r>
      <w:r w:rsidR="00C8563F">
        <w:t xml:space="preserve">produced for a range of families with low-income earners </w:t>
      </w:r>
      <w:r w:rsidR="003364B9">
        <w:t xml:space="preserve">with </w:t>
      </w:r>
      <w:r w:rsidR="002F1F38">
        <w:t xml:space="preserve">predicted </w:t>
      </w:r>
      <w:r w:rsidR="001708F1">
        <w:t xml:space="preserve">expenditures based on </w:t>
      </w:r>
      <w:r w:rsidR="00D90E4D">
        <w:t>a linear regression of the ABS’ Household Expenditure Survey (HES)</w:t>
      </w:r>
      <w:r w:rsidR="00026982">
        <w:t>. They found</w:t>
      </w:r>
      <w:r w:rsidR="00F9173B">
        <w:t xml:space="preserve"> that </w:t>
      </w:r>
      <w:r w:rsidR="00EA3109">
        <w:t>the budget</w:t>
      </w:r>
      <w:r w:rsidR="00026982">
        <w:t xml:space="preserve"> expenditures</w:t>
      </w:r>
      <w:r w:rsidR="00EA3109">
        <w:t xml:space="preserve"> are </w:t>
      </w:r>
      <w:r w:rsidR="009F646E">
        <w:t>generally lower than the average predicted expenditures, ‘pointing to the frugal nature of these budgets</w:t>
      </w:r>
      <w:r w:rsidR="00026982">
        <w:t>’</w:t>
      </w:r>
      <w:r w:rsidR="009D2FCD">
        <w:t xml:space="preserve"> (p.46)</w:t>
      </w:r>
      <w:r w:rsidR="00452710">
        <w:t>.</w:t>
      </w:r>
    </w:p>
    <w:p w14:paraId="7222DBFC" w14:textId="2399CF44" w:rsidR="00C703E9" w:rsidRDefault="00257689">
      <w:pPr>
        <w:pStyle w:val="BodyText"/>
        <w:rPr>
          <w:lang w:bidi="ar-SA"/>
        </w:rPr>
      </w:pPr>
      <w:r>
        <w:t>T</w:t>
      </w:r>
      <w:r w:rsidR="00992FA9">
        <w:t>he original literature review</w:t>
      </w:r>
      <w:r>
        <w:t xml:space="preserve"> (</w:t>
      </w:r>
      <w:r w:rsidR="00992FA9">
        <w:t>Gray</w:t>
      </w:r>
      <w:r>
        <w:t xml:space="preserve">, </w:t>
      </w:r>
      <w:r w:rsidR="00992FA9">
        <w:t>2007</w:t>
      </w:r>
      <w:r>
        <w:t>)</w:t>
      </w:r>
      <w:r w:rsidR="00FA67A7">
        <w:t xml:space="preserve">, and its update </w:t>
      </w:r>
      <w:r>
        <w:t>(</w:t>
      </w:r>
      <w:r w:rsidR="00FA67A7">
        <w:t>Gray and Stanton, 2010)</w:t>
      </w:r>
      <w:r w:rsidR="00A8472E">
        <w:t>,</w:t>
      </w:r>
      <w:r w:rsidR="00992FA9">
        <w:t xml:space="preserve"> acknowledged this variation in estimates, and applied a method that takes the average across a range of studies. </w:t>
      </w:r>
      <w:r w:rsidR="0071552E">
        <w:t xml:space="preserve">This approach aimed to replicate the approach taken by Whiteford undertaking a similar review in 1985. </w:t>
      </w:r>
      <w:r w:rsidR="009E0C39">
        <w:t>Our review</w:t>
      </w:r>
      <w:r w:rsidR="003B7AD4">
        <w:t xml:space="preserve"> did not come across any studies that directly appl</w:t>
      </w:r>
      <w:r w:rsidR="00E0511C">
        <w:t>ied</w:t>
      </w:r>
      <w:r w:rsidR="003B7AD4">
        <w:t xml:space="preserve"> this averaging approach</w:t>
      </w:r>
      <w:r w:rsidR="00FC4015">
        <w:t>.</w:t>
      </w:r>
      <w:r w:rsidR="003B7AD4">
        <w:t xml:space="preserve"> </w:t>
      </w:r>
      <w:r w:rsidR="00FC4015">
        <w:t>O</w:t>
      </w:r>
      <w:r w:rsidR="00304491">
        <w:t xml:space="preserve">ne Canadian study </w:t>
      </w:r>
      <w:r w:rsidR="006171E7">
        <w:t>argue</w:t>
      </w:r>
      <w:r w:rsidR="007E2823">
        <w:t>d</w:t>
      </w:r>
      <w:r w:rsidR="006171E7">
        <w:t xml:space="preserve"> that</w:t>
      </w:r>
      <w:r w:rsidR="00ED419B">
        <w:t>,</w:t>
      </w:r>
      <w:r w:rsidR="006171E7">
        <w:t xml:space="preserve"> instead of averaging the results, </w:t>
      </w:r>
      <w:r w:rsidR="00ED419B">
        <w:t>the selection of method should be based on the</w:t>
      </w:r>
      <w:r w:rsidR="005B7316">
        <w:t xml:space="preserve"> question the method is seeking to answer </w:t>
      </w:r>
      <w:r w:rsidR="005B7316">
        <w:rPr>
          <w:lang w:bidi="ar-SA"/>
        </w:rPr>
        <w:t xml:space="preserve">(Bazarkulova, Duncan and Frankel, 2017). The authors of this study assert that </w:t>
      </w:r>
      <w:r w:rsidR="00202C64">
        <w:rPr>
          <w:lang w:bidi="ar-SA"/>
        </w:rPr>
        <w:t xml:space="preserve">the budget standards approach should be used </w:t>
      </w:r>
      <w:r w:rsidR="00335518">
        <w:rPr>
          <w:lang w:bidi="ar-SA"/>
        </w:rPr>
        <w:t>for</w:t>
      </w:r>
      <w:r w:rsidR="00202C64">
        <w:rPr>
          <w:lang w:bidi="ar-SA"/>
        </w:rPr>
        <w:t xml:space="preserve"> ‘public policy purposes that include determining poverty thresholds, social assistance, </w:t>
      </w:r>
      <w:r w:rsidR="0069675C">
        <w:rPr>
          <w:lang w:bidi="ar-SA"/>
        </w:rPr>
        <w:t>child benefit amounts, or foster care remuneration’ (p.26)</w:t>
      </w:r>
      <w:r w:rsidR="00A35168">
        <w:rPr>
          <w:lang w:bidi="ar-SA"/>
        </w:rPr>
        <w:t xml:space="preserve">. They argue that </w:t>
      </w:r>
      <w:r w:rsidR="007F03B2">
        <w:rPr>
          <w:lang w:bidi="ar-SA"/>
        </w:rPr>
        <w:t xml:space="preserve">both the transparent </w:t>
      </w:r>
      <w:r w:rsidR="00D95ACB">
        <w:rPr>
          <w:lang w:bidi="ar-SA"/>
        </w:rPr>
        <w:t xml:space="preserve">and </w:t>
      </w:r>
      <w:r w:rsidR="00DE0F88">
        <w:rPr>
          <w:lang w:bidi="ar-SA"/>
        </w:rPr>
        <w:t xml:space="preserve">consensual </w:t>
      </w:r>
      <w:r w:rsidR="00D95ACB">
        <w:rPr>
          <w:lang w:bidi="ar-SA"/>
        </w:rPr>
        <w:t xml:space="preserve">nature of budget standards mean </w:t>
      </w:r>
      <w:r w:rsidR="00497CF5">
        <w:rPr>
          <w:lang w:bidi="ar-SA"/>
        </w:rPr>
        <w:t xml:space="preserve">that they are effective at measuring </w:t>
      </w:r>
      <w:r w:rsidR="00937BBE">
        <w:rPr>
          <w:lang w:bidi="ar-SA"/>
        </w:rPr>
        <w:t xml:space="preserve">the </w:t>
      </w:r>
      <w:r w:rsidR="00497CF5">
        <w:rPr>
          <w:lang w:bidi="ar-SA"/>
        </w:rPr>
        <w:t>need</w:t>
      </w:r>
      <w:r w:rsidR="00DE0F88">
        <w:rPr>
          <w:lang w:bidi="ar-SA"/>
        </w:rPr>
        <w:t>s</w:t>
      </w:r>
      <w:r w:rsidR="00497CF5">
        <w:rPr>
          <w:lang w:bidi="ar-SA"/>
        </w:rPr>
        <w:t xml:space="preserve"> of low-income households</w:t>
      </w:r>
      <w:r w:rsidR="00DE0F88">
        <w:rPr>
          <w:lang w:bidi="ar-SA"/>
        </w:rPr>
        <w:t xml:space="preserve"> (</w:t>
      </w:r>
      <w:proofErr w:type="spellStart"/>
      <w:r w:rsidR="00DE0F88">
        <w:rPr>
          <w:lang w:bidi="ar-SA"/>
        </w:rPr>
        <w:t>Bazarkulova</w:t>
      </w:r>
      <w:proofErr w:type="spellEnd"/>
      <w:r w:rsidR="008312A5">
        <w:rPr>
          <w:lang w:bidi="ar-SA"/>
        </w:rPr>
        <w:t xml:space="preserve"> et al</w:t>
      </w:r>
      <w:r w:rsidR="000B6F53">
        <w:rPr>
          <w:lang w:bidi="ar-SA"/>
        </w:rPr>
        <w:t>.</w:t>
      </w:r>
      <w:r w:rsidR="00DE0F88">
        <w:rPr>
          <w:lang w:bidi="ar-SA"/>
        </w:rPr>
        <w:t xml:space="preserve">, 2017). </w:t>
      </w:r>
    </w:p>
    <w:p w14:paraId="5EB1F13B" w14:textId="611479FE" w:rsidR="00C703E9" w:rsidRDefault="00F1429E">
      <w:pPr>
        <w:pStyle w:val="BodyText"/>
        <w:rPr>
          <w:lang w:bidi="ar-SA"/>
        </w:rPr>
      </w:pPr>
      <w:r>
        <w:rPr>
          <w:lang w:bidi="ar-SA"/>
        </w:rPr>
        <w:t xml:space="preserve">In his </w:t>
      </w:r>
      <w:r w:rsidR="00691E86">
        <w:rPr>
          <w:lang w:bidi="ar-SA"/>
        </w:rPr>
        <w:t>review of child support guidelines for the state of Wisconsin</w:t>
      </w:r>
      <w:r w:rsidR="000A3813">
        <w:rPr>
          <w:lang w:bidi="ar-SA"/>
        </w:rPr>
        <w:t xml:space="preserve">, </w:t>
      </w:r>
      <w:r w:rsidR="005E545F">
        <w:rPr>
          <w:lang w:bidi="ar-SA"/>
        </w:rPr>
        <w:t xml:space="preserve">Robb (2019) argues that </w:t>
      </w:r>
      <w:r w:rsidR="008B2544">
        <w:rPr>
          <w:lang w:bidi="ar-SA"/>
        </w:rPr>
        <w:t xml:space="preserve">the guiding principle of continuity of expenditure </w:t>
      </w:r>
      <w:r w:rsidR="00447BD7">
        <w:rPr>
          <w:lang w:bidi="ar-SA"/>
        </w:rPr>
        <w:t>should guide the choice of method</w:t>
      </w:r>
      <w:r w:rsidR="0001477F">
        <w:rPr>
          <w:lang w:bidi="ar-SA"/>
        </w:rPr>
        <w:t xml:space="preserve">. </w:t>
      </w:r>
      <w:r w:rsidR="00541316">
        <w:rPr>
          <w:lang w:bidi="ar-SA"/>
        </w:rPr>
        <w:t xml:space="preserve">This principle means that ‘a child’s standard of living </w:t>
      </w:r>
      <w:r w:rsidR="00D41870">
        <w:rPr>
          <w:lang w:bidi="ar-SA"/>
        </w:rPr>
        <w:t>should not change significantly because his or her parents are no longer living together</w:t>
      </w:r>
      <w:r w:rsidR="00FF1364">
        <w:rPr>
          <w:lang w:bidi="ar-SA"/>
        </w:rPr>
        <w:t xml:space="preserve">’ (Robb, 2019, p.2). </w:t>
      </w:r>
      <w:r w:rsidR="00182859">
        <w:rPr>
          <w:lang w:bidi="ar-SA"/>
        </w:rPr>
        <w:t xml:space="preserve">Based on this principle, Robb argues that </w:t>
      </w:r>
      <w:r w:rsidR="00A762A1">
        <w:rPr>
          <w:lang w:bidi="ar-SA"/>
        </w:rPr>
        <w:t xml:space="preserve">direct </w:t>
      </w:r>
      <w:r w:rsidR="00182859">
        <w:rPr>
          <w:lang w:bidi="ar-SA"/>
        </w:rPr>
        <w:t>expenditure-based methods</w:t>
      </w:r>
      <w:r w:rsidR="00A762A1">
        <w:rPr>
          <w:lang w:bidi="ar-SA"/>
        </w:rPr>
        <w:t xml:space="preserve"> should be used to estim</w:t>
      </w:r>
      <w:r w:rsidR="00FC590F">
        <w:rPr>
          <w:lang w:bidi="ar-SA"/>
        </w:rPr>
        <w:t xml:space="preserve">ate the cost of children for child support guidelines. </w:t>
      </w:r>
      <w:r w:rsidR="0001477F">
        <w:rPr>
          <w:lang w:bidi="ar-SA"/>
        </w:rPr>
        <w:t>However, i</w:t>
      </w:r>
      <w:r w:rsidR="00FC590F">
        <w:rPr>
          <w:lang w:bidi="ar-SA"/>
        </w:rPr>
        <w:t xml:space="preserve">n his original literature review, Gray (2007) argues </w:t>
      </w:r>
      <w:r w:rsidR="00A941B2">
        <w:rPr>
          <w:lang w:bidi="ar-SA"/>
        </w:rPr>
        <w:t xml:space="preserve">that, for separated families, continuity of expenditure </w:t>
      </w:r>
      <w:r w:rsidR="00DD0285">
        <w:rPr>
          <w:lang w:bidi="ar-SA"/>
        </w:rPr>
        <w:t xml:space="preserve">is unaffordable for </w:t>
      </w:r>
      <w:r w:rsidR="0001477F">
        <w:rPr>
          <w:lang w:bidi="ar-SA"/>
        </w:rPr>
        <w:t>low- and medium-income</w:t>
      </w:r>
      <w:r w:rsidR="00DD0285">
        <w:rPr>
          <w:lang w:bidi="ar-SA"/>
        </w:rPr>
        <w:t xml:space="preserve"> families. </w:t>
      </w:r>
    </w:p>
    <w:p w14:paraId="12FD52B5" w14:textId="0B820FCA" w:rsidR="0022560D" w:rsidRPr="007C7C3D" w:rsidRDefault="0022560D" w:rsidP="000544F5">
      <w:pPr>
        <w:pStyle w:val="Heading4"/>
      </w:pPr>
      <w:bookmarkStart w:id="17" w:name="_Toc168066336"/>
      <w:bookmarkStart w:id="18" w:name="_Toc102145024"/>
      <w:r>
        <w:t>Summary</w:t>
      </w:r>
      <w:bookmarkEnd w:id="17"/>
      <w:bookmarkEnd w:id="18"/>
    </w:p>
    <w:p w14:paraId="6C51FBD6" w14:textId="1DDCBE4F" w:rsidR="00594F76" w:rsidRDefault="00B07B33" w:rsidP="00EA7426">
      <w:pPr>
        <w:pStyle w:val="BodyText"/>
      </w:pPr>
      <w:r>
        <w:t xml:space="preserve">There is still no consensus on the best way to estimate the cost of a child. </w:t>
      </w:r>
      <w:r w:rsidR="00D41BD1">
        <w:t xml:space="preserve">As Gray (2007) found in his original review, there are many methods active in the literature </w:t>
      </w:r>
      <w:r w:rsidR="004B0D29">
        <w:t>that use different data and different assumptions to estimate the cost of raising a child</w:t>
      </w:r>
      <w:r w:rsidR="00E61F18">
        <w:t xml:space="preserve">, and </w:t>
      </w:r>
      <w:r w:rsidR="004B0D29">
        <w:t xml:space="preserve">each method has its own benefits and limitations. </w:t>
      </w:r>
    </w:p>
    <w:p w14:paraId="77ECFEEE" w14:textId="3D006CE1" w:rsidR="00C47299" w:rsidRDefault="005D6851" w:rsidP="00EA7426">
      <w:pPr>
        <w:pStyle w:val="BodyText"/>
      </w:pPr>
      <w:bookmarkStart w:id="19" w:name="_Toc168066337"/>
      <w:bookmarkEnd w:id="19"/>
      <w:r>
        <w:t>The bu</w:t>
      </w:r>
      <w:r w:rsidR="00825074">
        <w:t xml:space="preserve">dget standards approach </w:t>
      </w:r>
      <w:r w:rsidR="004D644D">
        <w:t>is</w:t>
      </w:r>
      <w:r w:rsidR="00BB2779">
        <w:t xml:space="preserve"> </w:t>
      </w:r>
      <w:r w:rsidR="0088581F">
        <w:t xml:space="preserve">used widely in </w:t>
      </w:r>
      <w:r w:rsidR="00986E4C">
        <w:t xml:space="preserve">setting minimum wage levels and in measuring poverty, </w:t>
      </w:r>
      <w:r w:rsidR="00BB2779">
        <w:t xml:space="preserve">both in Australia and internationally. </w:t>
      </w:r>
      <w:r w:rsidR="0026346E">
        <w:t xml:space="preserve">Since Gray’s review (2007), budget standards (or reference budgets, as they are called in Europe) have become more embedded in </w:t>
      </w:r>
      <w:r w:rsidR="0026346E">
        <w:lastRenderedPageBreak/>
        <w:t>European measures of poverty</w:t>
      </w:r>
      <w:r w:rsidR="00F4595D">
        <w:t xml:space="preserve">. Recent updates of the Australian budget standards incorporate developments from the European literature, including the </w:t>
      </w:r>
      <w:r w:rsidR="00880D11">
        <w:t xml:space="preserve">use </w:t>
      </w:r>
      <w:r w:rsidR="00F4595D">
        <w:t xml:space="preserve">of </w:t>
      </w:r>
      <w:r w:rsidR="00880D11">
        <w:t xml:space="preserve">consensual focus groups, and the application </w:t>
      </w:r>
      <w:r w:rsidR="00F4595D">
        <w:t xml:space="preserve">of the MIHL as the standard of living. </w:t>
      </w:r>
    </w:p>
    <w:p w14:paraId="2912241D" w14:textId="41638372" w:rsidR="00B266F6" w:rsidRDefault="00C33588" w:rsidP="00EA7426">
      <w:pPr>
        <w:pStyle w:val="BodyText"/>
      </w:pPr>
      <w:r>
        <w:t>The use of s</w:t>
      </w:r>
      <w:r w:rsidR="00B266F6">
        <w:t xml:space="preserve">elf-reported measures of economic wellbeing </w:t>
      </w:r>
      <w:proofErr w:type="gramStart"/>
      <w:r w:rsidR="00B266F6">
        <w:t>are</w:t>
      </w:r>
      <w:proofErr w:type="gramEnd"/>
      <w:r w:rsidR="00B266F6">
        <w:t xml:space="preserve"> gaining in popularity in the European literature</w:t>
      </w:r>
      <w:r w:rsidR="003E6219">
        <w:t>, however, they</w:t>
      </w:r>
      <w:r w:rsidR="005C4B98">
        <w:t xml:space="preserve"> ha</w:t>
      </w:r>
      <w:r w:rsidR="003E6219">
        <w:t xml:space="preserve">ve not </w:t>
      </w:r>
      <w:r w:rsidR="007D26BE">
        <w:t xml:space="preserve">moved </w:t>
      </w:r>
      <w:r w:rsidR="0005556F">
        <w:t xml:space="preserve">from </w:t>
      </w:r>
      <w:r w:rsidR="00056B6C">
        <w:t xml:space="preserve">academia </w:t>
      </w:r>
      <w:r w:rsidR="009962BD">
        <w:t xml:space="preserve">into any official poverty </w:t>
      </w:r>
      <w:r w:rsidR="00F34F1F">
        <w:t xml:space="preserve">or cost of children </w:t>
      </w:r>
      <w:r w:rsidR="009962BD">
        <w:t xml:space="preserve">measures. </w:t>
      </w:r>
    </w:p>
    <w:p w14:paraId="409D7E86" w14:textId="3E6EDCD9" w:rsidR="009962BD" w:rsidRDefault="009962BD" w:rsidP="00EA7426">
      <w:pPr>
        <w:pStyle w:val="BodyText"/>
      </w:pPr>
      <w:r w:rsidDel="00827C3D">
        <w:t>E</w:t>
      </w:r>
      <w:r>
        <w:t xml:space="preserve">xpenditure-based approaches are </w:t>
      </w:r>
      <w:r w:rsidDel="00827C3D">
        <w:t xml:space="preserve">still </w:t>
      </w:r>
      <w:r>
        <w:t xml:space="preserve">widely used to estimate the cost of children. </w:t>
      </w:r>
      <w:r w:rsidR="00D93C97">
        <w:t>Advances in techniques were found</w:t>
      </w:r>
      <w:r>
        <w:t xml:space="preserve"> </w:t>
      </w:r>
      <w:r w:rsidR="00237177">
        <w:t xml:space="preserve">in the international literature, including semi-parametric, non-parametric and indifference curve </w:t>
      </w:r>
      <w:r w:rsidR="00EF632A">
        <w:t>models. We did not find any studies that appl</w:t>
      </w:r>
      <w:r w:rsidR="00074F89">
        <w:t>ied</w:t>
      </w:r>
      <w:r w:rsidR="00EF632A">
        <w:t xml:space="preserve"> these newer techniques to estimate the cost</w:t>
      </w:r>
      <w:r w:rsidR="00074F89">
        <w:t>s</w:t>
      </w:r>
      <w:r w:rsidR="00EF632A">
        <w:t xml:space="preserve"> of children in Australia</w:t>
      </w:r>
      <w:r w:rsidR="00237177">
        <w:t xml:space="preserve">. </w:t>
      </w:r>
    </w:p>
    <w:p w14:paraId="57F439F9" w14:textId="4D8A204A" w:rsidR="00546504" w:rsidRDefault="00C57A7A" w:rsidP="00C57A7A">
      <w:pPr>
        <w:pStyle w:val="BodyText"/>
        <w:spacing w:line="276" w:lineRule="auto"/>
      </w:pPr>
      <w:r>
        <w:rPr>
          <w:rFonts w:cs="Arial"/>
          <w:bCs/>
          <w:color w:val="auto"/>
        </w:rPr>
        <w:t>There continues to be ongoing discussion around the variation in the estimates produced by these different methods</w:t>
      </w:r>
      <w:r>
        <w:t xml:space="preserve"> and whether one is more</w:t>
      </w:r>
      <w:r w:rsidR="005800B6">
        <w:t xml:space="preserve"> </w:t>
      </w:r>
      <w:r w:rsidR="00C164F8">
        <w:t>‘</w:t>
      </w:r>
      <w:r w:rsidR="005800B6">
        <w:t>appropriate</w:t>
      </w:r>
      <w:r w:rsidR="00C164F8">
        <w:t>’</w:t>
      </w:r>
      <w:r w:rsidR="005800B6">
        <w:t xml:space="preserve"> or </w:t>
      </w:r>
      <w:r w:rsidDel="005800B6">
        <w:t>‘accurate’</w:t>
      </w:r>
      <w:r>
        <w:t xml:space="preserve"> than the other.</w:t>
      </w:r>
      <w:r w:rsidR="00502160">
        <w:t xml:space="preserve"> Budget standards typically produce lower estimates than expenditure-based approaches</w:t>
      </w:r>
      <w:r w:rsidR="005800B6">
        <w:t xml:space="preserve"> due to the focus on unemployed and low-income </w:t>
      </w:r>
      <w:r w:rsidR="0069319C">
        <w:t>households</w:t>
      </w:r>
      <w:r w:rsidR="00502160">
        <w:t xml:space="preserve">. </w:t>
      </w:r>
    </w:p>
    <w:p w14:paraId="52D57F06" w14:textId="77777777" w:rsidR="00EA7426" w:rsidRDefault="00EA7426">
      <w:pPr>
        <w:suppressAutoHyphens w:val="0"/>
        <w:spacing w:before="0" w:line="240" w:lineRule="auto"/>
        <w:jc w:val="left"/>
        <w:rPr>
          <w:rFonts w:cs="Arial"/>
          <w:color w:val="62136D"/>
          <w:kern w:val="32"/>
          <w:sz w:val="38"/>
          <w:szCs w:val="38"/>
        </w:rPr>
      </w:pPr>
      <w:r>
        <w:br w:type="page"/>
      </w:r>
    </w:p>
    <w:p w14:paraId="31014B17" w14:textId="19F14A53" w:rsidR="00FB470A" w:rsidRDefault="000C5447" w:rsidP="00BB54C3">
      <w:pPr>
        <w:pStyle w:val="Heading3"/>
      </w:pPr>
      <w:bookmarkStart w:id="20" w:name="_Toc1984061067"/>
      <w:r>
        <w:lastRenderedPageBreak/>
        <w:t xml:space="preserve">Patterns of care, </w:t>
      </w:r>
      <w:r w:rsidR="003426AB">
        <w:t xml:space="preserve">shared care arrangements, housing, and </w:t>
      </w:r>
      <w:proofErr w:type="gramStart"/>
      <w:r w:rsidR="003426AB">
        <w:t>child care</w:t>
      </w:r>
      <w:bookmarkEnd w:id="20"/>
      <w:proofErr w:type="gramEnd"/>
    </w:p>
    <w:p w14:paraId="0AB5FD6F" w14:textId="7E7A4A87" w:rsidR="00D67A4E" w:rsidRDefault="00240E88" w:rsidP="003965AC">
      <w:pPr>
        <w:pStyle w:val="BodyText"/>
        <w:rPr>
          <w:lang w:eastAsia="en-AU"/>
        </w:rPr>
      </w:pPr>
      <w:r>
        <w:rPr>
          <w:lang w:eastAsia="en-AU"/>
        </w:rPr>
        <w:t xml:space="preserve">The second objective of our review was to describe if, and how, the following elements are </w:t>
      </w:r>
      <w:r w:rsidR="00C61704">
        <w:rPr>
          <w:lang w:eastAsia="en-AU"/>
        </w:rPr>
        <w:t>considered in the cost</w:t>
      </w:r>
      <w:r w:rsidR="00881EA9">
        <w:rPr>
          <w:lang w:eastAsia="en-AU"/>
        </w:rPr>
        <w:t>s</w:t>
      </w:r>
      <w:r w:rsidR="00C61704">
        <w:rPr>
          <w:lang w:eastAsia="en-AU"/>
        </w:rPr>
        <w:t xml:space="preserve"> of children literature:</w:t>
      </w:r>
    </w:p>
    <w:p w14:paraId="49D8F470" w14:textId="1ED8AEFD" w:rsidR="00D67A4E" w:rsidRDefault="009555C9" w:rsidP="003965AC">
      <w:pPr>
        <w:pStyle w:val="ListBullet"/>
      </w:pPr>
      <w:r w:rsidRPr="00EA7426">
        <w:t>costs of children related to patterns of care</w:t>
      </w:r>
    </w:p>
    <w:p w14:paraId="581FC3DC" w14:textId="0D7EE13A" w:rsidR="00D67A4E" w:rsidRDefault="00D67A4E" w:rsidP="003965AC">
      <w:pPr>
        <w:pStyle w:val="ListBullet"/>
      </w:pPr>
      <w:r w:rsidRPr="00EA7426">
        <w:t xml:space="preserve">costs where the children spend time in more than one </w:t>
      </w:r>
      <w:r>
        <w:t>household</w:t>
      </w:r>
    </w:p>
    <w:p w14:paraId="1897D005" w14:textId="09BE5909" w:rsidR="00D67A4E" w:rsidRDefault="00D67A4E" w:rsidP="003965AC">
      <w:pPr>
        <w:pStyle w:val="ListBullet"/>
      </w:pPr>
      <w:r w:rsidRPr="00EA7426">
        <w:t>costs of children related to different housing types</w:t>
      </w:r>
    </w:p>
    <w:p w14:paraId="7E3C6884" w14:textId="25A4D357" w:rsidR="009555C9" w:rsidRPr="00D67A4E" w:rsidRDefault="009555C9" w:rsidP="003965AC">
      <w:pPr>
        <w:pStyle w:val="ListBullet"/>
        <w:rPr>
          <w:color w:val="auto"/>
          <w:lang w:eastAsia="en-AU"/>
        </w:rPr>
      </w:pPr>
      <w:r w:rsidRPr="00EA7426">
        <w:t xml:space="preserve">costs where </w:t>
      </w:r>
      <w:proofErr w:type="gramStart"/>
      <w:r w:rsidRPr="00EA7426">
        <w:t>child care</w:t>
      </w:r>
      <w:proofErr w:type="gramEnd"/>
      <w:r w:rsidRPr="00EA7426">
        <w:t xml:space="preserve"> is utilised</w:t>
      </w:r>
      <w:r w:rsidR="00D67A4E">
        <w:t>.</w:t>
      </w:r>
    </w:p>
    <w:p w14:paraId="5E4D94AB" w14:textId="3A6B294A" w:rsidR="00B844E1" w:rsidRDefault="00A1592E" w:rsidP="003965AC">
      <w:pPr>
        <w:pStyle w:val="BodyText"/>
        <w:rPr>
          <w:lang w:eastAsia="en-AU"/>
        </w:rPr>
      </w:pPr>
      <w:r>
        <w:rPr>
          <w:lang w:eastAsia="en-AU"/>
        </w:rPr>
        <w:t xml:space="preserve">Our review did not identify </w:t>
      </w:r>
      <w:r w:rsidR="00427C7F">
        <w:rPr>
          <w:lang w:eastAsia="en-AU"/>
        </w:rPr>
        <w:t>any literature that estimate</w:t>
      </w:r>
      <w:r>
        <w:rPr>
          <w:lang w:eastAsia="en-AU"/>
        </w:rPr>
        <w:t>d</w:t>
      </w:r>
      <w:r w:rsidR="00427C7F">
        <w:rPr>
          <w:lang w:eastAsia="en-AU"/>
        </w:rPr>
        <w:t xml:space="preserve"> </w:t>
      </w:r>
      <w:r w:rsidR="003A517B">
        <w:rPr>
          <w:lang w:eastAsia="en-AU"/>
        </w:rPr>
        <w:t xml:space="preserve">the </w:t>
      </w:r>
      <w:r w:rsidR="00427C7F">
        <w:rPr>
          <w:lang w:eastAsia="en-AU"/>
        </w:rPr>
        <w:t xml:space="preserve">costs of children </w:t>
      </w:r>
      <w:r w:rsidR="00A71A8F">
        <w:rPr>
          <w:lang w:eastAsia="en-AU"/>
        </w:rPr>
        <w:t xml:space="preserve">related to different patterns of care; for example, </w:t>
      </w:r>
      <w:r w:rsidR="00B43A8F">
        <w:rPr>
          <w:lang w:eastAsia="en-AU"/>
        </w:rPr>
        <w:t xml:space="preserve">parents sharing care between themselves </w:t>
      </w:r>
      <w:r w:rsidR="00B43A8F" w:rsidRPr="00481924">
        <w:rPr>
          <w:lang w:eastAsia="en-AU"/>
        </w:rPr>
        <w:t xml:space="preserve">within </w:t>
      </w:r>
      <w:r w:rsidR="00B43A8F">
        <w:rPr>
          <w:lang w:eastAsia="en-AU"/>
        </w:rPr>
        <w:t>a household,</w:t>
      </w:r>
      <w:r w:rsidR="00F64F28">
        <w:rPr>
          <w:lang w:eastAsia="en-AU"/>
        </w:rPr>
        <w:t xml:space="preserve"> and making use of supports such as </w:t>
      </w:r>
      <w:r w:rsidR="0056206E">
        <w:rPr>
          <w:lang w:eastAsia="en-AU"/>
        </w:rPr>
        <w:t>outside school hours</w:t>
      </w:r>
      <w:r w:rsidR="00F64F28">
        <w:rPr>
          <w:lang w:eastAsia="en-AU"/>
        </w:rPr>
        <w:t xml:space="preserve"> care.</w:t>
      </w:r>
      <w:r w:rsidR="00B43A8F">
        <w:rPr>
          <w:lang w:eastAsia="en-AU"/>
        </w:rPr>
        <w:t xml:space="preserve"> </w:t>
      </w:r>
      <w:r w:rsidR="00E36668">
        <w:rPr>
          <w:lang w:eastAsia="en-AU"/>
        </w:rPr>
        <w:t>The</w:t>
      </w:r>
      <w:r w:rsidR="00F14554">
        <w:rPr>
          <w:lang w:eastAsia="en-AU"/>
        </w:rPr>
        <w:t xml:space="preserve"> </w:t>
      </w:r>
      <w:r w:rsidR="00B844E1">
        <w:rPr>
          <w:lang w:eastAsia="en-AU"/>
        </w:rPr>
        <w:t>re</w:t>
      </w:r>
      <w:r w:rsidR="00F14554">
        <w:rPr>
          <w:lang w:eastAsia="en-AU"/>
        </w:rPr>
        <w:t>st</w:t>
      </w:r>
      <w:r w:rsidR="00B844E1">
        <w:rPr>
          <w:lang w:eastAsia="en-AU"/>
        </w:rPr>
        <w:t xml:space="preserve"> of this section </w:t>
      </w:r>
      <w:r w:rsidR="00E36668">
        <w:rPr>
          <w:lang w:eastAsia="en-AU"/>
        </w:rPr>
        <w:t>focus</w:t>
      </w:r>
      <w:r w:rsidR="00B844E1">
        <w:rPr>
          <w:lang w:eastAsia="en-AU"/>
        </w:rPr>
        <w:t>es</w:t>
      </w:r>
      <w:r w:rsidR="00E36668">
        <w:rPr>
          <w:lang w:eastAsia="en-AU"/>
        </w:rPr>
        <w:t xml:space="preserve"> on </w:t>
      </w:r>
      <w:r w:rsidR="00D237DA">
        <w:rPr>
          <w:lang w:eastAsia="en-AU"/>
        </w:rPr>
        <w:t>the</w:t>
      </w:r>
      <w:r w:rsidR="00B844E1">
        <w:rPr>
          <w:lang w:eastAsia="en-AU"/>
        </w:rPr>
        <w:t xml:space="preserve"> </w:t>
      </w:r>
      <w:r w:rsidR="00F14554">
        <w:rPr>
          <w:lang w:eastAsia="en-AU"/>
        </w:rPr>
        <w:t>other</w:t>
      </w:r>
      <w:r w:rsidR="00B844E1">
        <w:rPr>
          <w:lang w:eastAsia="en-AU"/>
        </w:rPr>
        <w:t xml:space="preserve"> three</w:t>
      </w:r>
      <w:r w:rsidR="00D237DA">
        <w:rPr>
          <w:lang w:eastAsia="en-AU"/>
        </w:rPr>
        <w:t xml:space="preserve"> </w:t>
      </w:r>
      <w:r w:rsidR="00295A9D">
        <w:rPr>
          <w:lang w:eastAsia="en-AU"/>
        </w:rPr>
        <w:t>factor</w:t>
      </w:r>
      <w:r w:rsidR="00B844E1">
        <w:rPr>
          <w:lang w:eastAsia="en-AU"/>
        </w:rPr>
        <w:t>s</w:t>
      </w:r>
      <w:r w:rsidR="00F14554">
        <w:rPr>
          <w:lang w:eastAsia="en-AU"/>
        </w:rPr>
        <w:t xml:space="preserve"> </w:t>
      </w:r>
      <w:r w:rsidR="004E6201">
        <w:rPr>
          <w:lang w:eastAsia="en-AU"/>
        </w:rPr>
        <w:t>identified in the literature</w:t>
      </w:r>
      <w:r w:rsidR="00D237DA">
        <w:rPr>
          <w:lang w:eastAsia="en-AU"/>
        </w:rPr>
        <w:t>.</w:t>
      </w:r>
      <w:r w:rsidR="00427C7F">
        <w:rPr>
          <w:lang w:eastAsia="en-AU"/>
        </w:rPr>
        <w:t xml:space="preserve"> </w:t>
      </w:r>
    </w:p>
    <w:p w14:paraId="30E2019C" w14:textId="5589BDF7" w:rsidR="00E640FF" w:rsidRPr="00E640FF" w:rsidRDefault="00D237DA" w:rsidP="003965AC">
      <w:pPr>
        <w:pStyle w:val="BodyText"/>
      </w:pPr>
      <w:r>
        <w:rPr>
          <w:lang w:eastAsia="en-AU"/>
        </w:rPr>
        <w:t>Given</w:t>
      </w:r>
      <w:r w:rsidR="005800B6">
        <w:rPr>
          <w:lang w:eastAsia="en-AU"/>
        </w:rPr>
        <w:t xml:space="preserve"> that the</w:t>
      </w:r>
      <w:r>
        <w:rPr>
          <w:lang w:eastAsia="en-AU"/>
        </w:rPr>
        <w:t xml:space="preserve"> </w:t>
      </w:r>
      <w:r w:rsidR="00CB44B8">
        <w:rPr>
          <w:lang w:eastAsia="en-AU"/>
        </w:rPr>
        <w:t>costs of share</w:t>
      </w:r>
      <w:r w:rsidR="004E6201">
        <w:rPr>
          <w:lang w:eastAsia="en-AU"/>
        </w:rPr>
        <w:t>d</w:t>
      </w:r>
      <w:r w:rsidR="00CB44B8">
        <w:rPr>
          <w:lang w:eastAsia="en-AU"/>
        </w:rPr>
        <w:t xml:space="preserve"> care across households, child care costs and housing costs</w:t>
      </w:r>
      <w:r w:rsidR="006E5D27">
        <w:rPr>
          <w:lang w:eastAsia="en-AU"/>
        </w:rPr>
        <w:t xml:space="preserve"> were not explicitly considered in </w:t>
      </w:r>
      <w:r w:rsidR="00981065">
        <w:rPr>
          <w:lang w:eastAsia="en-AU"/>
        </w:rPr>
        <w:t>the original</w:t>
      </w:r>
      <w:r w:rsidR="00AE2262">
        <w:rPr>
          <w:lang w:eastAsia="en-AU"/>
        </w:rPr>
        <w:t xml:space="preserve"> Gray (2007)</w:t>
      </w:r>
      <w:r w:rsidR="00981065">
        <w:rPr>
          <w:lang w:eastAsia="en-AU"/>
        </w:rPr>
        <w:t xml:space="preserve"> literature</w:t>
      </w:r>
      <w:r w:rsidR="006E5D27">
        <w:rPr>
          <w:lang w:eastAsia="en-AU"/>
        </w:rPr>
        <w:t xml:space="preserve"> review</w:t>
      </w:r>
      <w:r w:rsidR="00981065">
        <w:rPr>
          <w:lang w:eastAsia="en-AU"/>
        </w:rPr>
        <w:t xml:space="preserve"> (</w:t>
      </w:r>
      <w:r w:rsidR="00AE2262">
        <w:rPr>
          <w:lang w:eastAsia="en-AU"/>
        </w:rPr>
        <w:t xml:space="preserve">and noted as </w:t>
      </w:r>
      <w:r w:rsidR="001563A3">
        <w:rPr>
          <w:lang w:eastAsia="en-AU"/>
        </w:rPr>
        <w:t xml:space="preserve">a </w:t>
      </w:r>
      <w:r w:rsidR="00AE2262">
        <w:rPr>
          <w:lang w:eastAsia="en-AU"/>
        </w:rPr>
        <w:t xml:space="preserve">gap in the research by </w:t>
      </w:r>
      <w:r w:rsidR="00981065">
        <w:rPr>
          <w:lang w:eastAsia="en-AU"/>
        </w:rPr>
        <w:t>Gray</w:t>
      </w:r>
      <w:r w:rsidR="00AE2262">
        <w:rPr>
          <w:lang w:eastAsia="en-AU"/>
        </w:rPr>
        <w:t xml:space="preserve"> and Stanton</w:t>
      </w:r>
      <w:r w:rsidR="00981065">
        <w:rPr>
          <w:lang w:eastAsia="en-AU"/>
        </w:rPr>
        <w:t>, 20</w:t>
      </w:r>
      <w:r w:rsidR="00AE2262">
        <w:rPr>
          <w:lang w:eastAsia="en-AU"/>
        </w:rPr>
        <w:t>10</w:t>
      </w:r>
      <w:r w:rsidR="00981065">
        <w:rPr>
          <w:lang w:eastAsia="en-AU"/>
        </w:rPr>
        <w:t>)</w:t>
      </w:r>
      <w:r w:rsidR="00B902CB">
        <w:rPr>
          <w:lang w:eastAsia="en-AU"/>
        </w:rPr>
        <w:t>,</w:t>
      </w:r>
      <w:r w:rsidR="009E2843">
        <w:rPr>
          <w:lang w:eastAsia="en-AU"/>
        </w:rPr>
        <w:t xml:space="preserve"> we </w:t>
      </w:r>
      <w:r w:rsidR="00945813">
        <w:rPr>
          <w:lang w:eastAsia="en-AU"/>
        </w:rPr>
        <w:t xml:space="preserve">have </w:t>
      </w:r>
      <w:r w:rsidR="009E2843">
        <w:rPr>
          <w:lang w:eastAsia="en-AU"/>
        </w:rPr>
        <w:t>include</w:t>
      </w:r>
      <w:r w:rsidR="00945813">
        <w:rPr>
          <w:lang w:eastAsia="en-AU"/>
        </w:rPr>
        <w:t>d</w:t>
      </w:r>
      <w:r w:rsidR="009E2843">
        <w:rPr>
          <w:lang w:eastAsia="en-AU"/>
        </w:rPr>
        <w:t xml:space="preserve"> </w:t>
      </w:r>
      <w:r w:rsidR="00A57A40">
        <w:rPr>
          <w:lang w:eastAsia="en-AU"/>
        </w:rPr>
        <w:t xml:space="preserve">some historical </w:t>
      </w:r>
      <w:r w:rsidR="00B902CB">
        <w:rPr>
          <w:lang w:eastAsia="en-AU"/>
        </w:rPr>
        <w:t>(i</w:t>
      </w:r>
      <w:r w:rsidR="00817C96">
        <w:rPr>
          <w:lang w:eastAsia="en-AU"/>
        </w:rPr>
        <w:t>.</w:t>
      </w:r>
      <w:r w:rsidR="00E70F20">
        <w:rPr>
          <w:lang w:eastAsia="en-AU"/>
        </w:rPr>
        <w:t>e.</w:t>
      </w:r>
      <w:r w:rsidR="00B902CB">
        <w:rPr>
          <w:lang w:eastAsia="en-AU"/>
        </w:rPr>
        <w:t xml:space="preserve"> pre</w:t>
      </w:r>
      <w:r w:rsidR="00E70F20">
        <w:rPr>
          <w:lang w:eastAsia="en-AU"/>
        </w:rPr>
        <w:t>-</w:t>
      </w:r>
      <w:r w:rsidR="00B902CB">
        <w:rPr>
          <w:lang w:eastAsia="en-AU"/>
        </w:rPr>
        <w:t xml:space="preserve">2005) </w:t>
      </w:r>
      <w:r w:rsidR="00A57A40">
        <w:rPr>
          <w:lang w:eastAsia="en-AU"/>
        </w:rPr>
        <w:t>findings</w:t>
      </w:r>
      <w:r w:rsidR="00CD76DA">
        <w:rPr>
          <w:lang w:eastAsia="en-AU"/>
        </w:rPr>
        <w:t xml:space="preserve"> where they</w:t>
      </w:r>
      <w:r w:rsidR="00A57A40">
        <w:rPr>
          <w:lang w:eastAsia="en-AU"/>
        </w:rPr>
        <w:t xml:space="preserve"> are reference</w:t>
      </w:r>
      <w:r w:rsidR="00470B22">
        <w:rPr>
          <w:lang w:eastAsia="en-AU"/>
        </w:rPr>
        <w:t>d</w:t>
      </w:r>
      <w:r w:rsidR="00A57A40">
        <w:rPr>
          <w:lang w:eastAsia="en-AU"/>
        </w:rPr>
        <w:t xml:space="preserve"> in </w:t>
      </w:r>
      <w:r w:rsidR="0031315B">
        <w:rPr>
          <w:lang w:eastAsia="en-AU"/>
        </w:rPr>
        <w:t>the</w:t>
      </w:r>
      <w:r w:rsidR="00A57A40">
        <w:rPr>
          <w:lang w:eastAsia="en-AU"/>
        </w:rPr>
        <w:t xml:space="preserve"> literature</w:t>
      </w:r>
      <w:r w:rsidR="0031315B">
        <w:rPr>
          <w:lang w:eastAsia="en-AU"/>
        </w:rPr>
        <w:t xml:space="preserve"> in our review</w:t>
      </w:r>
      <w:r w:rsidR="00470B22">
        <w:rPr>
          <w:lang w:eastAsia="en-AU"/>
        </w:rPr>
        <w:t>.</w:t>
      </w:r>
    </w:p>
    <w:p w14:paraId="4544C5F0" w14:textId="64069843" w:rsidR="00B340A1" w:rsidRPr="0051546B" w:rsidRDefault="00060B7E" w:rsidP="000544F5">
      <w:pPr>
        <w:pStyle w:val="Heading4"/>
      </w:pPr>
      <w:bookmarkStart w:id="21" w:name="_Toc168066339"/>
      <w:bookmarkStart w:id="22" w:name="_Toc85893292"/>
      <w:r>
        <w:t xml:space="preserve">Costs </w:t>
      </w:r>
      <w:r w:rsidR="004F3C42">
        <w:t>of shared care</w:t>
      </w:r>
      <w:bookmarkEnd w:id="21"/>
      <w:r w:rsidR="004F3C42">
        <w:t xml:space="preserve"> across households</w:t>
      </w:r>
      <w:bookmarkEnd w:id="22"/>
    </w:p>
    <w:p w14:paraId="0569C997" w14:textId="5ECA71E1" w:rsidR="00E60CC0" w:rsidRDefault="00EC2047" w:rsidP="00EA7426">
      <w:pPr>
        <w:pStyle w:val="BodyText"/>
        <w:spacing w:line="276" w:lineRule="auto"/>
        <w:rPr>
          <w:rFonts w:cs="Arial"/>
          <w:lang w:bidi="ar-SA"/>
        </w:rPr>
      </w:pPr>
      <w:r>
        <w:rPr>
          <w:rFonts w:cs="Arial"/>
          <w:lang w:bidi="ar-SA"/>
        </w:rPr>
        <w:t xml:space="preserve">Estimating the cost of </w:t>
      </w:r>
      <w:r w:rsidR="007C5BF7">
        <w:rPr>
          <w:rFonts w:cs="Arial"/>
          <w:lang w:bidi="ar-SA"/>
        </w:rPr>
        <w:t xml:space="preserve">shared care or the costs of </w:t>
      </w:r>
      <w:r>
        <w:rPr>
          <w:rFonts w:cs="Arial"/>
          <w:lang w:bidi="ar-SA"/>
        </w:rPr>
        <w:t>contact for parents</w:t>
      </w:r>
      <w:r w:rsidR="007C5BF7">
        <w:rPr>
          <w:rFonts w:cs="Arial"/>
          <w:lang w:bidi="ar-SA"/>
        </w:rPr>
        <w:t xml:space="preserve"> with lower levels of care</w:t>
      </w:r>
      <w:r>
        <w:rPr>
          <w:rFonts w:cs="Arial"/>
          <w:lang w:bidi="ar-SA"/>
        </w:rPr>
        <w:t xml:space="preserve"> is not straightforward</w:t>
      </w:r>
      <w:r w:rsidR="00843595">
        <w:rPr>
          <w:rFonts w:cs="Arial"/>
          <w:lang w:bidi="ar-SA"/>
        </w:rPr>
        <w:t>.</w:t>
      </w:r>
      <w:r>
        <w:rPr>
          <w:rFonts w:cs="Arial"/>
          <w:lang w:bidi="ar-SA"/>
        </w:rPr>
        <w:t xml:space="preserve"> </w:t>
      </w:r>
      <w:r w:rsidR="00843595">
        <w:rPr>
          <w:rFonts w:cs="Arial"/>
          <w:lang w:bidi="ar-SA"/>
        </w:rPr>
        <w:t xml:space="preserve">Some </w:t>
      </w:r>
      <w:r w:rsidR="007C5BF7">
        <w:rPr>
          <w:rFonts w:cs="Arial"/>
          <w:lang w:bidi="ar-SA"/>
        </w:rPr>
        <w:t xml:space="preserve">child costs </w:t>
      </w:r>
      <w:r w:rsidR="00843595">
        <w:rPr>
          <w:rFonts w:cs="Arial"/>
          <w:lang w:bidi="ar-SA"/>
        </w:rPr>
        <w:t xml:space="preserve">can be directly attributed </w:t>
      </w:r>
      <w:r w:rsidR="00E635AA">
        <w:rPr>
          <w:rFonts w:cs="Arial"/>
          <w:lang w:bidi="ar-SA"/>
        </w:rPr>
        <w:t xml:space="preserve">to </w:t>
      </w:r>
      <w:r w:rsidR="007C5BF7">
        <w:rPr>
          <w:rFonts w:cs="Arial"/>
          <w:lang w:bidi="ar-SA"/>
        </w:rPr>
        <w:t>parents</w:t>
      </w:r>
      <w:r w:rsidR="00E635AA">
        <w:rPr>
          <w:rFonts w:cs="Arial"/>
          <w:lang w:bidi="ar-SA"/>
        </w:rPr>
        <w:t xml:space="preserve"> using the percentage of time spent with the parent</w:t>
      </w:r>
      <w:r w:rsidR="00D52575">
        <w:rPr>
          <w:rFonts w:cs="Arial"/>
          <w:lang w:bidi="ar-SA"/>
        </w:rPr>
        <w:t xml:space="preserve"> (for </w:t>
      </w:r>
      <w:r w:rsidR="00E635AA">
        <w:rPr>
          <w:rFonts w:cs="Arial"/>
          <w:lang w:bidi="ar-SA"/>
        </w:rPr>
        <w:t>example, food</w:t>
      </w:r>
      <w:r w:rsidR="00D52575">
        <w:rPr>
          <w:rFonts w:cs="Arial"/>
          <w:lang w:bidi="ar-SA"/>
        </w:rPr>
        <w:t>)</w:t>
      </w:r>
      <w:r w:rsidR="00E635AA">
        <w:rPr>
          <w:rFonts w:cs="Arial"/>
          <w:lang w:bidi="ar-SA"/>
        </w:rPr>
        <w:t xml:space="preserve">. </w:t>
      </w:r>
      <w:r w:rsidR="003D4448">
        <w:rPr>
          <w:rFonts w:cs="Arial"/>
          <w:lang w:bidi="ar-SA"/>
        </w:rPr>
        <w:t>However, o</w:t>
      </w:r>
      <w:r w:rsidR="00E635AA">
        <w:rPr>
          <w:rFonts w:cs="Arial"/>
          <w:lang w:bidi="ar-SA"/>
        </w:rPr>
        <w:t xml:space="preserve">ther items, </w:t>
      </w:r>
      <w:r w:rsidR="003D4448">
        <w:rPr>
          <w:rFonts w:cs="Arial"/>
          <w:lang w:bidi="ar-SA"/>
        </w:rPr>
        <w:t>s</w:t>
      </w:r>
      <w:r w:rsidR="006458A0">
        <w:rPr>
          <w:rFonts w:cs="Arial"/>
          <w:lang w:bidi="ar-SA"/>
        </w:rPr>
        <w:t xml:space="preserve">uch </w:t>
      </w:r>
      <w:r w:rsidR="003D4448">
        <w:rPr>
          <w:rFonts w:cs="Arial"/>
          <w:lang w:bidi="ar-SA"/>
        </w:rPr>
        <w:t xml:space="preserve">as the </w:t>
      </w:r>
      <w:r w:rsidR="006458A0">
        <w:rPr>
          <w:rFonts w:cs="Arial"/>
          <w:lang w:bidi="ar-SA"/>
        </w:rPr>
        <w:t xml:space="preserve">costs of a bedroom, furniture, and even clothing, </w:t>
      </w:r>
      <w:r w:rsidR="00DB11CC">
        <w:rPr>
          <w:rFonts w:cs="Arial"/>
          <w:lang w:bidi="ar-SA"/>
        </w:rPr>
        <w:t xml:space="preserve">need to be provided at both households. Therefore, the total cost of a child cannot </w:t>
      </w:r>
      <w:r w:rsidR="00C762A7">
        <w:rPr>
          <w:rFonts w:cs="Arial"/>
          <w:lang w:bidi="ar-SA"/>
        </w:rPr>
        <w:t>simply be allocated between parents</w:t>
      </w:r>
      <w:r w:rsidR="006A65FC">
        <w:rPr>
          <w:rFonts w:cs="Arial"/>
          <w:lang w:bidi="ar-SA"/>
        </w:rPr>
        <w:t xml:space="preserve">. </w:t>
      </w:r>
    </w:p>
    <w:p w14:paraId="03F7881D" w14:textId="629DFB1F" w:rsidR="007C5BF7" w:rsidRDefault="00E60CC0" w:rsidP="00EA7426">
      <w:pPr>
        <w:pStyle w:val="BodyText"/>
        <w:spacing w:line="276" w:lineRule="auto"/>
        <w:rPr>
          <w:rFonts w:cs="Arial"/>
          <w:lang w:bidi="ar-SA"/>
        </w:rPr>
      </w:pPr>
      <w:r>
        <w:rPr>
          <w:rFonts w:cs="Arial"/>
          <w:lang w:bidi="ar-SA"/>
        </w:rPr>
        <w:t>Our review found</w:t>
      </w:r>
      <w:r w:rsidR="00790523">
        <w:rPr>
          <w:rFonts w:cs="Arial"/>
          <w:lang w:bidi="ar-SA"/>
        </w:rPr>
        <w:t xml:space="preserve"> one Australian study and </w:t>
      </w:r>
      <w:r w:rsidR="007169A0">
        <w:rPr>
          <w:rFonts w:cs="Arial"/>
          <w:lang w:bidi="ar-SA"/>
        </w:rPr>
        <w:t>four</w:t>
      </w:r>
      <w:r w:rsidR="00F5260D">
        <w:rPr>
          <w:rFonts w:cs="Arial"/>
          <w:lang w:bidi="ar-SA"/>
        </w:rPr>
        <w:t xml:space="preserve"> </w:t>
      </w:r>
      <w:r w:rsidR="00790523">
        <w:rPr>
          <w:rFonts w:cs="Arial"/>
          <w:lang w:bidi="ar-SA"/>
        </w:rPr>
        <w:t xml:space="preserve">international studies that have estimated the costs associated </w:t>
      </w:r>
      <w:r w:rsidR="002B27AA">
        <w:rPr>
          <w:rFonts w:cs="Arial"/>
          <w:lang w:bidi="ar-SA"/>
        </w:rPr>
        <w:t xml:space="preserve">with </w:t>
      </w:r>
      <w:r w:rsidR="00FA5EB7">
        <w:rPr>
          <w:rFonts w:cs="Arial"/>
          <w:lang w:bidi="ar-SA"/>
        </w:rPr>
        <w:t>shared care</w:t>
      </w:r>
      <w:r w:rsidR="002B27AA">
        <w:rPr>
          <w:rFonts w:cs="Arial"/>
          <w:lang w:bidi="ar-SA"/>
        </w:rPr>
        <w:t xml:space="preserve"> of children</w:t>
      </w:r>
      <w:r w:rsidR="00FA5EB7">
        <w:rPr>
          <w:rFonts w:cs="Arial"/>
          <w:lang w:bidi="ar-SA"/>
        </w:rPr>
        <w:t xml:space="preserve"> across households</w:t>
      </w:r>
      <w:r w:rsidR="00790523">
        <w:rPr>
          <w:rFonts w:cs="Arial"/>
          <w:lang w:bidi="ar-SA"/>
        </w:rPr>
        <w:t xml:space="preserve">. </w:t>
      </w:r>
    </w:p>
    <w:p w14:paraId="595BF0A6" w14:textId="09347901" w:rsidR="00B340A1" w:rsidRDefault="00014191" w:rsidP="004E50E8">
      <w:pPr>
        <w:pStyle w:val="Heading5"/>
      </w:pPr>
      <w:r>
        <w:t>Australian studies</w:t>
      </w:r>
    </w:p>
    <w:p w14:paraId="66379268" w14:textId="0144CB89" w:rsidR="00B60895" w:rsidRDefault="00876C66" w:rsidP="005D2603">
      <w:pPr>
        <w:pStyle w:val="BodyText"/>
        <w:spacing w:line="276" w:lineRule="auto"/>
        <w:rPr>
          <w:rFonts w:cs="Arial"/>
          <w:lang w:bidi="ar-SA"/>
        </w:rPr>
      </w:pPr>
      <w:r>
        <w:rPr>
          <w:rFonts w:cs="Arial"/>
          <w:lang w:bidi="ar-SA"/>
        </w:rPr>
        <w:t>Henman (2005) provides t</w:t>
      </w:r>
      <w:r w:rsidR="00470B22">
        <w:rPr>
          <w:rFonts w:cs="Arial"/>
          <w:lang w:bidi="ar-SA"/>
        </w:rPr>
        <w:t xml:space="preserve">he most recent Australian estimates </w:t>
      </w:r>
      <w:r>
        <w:rPr>
          <w:rFonts w:cs="Arial"/>
          <w:lang w:bidi="ar-SA"/>
        </w:rPr>
        <w:t xml:space="preserve">of </w:t>
      </w:r>
      <w:r w:rsidR="00470B22">
        <w:rPr>
          <w:rFonts w:cs="Arial"/>
          <w:lang w:bidi="ar-SA"/>
        </w:rPr>
        <w:t xml:space="preserve">the cost of </w:t>
      </w:r>
      <w:r>
        <w:rPr>
          <w:rFonts w:cs="Arial"/>
          <w:lang w:bidi="ar-SA"/>
        </w:rPr>
        <w:t xml:space="preserve">contact </w:t>
      </w:r>
      <w:r w:rsidR="00470B22">
        <w:rPr>
          <w:rFonts w:cs="Arial"/>
          <w:lang w:bidi="ar-SA"/>
        </w:rPr>
        <w:t>for non-resident parents</w:t>
      </w:r>
      <w:r>
        <w:rPr>
          <w:rFonts w:cs="Arial"/>
          <w:lang w:bidi="ar-SA"/>
        </w:rPr>
        <w:t xml:space="preserve"> using the budget standards approach</w:t>
      </w:r>
      <w:r w:rsidR="00B60895">
        <w:rPr>
          <w:rFonts w:cs="Arial"/>
          <w:lang w:bidi="ar-SA"/>
        </w:rPr>
        <w:t>.</w:t>
      </w:r>
      <w:r w:rsidR="00022518">
        <w:rPr>
          <w:rFonts w:cs="Arial"/>
          <w:lang w:bidi="ar-SA"/>
        </w:rPr>
        <w:t xml:space="preserve"> </w:t>
      </w:r>
      <w:r w:rsidR="00B60895">
        <w:rPr>
          <w:rFonts w:cs="Arial"/>
          <w:lang w:bidi="ar-SA"/>
        </w:rPr>
        <w:t>He</w:t>
      </w:r>
      <w:r w:rsidR="00022518">
        <w:rPr>
          <w:rFonts w:cs="Arial"/>
          <w:lang w:bidi="ar-SA"/>
        </w:rPr>
        <w:t xml:space="preserve"> </w:t>
      </w:r>
      <w:r w:rsidR="005D608E">
        <w:rPr>
          <w:rFonts w:cs="Arial"/>
          <w:lang w:bidi="ar-SA"/>
        </w:rPr>
        <w:t>f</w:t>
      </w:r>
      <w:r w:rsidR="00BC634B">
        <w:rPr>
          <w:rFonts w:cs="Arial"/>
          <w:lang w:bidi="ar-SA"/>
        </w:rPr>
        <w:t>ound</w:t>
      </w:r>
      <w:r w:rsidR="005D608E">
        <w:rPr>
          <w:rFonts w:cs="Arial"/>
          <w:lang w:bidi="ar-SA"/>
        </w:rPr>
        <w:t xml:space="preserve"> that </w:t>
      </w:r>
      <w:r w:rsidR="00022518">
        <w:rPr>
          <w:rFonts w:cs="Arial"/>
          <w:lang w:bidi="ar-SA"/>
        </w:rPr>
        <w:t>children in separated families cost more, and costs for non-resident parents are disproportionate</w:t>
      </w:r>
      <w:r w:rsidR="006A2FE2">
        <w:rPr>
          <w:rFonts w:cs="Arial"/>
          <w:lang w:bidi="ar-SA"/>
        </w:rPr>
        <w:t>ly higher</w:t>
      </w:r>
      <w:r w:rsidR="00022518">
        <w:rPr>
          <w:rFonts w:cs="Arial"/>
          <w:lang w:bidi="ar-SA"/>
        </w:rPr>
        <w:t xml:space="preserve"> </w:t>
      </w:r>
      <w:r w:rsidR="006A2FE2">
        <w:rPr>
          <w:rFonts w:cs="Arial"/>
          <w:lang w:bidi="ar-SA"/>
        </w:rPr>
        <w:t>than</w:t>
      </w:r>
      <w:r w:rsidR="00022518">
        <w:rPr>
          <w:rFonts w:cs="Arial"/>
          <w:lang w:bidi="ar-SA"/>
        </w:rPr>
        <w:t xml:space="preserve"> the time spent with the child</w:t>
      </w:r>
      <w:r w:rsidR="00B60895">
        <w:rPr>
          <w:rFonts w:cs="Arial"/>
          <w:lang w:bidi="ar-SA"/>
        </w:rPr>
        <w:t xml:space="preserve"> (Henman, 2005). </w:t>
      </w:r>
    </w:p>
    <w:p w14:paraId="3825667E" w14:textId="66DDCE13" w:rsidR="005D2603" w:rsidRDefault="004149AC" w:rsidP="00332C5A">
      <w:pPr>
        <w:pStyle w:val="BodyText"/>
        <w:spacing w:line="276" w:lineRule="auto"/>
        <w:rPr>
          <w:rFonts w:cs="Arial"/>
          <w:lang w:bidi="ar-SA"/>
        </w:rPr>
      </w:pPr>
      <w:r>
        <w:rPr>
          <w:rFonts w:cs="Arial"/>
          <w:lang w:bidi="ar-SA"/>
        </w:rPr>
        <w:t xml:space="preserve">This builds on </w:t>
      </w:r>
      <w:r w:rsidR="00B238BD">
        <w:rPr>
          <w:rFonts w:cs="Arial"/>
          <w:lang w:bidi="ar-SA"/>
        </w:rPr>
        <w:t>Henman and Mitchell (2001)</w:t>
      </w:r>
      <w:r w:rsidR="007B7D1C">
        <w:rPr>
          <w:rFonts w:cs="Arial"/>
          <w:lang w:bidi="ar-SA"/>
        </w:rPr>
        <w:t xml:space="preserve">, who </w:t>
      </w:r>
      <w:r w:rsidR="005D2603">
        <w:rPr>
          <w:rFonts w:cs="Arial"/>
          <w:lang w:bidi="ar-SA"/>
        </w:rPr>
        <w:t>estimated costs of contact for durations of 15, 20 and 30 per cent of the year and found that:</w:t>
      </w:r>
    </w:p>
    <w:p w14:paraId="62C8E88C" w14:textId="4396B7F1" w:rsidR="00A25EE8" w:rsidRPr="00A05717" w:rsidRDefault="00C623A7" w:rsidP="00E4769E">
      <w:pPr>
        <w:pStyle w:val="Quote"/>
        <w:rPr>
          <w:color w:val="E7005E"/>
        </w:rPr>
      </w:pPr>
      <w:r w:rsidRPr="00A05717">
        <w:rPr>
          <w:color w:val="E7005E"/>
        </w:rPr>
        <w:t>the cost of caring for children through ongoing and regular contact for a significant, but minority, proportion of the year</w:t>
      </w:r>
      <w:r w:rsidR="004D3AD2" w:rsidRPr="00A05717">
        <w:rPr>
          <w:color w:val="E7005E"/>
        </w:rPr>
        <w:t xml:space="preserve"> is considerably greater than a pro-rata proportion of costs of caring for children </w:t>
      </w:r>
      <w:r w:rsidR="004F63A0" w:rsidRPr="00A05717">
        <w:rPr>
          <w:color w:val="E7005E"/>
        </w:rPr>
        <w:t xml:space="preserve">for 100 per cent of the year. This </w:t>
      </w:r>
      <w:r w:rsidR="00664BBE" w:rsidRPr="00A05717">
        <w:rPr>
          <w:color w:val="E7005E"/>
        </w:rPr>
        <w:t xml:space="preserve">is because of the cost of infrastructure – such as bedrooms, furniture and toys – that non-resident parents typically provide </w:t>
      </w:r>
      <w:proofErr w:type="gramStart"/>
      <w:r w:rsidR="00664BBE" w:rsidRPr="00A05717">
        <w:rPr>
          <w:color w:val="E7005E"/>
        </w:rPr>
        <w:t>in order to</w:t>
      </w:r>
      <w:proofErr w:type="gramEnd"/>
      <w:r w:rsidR="00664BBE" w:rsidRPr="00A05717">
        <w:rPr>
          <w:color w:val="E7005E"/>
        </w:rPr>
        <w:t xml:space="preserve"> care for contact children.</w:t>
      </w:r>
      <w:r w:rsidR="001D086B" w:rsidRPr="00A05717">
        <w:rPr>
          <w:color w:val="E7005E"/>
        </w:rPr>
        <w:t xml:space="preserve"> (p.497)</w:t>
      </w:r>
    </w:p>
    <w:p w14:paraId="094B9F79" w14:textId="2851E03D" w:rsidR="006514D3" w:rsidRDefault="00FA62F8" w:rsidP="00E00C73">
      <w:pPr>
        <w:jc w:val="left"/>
      </w:pPr>
      <w:r>
        <w:t xml:space="preserve">Henman </w:t>
      </w:r>
      <w:r w:rsidR="000361B9">
        <w:t xml:space="preserve">(2005) estimated </w:t>
      </w:r>
      <w:r w:rsidR="00961DDA">
        <w:t xml:space="preserve">costs in shared care arrangements for </w:t>
      </w:r>
      <w:r w:rsidR="007D74B6">
        <w:t>households living at a m</w:t>
      </w:r>
      <w:r w:rsidR="00337AE9">
        <w:t xml:space="preserve">odest but </w:t>
      </w:r>
      <w:r w:rsidR="007D74B6">
        <w:t>a</w:t>
      </w:r>
      <w:r w:rsidR="00337AE9">
        <w:t xml:space="preserve">dequate </w:t>
      </w:r>
      <w:r w:rsidR="007D74B6">
        <w:t>living standard (</w:t>
      </w:r>
      <w:r w:rsidR="00E351D9">
        <w:t xml:space="preserve">where </w:t>
      </w:r>
      <w:r w:rsidR="007D74B6">
        <w:t>both parents work</w:t>
      </w:r>
      <w:r w:rsidR="00E351D9">
        <w:t xml:space="preserve"> </w:t>
      </w:r>
      <w:r w:rsidR="007D74B6">
        <w:t>full</w:t>
      </w:r>
      <w:r w:rsidR="009F23CB">
        <w:t>-</w:t>
      </w:r>
      <w:r w:rsidR="007D74B6">
        <w:t xml:space="preserve">time) </w:t>
      </w:r>
      <w:r w:rsidR="00337AE9">
        <w:t>and</w:t>
      </w:r>
      <w:r w:rsidR="001633EF">
        <w:t xml:space="preserve"> a</w:t>
      </w:r>
      <w:r w:rsidR="00337AE9">
        <w:t xml:space="preserve"> </w:t>
      </w:r>
      <w:proofErr w:type="gramStart"/>
      <w:r w:rsidR="007D74B6">
        <w:t>l</w:t>
      </w:r>
      <w:r w:rsidR="00337AE9">
        <w:t xml:space="preserve">ow </w:t>
      </w:r>
      <w:r w:rsidR="007D74B6">
        <w:t>c</w:t>
      </w:r>
      <w:r w:rsidR="00337AE9">
        <w:t>ost</w:t>
      </w:r>
      <w:proofErr w:type="gramEnd"/>
      <w:r w:rsidR="00337AE9">
        <w:t xml:space="preserve"> living standard</w:t>
      </w:r>
      <w:r w:rsidR="007D74B6">
        <w:t xml:space="preserve"> (</w:t>
      </w:r>
      <w:r w:rsidR="00E351D9">
        <w:t>where the resident parent doesn’t work and the non-resident parent does work)</w:t>
      </w:r>
      <w:r w:rsidR="00337AE9">
        <w:t>.</w:t>
      </w:r>
      <w:r w:rsidR="000361B9">
        <w:t xml:space="preserve"> </w:t>
      </w:r>
      <w:r w:rsidR="00695D35">
        <w:t>Th</w:t>
      </w:r>
      <w:r w:rsidR="00E351D9">
        <w:t>e</w:t>
      </w:r>
      <w:r w:rsidR="00695D35">
        <w:t xml:space="preserve"> study</w:t>
      </w:r>
      <w:r w:rsidR="00337AE9">
        <w:t xml:space="preserve"> </w:t>
      </w:r>
      <w:r w:rsidR="00B16EF2">
        <w:t>estimate</w:t>
      </w:r>
      <w:r w:rsidR="00E351D9">
        <w:t>d</w:t>
      </w:r>
      <w:r w:rsidR="00B16EF2">
        <w:t xml:space="preserve"> that</w:t>
      </w:r>
      <w:r w:rsidR="00946A1E">
        <w:t xml:space="preserve"> where both parents worked,</w:t>
      </w:r>
      <w:r w:rsidR="00B16EF2">
        <w:t xml:space="preserve"> </w:t>
      </w:r>
      <w:r w:rsidR="000361B9">
        <w:t>a non-resident parent w</w:t>
      </w:r>
      <w:r w:rsidR="00607B4E">
        <w:t xml:space="preserve">ith 20% </w:t>
      </w:r>
      <w:r w:rsidR="00961DDA">
        <w:t xml:space="preserve">contact time with </w:t>
      </w:r>
      <w:r w:rsidR="00961DDA">
        <w:lastRenderedPageBreak/>
        <w:t>their child</w:t>
      </w:r>
      <w:r w:rsidR="009A3B04">
        <w:t xml:space="preserve"> face</w:t>
      </w:r>
      <w:r w:rsidR="00946A1E">
        <w:t>d</w:t>
      </w:r>
      <w:r w:rsidR="009A3B04">
        <w:t xml:space="preserve"> 38% </w:t>
      </w:r>
      <w:r w:rsidR="00995607">
        <w:t>of the cost of the child</w:t>
      </w:r>
      <w:r w:rsidR="00E30E0B">
        <w:t xml:space="preserve"> </w:t>
      </w:r>
      <w:r w:rsidR="00801215">
        <w:t>in 100% care with a sole parent</w:t>
      </w:r>
      <w:r w:rsidR="00695D35">
        <w:t>’ (Henman, 2005, p.17)</w:t>
      </w:r>
      <w:r w:rsidR="00A67251">
        <w:t>.</w:t>
      </w:r>
      <w:r w:rsidR="0001375A">
        <w:t xml:space="preserve"> </w:t>
      </w:r>
      <w:r w:rsidR="00484792">
        <w:t xml:space="preserve">This increased to </w:t>
      </w:r>
      <w:r w:rsidR="00C85143">
        <w:t xml:space="preserve">60% </w:t>
      </w:r>
      <w:r w:rsidR="00D91624">
        <w:t xml:space="preserve">of the cost of the child when the </w:t>
      </w:r>
      <w:r w:rsidR="00C80B30">
        <w:t xml:space="preserve">resident parent </w:t>
      </w:r>
      <w:r w:rsidR="003E5240">
        <w:t>was not</w:t>
      </w:r>
      <w:r w:rsidR="00C80B30">
        <w:t xml:space="preserve"> working. </w:t>
      </w:r>
      <w:r w:rsidR="009254E3">
        <w:t xml:space="preserve">Table </w:t>
      </w:r>
      <w:r w:rsidR="009254E3" w:rsidDel="00774BE8">
        <w:t>3</w:t>
      </w:r>
      <w:r w:rsidR="009254E3">
        <w:t xml:space="preserve"> shows </w:t>
      </w:r>
      <w:r w:rsidR="002334E9">
        <w:t xml:space="preserve">the </w:t>
      </w:r>
      <w:r w:rsidR="00F56718">
        <w:t xml:space="preserve">full set of Percentage of Costs </w:t>
      </w:r>
      <w:r w:rsidR="00E41906">
        <w:t xml:space="preserve">for different shared care arrangements estimated by </w:t>
      </w:r>
      <w:r w:rsidR="000B2ACA">
        <w:t>Henman (2005)</w:t>
      </w:r>
      <w:r w:rsidR="00E41906">
        <w:t>.</w:t>
      </w:r>
      <w:r w:rsidR="00591ECF">
        <w:t xml:space="preserve"> Table </w:t>
      </w:r>
      <w:r w:rsidR="00461EF6">
        <w:t>9</w:t>
      </w:r>
      <w:r w:rsidR="00591ECF">
        <w:t xml:space="preserve"> in Appendix 2 provides gross cost estimates from this study.</w:t>
      </w:r>
    </w:p>
    <w:p w14:paraId="1742599C" w14:textId="705F17E1" w:rsidR="006514D3" w:rsidRPr="00A05717" w:rsidRDefault="006514D3" w:rsidP="00CE0CE4">
      <w:pPr>
        <w:pStyle w:val="Caption"/>
        <w:rPr>
          <w:color w:val="E7005E"/>
        </w:rPr>
      </w:pPr>
      <w:r w:rsidRPr="00A05717">
        <w:rPr>
          <w:color w:val="E7005E"/>
        </w:rPr>
        <w:t>Tabl</w:t>
      </w:r>
      <w:r w:rsidR="00E04633" w:rsidRPr="00A05717">
        <w:rPr>
          <w:color w:val="E7005E"/>
        </w:rPr>
        <w:t xml:space="preserve">e </w:t>
      </w:r>
      <w:r w:rsidR="00D60238" w:rsidRPr="00A05717">
        <w:rPr>
          <w:color w:val="E7005E"/>
        </w:rPr>
        <w:t>3</w:t>
      </w:r>
      <w:r w:rsidR="00E04633" w:rsidRPr="00A05717">
        <w:rPr>
          <w:color w:val="E7005E"/>
        </w:rPr>
        <w:t>: Cost of Children when Contact Occurs as a Percentage of Costs with 100% care, Various Contact Arrangements (June quarter 2004)</w:t>
      </w:r>
    </w:p>
    <w:tbl>
      <w:tblPr>
        <w:tblStyle w:val="TableGrid"/>
        <w:tblW w:w="9042" w:type="dxa"/>
        <w:tblLook w:val="04A0" w:firstRow="1" w:lastRow="0" w:firstColumn="1" w:lastColumn="0" w:noHBand="0" w:noVBand="1"/>
      </w:tblPr>
      <w:tblGrid>
        <w:gridCol w:w="2628"/>
        <w:gridCol w:w="642"/>
        <w:gridCol w:w="685"/>
        <w:gridCol w:w="642"/>
        <w:gridCol w:w="757"/>
        <w:gridCol w:w="741"/>
        <w:gridCol w:w="757"/>
        <w:gridCol w:w="649"/>
        <w:gridCol w:w="642"/>
        <w:gridCol w:w="899"/>
      </w:tblGrid>
      <w:tr w:rsidR="000361B9" w:rsidRPr="00BC790C" w14:paraId="18572A43" w14:textId="77777777" w:rsidTr="00524142">
        <w:trPr>
          <w:cnfStyle w:val="100000000000" w:firstRow="1" w:lastRow="0" w:firstColumn="0" w:lastColumn="0" w:oddVBand="0" w:evenVBand="0" w:oddHBand="0" w:evenHBand="0" w:firstRowFirstColumn="0" w:firstRowLastColumn="0" w:lastRowFirstColumn="0" w:lastRowLastColumn="0"/>
          <w:trHeight w:val="304"/>
          <w:tblHeader/>
        </w:trPr>
        <w:tc>
          <w:tcPr>
            <w:tcW w:w="2628" w:type="dxa"/>
            <w:noWrap/>
            <w:hideMark/>
          </w:tcPr>
          <w:p w14:paraId="55648921"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Household &amp; Contact Level</w:t>
            </w:r>
          </w:p>
        </w:tc>
        <w:tc>
          <w:tcPr>
            <w:tcW w:w="642" w:type="dxa"/>
            <w:noWrap/>
            <w:hideMark/>
          </w:tcPr>
          <w:p w14:paraId="0CEDA5F6"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Syd</w:t>
            </w:r>
          </w:p>
        </w:tc>
        <w:tc>
          <w:tcPr>
            <w:tcW w:w="685" w:type="dxa"/>
            <w:noWrap/>
            <w:hideMark/>
          </w:tcPr>
          <w:p w14:paraId="14048238"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proofErr w:type="spellStart"/>
            <w:r w:rsidRPr="00CE0CE4">
              <w:rPr>
                <w:rFonts w:eastAsia="Times New Roman" w:cs="Arial"/>
                <w:b/>
                <w:color w:val="FFFFFF" w:themeColor="background1"/>
                <w:szCs w:val="20"/>
                <w:lang w:eastAsia="en-AU"/>
              </w:rPr>
              <w:t>Melb</w:t>
            </w:r>
            <w:proofErr w:type="spellEnd"/>
          </w:p>
        </w:tc>
        <w:tc>
          <w:tcPr>
            <w:tcW w:w="642" w:type="dxa"/>
            <w:noWrap/>
            <w:hideMark/>
          </w:tcPr>
          <w:p w14:paraId="0C046C7F"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Bris</w:t>
            </w:r>
          </w:p>
        </w:tc>
        <w:tc>
          <w:tcPr>
            <w:tcW w:w="757" w:type="dxa"/>
            <w:noWrap/>
            <w:hideMark/>
          </w:tcPr>
          <w:p w14:paraId="20C308EC"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Ade</w:t>
            </w:r>
          </w:p>
        </w:tc>
        <w:tc>
          <w:tcPr>
            <w:tcW w:w="741" w:type="dxa"/>
            <w:noWrap/>
            <w:hideMark/>
          </w:tcPr>
          <w:p w14:paraId="753A15D4"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Perth</w:t>
            </w:r>
          </w:p>
        </w:tc>
        <w:tc>
          <w:tcPr>
            <w:tcW w:w="757" w:type="dxa"/>
            <w:noWrap/>
            <w:hideMark/>
          </w:tcPr>
          <w:p w14:paraId="50646CE3"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Hob</w:t>
            </w:r>
          </w:p>
        </w:tc>
        <w:tc>
          <w:tcPr>
            <w:tcW w:w="649" w:type="dxa"/>
            <w:noWrap/>
            <w:hideMark/>
          </w:tcPr>
          <w:p w14:paraId="37B21882"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Dar</w:t>
            </w:r>
          </w:p>
        </w:tc>
        <w:tc>
          <w:tcPr>
            <w:tcW w:w="642" w:type="dxa"/>
            <w:noWrap/>
            <w:hideMark/>
          </w:tcPr>
          <w:p w14:paraId="4662F71D"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Can</w:t>
            </w:r>
          </w:p>
        </w:tc>
        <w:tc>
          <w:tcPr>
            <w:tcW w:w="899" w:type="dxa"/>
            <w:noWrap/>
            <w:hideMark/>
          </w:tcPr>
          <w:p w14:paraId="5DAEDCBD" w14:textId="77777777" w:rsidR="00FD1DFD" w:rsidRPr="00CE0CE4" w:rsidRDefault="00FD1DFD" w:rsidP="00B42F77">
            <w:pPr>
              <w:suppressAutoHyphens w:val="0"/>
              <w:spacing w:before="0" w:line="360" w:lineRule="auto"/>
              <w:jc w:val="left"/>
              <w:rPr>
                <w:rFonts w:eastAsia="Times New Roman" w:cs="Arial"/>
                <w:b/>
                <w:color w:val="FFFFFF" w:themeColor="background1"/>
                <w:szCs w:val="20"/>
                <w:lang w:eastAsia="en-AU"/>
              </w:rPr>
            </w:pPr>
            <w:r w:rsidRPr="00CE0CE4">
              <w:rPr>
                <w:rFonts w:eastAsia="Times New Roman" w:cs="Arial"/>
                <w:b/>
                <w:color w:val="FFFFFF" w:themeColor="background1"/>
                <w:szCs w:val="20"/>
                <w:lang w:eastAsia="en-AU"/>
              </w:rPr>
              <w:t>Weight Ave</w:t>
            </w:r>
          </w:p>
        </w:tc>
      </w:tr>
      <w:tr w:rsidR="00F42E45" w:rsidRPr="00BC790C" w14:paraId="6F562A74" w14:textId="77777777">
        <w:trPr>
          <w:trHeight w:val="304"/>
        </w:trPr>
        <w:tc>
          <w:tcPr>
            <w:tcW w:w="9042" w:type="dxa"/>
            <w:gridSpan w:val="10"/>
            <w:noWrap/>
            <w:hideMark/>
          </w:tcPr>
          <w:p w14:paraId="3A44550D" w14:textId="5E8AFB48" w:rsidR="00FD1DFD" w:rsidRPr="00BC790C" w:rsidRDefault="00B42F77" w:rsidP="00B42F77">
            <w:pPr>
              <w:suppressAutoHyphens w:val="0"/>
              <w:spacing w:before="0" w:line="360" w:lineRule="auto"/>
              <w:jc w:val="left"/>
              <w:rPr>
                <w:rFonts w:ascii="Times New Roman" w:eastAsia="Times New Roman" w:hAnsi="Times New Roman"/>
                <w:color w:val="auto"/>
                <w:szCs w:val="20"/>
                <w:lang w:eastAsia="en-AU"/>
              </w:rPr>
            </w:pPr>
            <w:r w:rsidRPr="00CE0CE4">
              <w:rPr>
                <w:rFonts w:eastAsia="Times New Roman" w:cs="Arial"/>
                <w:color w:val="000000"/>
                <w:szCs w:val="20"/>
                <w:lang w:eastAsia="en-AU"/>
              </w:rPr>
              <w:t>Modest but Adequate - Both parents work full-time</w:t>
            </w:r>
          </w:p>
        </w:tc>
      </w:tr>
      <w:tr w:rsidR="000361B9" w:rsidRPr="00BC790C" w14:paraId="38F4D2DA" w14:textId="77777777" w:rsidTr="00B42F77">
        <w:trPr>
          <w:trHeight w:val="304"/>
        </w:trPr>
        <w:tc>
          <w:tcPr>
            <w:tcW w:w="2628" w:type="dxa"/>
            <w:noWrap/>
            <w:hideMark/>
          </w:tcPr>
          <w:p w14:paraId="3E57C8D0"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Resident parent (80) %</w:t>
            </w:r>
          </w:p>
        </w:tc>
        <w:tc>
          <w:tcPr>
            <w:tcW w:w="642" w:type="dxa"/>
            <w:noWrap/>
            <w:hideMark/>
          </w:tcPr>
          <w:p w14:paraId="48BFB33F"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98%</w:t>
            </w:r>
          </w:p>
        </w:tc>
        <w:tc>
          <w:tcPr>
            <w:tcW w:w="685" w:type="dxa"/>
            <w:noWrap/>
            <w:hideMark/>
          </w:tcPr>
          <w:p w14:paraId="7D4C5000"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42" w:type="dxa"/>
            <w:noWrap/>
            <w:hideMark/>
          </w:tcPr>
          <w:p w14:paraId="73A60137"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757" w:type="dxa"/>
            <w:noWrap/>
            <w:hideMark/>
          </w:tcPr>
          <w:p w14:paraId="4289868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741" w:type="dxa"/>
            <w:noWrap/>
            <w:hideMark/>
          </w:tcPr>
          <w:p w14:paraId="30F9CF8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757" w:type="dxa"/>
            <w:noWrap/>
            <w:hideMark/>
          </w:tcPr>
          <w:p w14:paraId="7A9ACDD2"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49" w:type="dxa"/>
            <w:noWrap/>
            <w:hideMark/>
          </w:tcPr>
          <w:p w14:paraId="1FD6ED73"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42" w:type="dxa"/>
            <w:noWrap/>
            <w:hideMark/>
          </w:tcPr>
          <w:p w14:paraId="13600782"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899" w:type="dxa"/>
            <w:noWrap/>
            <w:hideMark/>
          </w:tcPr>
          <w:p w14:paraId="660CB89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r>
      <w:tr w:rsidR="000361B9" w:rsidRPr="00BC790C" w14:paraId="4081A1CB" w14:textId="77777777" w:rsidTr="00B42F77">
        <w:trPr>
          <w:trHeight w:val="304"/>
        </w:trPr>
        <w:tc>
          <w:tcPr>
            <w:tcW w:w="2628" w:type="dxa"/>
            <w:noWrap/>
            <w:hideMark/>
          </w:tcPr>
          <w:p w14:paraId="76180AD7"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Non-res parent (20) %</w:t>
            </w:r>
          </w:p>
        </w:tc>
        <w:tc>
          <w:tcPr>
            <w:tcW w:w="642" w:type="dxa"/>
            <w:noWrap/>
            <w:hideMark/>
          </w:tcPr>
          <w:p w14:paraId="1364C91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31%</w:t>
            </w:r>
          </w:p>
        </w:tc>
        <w:tc>
          <w:tcPr>
            <w:tcW w:w="685" w:type="dxa"/>
            <w:noWrap/>
            <w:hideMark/>
          </w:tcPr>
          <w:p w14:paraId="1C82B832"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41%</w:t>
            </w:r>
          </w:p>
        </w:tc>
        <w:tc>
          <w:tcPr>
            <w:tcW w:w="642" w:type="dxa"/>
            <w:noWrap/>
            <w:hideMark/>
          </w:tcPr>
          <w:p w14:paraId="5DE104E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44%</w:t>
            </w:r>
          </w:p>
        </w:tc>
        <w:tc>
          <w:tcPr>
            <w:tcW w:w="757" w:type="dxa"/>
            <w:noWrap/>
            <w:hideMark/>
          </w:tcPr>
          <w:p w14:paraId="1C869266"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38%</w:t>
            </w:r>
          </w:p>
        </w:tc>
        <w:tc>
          <w:tcPr>
            <w:tcW w:w="741" w:type="dxa"/>
            <w:noWrap/>
            <w:hideMark/>
          </w:tcPr>
          <w:p w14:paraId="71AB2386"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38%</w:t>
            </w:r>
          </w:p>
        </w:tc>
        <w:tc>
          <w:tcPr>
            <w:tcW w:w="757" w:type="dxa"/>
            <w:noWrap/>
            <w:hideMark/>
          </w:tcPr>
          <w:p w14:paraId="4D7ECF07"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39%</w:t>
            </w:r>
          </w:p>
        </w:tc>
        <w:tc>
          <w:tcPr>
            <w:tcW w:w="649" w:type="dxa"/>
            <w:noWrap/>
            <w:hideMark/>
          </w:tcPr>
          <w:p w14:paraId="14D9296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43%</w:t>
            </w:r>
          </w:p>
        </w:tc>
        <w:tc>
          <w:tcPr>
            <w:tcW w:w="642" w:type="dxa"/>
            <w:noWrap/>
            <w:hideMark/>
          </w:tcPr>
          <w:p w14:paraId="6A16BA9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44%</w:t>
            </w:r>
          </w:p>
        </w:tc>
        <w:tc>
          <w:tcPr>
            <w:tcW w:w="899" w:type="dxa"/>
            <w:noWrap/>
            <w:hideMark/>
          </w:tcPr>
          <w:p w14:paraId="0501596D"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38%</w:t>
            </w:r>
          </w:p>
        </w:tc>
      </w:tr>
      <w:tr w:rsidR="000361B9" w:rsidRPr="00BC790C" w14:paraId="5D2915C2" w14:textId="77777777" w:rsidTr="00B42F77">
        <w:trPr>
          <w:trHeight w:val="304"/>
        </w:trPr>
        <w:tc>
          <w:tcPr>
            <w:tcW w:w="2628" w:type="dxa"/>
            <w:noWrap/>
            <w:hideMark/>
          </w:tcPr>
          <w:p w14:paraId="167C7EAC"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Resident parent (50) %</w:t>
            </w:r>
          </w:p>
        </w:tc>
        <w:tc>
          <w:tcPr>
            <w:tcW w:w="642" w:type="dxa"/>
            <w:noWrap/>
            <w:hideMark/>
          </w:tcPr>
          <w:p w14:paraId="41145AB6"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69%</w:t>
            </w:r>
          </w:p>
        </w:tc>
        <w:tc>
          <w:tcPr>
            <w:tcW w:w="685" w:type="dxa"/>
            <w:noWrap/>
            <w:hideMark/>
          </w:tcPr>
          <w:p w14:paraId="44E8C3DF"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74%</w:t>
            </w:r>
          </w:p>
        </w:tc>
        <w:tc>
          <w:tcPr>
            <w:tcW w:w="642" w:type="dxa"/>
            <w:noWrap/>
            <w:hideMark/>
          </w:tcPr>
          <w:p w14:paraId="30AF0DF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75%</w:t>
            </w:r>
          </w:p>
        </w:tc>
        <w:tc>
          <w:tcPr>
            <w:tcW w:w="757" w:type="dxa"/>
            <w:noWrap/>
            <w:hideMark/>
          </w:tcPr>
          <w:p w14:paraId="46B883C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73%</w:t>
            </w:r>
          </w:p>
        </w:tc>
        <w:tc>
          <w:tcPr>
            <w:tcW w:w="741" w:type="dxa"/>
            <w:noWrap/>
            <w:hideMark/>
          </w:tcPr>
          <w:p w14:paraId="2FA4D74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73%</w:t>
            </w:r>
          </w:p>
        </w:tc>
        <w:tc>
          <w:tcPr>
            <w:tcW w:w="757" w:type="dxa"/>
            <w:noWrap/>
            <w:hideMark/>
          </w:tcPr>
          <w:p w14:paraId="61E3215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73%</w:t>
            </w:r>
          </w:p>
        </w:tc>
        <w:tc>
          <w:tcPr>
            <w:tcW w:w="649" w:type="dxa"/>
            <w:noWrap/>
            <w:hideMark/>
          </w:tcPr>
          <w:p w14:paraId="61831E69"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75%</w:t>
            </w:r>
          </w:p>
        </w:tc>
        <w:tc>
          <w:tcPr>
            <w:tcW w:w="642" w:type="dxa"/>
            <w:noWrap/>
            <w:hideMark/>
          </w:tcPr>
          <w:p w14:paraId="7E327C2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75%</w:t>
            </w:r>
          </w:p>
        </w:tc>
        <w:tc>
          <w:tcPr>
            <w:tcW w:w="899" w:type="dxa"/>
            <w:noWrap/>
            <w:hideMark/>
          </w:tcPr>
          <w:p w14:paraId="71D103F5"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72%</w:t>
            </w:r>
          </w:p>
        </w:tc>
      </w:tr>
      <w:tr w:rsidR="000361B9" w:rsidRPr="00BC790C" w14:paraId="1F8A990A" w14:textId="77777777" w:rsidTr="00B42F77">
        <w:trPr>
          <w:trHeight w:val="304"/>
        </w:trPr>
        <w:tc>
          <w:tcPr>
            <w:tcW w:w="2628" w:type="dxa"/>
            <w:noWrap/>
            <w:hideMark/>
          </w:tcPr>
          <w:p w14:paraId="45532801"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Non-res parent (50) %</w:t>
            </w:r>
          </w:p>
        </w:tc>
        <w:tc>
          <w:tcPr>
            <w:tcW w:w="642" w:type="dxa"/>
            <w:noWrap/>
            <w:hideMark/>
          </w:tcPr>
          <w:p w14:paraId="22327A1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68%</w:t>
            </w:r>
          </w:p>
        </w:tc>
        <w:tc>
          <w:tcPr>
            <w:tcW w:w="685" w:type="dxa"/>
            <w:noWrap/>
            <w:hideMark/>
          </w:tcPr>
          <w:p w14:paraId="05839CE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73%</w:t>
            </w:r>
          </w:p>
        </w:tc>
        <w:tc>
          <w:tcPr>
            <w:tcW w:w="642" w:type="dxa"/>
            <w:noWrap/>
            <w:hideMark/>
          </w:tcPr>
          <w:p w14:paraId="25261E42"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74%</w:t>
            </w:r>
          </w:p>
        </w:tc>
        <w:tc>
          <w:tcPr>
            <w:tcW w:w="757" w:type="dxa"/>
            <w:noWrap/>
            <w:hideMark/>
          </w:tcPr>
          <w:p w14:paraId="42639E7F"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72%</w:t>
            </w:r>
          </w:p>
        </w:tc>
        <w:tc>
          <w:tcPr>
            <w:tcW w:w="741" w:type="dxa"/>
            <w:noWrap/>
            <w:hideMark/>
          </w:tcPr>
          <w:p w14:paraId="02C443C9"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72%</w:t>
            </w:r>
          </w:p>
        </w:tc>
        <w:tc>
          <w:tcPr>
            <w:tcW w:w="757" w:type="dxa"/>
            <w:noWrap/>
            <w:hideMark/>
          </w:tcPr>
          <w:p w14:paraId="3E691ABC"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72%</w:t>
            </w:r>
          </w:p>
        </w:tc>
        <w:tc>
          <w:tcPr>
            <w:tcW w:w="649" w:type="dxa"/>
            <w:noWrap/>
            <w:hideMark/>
          </w:tcPr>
          <w:p w14:paraId="61337849"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74%</w:t>
            </w:r>
          </w:p>
        </w:tc>
        <w:tc>
          <w:tcPr>
            <w:tcW w:w="642" w:type="dxa"/>
            <w:noWrap/>
            <w:hideMark/>
          </w:tcPr>
          <w:p w14:paraId="0E9A7F22"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74%</w:t>
            </w:r>
          </w:p>
        </w:tc>
        <w:tc>
          <w:tcPr>
            <w:tcW w:w="899" w:type="dxa"/>
            <w:noWrap/>
            <w:hideMark/>
          </w:tcPr>
          <w:p w14:paraId="580C036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71%</w:t>
            </w:r>
          </w:p>
        </w:tc>
      </w:tr>
      <w:tr w:rsidR="00BC790C" w:rsidRPr="00BC790C" w14:paraId="11BD9E8B" w14:textId="77777777">
        <w:trPr>
          <w:trHeight w:val="304"/>
        </w:trPr>
        <w:tc>
          <w:tcPr>
            <w:tcW w:w="8143" w:type="dxa"/>
            <w:gridSpan w:val="9"/>
            <w:noWrap/>
            <w:hideMark/>
          </w:tcPr>
          <w:p w14:paraId="34B4AD81" w14:textId="614ACA0D" w:rsidR="00FD1DFD" w:rsidRPr="00CE0CE4" w:rsidRDefault="00B42F77"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 xml:space="preserve">Low Cost — Resident parent not in the labour force; </w:t>
            </w:r>
            <w:proofErr w:type="gramStart"/>
            <w:r w:rsidRPr="00CE0CE4">
              <w:rPr>
                <w:rFonts w:eastAsia="Times New Roman" w:cs="Arial"/>
                <w:color w:val="000000"/>
                <w:szCs w:val="20"/>
                <w:lang w:eastAsia="en-AU"/>
              </w:rPr>
              <w:t>Non-resident</w:t>
            </w:r>
            <w:proofErr w:type="gramEnd"/>
            <w:r w:rsidRPr="00CE0CE4">
              <w:rPr>
                <w:rFonts w:eastAsia="Times New Roman" w:cs="Arial"/>
                <w:color w:val="000000"/>
                <w:szCs w:val="20"/>
                <w:lang w:eastAsia="en-AU"/>
              </w:rPr>
              <w:t xml:space="preserve"> parent employed</w:t>
            </w:r>
          </w:p>
        </w:tc>
        <w:tc>
          <w:tcPr>
            <w:tcW w:w="899" w:type="dxa"/>
            <w:noWrap/>
            <w:hideMark/>
          </w:tcPr>
          <w:p w14:paraId="1270F041" w14:textId="77777777" w:rsidR="00FD1DFD" w:rsidRPr="00BC790C" w:rsidRDefault="00FD1DFD" w:rsidP="00B42F77">
            <w:pPr>
              <w:suppressAutoHyphens w:val="0"/>
              <w:spacing w:before="0" w:line="360" w:lineRule="auto"/>
              <w:jc w:val="left"/>
              <w:rPr>
                <w:rFonts w:ascii="Times New Roman" w:eastAsia="Times New Roman" w:hAnsi="Times New Roman"/>
                <w:color w:val="auto"/>
                <w:szCs w:val="20"/>
                <w:lang w:eastAsia="en-AU"/>
              </w:rPr>
            </w:pPr>
          </w:p>
        </w:tc>
      </w:tr>
      <w:tr w:rsidR="000361B9" w:rsidRPr="00BC790C" w14:paraId="3508776C" w14:textId="77777777" w:rsidTr="00B42F77">
        <w:trPr>
          <w:trHeight w:val="304"/>
        </w:trPr>
        <w:tc>
          <w:tcPr>
            <w:tcW w:w="2628" w:type="dxa"/>
            <w:noWrap/>
            <w:hideMark/>
          </w:tcPr>
          <w:p w14:paraId="3278056D"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Resident parent (80) %</w:t>
            </w:r>
          </w:p>
        </w:tc>
        <w:tc>
          <w:tcPr>
            <w:tcW w:w="642" w:type="dxa"/>
            <w:noWrap/>
            <w:hideMark/>
          </w:tcPr>
          <w:p w14:paraId="4174F2A6"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85" w:type="dxa"/>
            <w:noWrap/>
            <w:hideMark/>
          </w:tcPr>
          <w:p w14:paraId="3E8DB22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42" w:type="dxa"/>
            <w:noWrap/>
            <w:hideMark/>
          </w:tcPr>
          <w:p w14:paraId="5CF878E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757" w:type="dxa"/>
            <w:noWrap/>
            <w:hideMark/>
          </w:tcPr>
          <w:p w14:paraId="4344187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100%</w:t>
            </w:r>
          </w:p>
        </w:tc>
        <w:tc>
          <w:tcPr>
            <w:tcW w:w="741" w:type="dxa"/>
            <w:noWrap/>
            <w:hideMark/>
          </w:tcPr>
          <w:p w14:paraId="266BEE3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757" w:type="dxa"/>
            <w:noWrap/>
            <w:hideMark/>
          </w:tcPr>
          <w:p w14:paraId="159F85E9"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100%</w:t>
            </w:r>
          </w:p>
        </w:tc>
        <w:tc>
          <w:tcPr>
            <w:tcW w:w="649" w:type="dxa"/>
            <w:noWrap/>
            <w:hideMark/>
          </w:tcPr>
          <w:p w14:paraId="23E0F6C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642" w:type="dxa"/>
            <w:noWrap/>
            <w:hideMark/>
          </w:tcPr>
          <w:p w14:paraId="08677CBF"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c>
          <w:tcPr>
            <w:tcW w:w="899" w:type="dxa"/>
            <w:noWrap/>
            <w:hideMark/>
          </w:tcPr>
          <w:p w14:paraId="0529601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99%</w:t>
            </w:r>
          </w:p>
        </w:tc>
      </w:tr>
      <w:tr w:rsidR="000361B9" w:rsidRPr="00BC790C" w14:paraId="1883DB46" w14:textId="77777777" w:rsidTr="00B42F77">
        <w:trPr>
          <w:trHeight w:val="304"/>
        </w:trPr>
        <w:tc>
          <w:tcPr>
            <w:tcW w:w="2628" w:type="dxa"/>
            <w:noWrap/>
            <w:hideMark/>
          </w:tcPr>
          <w:p w14:paraId="6AA2CFA4"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Non-res parent (20) %</w:t>
            </w:r>
          </w:p>
        </w:tc>
        <w:tc>
          <w:tcPr>
            <w:tcW w:w="642" w:type="dxa"/>
            <w:noWrap/>
            <w:hideMark/>
          </w:tcPr>
          <w:p w14:paraId="0304C12A"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56%</w:t>
            </w:r>
          </w:p>
        </w:tc>
        <w:tc>
          <w:tcPr>
            <w:tcW w:w="685" w:type="dxa"/>
            <w:noWrap/>
            <w:hideMark/>
          </w:tcPr>
          <w:p w14:paraId="68732206"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63%</w:t>
            </w:r>
          </w:p>
        </w:tc>
        <w:tc>
          <w:tcPr>
            <w:tcW w:w="642" w:type="dxa"/>
            <w:noWrap/>
            <w:hideMark/>
          </w:tcPr>
          <w:p w14:paraId="23ED421C"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66%</w:t>
            </w:r>
          </w:p>
        </w:tc>
        <w:tc>
          <w:tcPr>
            <w:tcW w:w="757" w:type="dxa"/>
            <w:noWrap/>
            <w:hideMark/>
          </w:tcPr>
          <w:p w14:paraId="600DF54D"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57%</w:t>
            </w:r>
          </w:p>
        </w:tc>
        <w:tc>
          <w:tcPr>
            <w:tcW w:w="741" w:type="dxa"/>
            <w:noWrap/>
            <w:hideMark/>
          </w:tcPr>
          <w:p w14:paraId="12886F9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56%</w:t>
            </w:r>
          </w:p>
        </w:tc>
        <w:tc>
          <w:tcPr>
            <w:tcW w:w="757" w:type="dxa"/>
            <w:noWrap/>
            <w:hideMark/>
          </w:tcPr>
          <w:p w14:paraId="172E3E9D"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66%</w:t>
            </w:r>
          </w:p>
        </w:tc>
        <w:tc>
          <w:tcPr>
            <w:tcW w:w="649" w:type="dxa"/>
            <w:noWrap/>
            <w:hideMark/>
          </w:tcPr>
          <w:p w14:paraId="6424D47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59%</w:t>
            </w:r>
          </w:p>
        </w:tc>
        <w:tc>
          <w:tcPr>
            <w:tcW w:w="642" w:type="dxa"/>
            <w:noWrap/>
            <w:hideMark/>
          </w:tcPr>
          <w:p w14:paraId="73F6D0DC"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68%</w:t>
            </w:r>
          </w:p>
        </w:tc>
        <w:tc>
          <w:tcPr>
            <w:tcW w:w="899" w:type="dxa"/>
            <w:noWrap/>
            <w:hideMark/>
          </w:tcPr>
          <w:p w14:paraId="5EB771A5"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60%</w:t>
            </w:r>
          </w:p>
        </w:tc>
      </w:tr>
      <w:tr w:rsidR="000361B9" w:rsidRPr="00BC790C" w14:paraId="2177DA0B" w14:textId="77777777" w:rsidTr="00B42F77">
        <w:trPr>
          <w:trHeight w:val="304"/>
        </w:trPr>
        <w:tc>
          <w:tcPr>
            <w:tcW w:w="2628" w:type="dxa"/>
            <w:noWrap/>
            <w:hideMark/>
          </w:tcPr>
          <w:p w14:paraId="28CCD6AC"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Resident parent (50) %</w:t>
            </w:r>
          </w:p>
        </w:tc>
        <w:tc>
          <w:tcPr>
            <w:tcW w:w="642" w:type="dxa"/>
            <w:noWrap/>
            <w:hideMark/>
          </w:tcPr>
          <w:p w14:paraId="55545149"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86%</w:t>
            </w:r>
          </w:p>
        </w:tc>
        <w:tc>
          <w:tcPr>
            <w:tcW w:w="685" w:type="dxa"/>
            <w:noWrap/>
            <w:hideMark/>
          </w:tcPr>
          <w:p w14:paraId="1EBF3E5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88%</w:t>
            </w:r>
          </w:p>
        </w:tc>
        <w:tc>
          <w:tcPr>
            <w:tcW w:w="642" w:type="dxa"/>
            <w:noWrap/>
            <w:hideMark/>
          </w:tcPr>
          <w:p w14:paraId="29C6EA1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89%</w:t>
            </w:r>
          </w:p>
        </w:tc>
        <w:tc>
          <w:tcPr>
            <w:tcW w:w="757" w:type="dxa"/>
            <w:noWrap/>
            <w:hideMark/>
          </w:tcPr>
          <w:p w14:paraId="4F0E67F0"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87%</w:t>
            </w:r>
          </w:p>
        </w:tc>
        <w:tc>
          <w:tcPr>
            <w:tcW w:w="741" w:type="dxa"/>
            <w:noWrap/>
            <w:hideMark/>
          </w:tcPr>
          <w:p w14:paraId="76B65340"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86%</w:t>
            </w:r>
          </w:p>
        </w:tc>
        <w:tc>
          <w:tcPr>
            <w:tcW w:w="757" w:type="dxa"/>
            <w:noWrap/>
            <w:hideMark/>
          </w:tcPr>
          <w:p w14:paraId="4BA4C220"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89%</w:t>
            </w:r>
          </w:p>
        </w:tc>
        <w:tc>
          <w:tcPr>
            <w:tcW w:w="649" w:type="dxa"/>
            <w:noWrap/>
            <w:hideMark/>
          </w:tcPr>
          <w:p w14:paraId="0AB8137B"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86%</w:t>
            </w:r>
          </w:p>
        </w:tc>
        <w:tc>
          <w:tcPr>
            <w:tcW w:w="642" w:type="dxa"/>
            <w:noWrap/>
            <w:hideMark/>
          </w:tcPr>
          <w:p w14:paraId="52CFFE9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89%</w:t>
            </w:r>
          </w:p>
        </w:tc>
        <w:tc>
          <w:tcPr>
            <w:tcW w:w="899" w:type="dxa"/>
            <w:noWrap/>
            <w:hideMark/>
          </w:tcPr>
          <w:p w14:paraId="1066EDC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87%</w:t>
            </w:r>
          </w:p>
        </w:tc>
      </w:tr>
      <w:tr w:rsidR="000361B9" w:rsidRPr="00BC790C" w14:paraId="48817046" w14:textId="77777777" w:rsidTr="00B42F77">
        <w:trPr>
          <w:trHeight w:val="304"/>
        </w:trPr>
        <w:tc>
          <w:tcPr>
            <w:tcW w:w="2628" w:type="dxa"/>
            <w:noWrap/>
            <w:hideMark/>
          </w:tcPr>
          <w:p w14:paraId="232844D0" w14:textId="77777777" w:rsidR="00FD1DFD" w:rsidRPr="00CE0CE4" w:rsidRDefault="00FD1DFD" w:rsidP="00B42F77">
            <w:pPr>
              <w:suppressAutoHyphens w:val="0"/>
              <w:spacing w:before="0" w:line="360" w:lineRule="auto"/>
              <w:jc w:val="left"/>
              <w:rPr>
                <w:rFonts w:eastAsia="Times New Roman" w:cs="Arial"/>
                <w:color w:val="000000"/>
                <w:szCs w:val="20"/>
                <w:lang w:eastAsia="en-AU"/>
              </w:rPr>
            </w:pPr>
            <w:r w:rsidRPr="00CE0CE4">
              <w:rPr>
                <w:rFonts w:eastAsia="Times New Roman" w:cs="Arial"/>
                <w:color w:val="000000"/>
                <w:szCs w:val="20"/>
                <w:lang w:eastAsia="en-AU"/>
              </w:rPr>
              <w:t>Non-res parent (50) %</w:t>
            </w:r>
          </w:p>
        </w:tc>
        <w:tc>
          <w:tcPr>
            <w:tcW w:w="642" w:type="dxa"/>
            <w:noWrap/>
            <w:hideMark/>
          </w:tcPr>
          <w:p w14:paraId="5AE4A924"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87%</w:t>
            </w:r>
          </w:p>
        </w:tc>
        <w:tc>
          <w:tcPr>
            <w:tcW w:w="685" w:type="dxa"/>
            <w:noWrap/>
            <w:hideMark/>
          </w:tcPr>
          <w:p w14:paraId="1139B22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89%</w:t>
            </w:r>
          </w:p>
        </w:tc>
        <w:tc>
          <w:tcPr>
            <w:tcW w:w="642" w:type="dxa"/>
            <w:noWrap/>
            <w:hideMark/>
          </w:tcPr>
          <w:p w14:paraId="6D74677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90%</w:t>
            </w:r>
          </w:p>
        </w:tc>
        <w:tc>
          <w:tcPr>
            <w:tcW w:w="757" w:type="dxa"/>
            <w:noWrap/>
            <w:hideMark/>
          </w:tcPr>
          <w:p w14:paraId="25B2569D"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88%</w:t>
            </w:r>
          </w:p>
        </w:tc>
        <w:tc>
          <w:tcPr>
            <w:tcW w:w="741" w:type="dxa"/>
            <w:noWrap/>
            <w:hideMark/>
          </w:tcPr>
          <w:p w14:paraId="45B18DCA"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87%</w:t>
            </w:r>
          </w:p>
        </w:tc>
        <w:tc>
          <w:tcPr>
            <w:tcW w:w="757" w:type="dxa"/>
            <w:noWrap/>
            <w:hideMark/>
          </w:tcPr>
          <w:p w14:paraId="47996688"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90%</w:t>
            </w:r>
          </w:p>
        </w:tc>
        <w:tc>
          <w:tcPr>
            <w:tcW w:w="649" w:type="dxa"/>
            <w:noWrap/>
            <w:hideMark/>
          </w:tcPr>
          <w:p w14:paraId="62FF5BAD"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87%</w:t>
            </w:r>
          </w:p>
        </w:tc>
        <w:tc>
          <w:tcPr>
            <w:tcW w:w="642" w:type="dxa"/>
            <w:noWrap/>
            <w:hideMark/>
          </w:tcPr>
          <w:p w14:paraId="796CE7BE"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90%</w:t>
            </w:r>
          </w:p>
        </w:tc>
        <w:tc>
          <w:tcPr>
            <w:tcW w:w="899" w:type="dxa"/>
            <w:noWrap/>
            <w:hideMark/>
          </w:tcPr>
          <w:p w14:paraId="62035371" w14:textId="77777777" w:rsidR="00FD1DFD" w:rsidRPr="00CE0CE4" w:rsidRDefault="00FD1DFD" w:rsidP="00B42F77">
            <w:pPr>
              <w:suppressAutoHyphens w:val="0"/>
              <w:spacing w:before="0" w:line="360" w:lineRule="auto"/>
              <w:jc w:val="right"/>
              <w:rPr>
                <w:rFonts w:eastAsia="Times New Roman" w:cs="Arial"/>
                <w:color w:val="000000"/>
                <w:szCs w:val="20"/>
                <w:lang w:eastAsia="en-AU"/>
              </w:rPr>
            </w:pPr>
            <w:r w:rsidRPr="00CE0CE4">
              <w:rPr>
                <w:rFonts w:eastAsia="Times New Roman" w:cs="Arial"/>
                <w:color w:val="000000"/>
                <w:szCs w:val="20"/>
                <w:lang w:eastAsia="en-AU"/>
              </w:rPr>
              <w:t>88%</w:t>
            </w:r>
          </w:p>
        </w:tc>
      </w:tr>
    </w:tbl>
    <w:p w14:paraId="5BF115D3" w14:textId="54EAFAE1" w:rsidR="00465219" w:rsidRDefault="00E04633" w:rsidP="00465219">
      <w:pPr>
        <w:pStyle w:val="FigureNotes"/>
      </w:pPr>
      <w:r>
        <w:t>Source: Henman (2005)</w:t>
      </w:r>
      <w:r w:rsidR="00B93AC3">
        <w:t>, p.17, Table 7</w:t>
      </w:r>
      <w:r w:rsidR="00FF08F5">
        <w:t>.</w:t>
      </w:r>
    </w:p>
    <w:p w14:paraId="07658FC5" w14:textId="20AE5B4B" w:rsidR="00D83713" w:rsidRDefault="00014191" w:rsidP="004E50E8">
      <w:pPr>
        <w:pStyle w:val="Heading5"/>
      </w:pPr>
      <w:r>
        <w:t>International studies</w:t>
      </w:r>
    </w:p>
    <w:p w14:paraId="4C2E65CD" w14:textId="21FA4FE1" w:rsidR="00A13E83" w:rsidRDefault="001D7FA5" w:rsidP="001D7FA5">
      <w:pPr>
        <w:pStyle w:val="BodyText"/>
        <w:spacing w:line="276" w:lineRule="auto"/>
        <w:rPr>
          <w:rFonts w:cs="Arial"/>
        </w:rPr>
      </w:pPr>
      <w:r>
        <w:rPr>
          <w:rFonts w:cs="Arial"/>
          <w:lang w:bidi="ar-SA"/>
        </w:rPr>
        <w:t>Our review found</w:t>
      </w:r>
      <w:r w:rsidR="00B6702D">
        <w:rPr>
          <w:rFonts w:cs="Arial"/>
          <w:lang w:bidi="ar-SA"/>
        </w:rPr>
        <w:t xml:space="preserve"> t</w:t>
      </w:r>
      <w:r w:rsidR="00E3640B">
        <w:rPr>
          <w:rFonts w:cs="Arial"/>
          <w:lang w:bidi="ar-SA"/>
        </w:rPr>
        <w:t>hree</w:t>
      </w:r>
      <w:r w:rsidR="00C35B0D">
        <w:rPr>
          <w:rFonts w:cs="Arial"/>
          <w:lang w:bidi="ar-SA"/>
        </w:rPr>
        <w:t xml:space="preserve"> </w:t>
      </w:r>
      <w:r w:rsidR="00934470">
        <w:rPr>
          <w:rFonts w:cs="Arial"/>
          <w:lang w:bidi="ar-SA"/>
        </w:rPr>
        <w:t xml:space="preserve">European </w:t>
      </w:r>
      <w:r w:rsidR="00B6702D">
        <w:rPr>
          <w:rFonts w:cs="Arial"/>
          <w:lang w:bidi="ar-SA"/>
        </w:rPr>
        <w:t>studies</w:t>
      </w:r>
      <w:r w:rsidR="00566891">
        <w:rPr>
          <w:rFonts w:cs="Arial"/>
          <w:lang w:bidi="ar-SA"/>
        </w:rPr>
        <w:t xml:space="preserve"> </w:t>
      </w:r>
      <w:r w:rsidR="005A5804">
        <w:rPr>
          <w:rFonts w:cs="Arial"/>
          <w:lang w:bidi="ar-SA"/>
        </w:rPr>
        <w:t>(</w:t>
      </w:r>
      <w:r w:rsidR="005A5804" w:rsidRPr="00C35B0D">
        <w:rPr>
          <w:rFonts w:cs="Arial"/>
        </w:rPr>
        <w:t>Martin and Périvier</w:t>
      </w:r>
      <w:r w:rsidR="005A5804">
        <w:rPr>
          <w:rFonts w:cs="Arial"/>
        </w:rPr>
        <w:t xml:space="preserve">, 2018; Rapp and </w:t>
      </w:r>
      <w:proofErr w:type="spellStart"/>
      <w:r w:rsidR="003B29BC" w:rsidRPr="00E4255C">
        <w:t>Thévenon</w:t>
      </w:r>
      <w:proofErr w:type="spellEnd"/>
      <w:r w:rsidR="005A5804">
        <w:rPr>
          <w:rFonts w:cs="Arial"/>
        </w:rPr>
        <w:t xml:space="preserve">, </w:t>
      </w:r>
      <w:r w:rsidR="000177F8">
        <w:rPr>
          <w:rFonts w:cs="Arial"/>
        </w:rPr>
        <w:t>unpublished</w:t>
      </w:r>
      <w:r w:rsidR="00E3640B">
        <w:rPr>
          <w:rFonts w:cs="Arial"/>
        </w:rPr>
        <w:t xml:space="preserve">; </w:t>
      </w:r>
      <w:r w:rsidR="00C747DA">
        <w:rPr>
          <w:rFonts w:cs="Arial"/>
        </w:rPr>
        <w:t>Hill and Hirsch, 2024</w:t>
      </w:r>
      <w:r w:rsidR="005A5804">
        <w:rPr>
          <w:rFonts w:cs="Arial"/>
        </w:rPr>
        <w:t>)</w:t>
      </w:r>
      <w:r w:rsidR="007313B3">
        <w:rPr>
          <w:rFonts w:cs="Arial"/>
        </w:rPr>
        <w:t xml:space="preserve"> and one study from the U</w:t>
      </w:r>
      <w:r w:rsidR="00637C9D">
        <w:rPr>
          <w:rFonts w:cs="Arial"/>
        </w:rPr>
        <w:t>SA</w:t>
      </w:r>
      <w:r w:rsidR="007313B3">
        <w:rPr>
          <w:rFonts w:cs="Arial"/>
        </w:rPr>
        <w:t xml:space="preserve"> (</w:t>
      </w:r>
      <w:r w:rsidR="00B93280">
        <w:rPr>
          <w:rFonts w:cs="Arial"/>
        </w:rPr>
        <w:t>Osborne</w:t>
      </w:r>
      <w:r w:rsidR="00E706B0">
        <w:rPr>
          <w:rFonts w:cs="Arial"/>
        </w:rPr>
        <w:t>, Wu and Benson</w:t>
      </w:r>
      <w:r w:rsidR="00C12510">
        <w:rPr>
          <w:rFonts w:cs="Arial"/>
        </w:rPr>
        <w:t>, 2021)</w:t>
      </w:r>
      <w:r w:rsidR="005A5804">
        <w:rPr>
          <w:rFonts w:cs="Arial"/>
        </w:rPr>
        <w:t xml:space="preserve"> </w:t>
      </w:r>
      <w:r w:rsidR="00566891">
        <w:rPr>
          <w:rFonts w:cs="Arial"/>
          <w:lang w:bidi="ar-SA"/>
        </w:rPr>
        <w:t>that</w:t>
      </w:r>
      <w:r w:rsidR="00934470">
        <w:rPr>
          <w:rFonts w:cs="Arial"/>
          <w:lang w:bidi="ar-SA"/>
        </w:rPr>
        <w:t xml:space="preserve"> estimate</w:t>
      </w:r>
      <w:r w:rsidR="005C6272">
        <w:rPr>
          <w:rFonts w:cs="Arial"/>
          <w:lang w:bidi="ar-SA"/>
        </w:rPr>
        <w:t>d</w:t>
      </w:r>
      <w:r w:rsidR="00934470">
        <w:rPr>
          <w:rFonts w:cs="Arial"/>
          <w:lang w:bidi="ar-SA"/>
        </w:rPr>
        <w:t xml:space="preserve"> </w:t>
      </w:r>
      <w:r w:rsidR="00132D84">
        <w:rPr>
          <w:rFonts w:cs="Arial"/>
          <w:lang w:bidi="ar-SA"/>
        </w:rPr>
        <w:t>costs</w:t>
      </w:r>
      <w:r w:rsidR="00934470">
        <w:rPr>
          <w:rFonts w:cs="Arial"/>
          <w:lang w:bidi="ar-SA"/>
        </w:rPr>
        <w:t xml:space="preserve"> for children in shared care arrangements</w:t>
      </w:r>
      <w:r w:rsidR="00651F03">
        <w:rPr>
          <w:rFonts w:cs="Arial"/>
          <w:lang w:bidi="ar-SA"/>
        </w:rPr>
        <w:t>.</w:t>
      </w:r>
      <w:r w:rsidR="00C35B0D">
        <w:rPr>
          <w:rFonts w:cs="Arial"/>
          <w:lang w:bidi="ar-SA"/>
        </w:rPr>
        <w:t xml:space="preserve"> </w:t>
      </w:r>
      <w:r w:rsidR="003E35EF">
        <w:rPr>
          <w:rFonts w:cs="Arial"/>
        </w:rPr>
        <w:t>Like Henman (2005</w:t>
      </w:r>
      <w:r w:rsidR="00110FED">
        <w:rPr>
          <w:rFonts w:cs="Arial"/>
        </w:rPr>
        <w:t>)</w:t>
      </w:r>
      <w:r w:rsidR="003E35EF">
        <w:rPr>
          <w:rFonts w:cs="Arial"/>
        </w:rPr>
        <w:t xml:space="preserve">, </w:t>
      </w:r>
      <w:r w:rsidR="00651F03">
        <w:rPr>
          <w:rFonts w:cs="Arial"/>
        </w:rPr>
        <w:t xml:space="preserve">all </w:t>
      </w:r>
      <w:r w:rsidR="007A20D1">
        <w:rPr>
          <w:rFonts w:cs="Arial"/>
        </w:rPr>
        <w:t xml:space="preserve">studies </w:t>
      </w:r>
      <w:r w:rsidR="003E35EF">
        <w:rPr>
          <w:rFonts w:cs="Arial"/>
        </w:rPr>
        <w:t>f</w:t>
      </w:r>
      <w:r w:rsidR="00132D84">
        <w:rPr>
          <w:rFonts w:cs="Arial"/>
        </w:rPr>
        <w:t>ound</w:t>
      </w:r>
      <w:r w:rsidR="003E35EF">
        <w:rPr>
          <w:rFonts w:cs="Arial"/>
        </w:rPr>
        <w:t xml:space="preserve"> that </w:t>
      </w:r>
      <w:r w:rsidR="00FE21C9">
        <w:rPr>
          <w:rFonts w:cs="Arial"/>
        </w:rPr>
        <w:t>non-resident children have a ‘non-negligible</w:t>
      </w:r>
      <w:r w:rsidR="008F17AC">
        <w:rPr>
          <w:rFonts w:cs="Arial"/>
        </w:rPr>
        <w:t>’</w:t>
      </w:r>
      <w:r w:rsidR="00FE21C9">
        <w:rPr>
          <w:rFonts w:cs="Arial"/>
        </w:rPr>
        <w:t xml:space="preserve"> cost for both couple and single parent families.</w:t>
      </w:r>
    </w:p>
    <w:p w14:paraId="199966AA" w14:textId="584B1C03" w:rsidR="00C35B0D" w:rsidRDefault="003E35EF" w:rsidP="001D7FA5">
      <w:pPr>
        <w:pStyle w:val="BodyText"/>
        <w:spacing w:line="276" w:lineRule="auto"/>
        <w:rPr>
          <w:rFonts w:cs="Arial"/>
        </w:rPr>
      </w:pPr>
      <w:r>
        <w:rPr>
          <w:rFonts w:cs="Arial"/>
        </w:rPr>
        <w:t xml:space="preserve">Martin and </w:t>
      </w:r>
      <w:proofErr w:type="spellStart"/>
      <w:r w:rsidRPr="00C35B0D">
        <w:rPr>
          <w:rFonts w:cs="Arial"/>
        </w:rPr>
        <w:t>Périvier</w:t>
      </w:r>
      <w:proofErr w:type="spellEnd"/>
      <w:r>
        <w:rPr>
          <w:rFonts w:cs="Arial"/>
        </w:rPr>
        <w:t xml:space="preserve"> (2018) </w:t>
      </w:r>
      <w:r w:rsidR="00A13E83">
        <w:rPr>
          <w:rFonts w:cs="Arial"/>
        </w:rPr>
        <w:t>use</w:t>
      </w:r>
      <w:r w:rsidR="00BF47FC">
        <w:rPr>
          <w:rFonts w:cs="Arial"/>
        </w:rPr>
        <w:t>d</w:t>
      </w:r>
      <w:r w:rsidR="00A13E83">
        <w:rPr>
          <w:rFonts w:cs="Arial"/>
        </w:rPr>
        <w:t xml:space="preserve"> two expenditure approaches</w:t>
      </w:r>
      <w:r w:rsidR="009C3D5B">
        <w:rPr>
          <w:rFonts w:cs="Arial"/>
        </w:rPr>
        <w:t xml:space="preserve"> (a multi-linear regression and a </w:t>
      </w:r>
      <w:r w:rsidR="001710A9">
        <w:rPr>
          <w:rFonts w:cs="Arial"/>
        </w:rPr>
        <w:t>non-parametric</w:t>
      </w:r>
      <w:r w:rsidR="009C3D5B">
        <w:rPr>
          <w:rFonts w:cs="Arial"/>
        </w:rPr>
        <w:t xml:space="preserve"> </w:t>
      </w:r>
      <w:r w:rsidR="00997E94">
        <w:rPr>
          <w:rFonts w:cs="Arial"/>
        </w:rPr>
        <w:t>model)</w:t>
      </w:r>
      <w:r w:rsidR="00A13E83">
        <w:rPr>
          <w:rFonts w:cs="Arial"/>
        </w:rPr>
        <w:t xml:space="preserve"> </w:t>
      </w:r>
      <w:r w:rsidR="00CD1015">
        <w:rPr>
          <w:rFonts w:cs="Arial"/>
        </w:rPr>
        <w:t>to estimate this cost and f</w:t>
      </w:r>
      <w:r w:rsidR="00BF47FC">
        <w:rPr>
          <w:rFonts w:cs="Arial"/>
        </w:rPr>
        <w:t>ound</w:t>
      </w:r>
      <w:r w:rsidR="00CD1015">
        <w:rPr>
          <w:rFonts w:cs="Arial"/>
        </w:rPr>
        <w:t xml:space="preserve"> that </w:t>
      </w:r>
      <w:r>
        <w:t xml:space="preserve">the biggest drivers of cost for non-resident parents </w:t>
      </w:r>
      <w:r w:rsidR="001450BB">
        <w:t>we</w:t>
      </w:r>
      <w:r>
        <w:t>re transport, leisure and culture, housing and clothing</w:t>
      </w:r>
      <w:r>
        <w:rPr>
          <w:rFonts w:cs="Arial"/>
        </w:rPr>
        <w:t>.</w:t>
      </w:r>
      <w:r w:rsidR="00407FC6">
        <w:rPr>
          <w:rFonts w:cs="Arial"/>
        </w:rPr>
        <w:t xml:space="preserve"> Table </w:t>
      </w:r>
      <w:r w:rsidR="00AB62BA">
        <w:rPr>
          <w:rFonts w:cs="Arial"/>
        </w:rPr>
        <w:t>1</w:t>
      </w:r>
      <w:r w:rsidR="00461EF6">
        <w:rPr>
          <w:rFonts w:cs="Arial"/>
        </w:rPr>
        <w:t>0</w:t>
      </w:r>
      <w:r w:rsidR="00407FC6">
        <w:rPr>
          <w:rFonts w:cs="Arial"/>
        </w:rPr>
        <w:t xml:space="preserve"> </w:t>
      </w:r>
      <w:r w:rsidR="00AB62BA">
        <w:rPr>
          <w:rFonts w:cs="Arial"/>
        </w:rPr>
        <w:t xml:space="preserve">in </w:t>
      </w:r>
      <w:r w:rsidR="00407FC6">
        <w:rPr>
          <w:rFonts w:cs="Arial"/>
        </w:rPr>
        <w:t xml:space="preserve">Appendix 2 contains estimates </w:t>
      </w:r>
      <w:r w:rsidR="00EA0AD1">
        <w:rPr>
          <w:rFonts w:cs="Arial"/>
        </w:rPr>
        <w:t xml:space="preserve">from this study. </w:t>
      </w:r>
    </w:p>
    <w:p w14:paraId="7785B110" w14:textId="6CE1EF76" w:rsidR="00651F03" w:rsidRDefault="004A513F" w:rsidP="001D7FA5">
      <w:pPr>
        <w:pStyle w:val="BodyText"/>
        <w:spacing w:line="276" w:lineRule="auto"/>
        <w:rPr>
          <w:rFonts w:cs="Arial"/>
        </w:rPr>
      </w:pPr>
      <w:r>
        <w:rPr>
          <w:rFonts w:cs="Arial"/>
        </w:rPr>
        <w:t xml:space="preserve">Osborne </w:t>
      </w:r>
      <w:r w:rsidR="00926089">
        <w:rPr>
          <w:rFonts w:cs="Arial"/>
        </w:rPr>
        <w:t>and colleagues</w:t>
      </w:r>
      <w:r>
        <w:rPr>
          <w:rFonts w:cs="Arial"/>
        </w:rPr>
        <w:t xml:space="preserve"> (2021) </w:t>
      </w:r>
      <w:r w:rsidR="00993B2E">
        <w:rPr>
          <w:rFonts w:cs="Arial"/>
        </w:rPr>
        <w:t xml:space="preserve">build on </w:t>
      </w:r>
      <w:r w:rsidR="003C7462">
        <w:rPr>
          <w:rFonts w:cs="Arial"/>
        </w:rPr>
        <w:t xml:space="preserve">the USDA’s </w:t>
      </w:r>
      <w:r w:rsidR="0035494F">
        <w:rPr>
          <w:rFonts w:cs="Arial"/>
        </w:rPr>
        <w:t>annu</w:t>
      </w:r>
      <w:r w:rsidR="004869BD">
        <w:rPr>
          <w:rFonts w:cs="Arial"/>
        </w:rPr>
        <w:t>al estimate of families’ expenditure on children (Lino et al</w:t>
      </w:r>
      <w:r w:rsidR="00926089">
        <w:rPr>
          <w:rFonts w:cs="Arial"/>
        </w:rPr>
        <w:t>.</w:t>
      </w:r>
      <w:r w:rsidR="004869BD">
        <w:rPr>
          <w:rFonts w:cs="Arial"/>
        </w:rPr>
        <w:t xml:space="preserve">, 2017) </w:t>
      </w:r>
      <w:r w:rsidR="00A8789F">
        <w:rPr>
          <w:rFonts w:cs="Arial"/>
        </w:rPr>
        <w:t xml:space="preserve">to </w:t>
      </w:r>
      <w:r w:rsidR="00BF3E02">
        <w:rPr>
          <w:rFonts w:cs="Arial"/>
        </w:rPr>
        <w:t>estimate expenditures on children in shared care arrangements in Texas</w:t>
      </w:r>
      <w:r w:rsidR="00621F25">
        <w:rPr>
          <w:rFonts w:cs="Arial"/>
        </w:rPr>
        <w:t>, USA</w:t>
      </w:r>
      <w:r w:rsidR="00BF3E02">
        <w:rPr>
          <w:rFonts w:cs="Arial"/>
        </w:rPr>
        <w:t xml:space="preserve">. </w:t>
      </w:r>
      <w:r w:rsidR="000952A2">
        <w:rPr>
          <w:rFonts w:cs="Arial"/>
        </w:rPr>
        <w:t xml:space="preserve">Under the assumption that the non-resident parent </w:t>
      </w:r>
      <w:r w:rsidR="003E6E2B">
        <w:rPr>
          <w:rFonts w:cs="Arial"/>
        </w:rPr>
        <w:t>cares</w:t>
      </w:r>
      <w:r w:rsidR="007A05BB">
        <w:rPr>
          <w:rFonts w:cs="Arial"/>
        </w:rPr>
        <w:t xml:space="preserve"> </w:t>
      </w:r>
      <w:r w:rsidR="003E6E2B">
        <w:rPr>
          <w:rFonts w:cs="Arial"/>
        </w:rPr>
        <w:t xml:space="preserve">for </w:t>
      </w:r>
      <w:r w:rsidR="007A05BB">
        <w:rPr>
          <w:rFonts w:cs="Arial"/>
        </w:rPr>
        <w:t xml:space="preserve">their child for 37% of the time, the authors estimate that </w:t>
      </w:r>
      <w:r w:rsidR="00C050BF">
        <w:rPr>
          <w:rFonts w:cs="Arial"/>
        </w:rPr>
        <w:t xml:space="preserve">the </w:t>
      </w:r>
      <w:r w:rsidR="00163BFB">
        <w:rPr>
          <w:rFonts w:cs="Arial"/>
        </w:rPr>
        <w:t xml:space="preserve">total cost </w:t>
      </w:r>
      <w:r w:rsidR="00C63CAE">
        <w:rPr>
          <w:rFonts w:cs="Arial"/>
        </w:rPr>
        <w:t xml:space="preserve">of a child living across two households is </w:t>
      </w:r>
      <w:r w:rsidR="00962672">
        <w:rPr>
          <w:rFonts w:cs="Arial"/>
        </w:rPr>
        <w:t xml:space="preserve">31% higher than </w:t>
      </w:r>
      <w:r w:rsidR="00327958">
        <w:rPr>
          <w:rFonts w:cs="Arial"/>
        </w:rPr>
        <w:t>a child living with married parents</w:t>
      </w:r>
      <w:r w:rsidR="003E6E2B">
        <w:rPr>
          <w:rFonts w:cs="Arial"/>
        </w:rPr>
        <w:t xml:space="preserve">, and that the non-resident parent bears </w:t>
      </w:r>
      <w:r w:rsidR="00F640FE">
        <w:rPr>
          <w:rFonts w:cs="Arial"/>
        </w:rPr>
        <w:t xml:space="preserve">43% of the total cost of raising the child. </w:t>
      </w:r>
      <w:r w:rsidR="00A71C40">
        <w:rPr>
          <w:rFonts w:cs="Arial"/>
        </w:rPr>
        <w:t xml:space="preserve">The </w:t>
      </w:r>
      <w:r w:rsidR="002528C1">
        <w:rPr>
          <w:rFonts w:cs="Arial"/>
        </w:rPr>
        <w:t xml:space="preserve">authors </w:t>
      </w:r>
      <w:r w:rsidR="00AC06C7">
        <w:rPr>
          <w:rFonts w:cs="Arial"/>
        </w:rPr>
        <w:t xml:space="preserve">argue that </w:t>
      </w:r>
      <w:r w:rsidR="008F15C8">
        <w:rPr>
          <w:rFonts w:cs="Arial"/>
        </w:rPr>
        <w:t xml:space="preserve">the </w:t>
      </w:r>
      <w:r w:rsidR="0046044F">
        <w:rPr>
          <w:rFonts w:cs="Arial"/>
        </w:rPr>
        <w:t>Texas</w:t>
      </w:r>
      <w:r w:rsidR="00AC06C7">
        <w:rPr>
          <w:rFonts w:cs="Arial"/>
        </w:rPr>
        <w:t xml:space="preserve"> </w:t>
      </w:r>
      <w:r w:rsidR="0046044F">
        <w:rPr>
          <w:rFonts w:cs="Arial"/>
        </w:rPr>
        <w:t>C</w:t>
      </w:r>
      <w:r w:rsidR="00AC06C7">
        <w:rPr>
          <w:rFonts w:cs="Arial"/>
        </w:rPr>
        <w:t xml:space="preserve">hild </w:t>
      </w:r>
      <w:r w:rsidR="0046044F">
        <w:rPr>
          <w:rFonts w:cs="Arial"/>
        </w:rPr>
        <w:t>S</w:t>
      </w:r>
      <w:r w:rsidR="00AC06C7">
        <w:rPr>
          <w:rFonts w:cs="Arial"/>
        </w:rPr>
        <w:t xml:space="preserve">upport guidelines </w:t>
      </w:r>
      <w:r w:rsidR="00A35219">
        <w:rPr>
          <w:rFonts w:cs="Arial"/>
        </w:rPr>
        <w:t xml:space="preserve">should be </w:t>
      </w:r>
      <w:r w:rsidR="00F86DA3">
        <w:rPr>
          <w:rFonts w:cs="Arial"/>
        </w:rPr>
        <w:t xml:space="preserve">modified </w:t>
      </w:r>
      <w:r w:rsidR="00AD2CA3">
        <w:rPr>
          <w:rFonts w:cs="Arial"/>
        </w:rPr>
        <w:t>to reflect the</w:t>
      </w:r>
      <w:r w:rsidR="003A17E5">
        <w:rPr>
          <w:rFonts w:cs="Arial"/>
        </w:rPr>
        <w:t xml:space="preserve"> cost of raising children across two households</w:t>
      </w:r>
      <w:r w:rsidR="005E1F7C">
        <w:rPr>
          <w:rFonts w:cs="Arial"/>
        </w:rPr>
        <w:t>, stating that ‘it is particularly important for determining the adequacy of states’ child support guidelines, because in most circumstances it is preferable for a child to spend time in both households</w:t>
      </w:r>
      <w:r w:rsidR="00032DEE">
        <w:rPr>
          <w:rFonts w:cs="Arial"/>
        </w:rPr>
        <w:t>’ (p. 56).</w:t>
      </w:r>
    </w:p>
    <w:p w14:paraId="14746457" w14:textId="761A7D71" w:rsidR="00CD1015" w:rsidRDefault="00CD1015" w:rsidP="00332C5A">
      <w:pPr>
        <w:pStyle w:val="BodyText"/>
        <w:spacing w:line="276" w:lineRule="auto"/>
        <w:rPr>
          <w:rFonts w:cs="Arial"/>
        </w:rPr>
      </w:pPr>
      <w:r>
        <w:rPr>
          <w:rFonts w:cs="Arial"/>
        </w:rPr>
        <w:t xml:space="preserve">Rapp and </w:t>
      </w:r>
      <w:proofErr w:type="spellStart"/>
      <w:r w:rsidR="003B29BC" w:rsidRPr="00E4255C">
        <w:t>Thévenon</w:t>
      </w:r>
      <w:proofErr w:type="spellEnd"/>
      <w:r>
        <w:rPr>
          <w:rFonts w:cs="Arial"/>
        </w:rPr>
        <w:t xml:space="preserve"> (</w:t>
      </w:r>
      <w:r w:rsidR="000177F8">
        <w:rPr>
          <w:rFonts w:cs="Arial"/>
        </w:rPr>
        <w:t>unpublished</w:t>
      </w:r>
      <w:r>
        <w:rPr>
          <w:rFonts w:cs="Arial"/>
        </w:rPr>
        <w:t>) use</w:t>
      </w:r>
      <w:r w:rsidR="001450BB">
        <w:rPr>
          <w:rFonts w:cs="Arial"/>
        </w:rPr>
        <w:t>d</w:t>
      </w:r>
      <w:r>
        <w:rPr>
          <w:rFonts w:cs="Arial"/>
        </w:rPr>
        <w:t xml:space="preserve"> the </w:t>
      </w:r>
      <w:r w:rsidR="001450BB">
        <w:rPr>
          <w:rFonts w:cs="Arial"/>
        </w:rPr>
        <w:t xml:space="preserve">self-reported </w:t>
      </w:r>
      <w:r w:rsidR="005E0ACB">
        <w:rPr>
          <w:rFonts w:cs="Arial"/>
        </w:rPr>
        <w:t>economic wellbeing</w:t>
      </w:r>
      <w:r>
        <w:rPr>
          <w:rFonts w:cs="Arial"/>
        </w:rPr>
        <w:t xml:space="preserve"> approach to estimate</w:t>
      </w:r>
      <w:r w:rsidDel="00900D57">
        <w:rPr>
          <w:rFonts w:cs="Arial"/>
        </w:rPr>
        <w:t xml:space="preserve"> </w:t>
      </w:r>
      <w:r w:rsidR="003733C1">
        <w:rPr>
          <w:rFonts w:cs="Arial"/>
        </w:rPr>
        <w:t>the cost of a child</w:t>
      </w:r>
      <w:r w:rsidR="00073F3B">
        <w:rPr>
          <w:rFonts w:cs="Arial"/>
        </w:rPr>
        <w:t xml:space="preserve"> based on the type of attachment </w:t>
      </w:r>
      <w:r w:rsidR="00CA1149">
        <w:rPr>
          <w:rFonts w:cs="Arial"/>
        </w:rPr>
        <w:t xml:space="preserve">a </w:t>
      </w:r>
      <w:r w:rsidR="00757DCC">
        <w:rPr>
          <w:rFonts w:cs="Arial"/>
        </w:rPr>
        <w:t xml:space="preserve">child </w:t>
      </w:r>
      <w:r w:rsidR="00CA1149">
        <w:rPr>
          <w:rFonts w:cs="Arial"/>
        </w:rPr>
        <w:t>has with</w:t>
      </w:r>
      <w:r w:rsidR="00757DCC">
        <w:rPr>
          <w:rFonts w:cs="Arial"/>
        </w:rPr>
        <w:t xml:space="preserve"> a household</w:t>
      </w:r>
      <w:r>
        <w:rPr>
          <w:rFonts w:cs="Arial"/>
        </w:rPr>
        <w:t>.</w:t>
      </w:r>
      <w:r w:rsidR="00B856F5">
        <w:rPr>
          <w:rFonts w:cs="Arial"/>
        </w:rPr>
        <w:t xml:space="preserve"> </w:t>
      </w:r>
      <w:r w:rsidR="00D567C4">
        <w:rPr>
          <w:rFonts w:cs="Arial"/>
        </w:rPr>
        <w:t xml:space="preserve">A household is </w:t>
      </w:r>
      <w:r w:rsidR="00013D01">
        <w:rPr>
          <w:rFonts w:cs="Arial"/>
        </w:rPr>
        <w:t>classified into</w:t>
      </w:r>
      <w:r w:rsidR="004C170E">
        <w:rPr>
          <w:rFonts w:cs="Arial"/>
        </w:rPr>
        <w:t xml:space="preserve"> three</w:t>
      </w:r>
      <w:r w:rsidR="005D0B0E">
        <w:rPr>
          <w:rFonts w:cs="Arial"/>
        </w:rPr>
        <w:t xml:space="preserve"> categorie</w:t>
      </w:r>
      <w:r w:rsidR="00CA1167">
        <w:rPr>
          <w:rFonts w:cs="Arial"/>
        </w:rPr>
        <w:t>s</w:t>
      </w:r>
      <w:r w:rsidR="00CB3ED6">
        <w:rPr>
          <w:rFonts w:cs="Arial"/>
        </w:rPr>
        <w:t xml:space="preserve"> based on</w:t>
      </w:r>
      <w:r w:rsidR="003F51FE">
        <w:rPr>
          <w:rFonts w:cs="Arial"/>
        </w:rPr>
        <w:t xml:space="preserve"> </w:t>
      </w:r>
      <w:r w:rsidR="006E7369">
        <w:rPr>
          <w:rFonts w:cs="Arial"/>
        </w:rPr>
        <w:t xml:space="preserve">(1) </w:t>
      </w:r>
      <w:r w:rsidR="009E413A">
        <w:rPr>
          <w:rFonts w:cs="Arial"/>
        </w:rPr>
        <w:t xml:space="preserve">a child living </w:t>
      </w:r>
      <w:r w:rsidR="00FF5C9B">
        <w:rPr>
          <w:rFonts w:cs="Arial"/>
        </w:rPr>
        <w:t xml:space="preserve">with </w:t>
      </w:r>
      <w:r w:rsidR="002F37FC">
        <w:rPr>
          <w:rFonts w:cs="Arial"/>
        </w:rPr>
        <w:t xml:space="preserve">one or </w:t>
      </w:r>
      <w:r w:rsidR="00FF5C9B">
        <w:rPr>
          <w:rFonts w:cs="Arial"/>
        </w:rPr>
        <w:t>both parents</w:t>
      </w:r>
      <w:r w:rsidR="005467CB">
        <w:rPr>
          <w:rFonts w:cs="Arial"/>
        </w:rPr>
        <w:t>,</w:t>
      </w:r>
      <w:r w:rsidR="002F37FC">
        <w:rPr>
          <w:rFonts w:cs="Arial"/>
        </w:rPr>
        <w:t xml:space="preserve"> (2) a child </w:t>
      </w:r>
      <w:r w:rsidR="00CA1167">
        <w:rPr>
          <w:rFonts w:cs="Arial"/>
        </w:rPr>
        <w:t>who is</w:t>
      </w:r>
      <w:r w:rsidR="00EB0BF4">
        <w:rPr>
          <w:rFonts w:cs="Arial"/>
        </w:rPr>
        <w:t xml:space="preserve"> a resident in the household but has</w:t>
      </w:r>
      <w:r w:rsidR="006856A7">
        <w:rPr>
          <w:rFonts w:cs="Arial"/>
        </w:rPr>
        <w:t xml:space="preserve"> a</w:t>
      </w:r>
      <w:r w:rsidR="00FF5C9B">
        <w:rPr>
          <w:rFonts w:cs="Arial"/>
        </w:rPr>
        <w:t xml:space="preserve"> </w:t>
      </w:r>
      <w:r w:rsidR="00273AA6">
        <w:rPr>
          <w:rFonts w:cs="Arial"/>
        </w:rPr>
        <w:t>‘</w:t>
      </w:r>
      <w:r w:rsidR="00FF5C9B">
        <w:rPr>
          <w:rFonts w:cs="Arial"/>
        </w:rPr>
        <w:t>parent away</w:t>
      </w:r>
      <w:r w:rsidR="00273AA6">
        <w:rPr>
          <w:rFonts w:cs="Arial"/>
        </w:rPr>
        <w:t>’</w:t>
      </w:r>
      <w:r w:rsidR="006856A7">
        <w:rPr>
          <w:rFonts w:cs="Arial"/>
        </w:rPr>
        <w:t>,</w:t>
      </w:r>
      <w:r w:rsidR="00F11D42">
        <w:rPr>
          <w:rFonts w:cs="Arial"/>
        </w:rPr>
        <w:t xml:space="preserve"> and</w:t>
      </w:r>
      <w:r w:rsidR="00E50C31">
        <w:rPr>
          <w:rFonts w:cs="Arial"/>
        </w:rPr>
        <w:t xml:space="preserve"> (3) a child </w:t>
      </w:r>
      <w:r w:rsidR="00CA1167">
        <w:rPr>
          <w:rFonts w:cs="Arial"/>
        </w:rPr>
        <w:t xml:space="preserve">who </w:t>
      </w:r>
      <w:r w:rsidR="00E50C31">
        <w:rPr>
          <w:rFonts w:cs="Arial"/>
        </w:rPr>
        <w:t xml:space="preserve">is a </w:t>
      </w:r>
      <w:r w:rsidR="00E50C31">
        <w:rPr>
          <w:rFonts w:cs="Arial"/>
        </w:rPr>
        <w:lastRenderedPageBreak/>
        <w:t>non-resident</w:t>
      </w:r>
      <w:r w:rsidR="001229CF">
        <w:rPr>
          <w:rFonts w:cs="Arial"/>
        </w:rPr>
        <w:t>, mainly living with their other parent</w:t>
      </w:r>
      <w:r w:rsidR="00CA1167">
        <w:rPr>
          <w:rFonts w:cs="Arial"/>
        </w:rPr>
        <w:t>.</w:t>
      </w:r>
      <w:r w:rsidR="00E30011">
        <w:rPr>
          <w:rFonts w:cs="Arial"/>
        </w:rPr>
        <w:t xml:space="preserve"> They do not </w:t>
      </w:r>
      <w:r w:rsidR="0029776F">
        <w:rPr>
          <w:rFonts w:cs="Arial"/>
        </w:rPr>
        <w:t xml:space="preserve">distinguish </w:t>
      </w:r>
      <w:r w:rsidR="00097E88">
        <w:rPr>
          <w:rFonts w:cs="Arial"/>
        </w:rPr>
        <w:t xml:space="preserve">by the </w:t>
      </w:r>
      <w:r w:rsidR="00097B8A">
        <w:rPr>
          <w:rFonts w:cs="Arial"/>
        </w:rPr>
        <w:t>proportion</w:t>
      </w:r>
      <w:r w:rsidR="00097E88">
        <w:rPr>
          <w:rFonts w:cs="Arial"/>
        </w:rPr>
        <w:t xml:space="preserve"> of time </w:t>
      </w:r>
      <w:r w:rsidR="00097B8A">
        <w:rPr>
          <w:rFonts w:cs="Arial"/>
        </w:rPr>
        <w:t xml:space="preserve">the parent </w:t>
      </w:r>
      <w:r w:rsidR="00097E88">
        <w:rPr>
          <w:rFonts w:cs="Arial"/>
        </w:rPr>
        <w:t>provid</w:t>
      </w:r>
      <w:r w:rsidR="00097B8A">
        <w:rPr>
          <w:rFonts w:cs="Arial"/>
        </w:rPr>
        <w:t>es</w:t>
      </w:r>
      <w:r w:rsidR="00097E88">
        <w:rPr>
          <w:rFonts w:cs="Arial"/>
        </w:rPr>
        <w:t xml:space="preserve"> care to the child.</w:t>
      </w:r>
      <w:r w:rsidR="00E56BB0">
        <w:rPr>
          <w:rFonts w:cs="Arial"/>
        </w:rPr>
        <w:t xml:space="preserve"> </w:t>
      </w:r>
      <w:r w:rsidR="007046AB">
        <w:rPr>
          <w:rFonts w:cs="Arial"/>
        </w:rPr>
        <w:t>T</w:t>
      </w:r>
      <w:r>
        <w:rPr>
          <w:rFonts w:cs="Arial"/>
        </w:rPr>
        <w:t>he authors estimate</w:t>
      </w:r>
      <w:r w:rsidR="005E0ACB">
        <w:rPr>
          <w:rFonts w:cs="Arial"/>
        </w:rPr>
        <w:t>d</w:t>
      </w:r>
      <w:r>
        <w:rPr>
          <w:rFonts w:cs="Arial"/>
        </w:rPr>
        <w:t xml:space="preserve"> that a couple with one </w:t>
      </w:r>
      <w:r w:rsidR="006D5ABB">
        <w:rPr>
          <w:rFonts w:cs="Arial"/>
        </w:rPr>
        <w:t xml:space="preserve">resident </w:t>
      </w:r>
      <w:r>
        <w:rPr>
          <w:rFonts w:cs="Arial"/>
        </w:rPr>
        <w:t xml:space="preserve">child </w:t>
      </w:r>
      <w:r w:rsidR="0016325B">
        <w:rPr>
          <w:rFonts w:cs="Arial"/>
        </w:rPr>
        <w:t>spen</w:t>
      </w:r>
      <w:r w:rsidR="005E0ACB">
        <w:rPr>
          <w:rFonts w:cs="Arial"/>
        </w:rPr>
        <w:t>d</w:t>
      </w:r>
      <w:r w:rsidR="0016325B">
        <w:rPr>
          <w:rFonts w:cs="Arial"/>
        </w:rPr>
        <w:t xml:space="preserve"> 9</w:t>
      </w:r>
      <w:r w:rsidR="0087087C">
        <w:rPr>
          <w:rFonts w:cs="Arial"/>
        </w:rPr>
        <w:t>4</w:t>
      </w:r>
      <w:r w:rsidR="0016325B">
        <w:rPr>
          <w:rFonts w:cs="Arial"/>
        </w:rPr>
        <w:t>% more than a single</w:t>
      </w:r>
      <w:r w:rsidR="003C29A9">
        <w:rPr>
          <w:rFonts w:cs="Arial"/>
        </w:rPr>
        <w:t xml:space="preserve">-person </w:t>
      </w:r>
      <w:r w:rsidR="0016325B">
        <w:rPr>
          <w:rFonts w:cs="Arial"/>
        </w:rPr>
        <w:t>household</w:t>
      </w:r>
      <w:r w:rsidR="00904934">
        <w:rPr>
          <w:rFonts w:cs="Arial"/>
        </w:rPr>
        <w:t xml:space="preserve">, and a couple with a child living in another household spend </w:t>
      </w:r>
      <w:r w:rsidR="0087087C">
        <w:rPr>
          <w:rFonts w:cs="Arial"/>
        </w:rPr>
        <w:t>8</w:t>
      </w:r>
      <w:r w:rsidR="003C29A9">
        <w:rPr>
          <w:rFonts w:cs="Arial"/>
        </w:rPr>
        <w:t>7% more than a single-person household</w:t>
      </w:r>
      <w:r w:rsidR="001D4008">
        <w:rPr>
          <w:rFonts w:cs="Arial"/>
        </w:rPr>
        <w:t xml:space="preserve"> </w:t>
      </w:r>
      <w:r>
        <w:rPr>
          <w:rFonts w:cs="Arial"/>
        </w:rPr>
        <w:t xml:space="preserve">(Rapp and </w:t>
      </w:r>
      <w:proofErr w:type="spellStart"/>
      <w:r w:rsidR="003B29BC" w:rsidRPr="00E4255C">
        <w:t>Thévenon</w:t>
      </w:r>
      <w:proofErr w:type="spellEnd"/>
      <w:r>
        <w:rPr>
          <w:rFonts w:cs="Arial"/>
        </w:rPr>
        <w:t xml:space="preserve">, </w:t>
      </w:r>
      <w:r w:rsidR="000177F8">
        <w:rPr>
          <w:rFonts w:cs="Arial"/>
        </w:rPr>
        <w:t>unpublished</w:t>
      </w:r>
      <w:r>
        <w:rPr>
          <w:rFonts w:cs="Arial"/>
        </w:rPr>
        <w:t>)</w:t>
      </w:r>
      <w:r w:rsidR="00F22700">
        <w:rPr>
          <w:rFonts w:cs="Arial"/>
        </w:rPr>
        <w:t>. Table</w:t>
      </w:r>
      <w:r w:rsidR="00B90EA8">
        <w:rPr>
          <w:rFonts w:cs="Arial"/>
        </w:rPr>
        <w:t xml:space="preserve"> </w:t>
      </w:r>
      <w:r w:rsidR="00D60238">
        <w:rPr>
          <w:rFonts w:cs="Arial"/>
        </w:rPr>
        <w:t>4</w:t>
      </w:r>
      <w:r w:rsidR="00407FC6">
        <w:rPr>
          <w:rFonts w:cs="Arial"/>
        </w:rPr>
        <w:t xml:space="preserve"> </w:t>
      </w:r>
      <w:r w:rsidR="00F22700">
        <w:rPr>
          <w:rFonts w:cs="Arial"/>
        </w:rPr>
        <w:t>contains estimates</w:t>
      </w:r>
      <w:r w:rsidR="00407FC6">
        <w:rPr>
          <w:rFonts w:cs="Arial"/>
        </w:rPr>
        <w:t xml:space="preserve"> of equivalence scales for separated and blended familie</w:t>
      </w:r>
      <w:r w:rsidR="00EA0AD1">
        <w:rPr>
          <w:rFonts w:cs="Arial"/>
        </w:rPr>
        <w:t xml:space="preserve">s arising from this study. </w:t>
      </w:r>
      <w:r w:rsidR="00C12435">
        <w:rPr>
          <w:rFonts w:cs="Arial"/>
        </w:rPr>
        <w:t xml:space="preserve">The authors conclude that </w:t>
      </w:r>
      <w:r w:rsidR="00A37AA5">
        <w:rPr>
          <w:rFonts w:cs="Arial"/>
        </w:rPr>
        <w:t xml:space="preserve">‘it is therefore important not to ignore that families’ living standards also depend on how the needs of non-resident children are covered’ </w:t>
      </w:r>
      <w:r w:rsidR="00097E88">
        <w:rPr>
          <w:rFonts w:cs="Arial"/>
        </w:rPr>
        <w:t xml:space="preserve">(p.21). </w:t>
      </w:r>
    </w:p>
    <w:p w14:paraId="3D86CCAA" w14:textId="53129402" w:rsidR="00056A36" w:rsidRPr="00A05717" w:rsidRDefault="00056A36" w:rsidP="00056A36">
      <w:pPr>
        <w:pStyle w:val="FigureCaption"/>
        <w:rPr>
          <w:color w:val="E7005E"/>
          <w:lang w:bidi="ar-SA"/>
        </w:rPr>
      </w:pPr>
      <w:r w:rsidRPr="00A05717">
        <w:rPr>
          <w:color w:val="E7005E"/>
        </w:rPr>
        <w:t xml:space="preserve">Table </w:t>
      </w:r>
      <w:r w:rsidR="00D60238" w:rsidRPr="00A05717">
        <w:rPr>
          <w:color w:val="E7005E"/>
        </w:rPr>
        <w:t>4</w:t>
      </w:r>
      <w:r w:rsidRPr="00A05717">
        <w:rPr>
          <w:color w:val="E7005E"/>
        </w:rPr>
        <w:t>: Equivalence scales calculated for single parents and cohabiting parents separately, for the pooled set of countries and France</w:t>
      </w:r>
      <w:r w:rsidR="009965A5" w:rsidRPr="00A05717">
        <w:rPr>
          <w:color w:val="E7005E"/>
        </w:rPr>
        <w:t>, 2021</w:t>
      </w:r>
    </w:p>
    <w:tbl>
      <w:tblPr>
        <w:tblStyle w:val="TableGrid"/>
        <w:tblW w:w="9299" w:type="dxa"/>
        <w:tblLook w:val="04A0" w:firstRow="1" w:lastRow="0" w:firstColumn="1" w:lastColumn="0" w:noHBand="0" w:noVBand="1"/>
      </w:tblPr>
      <w:tblGrid>
        <w:gridCol w:w="3364"/>
        <w:gridCol w:w="1403"/>
        <w:gridCol w:w="1544"/>
        <w:gridCol w:w="1403"/>
        <w:gridCol w:w="1585"/>
      </w:tblGrid>
      <w:tr w:rsidR="00056A36" w:rsidRPr="002131D9" w14:paraId="7F5CEB05" w14:textId="77777777" w:rsidTr="00524142">
        <w:trPr>
          <w:cnfStyle w:val="100000000000" w:firstRow="1" w:lastRow="0" w:firstColumn="0" w:lastColumn="0" w:oddVBand="0" w:evenVBand="0" w:oddHBand="0" w:evenHBand="0" w:firstRowFirstColumn="0" w:firstRowLastColumn="0" w:lastRowFirstColumn="0" w:lastRowLastColumn="0"/>
          <w:trHeight w:val="462"/>
          <w:tblHeader/>
        </w:trPr>
        <w:tc>
          <w:tcPr>
            <w:tcW w:w="3364" w:type="dxa"/>
            <w:noWrap/>
            <w:hideMark/>
          </w:tcPr>
          <w:p w14:paraId="776669B6" w14:textId="77777777" w:rsidR="00056A36" w:rsidRPr="002131D9" w:rsidRDefault="00056A36" w:rsidP="00117D3A">
            <w:pPr>
              <w:suppressAutoHyphens w:val="0"/>
              <w:spacing w:line="240" w:lineRule="auto"/>
              <w:jc w:val="left"/>
              <w:rPr>
                <w:rFonts w:eastAsia="Times New Roman" w:cs="Arial"/>
                <w:color w:val="000000"/>
                <w:szCs w:val="20"/>
                <w:lang w:eastAsia="en-AU"/>
              </w:rPr>
            </w:pPr>
          </w:p>
        </w:tc>
        <w:tc>
          <w:tcPr>
            <w:tcW w:w="2947" w:type="dxa"/>
            <w:gridSpan w:val="2"/>
            <w:noWrap/>
            <w:hideMark/>
          </w:tcPr>
          <w:p w14:paraId="2EF26C72" w14:textId="77777777" w:rsidR="00056A36" w:rsidRPr="00D67A4E" w:rsidRDefault="00056A36" w:rsidP="00117D3A">
            <w:pPr>
              <w:suppressAutoHyphens w:val="0"/>
              <w:spacing w:line="240" w:lineRule="auto"/>
              <w:jc w:val="left"/>
              <w:rPr>
                <w:rFonts w:eastAsia="Times New Roman" w:cs="Arial"/>
                <w:b/>
                <w:bCs/>
                <w:color w:val="FFFFFF" w:themeColor="background1"/>
                <w:szCs w:val="20"/>
                <w:lang w:eastAsia="en-AU"/>
              </w:rPr>
            </w:pPr>
            <w:r>
              <w:rPr>
                <w:rFonts w:eastAsia="Times New Roman" w:cs="Arial"/>
                <w:b/>
                <w:bCs/>
                <w:color w:val="FFFFFF" w:themeColor="background1"/>
                <w:szCs w:val="20"/>
                <w:lang w:eastAsia="en-AU"/>
              </w:rPr>
              <w:t>Europe, pooled *</w:t>
            </w:r>
          </w:p>
        </w:tc>
        <w:tc>
          <w:tcPr>
            <w:tcW w:w="1403" w:type="dxa"/>
            <w:noWrap/>
            <w:hideMark/>
          </w:tcPr>
          <w:p w14:paraId="253718AC" w14:textId="77777777" w:rsidR="00056A36" w:rsidRPr="00D67A4E" w:rsidRDefault="00056A36" w:rsidP="00117D3A">
            <w:pPr>
              <w:suppressAutoHyphens w:val="0"/>
              <w:spacing w:line="240" w:lineRule="auto"/>
              <w:jc w:val="left"/>
              <w:rPr>
                <w:rFonts w:eastAsia="Times New Roman" w:cs="Arial"/>
                <w:b/>
                <w:bCs/>
                <w:color w:val="FFFFFF" w:themeColor="background1"/>
                <w:szCs w:val="20"/>
                <w:lang w:eastAsia="en-AU"/>
              </w:rPr>
            </w:pPr>
          </w:p>
        </w:tc>
        <w:tc>
          <w:tcPr>
            <w:tcW w:w="1585" w:type="dxa"/>
            <w:noWrap/>
            <w:hideMark/>
          </w:tcPr>
          <w:p w14:paraId="4DBA4E5C" w14:textId="77777777" w:rsidR="00056A36" w:rsidRPr="00D67A4E" w:rsidRDefault="00056A36" w:rsidP="00117D3A">
            <w:pPr>
              <w:suppressAutoHyphens w:val="0"/>
              <w:spacing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France</w:t>
            </w:r>
          </w:p>
        </w:tc>
      </w:tr>
      <w:tr w:rsidR="00056A36" w:rsidRPr="002131D9" w14:paraId="30D63271" w14:textId="77777777" w:rsidTr="00117D3A">
        <w:trPr>
          <w:trHeight w:val="462"/>
        </w:trPr>
        <w:tc>
          <w:tcPr>
            <w:tcW w:w="3364" w:type="dxa"/>
            <w:noWrap/>
            <w:hideMark/>
          </w:tcPr>
          <w:p w14:paraId="2AB12996"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1 adult</w:t>
            </w:r>
          </w:p>
        </w:tc>
        <w:tc>
          <w:tcPr>
            <w:tcW w:w="1403" w:type="dxa"/>
            <w:noWrap/>
            <w:hideMark/>
          </w:tcPr>
          <w:p w14:paraId="69952240" w14:textId="77777777" w:rsidR="00056A36" w:rsidRPr="002131D9" w:rsidRDefault="00056A36" w:rsidP="00117D3A">
            <w:pPr>
              <w:suppressAutoHyphens w:val="0"/>
              <w:spacing w:line="240" w:lineRule="auto"/>
              <w:jc w:val="right"/>
              <w:rPr>
                <w:rFonts w:eastAsia="Times New Roman" w:cs="Arial"/>
                <w:color w:val="000000"/>
                <w:szCs w:val="20"/>
                <w:lang w:eastAsia="en-AU"/>
              </w:rPr>
            </w:pPr>
            <w:r w:rsidRPr="002131D9">
              <w:rPr>
                <w:rFonts w:eastAsia="Times New Roman" w:cs="Arial"/>
                <w:color w:val="000000"/>
                <w:szCs w:val="20"/>
                <w:lang w:eastAsia="en-AU"/>
              </w:rPr>
              <w:t>1</w:t>
            </w:r>
          </w:p>
        </w:tc>
        <w:tc>
          <w:tcPr>
            <w:tcW w:w="1543" w:type="dxa"/>
            <w:noWrap/>
            <w:hideMark/>
          </w:tcPr>
          <w:p w14:paraId="194FEB63" w14:textId="77777777" w:rsidR="00056A36" w:rsidRPr="002131D9" w:rsidRDefault="00056A36" w:rsidP="00117D3A">
            <w:pPr>
              <w:suppressAutoHyphens w:val="0"/>
              <w:spacing w:line="240" w:lineRule="auto"/>
              <w:jc w:val="right"/>
              <w:rPr>
                <w:rFonts w:eastAsia="Times New Roman" w:cs="Arial"/>
                <w:color w:val="000000"/>
                <w:szCs w:val="20"/>
                <w:lang w:eastAsia="en-AU"/>
              </w:rPr>
            </w:pPr>
          </w:p>
        </w:tc>
        <w:tc>
          <w:tcPr>
            <w:tcW w:w="1403" w:type="dxa"/>
            <w:noWrap/>
            <w:hideMark/>
          </w:tcPr>
          <w:p w14:paraId="2A05EB4A" w14:textId="77777777" w:rsidR="00056A36" w:rsidRPr="002131D9" w:rsidRDefault="00056A36" w:rsidP="00117D3A">
            <w:pPr>
              <w:suppressAutoHyphens w:val="0"/>
              <w:spacing w:line="240" w:lineRule="auto"/>
              <w:jc w:val="left"/>
              <w:rPr>
                <w:rFonts w:ascii="Times New Roman" w:eastAsia="Times New Roman" w:hAnsi="Times New Roman"/>
                <w:color w:val="auto"/>
                <w:szCs w:val="20"/>
                <w:lang w:eastAsia="en-AU"/>
              </w:rPr>
            </w:pPr>
          </w:p>
        </w:tc>
        <w:tc>
          <w:tcPr>
            <w:tcW w:w="1585" w:type="dxa"/>
            <w:noWrap/>
            <w:hideMark/>
          </w:tcPr>
          <w:p w14:paraId="402043CF" w14:textId="77777777" w:rsidR="00056A36" w:rsidRPr="002131D9" w:rsidRDefault="00056A36" w:rsidP="00117D3A">
            <w:pPr>
              <w:suppressAutoHyphens w:val="0"/>
              <w:spacing w:line="240" w:lineRule="auto"/>
              <w:jc w:val="right"/>
              <w:rPr>
                <w:rFonts w:eastAsia="Times New Roman" w:cs="Arial"/>
                <w:color w:val="000000"/>
                <w:szCs w:val="20"/>
                <w:lang w:eastAsia="en-AU"/>
              </w:rPr>
            </w:pPr>
            <w:r w:rsidRPr="002131D9">
              <w:rPr>
                <w:rFonts w:eastAsia="Times New Roman" w:cs="Arial"/>
                <w:color w:val="000000"/>
                <w:szCs w:val="20"/>
                <w:lang w:eastAsia="en-AU"/>
              </w:rPr>
              <w:t>1</w:t>
            </w:r>
          </w:p>
        </w:tc>
      </w:tr>
      <w:tr w:rsidR="00056A36" w:rsidRPr="002131D9" w14:paraId="73F467CE" w14:textId="77777777" w:rsidTr="00117D3A">
        <w:trPr>
          <w:trHeight w:val="462"/>
        </w:trPr>
        <w:tc>
          <w:tcPr>
            <w:tcW w:w="3364" w:type="dxa"/>
            <w:noWrap/>
            <w:hideMark/>
          </w:tcPr>
          <w:p w14:paraId="2459F584" w14:textId="77777777" w:rsidR="00056A36" w:rsidRPr="002131D9" w:rsidRDefault="00056A36" w:rsidP="00117D3A">
            <w:pPr>
              <w:suppressAutoHyphens w:val="0"/>
              <w:spacing w:line="240" w:lineRule="auto"/>
              <w:jc w:val="right"/>
              <w:rPr>
                <w:rFonts w:eastAsia="Times New Roman" w:cs="Arial"/>
                <w:color w:val="000000"/>
                <w:szCs w:val="20"/>
                <w:lang w:eastAsia="en-AU"/>
              </w:rPr>
            </w:pPr>
          </w:p>
        </w:tc>
        <w:tc>
          <w:tcPr>
            <w:tcW w:w="1403" w:type="dxa"/>
            <w:noWrap/>
            <w:hideMark/>
          </w:tcPr>
          <w:p w14:paraId="2A2C81FA"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Couple</w:t>
            </w:r>
          </w:p>
        </w:tc>
        <w:tc>
          <w:tcPr>
            <w:tcW w:w="1543" w:type="dxa"/>
            <w:noWrap/>
            <w:hideMark/>
          </w:tcPr>
          <w:p w14:paraId="08831011"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Single parent</w:t>
            </w:r>
          </w:p>
        </w:tc>
        <w:tc>
          <w:tcPr>
            <w:tcW w:w="1403" w:type="dxa"/>
            <w:noWrap/>
            <w:hideMark/>
          </w:tcPr>
          <w:p w14:paraId="270C1127"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Couple</w:t>
            </w:r>
          </w:p>
        </w:tc>
        <w:tc>
          <w:tcPr>
            <w:tcW w:w="1585" w:type="dxa"/>
            <w:noWrap/>
            <w:hideMark/>
          </w:tcPr>
          <w:p w14:paraId="14FAC8C2"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Single parent</w:t>
            </w:r>
          </w:p>
        </w:tc>
      </w:tr>
      <w:tr w:rsidR="00056A36" w:rsidRPr="002131D9" w14:paraId="799774D7" w14:textId="77777777" w:rsidTr="00117D3A">
        <w:trPr>
          <w:trHeight w:val="462"/>
        </w:trPr>
        <w:tc>
          <w:tcPr>
            <w:tcW w:w="3364" w:type="dxa"/>
            <w:noWrap/>
            <w:hideMark/>
          </w:tcPr>
          <w:p w14:paraId="023F45EC" w14:textId="77777777" w:rsidR="00056A36" w:rsidRPr="002131D9" w:rsidRDefault="00056A36" w:rsidP="00117D3A">
            <w:pPr>
              <w:suppressAutoHyphens w:val="0"/>
              <w:spacing w:line="240" w:lineRule="auto"/>
              <w:jc w:val="left"/>
              <w:rPr>
                <w:rFonts w:eastAsia="Times New Roman" w:cs="Arial"/>
                <w:color w:val="000000"/>
                <w:szCs w:val="20"/>
                <w:lang w:eastAsia="en-AU"/>
              </w:rPr>
            </w:pPr>
          </w:p>
        </w:tc>
        <w:tc>
          <w:tcPr>
            <w:tcW w:w="1403" w:type="dxa"/>
            <w:noWrap/>
            <w:hideMark/>
          </w:tcPr>
          <w:p w14:paraId="506A1A6B" w14:textId="77777777" w:rsidR="00056A36" w:rsidRPr="002131D9" w:rsidRDefault="00056A36" w:rsidP="00117D3A">
            <w:pPr>
              <w:suppressAutoHyphens w:val="0"/>
              <w:spacing w:line="240" w:lineRule="auto"/>
              <w:jc w:val="center"/>
              <w:rPr>
                <w:rFonts w:ascii="Times New Roman" w:eastAsia="Times New Roman" w:hAnsi="Times New Roman"/>
                <w:color w:val="auto"/>
                <w:szCs w:val="20"/>
                <w:lang w:eastAsia="en-AU"/>
              </w:rPr>
            </w:pPr>
          </w:p>
        </w:tc>
        <w:tc>
          <w:tcPr>
            <w:tcW w:w="1543" w:type="dxa"/>
            <w:noWrap/>
            <w:hideMark/>
          </w:tcPr>
          <w:p w14:paraId="118450BF" w14:textId="77777777" w:rsidR="00056A36" w:rsidRPr="002131D9" w:rsidRDefault="00056A36" w:rsidP="00117D3A">
            <w:pPr>
              <w:suppressAutoHyphens w:val="0"/>
              <w:spacing w:line="240" w:lineRule="auto"/>
              <w:jc w:val="center"/>
              <w:rPr>
                <w:rFonts w:ascii="Times New Roman" w:eastAsia="Times New Roman" w:hAnsi="Times New Roman"/>
                <w:color w:val="auto"/>
                <w:szCs w:val="20"/>
                <w:lang w:eastAsia="en-AU"/>
              </w:rPr>
            </w:pPr>
          </w:p>
        </w:tc>
        <w:tc>
          <w:tcPr>
            <w:tcW w:w="1403" w:type="dxa"/>
            <w:noWrap/>
            <w:hideMark/>
          </w:tcPr>
          <w:p w14:paraId="1C1A59A6" w14:textId="77777777" w:rsidR="00056A36" w:rsidRPr="002131D9" w:rsidRDefault="00056A36" w:rsidP="00117D3A">
            <w:pPr>
              <w:suppressAutoHyphens w:val="0"/>
              <w:spacing w:line="240" w:lineRule="auto"/>
              <w:jc w:val="center"/>
              <w:rPr>
                <w:rFonts w:ascii="Times New Roman" w:eastAsia="Times New Roman" w:hAnsi="Times New Roman"/>
                <w:color w:val="auto"/>
                <w:szCs w:val="20"/>
                <w:lang w:eastAsia="en-AU"/>
              </w:rPr>
            </w:pPr>
          </w:p>
        </w:tc>
        <w:tc>
          <w:tcPr>
            <w:tcW w:w="1585" w:type="dxa"/>
            <w:noWrap/>
            <w:hideMark/>
          </w:tcPr>
          <w:p w14:paraId="39EDF9DD" w14:textId="77777777" w:rsidR="00056A36" w:rsidRPr="002131D9" w:rsidRDefault="00056A36" w:rsidP="00117D3A">
            <w:pPr>
              <w:suppressAutoHyphens w:val="0"/>
              <w:spacing w:line="240" w:lineRule="auto"/>
              <w:jc w:val="center"/>
              <w:rPr>
                <w:rFonts w:ascii="Times New Roman" w:eastAsia="Times New Roman" w:hAnsi="Times New Roman"/>
                <w:color w:val="auto"/>
                <w:szCs w:val="20"/>
                <w:lang w:eastAsia="en-AU"/>
              </w:rPr>
            </w:pPr>
          </w:p>
        </w:tc>
      </w:tr>
      <w:tr w:rsidR="00056A36" w:rsidRPr="002131D9" w14:paraId="55534FF2" w14:textId="77777777" w:rsidTr="00117D3A">
        <w:trPr>
          <w:trHeight w:val="462"/>
        </w:trPr>
        <w:tc>
          <w:tcPr>
            <w:tcW w:w="3364" w:type="dxa"/>
            <w:noWrap/>
            <w:hideMark/>
          </w:tcPr>
          <w:p w14:paraId="426A48FA"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2 adults</w:t>
            </w:r>
          </w:p>
        </w:tc>
        <w:tc>
          <w:tcPr>
            <w:tcW w:w="1403" w:type="dxa"/>
            <w:noWrap/>
            <w:hideMark/>
          </w:tcPr>
          <w:p w14:paraId="027E75D1"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1.39</w:t>
            </w:r>
          </w:p>
        </w:tc>
        <w:tc>
          <w:tcPr>
            <w:tcW w:w="1543" w:type="dxa"/>
            <w:noWrap/>
            <w:hideMark/>
          </w:tcPr>
          <w:p w14:paraId="487A81FB"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w:t>
            </w:r>
          </w:p>
        </w:tc>
        <w:tc>
          <w:tcPr>
            <w:tcW w:w="1403" w:type="dxa"/>
            <w:noWrap/>
            <w:hideMark/>
          </w:tcPr>
          <w:p w14:paraId="1ED956BA"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1.33</w:t>
            </w:r>
          </w:p>
        </w:tc>
        <w:tc>
          <w:tcPr>
            <w:tcW w:w="1585" w:type="dxa"/>
            <w:noWrap/>
            <w:hideMark/>
          </w:tcPr>
          <w:p w14:paraId="12E0CE34"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w:t>
            </w:r>
          </w:p>
        </w:tc>
      </w:tr>
      <w:tr w:rsidR="00056A36" w:rsidRPr="002131D9" w14:paraId="1B28FCB8" w14:textId="77777777" w:rsidTr="00117D3A">
        <w:trPr>
          <w:trHeight w:val="462"/>
        </w:trPr>
        <w:tc>
          <w:tcPr>
            <w:tcW w:w="3364" w:type="dxa"/>
            <w:noWrap/>
            <w:hideMark/>
          </w:tcPr>
          <w:p w14:paraId="782ED373"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1 child(ren) with two parents</w:t>
            </w:r>
          </w:p>
        </w:tc>
        <w:tc>
          <w:tcPr>
            <w:tcW w:w="1403" w:type="dxa"/>
            <w:noWrap/>
            <w:hideMark/>
          </w:tcPr>
          <w:p w14:paraId="3772C921"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1.94</w:t>
            </w:r>
          </w:p>
        </w:tc>
        <w:tc>
          <w:tcPr>
            <w:tcW w:w="1543" w:type="dxa"/>
            <w:noWrap/>
            <w:hideMark/>
          </w:tcPr>
          <w:p w14:paraId="499AD59F"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w:t>
            </w:r>
          </w:p>
        </w:tc>
        <w:tc>
          <w:tcPr>
            <w:tcW w:w="1403" w:type="dxa"/>
            <w:noWrap/>
            <w:hideMark/>
          </w:tcPr>
          <w:p w14:paraId="54021E69"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1.56</w:t>
            </w:r>
          </w:p>
        </w:tc>
        <w:tc>
          <w:tcPr>
            <w:tcW w:w="1585" w:type="dxa"/>
            <w:noWrap/>
            <w:hideMark/>
          </w:tcPr>
          <w:p w14:paraId="70558054"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w:t>
            </w:r>
          </w:p>
        </w:tc>
      </w:tr>
      <w:tr w:rsidR="00056A36" w:rsidRPr="002131D9" w14:paraId="4DC34A9E" w14:textId="77777777" w:rsidTr="00117D3A">
        <w:trPr>
          <w:trHeight w:val="462"/>
        </w:trPr>
        <w:tc>
          <w:tcPr>
            <w:tcW w:w="3364" w:type="dxa"/>
            <w:noWrap/>
            <w:hideMark/>
          </w:tcPr>
          <w:p w14:paraId="0E73EF65"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1 child(ren) parent away</w:t>
            </w:r>
          </w:p>
        </w:tc>
        <w:tc>
          <w:tcPr>
            <w:tcW w:w="1403" w:type="dxa"/>
            <w:noWrap/>
            <w:hideMark/>
          </w:tcPr>
          <w:p w14:paraId="10B3B349"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1.91</w:t>
            </w:r>
          </w:p>
        </w:tc>
        <w:tc>
          <w:tcPr>
            <w:tcW w:w="1543" w:type="dxa"/>
            <w:noWrap/>
            <w:hideMark/>
          </w:tcPr>
          <w:p w14:paraId="58F1B6D5"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2.65</w:t>
            </w:r>
          </w:p>
        </w:tc>
        <w:tc>
          <w:tcPr>
            <w:tcW w:w="1403" w:type="dxa"/>
            <w:noWrap/>
            <w:hideMark/>
          </w:tcPr>
          <w:p w14:paraId="4BFFF5E0"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1.55</w:t>
            </w:r>
          </w:p>
        </w:tc>
        <w:tc>
          <w:tcPr>
            <w:tcW w:w="1585" w:type="dxa"/>
            <w:noWrap/>
            <w:hideMark/>
          </w:tcPr>
          <w:p w14:paraId="35886CD0"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2.15</w:t>
            </w:r>
          </w:p>
        </w:tc>
      </w:tr>
      <w:tr w:rsidR="00056A36" w:rsidRPr="002131D9" w14:paraId="1A836E4E" w14:textId="77777777" w:rsidTr="00117D3A">
        <w:trPr>
          <w:trHeight w:val="462"/>
        </w:trPr>
        <w:tc>
          <w:tcPr>
            <w:tcW w:w="3364" w:type="dxa"/>
            <w:noWrap/>
            <w:hideMark/>
          </w:tcPr>
          <w:p w14:paraId="58126E2E"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1 non-resident (children)</w:t>
            </w:r>
          </w:p>
        </w:tc>
        <w:tc>
          <w:tcPr>
            <w:tcW w:w="1403" w:type="dxa"/>
            <w:noWrap/>
            <w:hideMark/>
          </w:tcPr>
          <w:p w14:paraId="5619D24C"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1.87</w:t>
            </w:r>
          </w:p>
        </w:tc>
        <w:tc>
          <w:tcPr>
            <w:tcW w:w="1543" w:type="dxa"/>
            <w:noWrap/>
            <w:hideMark/>
          </w:tcPr>
          <w:p w14:paraId="37A5838E"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2.58</w:t>
            </w:r>
          </w:p>
        </w:tc>
        <w:tc>
          <w:tcPr>
            <w:tcW w:w="1403" w:type="dxa"/>
            <w:noWrap/>
            <w:hideMark/>
          </w:tcPr>
          <w:p w14:paraId="63B49F2C"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1.44</w:t>
            </w:r>
          </w:p>
        </w:tc>
        <w:tc>
          <w:tcPr>
            <w:tcW w:w="1585" w:type="dxa"/>
            <w:noWrap/>
            <w:hideMark/>
          </w:tcPr>
          <w:p w14:paraId="234B4ADB"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1.91</w:t>
            </w:r>
          </w:p>
        </w:tc>
      </w:tr>
      <w:tr w:rsidR="00056A36" w:rsidRPr="002131D9" w14:paraId="4B2FA0FF" w14:textId="77777777" w:rsidTr="00117D3A">
        <w:trPr>
          <w:trHeight w:val="462"/>
        </w:trPr>
        <w:tc>
          <w:tcPr>
            <w:tcW w:w="3364" w:type="dxa"/>
            <w:noWrap/>
            <w:hideMark/>
          </w:tcPr>
          <w:p w14:paraId="3F2B6966"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2 child(ren) with two parents</w:t>
            </w:r>
          </w:p>
        </w:tc>
        <w:tc>
          <w:tcPr>
            <w:tcW w:w="1403" w:type="dxa"/>
            <w:noWrap/>
            <w:hideMark/>
          </w:tcPr>
          <w:p w14:paraId="7F773755"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2.69</w:t>
            </w:r>
          </w:p>
        </w:tc>
        <w:tc>
          <w:tcPr>
            <w:tcW w:w="1543" w:type="dxa"/>
            <w:noWrap/>
            <w:hideMark/>
          </w:tcPr>
          <w:p w14:paraId="1B92AA72"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3.73</w:t>
            </w:r>
          </w:p>
        </w:tc>
        <w:tc>
          <w:tcPr>
            <w:tcW w:w="1403" w:type="dxa"/>
            <w:noWrap/>
            <w:hideMark/>
          </w:tcPr>
          <w:p w14:paraId="64A1A6E9"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1.76</w:t>
            </w:r>
          </w:p>
        </w:tc>
        <w:tc>
          <w:tcPr>
            <w:tcW w:w="1585" w:type="dxa"/>
            <w:noWrap/>
            <w:hideMark/>
          </w:tcPr>
          <w:p w14:paraId="288D2E22"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2.58</w:t>
            </w:r>
          </w:p>
        </w:tc>
      </w:tr>
      <w:tr w:rsidR="00056A36" w:rsidRPr="002131D9" w14:paraId="051B8669" w14:textId="77777777" w:rsidTr="00117D3A">
        <w:trPr>
          <w:trHeight w:val="462"/>
        </w:trPr>
        <w:tc>
          <w:tcPr>
            <w:tcW w:w="3364" w:type="dxa"/>
            <w:noWrap/>
            <w:hideMark/>
          </w:tcPr>
          <w:p w14:paraId="7D403DE2"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 xml:space="preserve">2 child(ren) </w:t>
            </w:r>
            <w:proofErr w:type="gramStart"/>
            <w:r w:rsidRPr="002131D9">
              <w:rPr>
                <w:rFonts w:eastAsia="Times New Roman" w:cs="Arial"/>
                <w:color w:val="000000"/>
                <w:szCs w:val="20"/>
                <w:lang w:eastAsia="en-AU"/>
              </w:rPr>
              <w:t>parent</w:t>
            </w:r>
            <w:proofErr w:type="gramEnd"/>
            <w:r w:rsidRPr="002131D9">
              <w:rPr>
                <w:rFonts w:eastAsia="Times New Roman" w:cs="Arial"/>
                <w:color w:val="000000"/>
                <w:szCs w:val="20"/>
                <w:lang w:eastAsia="en-AU"/>
              </w:rPr>
              <w:t xml:space="preserve"> away</w:t>
            </w:r>
          </w:p>
        </w:tc>
        <w:tc>
          <w:tcPr>
            <w:tcW w:w="1403" w:type="dxa"/>
            <w:noWrap/>
            <w:hideMark/>
          </w:tcPr>
          <w:p w14:paraId="249312D8"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2.63</w:t>
            </w:r>
          </w:p>
        </w:tc>
        <w:tc>
          <w:tcPr>
            <w:tcW w:w="1543" w:type="dxa"/>
            <w:noWrap/>
            <w:hideMark/>
          </w:tcPr>
          <w:p w14:paraId="3946B92B"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3.65</w:t>
            </w:r>
          </w:p>
        </w:tc>
        <w:tc>
          <w:tcPr>
            <w:tcW w:w="1403" w:type="dxa"/>
            <w:noWrap/>
            <w:hideMark/>
          </w:tcPr>
          <w:p w14:paraId="693A7226"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1.73</w:t>
            </w:r>
          </w:p>
        </w:tc>
        <w:tc>
          <w:tcPr>
            <w:tcW w:w="1585" w:type="dxa"/>
            <w:noWrap/>
            <w:hideMark/>
          </w:tcPr>
          <w:p w14:paraId="0239F93F"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2.53</w:t>
            </w:r>
          </w:p>
        </w:tc>
      </w:tr>
      <w:tr w:rsidR="00056A36" w:rsidRPr="002131D9" w14:paraId="4C0D0DBD" w14:textId="77777777" w:rsidTr="00117D3A">
        <w:trPr>
          <w:trHeight w:val="462"/>
        </w:trPr>
        <w:tc>
          <w:tcPr>
            <w:tcW w:w="3364" w:type="dxa"/>
            <w:noWrap/>
            <w:hideMark/>
          </w:tcPr>
          <w:p w14:paraId="0C00172F" w14:textId="77777777" w:rsidR="00056A36" w:rsidRPr="002131D9" w:rsidRDefault="00056A36" w:rsidP="00117D3A">
            <w:pPr>
              <w:suppressAutoHyphens w:val="0"/>
              <w:spacing w:line="240" w:lineRule="auto"/>
              <w:jc w:val="left"/>
              <w:rPr>
                <w:rFonts w:eastAsia="Times New Roman" w:cs="Arial"/>
                <w:color w:val="000000"/>
                <w:szCs w:val="20"/>
                <w:lang w:eastAsia="en-AU"/>
              </w:rPr>
            </w:pPr>
            <w:r w:rsidRPr="002131D9">
              <w:rPr>
                <w:rFonts w:eastAsia="Times New Roman" w:cs="Arial"/>
                <w:color w:val="000000"/>
                <w:szCs w:val="20"/>
                <w:lang w:eastAsia="en-AU"/>
              </w:rPr>
              <w:t>2 non-resident child(ren)</w:t>
            </w:r>
          </w:p>
        </w:tc>
        <w:tc>
          <w:tcPr>
            <w:tcW w:w="1403" w:type="dxa"/>
            <w:noWrap/>
            <w:hideMark/>
          </w:tcPr>
          <w:p w14:paraId="7A86108C"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2.5</w:t>
            </w:r>
            <w:r>
              <w:rPr>
                <w:rFonts w:eastAsia="Times New Roman" w:cs="Arial"/>
                <w:color w:val="000000"/>
                <w:szCs w:val="20"/>
                <w:lang w:eastAsia="en-AU"/>
              </w:rPr>
              <w:t>0</w:t>
            </w:r>
          </w:p>
        </w:tc>
        <w:tc>
          <w:tcPr>
            <w:tcW w:w="1543" w:type="dxa"/>
            <w:noWrap/>
            <w:hideMark/>
          </w:tcPr>
          <w:p w14:paraId="0435BB6F"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3.46</w:t>
            </w:r>
          </w:p>
        </w:tc>
        <w:tc>
          <w:tcPr>
            <w:tcW w:w="1403" w:type="dxa"/>
            <w:noWrap/>
            <w:hideMark/>
          </w:tcPr>
          <w:p w14:paraId="1C64458D"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1.54</w:t>
            </w:r>
          </w:p>
        </w:tc>
        <w:tc>
          <w:tcPr>
            <w:tcW w:w="1585" w:type="dxa"/>
            <w:noWrap/>
            <w:hideMark/>
          </w:tcPr>
          <w:p w14:paraId="4DCCFCDA" w14:textId="77777777" w:rsidR="00056A36" w:rsidRPr="002131D9" w:rsidRDefault="00056A36" w:rsidP="00117D3A">
            <w:pPr>
              <w:suppressAutoHyphens w:val="0"/>
              <w:spacing w:line="240" w:lineRule="auto"/>
              <w:jc w:val="center"/>
              <w:rPr>
                <w:rFonts w:eastAsia="Times New Roman" w:cs="Arial"/>
                <w:color w:val="000000"/>
                <w:szCs w:val="20"/>
                <w:lang w:eastAsia="en-AU"/>
              </w:rPr>
            </w:pPr>
            <w:r w:rsidRPr="002131D9">
              <w:rPr>
                <w:rFonts w:eastAsia="Times New Roman" w:cs="Arial"/>
                <w:color w:val="000000"/>
                <w:szCs w:val="20"/>
                <w:lang w:eastAsia="en-AU"/>
              </w:rPr>
              <w:t>2.13</w:t>
            </w:r>
          </w:p>
        </w:tc>
      </w:tr>
    </w:tbl>
    <w:p w14:paraId="2BD4DDA2" w14:textId="78B79B2D" w:rsidR="00056A36" w:rsidDel="00E16F4C" w:rsidRDefault="00056A36" w:rsidP="00056A36">
      <w:pPr>
        <w:pStyle w:val="FigureNotes"/>
      </w:pPr>
      <w:r w:rsidRPr="002131D9" w:rsidDel="00E16F4C">
        <w:rPr>
          <w:color w:val="000000"/>
          <w:szCs w:val="20"/>
          <w:lang w:eastAsia="en-AU"/>
        </w:rPr>
        <w:t>Note</w:t>
      </w:r>
      <w:r w:rsidDel="00E16F4C">
        <w:rPr>
          <w:color w:val="000000"/>
          <w:szCs w:val="20"/>
          <w:lang w:eastAsia="en-AU"/>
        </w:rPr>
        <w:t>:</w:t>
      </w:r>
      <w:r w:rsidRPr="002131D9" w:rsidDel="00E16F4C">
        <w:rPr>
          <w:color w:val="000000"/>
          <w:szCs w:val="20"/>
          <w:lang w:eastAsia="en-AU"/>
        </w:rPr>
        <w:t xml:space="preserve"> Equivalence scales are obtained from subjective data. Weights of “standard” resident children correspond to adult weights, for children with parents in other households and children in other </w:t>
      </w:r>
      <w:proofErr w:type="gramStart"/>
      <w:r w:rsidRPr="002131D9" w:rsidDel="00E16F4C">
        <w:rPr>
          <w:color w:val="000000"/>
          <w:szCs w:val="20"/>
          <w:lang w:eastAsia="en-AU"/>
        </w:rPr>
        <w:t>households</w:t>
      </w:r>
      <w:proofErr w:type="gramEnd"/>
      <w:r w:rsidRPr="002131D9" w:rsidDel="00E16F4C">
        <w:rPr>
          <w:color w:val="000000"/>
          <w:szCs w:val="20"/>
          <w:lang w:eastAsia="en-AU"/>
        </w:rPr>
        <w:t xml:space="preserve"> weights are estimated in a separate model. Results obtained from pooling across countries with country </w:t>
      </w:r>
      <w:proofErr w:type="gramStart"/>
      <w:r w:rsidRPr="002131D9" w:rsidDel="00E16F4C">
        <w:rPr>
          <w:color w:val="000000"/>
          <w:szCs w:val="20"/>
          <w:lang w:eastAsia="en-AU"/>
        </w:rPr>
        <w:t>fixed-effects</w:t>
      </w:r>
      <w:proofErr w:type="gramEnd"/>
      <w:r w:rsidRPr="002131D9" w:rsidDel="00E16F4C">
        <w:rPr>
          <w:color w:val="000000"/>
          <w:szCs w:val="20"/>
          <w:lang w:eastAsia="en-AU"/>
        </w:rPr>
        <w:t xml:space="preserve"> except column 2. Sample restrictions: Only households with </w:t>
      </w:r>
      <w:proofErr w:type="gramStart"/>
      <w:r w:rsidRPr="002131D9" w:rsidDel="00E16F4C">
        <w:rPr>
          <w:color w:val="000000"/>
          <w:szCs w:val="20"/>
          <w:lang w:eastAsia="en-AU"/>
        </w:rPr>
        <w:t>head</w:t>
      </w:r>
      <w:proofErr w:type="gramEnd"/>
      <w:r w:rsidRPr="002131D9" w:rsidDel="00E16F4C">
        <w:rPr>
          <w:color w:val="000000"/>
          <w:szCs w:val="20"/>
          <w:lang w:eastAsia="en-AU"/>
        </w:rPr>
        <w:t xml:space="preserve"> between 25 and 64 and non-negative income are included, as well as single </w:t>
      </w:r>
      <w:r w:rsidR="009965A5">
        <w:rPr>
          <w:color w:val="000000"/>
          <w:szCs w:val="20"/>
          <w:lang w:eastAsia="en-AU"/>
        </w:rPr>
        <w:t>h</w:t>
      </w:r>
      <w:r w:rsidRPr="002131D9" w:rsidDel="00E16F4C">
        <w:rPr>
          <w:color w:val="000000"/>
          <w:szCs w:val="20"/>
          <w:lang w:eastAsia="en-AU"/>
        </w:rPr>
        <w:t xml:space="preserve">ouseholds, couples, couples with children (all &lt;25 years old), single parents with children (all &lt; 25 years old), only households with maximally one child. </w:t>
      </w:r>
      <w:r w:rsidDel="00E16F4C">
        <w:rPr>
          <w:color w:val="000000"/>
          <w:szCs w:val="20"/>
          <w:lang w:eastAsia="en-AU"/>
        </w:rPr>
        <w:t>*</w:t>
      </w:r>
      <w:r w:rsidRPr="002131D9" w:rsidDel="00E16F4C">
        <w:rPr>
          <w:color w:val="000000"/>
          <w:szCs w:val="20"/>
          <w:lang w:eastAsia="en-AU"/>
        </w:rPr>
        <w:t>Observations from Germany and the Czech Republic excluded.</w:t>
      </w:r>
    </w:p>
    <w:p w14:paraId="20475EC1" w14:textId="5929BB53" w:rsidR="00056A36" w:rsidRPr="00273AA6" w:rsidDel="00E16F4C" w:rsidRDefault="00056A36" w:rsidP="00273AA6">
      <w:pPr>
        <w:pStyle w:val="TableNotes"/>
      </w:pPr>
      <w:r w:rsidRPr="00273AA6" w:rsidDel="00E16F4C">
        <w:rPr>
          <w:rStyle w:val="BodyTextChar"/>
          <w:sz w:val="16"/>
          <w:lang w:val="en-US" w:eastAsia="ja-JP"/>
        </w:rPr>
        <w:t xml:space="preserve">Source: </w:t>
      </w:r>
      <w:r w:rsidR="00CE76FD" w:rsidRPr="00273AA6">
        <w:rPr>
          <w:rStyle w:val="BodyTextChar"/>
          <w:sz w:val="16"/>
          <w:lang w:val="en-US" w:eastAsia="ja-JP"/>
        </w:rPr>
        <w:t>Rapp</w:t>
      </w:r>
      <w:r w:rsidRPr="00273AA6" w:rsidDel="00E16F4C">
        <w:rPr>
          <w:rStyle w:val="BodyTextChar"/>
          <w:sz w:val="16"/>
          <w:lang w:val="en-US" w:eastAsia="ja-JP"/>
        </w:rPr>
        <w:t xml:space="preserve"> and </w:t>
      </w:r>
      <w:proofErr w:type="spellStart"/>
      <w:r w:rsidR="003B29BC" w:rsidRPr="00273AA6">
        <w:rPr>
          <w:rStyle w:val="BodyTextChar"/>
          <w:sz w:val="16"/>
          <w:lang w:val="en-US" w:eastAsia="ja-JP"/>
        </w:rPr>
        <w:t>Thévenon</w:t>
      </w:r>
      <w:proofErr w:type="spellEnd"/>
      <w:r w:rsidRPr="00273AA6" w:rsidDel="00E16F4C">
        <w:rPr>
          <w:rStyle w:val="BodyTextChar"/>
          <w:sz w:val="16"/>
          <w:lang w:val="en-US" w:eastAsia="ja-JP"/>
        </w:rPr>
        <w:t>,</w:t>
      </w:r>
      <w:r w:rsidR="009771EA" w:rsidRPr="00273AA6">
        <w:rPr>
          <w:rStyle w:val="BodyTextChar"/>
          <w:sz w:val="16"/>
          <w:lang w:val="en-US" w:eastAsia="ja-JP"/>
        </w:rPr>
        <w:t xml:space="preserve"> </w:t>
      </w:r>
      <w:r w:rsidR="00E54887" w:rsidRPr="00273AA6">
        <w:rPr>
          <w:rStyle w:val="BodyTextChar"/>
          <w:sz w:val="16"/>
          <w:lang w:val="en-US" w:eastAsia="ja-JP"/>
        </w:rPr>
        <w:t>u</w:t>
      </w:r>
      <w:r w:rsidR="009771EA" w:rsidRPr="00273AA6">
        <w:rPr>
          <w:rStyle w:val="BodyTextChar"/>
          <w:sz w:val="16"/>
          <w:lang w:val="en-US" w:eastAsia="ja-JP"/>
        </w:rPr>
        <w:t>npublished</w:t>
      </w:r>
      <w:r w:rsidR="005523E6">
        <w:rPr>
          <w:rStyle w:val="BodyTextChar"/>
          <w:sz w:val="16"/>
          <w:lang w:val="en-US" w:eastAsia="ja-JP"/>
        </w:rPr>
        <w:t>, p.22, Table 4</w:t>
      </w:r>
      <w:r w:rsidRPr="00273AA6" w:rsidDel="00E16F4C">
        <w:t xml:space="preserve">. </w:t>
      </w:r>
    </w:p>
    <w:p w14:paraId="5A1D7BB9" w14:textId="16B7806E" w:rsidR="003B6FB1" w:rsidRPr="00C35B0D" w:rsidRDefault="003B6FB1" w:rsidP="00332C5A">
      <w:pPr>
        <w:pStyle w:val="BodyText"/>
        <w:spacing w:line="276" w:lineRule="auto"/>
        <w:rPr>
          <w:rFonts w:cs="Arial"/>
        </w:rPr>
      </w:pPr>
      <w:r>
        <w:rPr>
          <w:rFonts w:cs="Arial"/>
        </w:rPr>
        <w:t xml:space="preserve">Hill and Hirsch (2024) </w:t>
      </w:r>
      <w:r w:rsidR="001E6456">
        <w:rPr>
          <w:rFonts w:cs="Arial"/>
        </w:rPr>
        <w:t xml:space="preserve">use </w:t>
      </w:r>
      <w:r w:rsidR="00CD2C77">
        <w:rPr>
          <w:rFonts w:cs="Arial"/>
        </w:rPr>
        <w:t>the UK’s MIS to e</w:t>
      </w:r>
      <w:r w:rsidR="00B237C4">
        <w:rPr>
          <w:rFonts w:cs="Arial"/>
        </w:rPr>
        <w:t xml:space="preserve">stimate costs </w:t>
      </w:r>
      <w:r w:rsidR="00265BF7">
        <w:rPr>
          <w:rFonts w:cs="Arial"/>
        </w:rPr>
        <w:t xml:space="preserve">for non-resident parents. </w:t>
      </w:r>
      <w:r w:rsidR="002F12B7">
        <w:rPr>
          <w:rFonts w:cs="Arial"/>
        </w:rPr>
        <w:t xml:space="preserve">They </w:t>
      </w:r>
      <w:r w:rsidR="00752DA4">
        <w:rPr>
          <w:rFonts w:cs="Arial"/>
        </w:rPr>
        <w:t xml:space="preserve">conclude that ‘a single person needs to increase their budget by around a quarter </w:t>
      </w:r>
      <w:r w:rsidR="008B442B">
        <w:rPr>
          <w:rFonts w:cs="Arial"/>
        </w:rPr>
        <w:t xml:space="preserve">to look after a school age child every other weekend and </w:t>
      </w:r>
      <w:r w:rsidR="0052145C">
        <w:rPr>
          <w:rFonts w:cs="Arial"/>
        </w:rPr>
        <w:t xml:space="preserve">during holidays, </w:t>
      </w:r>
      <w:r w:rsidR="009179B5">
        <w:rPr>
          <w:rFonts w:cs="Arial"/>
        </w:rPr>
        <w:t>and by around a sixth in the case of a pre-school child</w:t>
      </w:r>
      <w:r w:rsidR="00F0786C">
        <w:rPr>
          <w:rFonts w:cs="Arial"/>
        </w:rPr>
        <w:t>’ (Hill and Hirsch, 2024, p.9).</w:t>
      </w:r>
    </w:p>
    <w:p w14:paraId="31EF946E" w14:textId="06C4D32B" w:rsidR="00C21BC6" w:rsidRPr="007C7C3D" w:rsidRDefault="00932FFA" w:rsidP="000544F5">
      <w:pPr>
        <w:pStyle w:val="Heading4"/>
      </w:pPr>
      <w:bookmarkStart w:id="23" w:name="_Toc168066340"/>
      <w:bookmarkStart w:id="24" w:name="_Toc1248792526"/>
      <w:r>
        <w:t>Cost</w:t>
      </w:r>
      <w:r w:rsidR="004F3C42">
        <w:t xml:space="preserve">s of </w:t>
      </w:r>
      <w:r>
        <w:t>h</w:t>
      </w:r>
      <w:r w:rsidR="00C21BC6">
        <w:t>ousing</w:t>
      </w:r>
      <w:bookmarkEnd w:id="23"/>
      <w:bookmarkEnd w:id="24"/>
      <w:r w:rsidR="00C21BC6">
        <w:t xml:space="preserve"> </w:t>
      </w:r>
    </w:p>
    <w:p w14:paraId="15939ABA" w14:textId="03A9BCAB" w:rsidR="0005213E" w:rsidRDefault="00CE79E4" w:rsidP="00332C5A">
      <w:pPr>
        <w:pStyle w:val="BodyText"/>
        <w:spacing w:line="276" w:lineRule="auto"/>
      </w:pPr>
      <w:r>
        <w:t>Our review found that estimates of the cost of housing w</w:t>
      </w:r>
      <w:r w:rsidR="00512194">
        <w:t>ere</w:t>
      </w:r>
      <w:r>
        <w:t xml:space="preserve"> included in </w:t>
      </w:r>
      <w:r w:rsidR="009905A5">
        <w:t>four</w:t>
      </w:r>
      <w:r>
        <w:t xml:space="preserve"> studies based on t</w:t>
      </w:r>
      <w:r w:rsidR="00F40CE4">
        <w:t xml:space="preserve">he </w:t>
      </w:r>
      <w:r w:rsidR="005D2E7A">
        <w:t>budget standards approach</w:t>
      </w:r>
      <w:r w:rsidR="00F40CE4">
        <w:t xml:space="preserve"> and the expenditure approach. </w:t>
      </w:r>
      <w:r w:rsidR="00016A7D">
        <w:t xml:space="preserve">None of our </w:t>
      </w:r>
      <w:r w:rsidR="00FA1ADC">
        <w:t>studies referencing the</w:t>
      </w:r>
      <w:r w:rsidR="00016A7D">
        <w:t xml:space="preserve"> self-reported economic wellbeing </w:t>
      </w:r>
      <w:r w:rsidR="000E784C">
        <w:t>approach</w:t>
      </w:r>
      <w:r w:rsidR="007D68F8">
        <w:t xml:space="preserve"> directly account</w:t>
      </w:r>
      <w:r w:rsidR="00724CB4">
        <w:t>ed</w:t>
      </w:r>
      <w:r w:rsidR="007D68F8">
        <w:t xml:space="preserve"> for specific expenditure</w:t>
      </w:r>
      <w:r w:rsidR="00DC106A">
        <w:t xml:space="preserve"> buckets</w:t>
      </w:r>
      <w:r w:rsidR="007D68F8">
        <w:t>, including housing.</w:t>
      </w:r>
      <w:r w:rsidR="00F40CE4">
        <w:t xml:space="preserve"> </w:t>
      </w:r>
    </w:p>
    <w:p w14:paraId="1FEB7C8D" w14:textId="76E693E6" w:rsidR="0052511E" w:rsidRDefault="0052511E" w:rsidP="00332C5A">
      <w:pPr>
        <w:pStyle w:val="BodyText"/>
        <w:spacing w:line="276" w:lineRule="auto"/>
      </w:pPr>
      <w:r>
        <w:t xml:space="preserve">Budget standards </w:t>
      </w:r>
      <w:proofErr w:type="gramStart"/>
      <w:r>
        <w:t>approaches</w:t>
      </w:r>
      <w:proofErr w:type="gramEnd"/>
      <w:r>
        <w:t xml:space="preserve"> typically use</w:t>
      </w:r>
      <w:r w:rsidR="00724CB4">
        <w:t>d</w:t>
      </w:r>
      <w:r>
        <w:t xml:space="preserve"> weekly average private </w:t>
      </w:r>
      <w:r w:rsidR="0077264B">
        <w:t xml:space="preserve">housing </w:t>
      </w:r>
      <w:r>
        <w:t xml:space="preserve">rental costs </w:t>
      </w:r>
      <w:r w:rsidR="0077264B">
        <w:t xml:space="preserve">to estimate </w:t>
      </w:r>
      <w:r w:rsidR="00E3303A">
        <w:t xml:space="preserve">the costs of </w:t>
      </w:r>
      <w:r w:rsidR="0077264B">
        <w:t>housing and adjust</w:t>
      </w:r>
      <w:r w:rsidR="00724CB4">
        <w:t>ed</w:t>
      </w:r>
      <w:r w:rsidR="0077264B">
        <w:t xml:space="preserve"> these for household size </w:t>
      </w:r>
      <w:r w:rsidR="00AB32EB">
        <w:t>and location. Expenditure approaches typically collect</w:t>
      </w:r>
      <w:r w:rsidR="009563E4">
        <w:t>ed</w:t>
      </w:r>
      <w:r w:rsidR="00AB32EB">
        <w:t xml:space="preserve"> data </w:t>
      </w:r>
      <w:r w:rsidR="00EE44E4">
        <w:t>on actual expenditures on housing</w:t>
      </w:r>
      <w:r w:rsidR="009563E4">
        <w:t>, including</w:t>
      </w:r>
      <w:r w:rsidR="00EE44E4">
        <w:t xml:space="preserve"> private rental </w:t>
      </w:r>
      <w:r w:rsidR="00EE44E4">
        <w:lastRenderedPageBreak/>
        <w:t xml:space="preserve">costs for renters and mortgage and interest repayments for owner-occupiers. </w:t>
      </w:r>
      <w:r w:rsidR="00666CE8">
        <w:t xml:space="preserve">It was not specified whether the studies treated mortgage repayments as savings or as a housing expense. </w:t>
      </w:r>
      <w:r w:rsidR="00EE44E4">
        <w:t xml:space="preserve">Estimates </w:t>
      </w:r>
      <w:r w:rsidR="009563E4">
        <w:t xml:space="preserve">were </w:t>
      </w:r>
      <w:r w:rsidR="00EE44E4">
        <w:t xml:space="preserve">typically aggregated up into a single ‘housing’ line </w:t>
      </w:r>
      <w:r w:rsidR="00887A22">
        <w:t>item and</w:t>
      </w:r>
      <w:r w:rsidR="00EE44E4">
        <w:t xml:space="preserve"> d</w:t>
      </w:r>
      <w:r w:rsidR="007D6B71">
        <w:t>id</w:t>
      </w:r>
      <w:r w:rsidR="00EE44E4">
        <w:t xml:space="preserve"> not different</w:t>
      </w:r>
      <w:r w:rsidR="007D6B71">
        <w:t>iate</w:t>
      </w:r>
      <w:r w:rsidR="00EE44E4">
        <w:t xml:space="preserve"> costs for different housing types. </w:t>
      </w:r>
    </w:p>
    <w:p w14:paraId="21B47B9F" w14:textId="77777777" w:rsidR="00ED72A9" w:rsidRDefault="00ED72A9" w:rsidP="004E50E8">
      <w:pPr>
        <w:pStyle w:val="Heading5"/>
      </w:pPr>
      <w:r>
        <w:t>Australian studies</w:t>
      </w:r>
    </w:p>
    <w:p w14:paraId="79C00E19" w14:textId="4D901F43" w:rsidR="00C608E4" w:rsidRDefault="002244F4" w:rsidP="00C608E4">
      <w:pPr>
        <w:pStyle w:val="BodyText"/>
        <w:rPr>
          <w:lang w:bidi="ar-SA"/>
        </w:rPr>
      </w:pPr>
      <w:r>
        <w:rPr>
          <w:lang w:bidi="ar-SA"/>
        </w:rPr>
        <w:t>Our review found two</w:t>
      </w:r>
      <w:r w:rsidR="003B762E">
        <w:rPr>
          <w:lang w:bidi="ar-SA"/>
        </w:rPr>
        <w:t xml:space="preserve"> </w:t>
      </w:r>
      <w:r w:rsidR="00C608E4">
        <w:rPr>
          <w:lang w:bidi="ar-SA"/>
        </w:rPr>
        <w:t>Australian studie</w:t>
      </w:r>
      <w:r w:rsidR="007E7DCB">
        <w:rPr>
          <w:lang w:bidi="ar-SA"/>
        </w:rPr>
        <w:t xml:space="preserve">s that </w:t>
      </w:r>
      <w:r w:rsidR="00E8527E">
        <w:rPr>
          <w:lang w:bidi="ar-SA"/>
        </w:rPr>
        <w:t>incorporated</w:t>
      </w:r>
      <w:r w:rsidR="00EC519F">
        <w:rPr>
          <w:lang w:bidi="ar-SA"/>
        </w:rPr>
        <w:t xml:space="preserve"> </w:t>
      </w:r>
      <w:r>
        <w:rPr>
          <w:lang w:bidi="ar-SA"/>
        </w:rPr>
        <w:t xml:space="preserve">housing </w:t>
      </w:r>
      <w:r w:rsidR="007E7DCB">
        <w:rPr>
          <w:lang w:bidi="ar-SA"/>
        </w:rPr>
        <w:t xml:space="preserve">in their estimates of the cost of children. </w:t>
      </w:r>
    </w:p>
    <w:p w14:paraId="64BCE330" w14:textId="39467D3C" w:rsidR="00891718" w:rsidRDefault="002244F4" w:rsidP="00987BE7">
      <w:pPr>
        <w:pStyle w:val="BodyText"/>
      </w:pPr>
      <w:r>
        <w:rPr>
          <w:lang w:bidi="ar-SA"/>
        </w:rPr>
        <w:t>The first was</w:t>
      </w:r>
      <w:r w:rsidR="00497200">
        <w:rPr>
          <w:lang w:bidi="ar-SA"/>
        </w:rPr>
        <w:t xml:space="preserve"> Bedford </w:t>
      </w:r>
      <w:r w:rsidR="00273AA6">
        <w:rPr>
          <w:lang w:bidi="ar-SA"/>
        </w:rPr>
        <w:t>and colleagues</w:t>
      </w:r>
      <w:r w:rsidR="00497200">
        <w:rPr>
          <w:lang w:bidi="ar-SA"/>
        </w:rPr>
        <w:t xml:space="preserve"> (2023)</w:t>
      </w:r>
      <w:r w:rsidR="00DD4C27">
        <w:rPr>
          <w:lang w:bidi="ar-SA"/>
        </w:rPr>
        <w:t>,</w:t>
      </w:r>
      <w:r w:rsidR="00497200">
        <w:rPr>
          <w:lang w:bidi="ar-SA"/>
        </w:rPr>
        <w:t xml:space="preserve"> who</w:t>
      </w:r>
      <w:r w:rsidR="004D0162">
        <w:t xml:space="preserve"> </w:t>
      </w:r>
      <w:r w:rsidR="00157F5A">
        <w:t xml:space="preserve">use a rental threshold approach to </w:t>
      </w:r>
      <w:r w:rsidR="00522916">
        <w:t>develop a set of separate housing budgets</w:t>
      </w:r>
      <w:r w:rsidR="00325D1E">
        <w:t xml:space="preserve">. </w:t>
      </w:r>
      <w:r w:rsidR="00AF61C5">
        <w:t>They appl</w:t>
      </w:r>
      <w:r w:rsidR="00497200">
        <w:t>ied</w:t>
      </w:r>
      <w:r w:rsidR="00AF61C5">
        <w:t xml:space="preserve"> the following assumptions</w:t>
      </w:r>
      <w:r w:rsidR="00FF03A4">
        <w:t xml:space="preserve">, as outlined </w:t>
      </w:r>
      <w:r w:rsidR="00A062F6">
        <w:t>on page 42 of the report</w:t>
      </w:r>
      <w:r w:rsidR="00365E19">
        <w:t xml:space="preserve"> (there was no mention of housing type other than private rental)</w:t>
      </w:r>
      <w:r w:rsidR="00A062F6">
        <w:t>:</w:t>
      </w:r>
    </w:p>
    <w:p w14:paraId="649BC6E0" w14:textId="1A44DD6A" w:rsidR="00891718" w:rsidRDefault="00273AA6" w:rsidP="00987BE7">
      <w:pPr>
        <w:pStyle w:val="BodyText"/>
        <w:numPr>
          <w:ilvl w:val="0"/>
          <w:numId w:val="27"/>
        </w:numPr>
        <w:spacing w:line="276" w:lineRule="auto"/>
      </w:pPr>
      <w:r>
        <w:t>‘</w:t>
      </w:r>
      <w:r w:rsidR="00891718">
        <w:t xml:space="preserve">Households are assumed to be living in dwellings rented on the standard private rental market (rented from a real estate agent). </w:t>
      </w:r>
    </w:p>
    <w:p w14:paraId="37617EB3" w14:textId="79F53BA1" w:rsidR="00F67299" w:rsidRDefault="00891718" w:rsidP="00987BE7">
      <w:pPr>
        <w:pStyle w:val="BodyText"/>
        <w:numPr>
          <w:ilvl w:val="0"/>
          <w:numId w:val="27"/>
        </w:numPr>
        <w:spacing w:line="276" w:lineRule="auto"/>
      </w:pPr>
      <w:r>
        <w:t xml:space="preserve">The number of bedrooms in their dwelling is </w:t>
      </w:r>
      <w:r w:rsidR="005D351E">
        <w:t>based on the</w:t>
      </w:r>
      <w:r>
        <w:t xml:space="preserve"> Canadian National Occupancy Standard</w:t>
      </w:r>
      <w:r w:rsidR="005D351E">
        <w:t xml:space="preserve"> with </w:t>
      </w:r>
      <w:r w:rsidR="00DD0944">
        <w:t>one</w:t>
      </w:r>
      <w:r w:rsidR="007F7883">
        <w:t xml:space="preserve"> exception</w:t>
      </w:r>
      <w:r>
        <w:t xml:space="preserve">. </w:t>
      </w:r>
      <w:r w:rsidR="007F7883">
        <w:t>T</w:t>
      </w:r>
      <w:r w:rsidR="003E3215">
        <w:t>hey did</w:t>
      </w:r>
      <w:r>
        <w:t xml:space="preserve"> not follow this standard for couple-only households. For th</w:t>
      </w:r>
      <w:r w:rsidR="003E3215">
        <w:t>o</w:t>
      </w:r>
      <w:r>
        <w:t xml:space="preserve">se households, the Canadian standard ascribes only </w:t>
      </w:r>
      <w:r w:rsidR="00DD0944">
        <w:t>1</w:t>
      </w:r>
      <w:r>
        <w:t xml:space="preserve"> bedroom, but</w:t>
      </w:r>
      <w:r w:rsidR="003E3215">
        <w:t xml:space="preserve"> </w:t>
      </w:r>
      <w:r w:rsidR="00DD0944">
        <w:t>they</w:t>
      </w:r>
      <w:r>
        <w:t xml:space="preserve"> assign</w:t>
      </w:r>
      <w:r w:rsidR="003E3215">
        <w:t>ed</w:t>
      </w:r>
      <w:r>
        <w:t xml:space="preserve"> </w:t>
      </w:r>
      <w:r w:rsidR="00DD0944">
        <w:t>2</w:t>
      </w:r>
      <w:r>
        <w:t xml:space="preserve"> bedrooms based on the wide prevalence of this housing pattern in Australia. With this adaption, </w:t>
      </w:r>
      <w:r w:rsidR="00F217F7">
        <w:t xml:space="preserve">they </w:t>
      </w:r>
      <w:r>
        <w:t>assume</w:t>
      </w:r>
      <w:r w:rsidR="00F217F7">
        <w:t>d</w:t>
      </w:r>
      <w:r>
        <w:t xml:space="preserve"> the following number of bedrooms for each household composition: single people (1), couples (2), couples and single parents with one child (2), couples and single parents with two children (3). </w:t>
      </w:r>
    </w:p>
    <w:p w14:paraId="016D0785" w14:textId="22A6FB78" w:rsidR="00AF61C5" w:rsidRDefault="00891718" w:rsidP="00987BE7">
      <w:pPr>
        <w:pStyle w:val="BodyText"/>
        <w:numPr>
          <w:ilvl w:val="0"/>
          <w:numId w:val="27"/>
        </w:numPr>
        <w:spacing w:line="276" w:lineRule="auto"/>
      </w:pPr>
      <w:r>
        <w:t xml:space="preserve">Rents </w:t>
      </w:r>
      <w:r w:rsidR="00B727A7">
        <w:t>were</w:t>
      </w:r>
      <w:r>
        <w:t xml:space="preserve"> estimated for several points on the rental income distribution (30th, 40th and 50th percentiles) and for the capital cities and non-capital cities in each state. These are calculated using the 2021 Census, up</w:t>
      </w:r>
      <w:r w:rsidR="00BE5B81">
        <w:t>d</w:t>
      </w:r>
      <w:r>
        <w:t>ated to August 2022 values using the growth in the rent component for the C</w:t>
      </w:r>
      <w:r w:rsidR="00BE5B81">
        <w:t>onsumer Price Index</w:t>
      </w:r>
      <w:r>
        <w:t xml:space="preserve">. </w:t>
      </w:r>
      <w:r w:rsidR="00BE5B81">
        <w:t>A</w:t>
      </w:r>
      <w:r>
        <w:t xml:space="preserve">ll dwelling types are included in the estimation. </w:t>
      </w:r>
      <w:r w:rsidR="000C27AD">
        <w:t>Further, t</w:t>
      </w:r>
      <w:r>
        <w:t>hese</w:t>
      </w:r>
      <w:r w:rsidR="00FF03A4" w:rsidRPr="00FF03A4">
        <w:t xml:space="preserve"> </w:t>
      </w:r>
      <w:r w:rsidR="00FF03A4">
        <w:t>represent actual rents paid across the population, rather than rents for newly rented properties (which have been rising more steeply in recent years).</w:t>
      </w:r>
      <w:r w:rsidR="00273AA6">
        <w:t>’</w:t>
      </w:r>
    </w:p>
    <w:p w14:paraId="13972707" w14:textId="13D67D9B" w:rsidR="003B6A44" w:rsidRDefault="00CF31C0" w:rsidP="003B762E">
      <w:pPr>
        <w:pStyle w:val="BodyText"/>
        <w:spacing w:line="276" w:lineRule="auto"/>
      </w:pPr>
      <w:r>
        <w:t>The second was</w:t>
      </w:r>
      <w:r w:rsidR="003B762E">
        <w:t xml:space="preserve"> t</w:t>
      </w:r>
      <w:r>
        <w:t>he 2013 AMP.NATSEM cost of children study</w:t>
      </w:r>
      <w:r w:rsidR="003B6A44">
        <w:t xml:space="preserve"> (</w:t>
      </w:r>
      <w:r w:rsidR="00355E94">
        <w:t xml:space="preserve">Phillips </w:t>
      </w:r>
      <w:r w:rsidR="00C96329">
        <w:t>et al</w:t>
      </w:r>
      <w:r w:rsidR="00273AA6">
        <w:t>.</w:t>
      </w:r>
      <w:r w:rsidR="00C96329">
        <w:t>,</w:t>
      </w:r>
      <w:r w:rsidR="00355E94">
        <w:t xml:space="preserve"> 2013</w:t>
      </w:r>
      <w:r w:rsidR="003B6A44">
        <w:t>). Th</w:t>
      </w:r>
      <w:r w:rsidR="004A481B">
        <w:t>is study</w:t>
      </w:r>
      <w:r>
        <w:t xml:space="preserve"> use</w:t>
      </w:r>
      <w:r w:rsidR="004A481B">
        <w:t>d</w:t>
      </w:r>
      <w:r>
        <w:t xml:space="preserve"> </w:t>
      </w:r>
      <w:r w:rsidR="003A3F00">
        <w:t xml:space="preserve">data from </w:t>
      </w:r>
      <w:r w:rsidR="003B6A44">
        <w:t xml:space="preserve">the ABS Survey of Income and Housing </w:t>
      </w:r>
      <w:r w:rsidR="00807318">
        <w:t>(</w:t>
      </w:r>
      <w:r>
        <w:t>SIH</w:t>
      </w:r>
      <w:r w:rsidR="00807318">
        <w:t>)</w:t>
      </w:r>
      <w:r>
        <w:t xml:space="preserve"> to estimate the cost of children</w:t>
      </w:r>
      <w:r w:rsidR="003B6A44">
        <w:t xml:space="preserve">. </w:t>
      </w:r>
      <w:r w:rsidR="00807318">
        <w:t>Although t</w:t>
      </w:r>
      <w:r w:rsidR="009E341C">
        <w:t xml:space="preserve">he </w:t>
      </w:r>
      <w:r w:rsidR="00807318">
        <w:t xml:space="preserve">SIH </w:t>
      </w:r>
      <w:r w:rsidR="009E341C">
        <w:t>ask</w:t>
      </w:r>
      <w:r w:rsidR="00042F19">
        <w:t>ed</w:t>
      </w:r>
      <w:r w:rsidR="009E341C">
        <w:t xml:space="preserve"> respondents about their housing expenditure </w:t>
      </w:r>
      <w:r w:rsidR="00C72489">
        <w:t>disaggregated by rent payments, rates payments (general and water) and mortgage repayments</w:t>
      </w:r>
      <w:r w:rsidR="00F15122">
        <w:t xml:space="preserve">, </w:t>
      </w:r>
      <w:r w:rsidR="00017FE1">
        <w:t xml:space="preserve">it is unclear whether mortgage repayments were </w:t>
      </w:r>
      <w:r w:rsidR="00BF722E">
        <w:t xml:space="preserve">treated </w:t>
      </w:r>
      <w:r w:rsidR="00017FE1">
        <w:t xml:space="preserve">as expenditure </w:t>
      </w:r>
      <w:r w:rsidR="00BF722E">
        <w:t xml:space="preserve">or as savings </w:t>
      </w:r>
      <w:r w:rsidR="00017FE1">
        <w:t xml:space="preserve">in this study. </w:t>
      </w:r>
      <w:r w:rsidR="00BF4B94">
        <w:t>In Percival and Harding’s expenditure</w:t>
      </w:r>
      <w:r w:rsidR="002F0C3E">
        <w:t>-</w:t>
      </w:r>
      <w:r w:rsidR="00BF4B94">
        <w:t xml:space="preserve">based study for the 2005 Taskforce, </w:t>
      </w:r>
      <w:r w:rsidR="00672FCF">
        <w:t xml:space="preserve">repayment of mortgage principal on the family home was treated as a saving, rather than an expense. </w:t>
      </w:r>
    </w:p>
    <w:p w14:paraId="2A3BA1D9" w14:textId="354171DC" w:rsidR="005D5BB5" w:rsidRDefault="005D5BB5" w:rsidP="004E50E8">
      <w:pPr>
        <w:pStyle w:val="Heading5"/>
      </w:pPr>
      <w:r>
        <w:t>International studies</w:t>
      </w:r>
    </w:p>
    <w:p w14:paraId="16C38B32" w14:textId="23C45633" w:rsidR="00EC519F" w:rsidRDefault="00EC519F" w:rsidP="00B4309B">
      <w:pPr>
        <w:pStyle w:val="BodyText"/>
        <w:spacing w:line="276" w:lineRule="auto"/>
      </w:pPr>
      <w:r>
        <w:t xml:space="preserve">Our review found two international studies that </w:t>
      </w:r>
      <w:r w:rsidR="00E8527E">
        <w:t>incorporated housing costs into the estimates of costs of children.</w:t>
      </w:r>
      <w:r>
        <w:t xml:space="preserve"> </w:t>
      </w:r>
    </w:p>
    <w:p w14:paraId="7B450927" w14:textId="433E9B17" w:rsidR="00B4309B" w:rsidRDefault="00901D5D" w:rsidP="00B4309B">
      <w:pPr>
        <w:pStyle w:val="BodyText"/>
        <w:spacing w:line="276" w:lineRule="auto"/>
      </w:pPr>
      <w:r>
        <w:t>The first study</w:t>
      </w:r>
      <w:r w:rsidR="00A650DA">
        <w:t xml:space="preserve"> incorporated the costs of housing in a </w:t>
      </w:r>
      <w:r w:rsidR="00657365">
        <w:t xml:space="preserve">budget standards </w:t>
      </w:r>
      <w:r w:rsidR="00A650DA">
        <w:t>approach to measuring the costs of children</w:t>
      </w:r>
      <w:r w:rsidR="00045E63">
        <w:t xml:space="preserve"> (</w:t>
      </w:r>
      <w:r w:rsidR="00045E63" w:rsidRPr="00DB5F4B">
        <w:t>Padle</w:t>
      </w:r>
      <w:r w:rsidR="00045E63">
        <w:t>y</w:t>
      </w:r>
      <w:r w:rsidR="00045E63" w:rsidRPr="00DB5F4B">
        <w:t xml:space="preserve"> and Stone,</w:t>
      </w:r>
      <w:r w:rsidR="00045E63">
        <w:t xml:space="preserve"> 2023)</w:t>
      </w:r>
      <w:r w:rsidR="00657365">
        <w:t>.</w:t>
      </w:r>
      <w:r w:rsidR="008326CD">
        <w:t xml:space="preserve"> </w:t>
      </w:r>
      <w:r w:rsidR="0019346C">
        <w:t>The Minimum Income Standard</w:t>
      </w:r>
      <w:r w:rsidR="008D026A">
        <w:t xml:space="preserve"> (MIS)</w:t>
      </w:r>
      <w:r w:rsidR="0019346C">
        <w:t xml:space="preserve"> in the UK </w:t>
      </w:r>
      <w:r w:rsidR="00A822F8">
        <w:t xml:space="preserve">estimates the cost of housing </w:t>
      </w:r>
      <w:r w:rsidR="0029061E">
        <w:t xml:space="preserve">based on </w:t>
      </w:r>
      <w:r w:rsidR="00B6484C">
        <w:t xml:space="preserve">a set of assumptions that were informed </w:t>
      </w:r>
      <w:r w:rsidR="00EB0A91">
        <w:t xml:space="preserve">by </w:t>
      </w:r>
      <w:r w:rsidR="0029061E">
        <w:t>consensual focus groups</w:t>
      </w:r>
      <w:r w:rsidR="00EB0A91">
        <w:t xml:space="preserve"> about minimum housing needs</w:t>
      </w:r>
      <w:r w:rsidR="00337D2E">
        <w:t xml:space="preserve">. </w:t>
      </w:r>
      <w:r w:rsidR="00BE11BE">
        <w:t>These assumptions were that</w:t>
      </w:r>
      <w:r w:rsidR="00B900DC">
        <w:t xml:space="preserve">: </w:t>
      </w:r>
    </w:p>
    <w:p w14:paraId="693580D9" w14:textId="4FC3093E" w:rsidR="00B4309B" w:rsidRDefault="00B900DC" w:rsidP="00B4309B">
      <w:pPr>
        <w:pStyle w:val="BodyText"/>
        <w:numPr>
          <w:ilvl w:val="0"/>
          <w:numId w:val="37"/>
        </w:numPr>
        <w:spacing w:line="276" w:lineRule="auto"/>
        <w:rPr>
          <w:lang w:bidi="ar-SA"/>
        </w:rPr>
      </w:pPr>
      <w:r>
        <w:t>households with children will be able to access appropriate social housing</w:t>
      </w:r>
    </w:p>
    <w:p w14:paraId="73E468E6" w14:textId="08466EC3" w:rsidR="00B4309B" w:rsidRDefault="00B900DC" w:rsidP="00B4309B">
      <w:pPr>
        <w:pStyle w:val="BodyText"/>
        <w:numPr>
          <w:ilvl w:val="0"/>
          <w:numId w:val="37"/>
        </w:numPr>
        <w:spacing w:line="276" w:lineRule="auto"/>
        <w:rPr>
          <w:lang w:bidi="ar-SA"/>
        </w:rPr>
      </w:pPr>
      <w:proofErr w:type="gramStart"/>
      <w:r>
        <w:t xml:space="preserve">in reality, </w:t>
      </w:r>
      <w:r w:rsidR="005A4B2F">
        <w:t>many</w:t>
      </w:r>
      <w:proofErr w:type="gramEnd"/>
      <w:r w:rsidR="005A4B2F">
        <w:t xml:space="preserve"> families will be reliant on private rental housing</w:t>
      </w:r>
      <w:r w:rsidR="00E34598">
        <w:t xml:space="preserve">. </w:t>
      </w:r>
    </w:p>
    <w:p w14:paraId="3CFCA131" w14:textId="1113DD26" w:rsidR="005955FE" w:rsidRDefault="00E34598" w:rsidP="00987BE7">
      <w:pPr>
        <w:pStyle w:val="BodyText"/>
        <w:spacing w:line="276" w:lineRule="auto"/>
      </w:pPr>
      <w:r>
        <w:t xml:space="preserve">The budgets </w:t>
      </w:r>
      <w:r w:rsidR="007554A3">
        <w:t>apply these assumptions</w:t>
      </w:r>
      <w:r w:rsidR="001706A9">
        <w:t xml:space="preserve"> and </w:t>
      </w:r>
      <w:r w:rsidR="00B4309B">
        <w:t xml:space="preserve">use </w:t>
      </w:r>
      <w:r w:rsidR="001706A9">
        <w:t xml:space="preserve">either the average </w:t>
      </w:r>
      <w:r w:rsidR="00DD3566">
        <w:t xml:space="preserve">weekly </w:t>
      </w:r>
      <w:r w:rsidR="001706A9">
        <w:t>rent</w:t>
      </w:r>
      <w:r w:rsidR="00DD3566">
        <w:t>al cost</w:t>
      </w:r>
      <w:r w:rsidR="001706A9">
        <w:t xml:space="preserve"> for social housing or </w:t>
      </w:r>
      <w:r w:rsidR="00DD3566">
        <w:t xml:space="preserve">the average weekly </w:t>
      </w:r>
      <w:r w:rsidR="001706A9">
        <w:t>rent</w:t>
      </w:r>
      <w:r w:rsidR="00DD3566">
        <w:t xml:space="preserve">al cost for private rentals depending on the family scenario </w:t>
      </w:r>
      <w:r w:rsidR="00DD3566">
        <w:lastRenderedPageBreak/>
        <w:t xml:space="preserve">and their labour force participation status. The costs of a mortgage, or costs for owner-occupiers, are not considered. </w:t>
      </w:r>
    </w:p>
    <w:p w14:paraId="75A8F784" w14:textId="0EC73022" w:rsidR="00B4309B" w:rsidRDefault="00B2091E" w:rsidP="00987BE7">
      <w:pPr>
        <w:pStyle w:val="BodyText"/>
        <w:spacing w:line="276" w:lineRule="auto"/>
        <w:rPr>
          <w:lang w:bidi="ar-SA"/>
        </w:rPr>
      </w:pPr>
      <w:r>
        <w:t xml:space="preserve">The second study </w:t>
      </w:r>
      <w:r w:rsidR="009D73CF">
        <w:t xml:space="preserve">showed </w:t>
      </w:r>
      <w:r w:rsidR="00657365">
        <w:t xml:space="preserve">how an </w:t>
      </w:r>
      <w:r w:rsidR="0065146C">
        <w:t>expenditure</w:t>
      </w:r>
      <w:r w:rsidR="005D7D0E">
        <w:t>-</w:t>
      </w:r>
      <w:r w:rsidR="0065146C">
        <w:t>based study measured the cost of housing. Dudel</w:t>
      </w:r>
      <w:r w:rsidR="00D162CD">
        <w:t xml:space="preserve"> </w:t>
      </w:r>
      <w:r w:rsidR="003F6219">
        <w:t>and colleagues</w:t>
      </w:r>
      <w:r w:rsidR="006626AB">
        <w:t xml:space="preserve"> (2021) </w:t>
      </w:r>
      <w:r w:rsidR="006F53DF">
        <w:t>use</w:t>
      </w:r>
      <w:r w:rsidR="009D73CF">
        <w:t>d</w:t>
      </w:r>
      <w:r w:rsidR="006F53DF">
        <w:t xml:space="preserve"> </w:t>
      </w:r>
      <w:r w:rsidR="00F64CB6">
        <w:t>German expenditure data</w:t>
      </w:r>
      <w:r w:rsidR="00F74195">
        <w:t xml:space="preserve"> to estimate </w:t>
      </w:r>
      <w:r w:rsidR="00C53B82">
        <w:t>costs</w:t>
      </w:r>
      <w:r w:rsidR="00F74195">
        <w:t>,</w:t>
      </w:r>
      <w:r w:rsidR="00F64CB6">
        <w:t xml:space="preserve"> </w:t>
      </w:r>
      <w:r w:rsidR="002F09D6">
        <w:t xml:space="preserve">where spending is </w:t>
      </w:r>
      <w:r w:rsidR="00EF4422">
        <w:t xml:space="preserve">captured for 12 commodity groups, one of which is housing. They </w:t>
      </w:r>
      <w:r w:rsidR="00972403">
        <w:t xml:space="preserve">do not </w:t>
      </w:r>
      <w:r w:rsidR="00C53B82">
        <w:t>disaggregate</w:t>
      </w:r>
      <w:r w:rsidR="00972403">
        <w:t xml:space="preserve"> </w:t>
      </w:r>
      <w:r w:rsidR="006653D0">
        <w:t xml:space="preserve">estimates </w:t>
      </w:r>
      <w:r w:rsidR="00F27376">
        <w:t>for housing</w:t>
      </w:r>
      <w:r w:rsidR="00CE4D0C">
        <w:t>,</w:t>
      </w:r>
      <w:r w:rsidR="00F27376">
        <w:t xml:space="preserve"> </w:t>
      </w:r>
      <w:r w:rsidR="00C53B82">
        <w:t>by</w:t>
      </w:r>
      <w:r w:rsidR="00EC5BF3">
        <w:t xml:space="preserve"> housing type. </w:t>
      </w:r>
    </w:p>
    <w:p w14:paraId="07E00DD1" w14:textId="0A9307AC" w:rsidR="005B491E" w:rsidRDefault="00932FFA" w:rsidP="000544F5">
      <w:pPr>
        <w:pStyle w:val="Heading4"/>
      </w:pPr>
      <w:bookmarkStart w:id="25" w:name="_Toc168066341"/>
      <w:bookmarkStart w:id="26" w:name="_Toc1394589206"/>
      <w:r>
        <w:t>Cost</w:t>
      </w:r>
      <w:r w:rsidR="00D67A4E">
        <w:t>s</w:t>
      </w:r>
      <w:r>
        <w:t xml:space="preserve"> of </w:t>
      </w:r>
      <w:proofErr w:type="gramStart"/>
      <w:r>
        <w:t>c</w:t>
      </w:r>
      <w:r w:rsidR="005B491E">
        <w:t>hild</w:t>
      </w:r>
      <w:r w:rsidR="00DE55BF">
        <w:t xml:space="preserve"> c</w:t>
      </w:r>
      <w:r w:rsidR="005B491E">
        <w:t>are</w:t>
      </w:r>
      <w:bookmarkEnd w:id="25"/>
      <w:bookmarkEnd w:id="26"/>
      <w:proofErr w:type="gramEnd"/>
    </w:p>
    <w:p w14:paraId="387A4AB4" w14:textId="766D234C" w:rsidR="00393E4F" w:rsidRDefault="002F6682" w:rsidP="000E693F">
      <w:pPr>
        <w:pStyle w:val="BodyText"/>
        <w:spacing w:line="276" w:lineRule="auto"/>
        <w:rPr>
          <w:lang w:bidi="ar-SA"/>
        </w:rPr>
      </w:pPr>
      <w:r>
        <w:rPr>
          <w:lang w:bidi="ar-SA"/>
        </w:rPr>
        <w:t xml:space="preserve">The cost of </w:t>
      </w:r>
      <w:proofErr w:type="gramStart"/>
      <w:r>
        <w:rPr>
          <w:lang w:bidi="ar-SA"/>
        </w:rPr>
        <w:t>child care</w:t>
      </w:r>
      <w:proofErr w:type="gramEnd"/>
      <w:r>
        <w:rPr>
          <w:lang w:bidi="ar-SA"/>
        </w:rPr>
        <w:t xml:space="preserve"> is an important factor for </w:t>
      </w:r>
      <w:r w:rsidR="004E0B98">
        <w:rPr>
          <w:lang w:bidi="ar-SA"/>
        </w:rPr>
        <w:t>parental</w:t>
      </w:r>
      <w:r w:rsidR="00FC48BE">
        <w:rPr>
          <w:lang w:bidi="ar-SA"/>
        </w:rPr>
        <w:t xml:space="preserve"> employment decisions. </w:t>
      </w:r>
      <w:r w:rsidR="000A7538">
        <w:rPr>
          <w:lang w:bidi="ar-SA"/>
        </w:rPr>
        <w:t xml:space="preserve">Given the </w:t>
      </w:r>
      <w:r w:rsidR="0040584F">
        <w:rPr>
          <w:lang w:bidi="ar-SA"/>
        </w:rPr>
        <w:t xml:space="preserve">variation in </w:t>
      </w:r>
      <w:proofErr w:type="gramStart"/>
      <w:r w:rsidR="0040584F">
        <w:rPr>
          <w:lang w:bidi="ar-SA"/>
        </w:rPr>
        <w:t>child care</w:t>
      </w:r>
      <w:proofErr w:type="gramEnd"/>
      <w:r w:rsidR="00077A95">
        <w:rPr>
          <w:lang w:bidi="ar-SA"/>
        </w:rPr>
        <w:t xml:space="preserve"> systems and funding structures</w:t>
      </w:r>
      <w:r w:rsidR="0040584F">
        <w:rPr>
          <w:lang w:bidi="ar-SA"/>
        </w:rPr>
        <w:t xml:space="preserve"> between countries, this section focuses only on Australian studies. </w:t>
      </w:r>
    </w:p>
    <w:p w14:paraId="08946571" w14:textId="09F75401" w:rsidR="00472761" w:rsidRDefault="00472761" w:rsidP="004E50E8">
      <w:pPr>
        <w:pStyle w:val="Heading5"/>
      </w:pPr>
      <w:r>
        <w:t>Australian studies</w:t>
      </w:r>
    </w:p>
    <w:p w14:paraId="65D6A69E" w14:textId="158CD6EC" w:rsidR="003A6D67" w:rsidRDefault="00CF7744" w:rsidP="00344629">
      <w:pPr>
        <w:pStyle w:val="BodyText"/>
        <w:spacing w:line="276" w:lineRule="auto"/>
        <w:rPr>
          <w:lang w:bidi="ar-SA"/>
        </w:rPr>
      </w:pPr>
      <w:r>
        <w:rPr>
          <w:lang w:bidi="ar-SA"/>
        </w:rPr>
        <w:t>Our review</w:t>
      </w:r>
      <w:r w:rsidR="00E62BC7">
        <w:rPr>
          <w:lang w:bidi="ar-SA"/>
        </w:rPr>
        <w:t xml:space="preserve"> </w:t>
      </w:r>
      <w:r w:rsidR="00B572EA">
        <w:rPr>
          <w:lang w:bidi="ar-SA"/>
        </w:rPr>
        <w:t>found two stu</w:t>
      </w:r>
      <w:r w:rsidR="00E62BC7">
        <w:rPr>
          <w:lang w:bidi="ar-SA"/>
        </w:rPr>
        <w:t>dies that estimate</w:t>
      </w:r>
      <w:r>
        <w:rPr>
          <w:lang w:bidi="ar-SA"/>
        </w:rPr>
        <w:t>d</w:t>
      </w:r>
      <w:r w:rsidR="00E62BC7">
        <w:rPr>
          <w:lang w:bidi="ar-SA"/>
        </w:rPr>
        <w:t xml:space="preserve"> the costs of </w:t>
      </w:r>
      <w:proofErr w:type="gramStart"/>
      <w:r w:rsidR="00E62BC7">
        <w:rPr>
          <w:lang w:bidi="ar-SA"/>
        </w:rPr>
        <w:t>child care</w:t>
      </w:r>
      <w:proofErr w:type="gramEnd"/>
      <w:r w:rsidR="00E62BC7">
        <w:rPr>
          <w:lang w:bidi="ar-SA"/>
        </w:rPr>
        <w:t xml:space="preserve"> as part of their cost of children estimates.</w:t>
      </w:r>
      <w:r>
        <w:rPr>
          <w:lang w:bidi="ar-SA"/>
        </w:rPr>
        <w:t xml:space="preserve"> These were the same two studies that estimated costs of housing</w:t>
      </w:r>
      <w:r w:rsidR="00B572EA">
        <w:rPr>
          <w:lang w:bidi="ar-SA"/>
        </w:rPr>
        <w:t xml:space="preserve"> (above)</w:t>
      </w:r>
      <w:r>
        <w:rPr>
          <w:lang w:bidi="ar-SA"/>
        </w:rPr>
        <w:t>.</w:t>
      </w:r>
    </w:p>
    <w:p w14:paraId="5F0D7BBB" w14:textId="09746BDB" w:rsidR="00AA2996" w:rsidRDefault="00041F5D" w:rsidP="00344629">
      <w:pPr>
        <w:pStyle w:val="BodyText"/>
        <w:spacing w:line="276" w:lineRule="auto"/>
      </w:pPr>
      <w:r>
        <w:t>Bedford</w:t>
      </w:r>
      <w:r w:rsidR="00A30775">
        <w:t xml:space="preserve"> </w:t>
      </w:r>
      <w:r w:rsidR="003F6219">
        <w:t>and colleagues</w:t>
      </w:r>
      <w:r w:rsidR="00E012B0">
        <w:t xml:space="preserve"> (</w:t>
      </w:r>
      <w:r>
        <w:t xml:space="preserve">2023) </w:t>
      </w:r>
      <w:r w:rsidR="00003AC5">
        <w:rPr>
          <w:lang w:bidi="ar-SA"/>
        </w:rPr>
        <w:t>estimate</w:t>
      </w:r>
      <w:r w:rsidR="00E012B0">
        <w:rPr>
          <w:lang w:bidi="ar-SA"/>
        </w:rPr>
        <w:t>d</w:t>
      </w:r>
      <w:r w:rsidR="00003AC5">
        <w:rPr>
          <w:lang w:bidi="ar-SA"/>
        </w:rPr>
        <w:t xml:space="preserve"> the costs of </w:t>
      </w:r>
      <w:proofErr w:type="gramStart"/>
      <w:r w:rsidR="00003AC5">
        <w:rPr>
          <w:lang w:bidi="ar-SA"/>
        </w:rPr>
        <w:t>child</w:t>
      </w:r>
      <w:r w:rsidR="00B10A2B">
        <w:rPr>
          <w:lang w:bidi="ar-SA"/>
        </w:rPr>
        <w:t xml:space="preserve"> </w:t>
      </w:r>
      <w:r w:rsidR="00003AC5">
        <w:rPr>
          <w:lang w:bidi="ar-SA"/>
        </w:rPr>
        <w:t>care</w:t>
      </w:r>
      <w:proofErr w:type="gramEnd"/>
      <w:r w:rsidR="00003AC5">
        <w:rPr>
          <w:lang w:bidi="ar-SA"/>
        </w:rPr>
        <w:t xml:space="preserve"> </w:t>
      </w:r>
      <w:r w:rsidR="00E474E2">
        <w:rPr>
          <w:lang w:bidi="ar-SA"/>
        </w:rPr>
        <w:t xml:space="preserve">for a child aged 6 years attending </w:t>
      </w:r>
      <w:r w:rsidR="00E474E2" w:rsidRPr="00FA346D">
        <w:t>outside</w:t>
      </w:r>
      <w:r w:rsidR="00E474E2">
        <w:rPr>
          <w:lang w:bidi="ar-SA"/>
        </w:rPr>
        <w:t xml:space="preserve"> school hours care and holiday care, </w:t>
      </w:r>
      <w:r w:rsidR="00003AC5">
        <w:rPr>
          <w:lang w:bidi="ar-SA"/>
        </w:rPr>
        <w:t>under a series of assumptions</w:t>
      </w:r>
      <w:r w:rsidR="00C52989">
        <w:rPr>
          <w:lang w:bidi="ar-SA"/>
        </w:rPr>
        <w:t xml:space="preserve"> outlined on pages 36</w:t>
      </w:r>
      <w:r w:rsidR="00BE0ADF">
        <w:rPr>
          <w:lang w:bidi="ar-SA"/>
        </w:rPr>
        <w:t>-</w:t>
      </w:r>
      <w:r w:rsidR="00C52989">
        <w:rPr>
          <w:lang w:bidi="ar-SA"/>
        </w:rPr>
        <w:t>37 of the report</w:t>
      </w:r>
      <w:r w:rsidR="00C2423E">
        <w:rPr>
          <w:lang w:bidi="ar-SA"/>
        </w:rPr>
        <w:t>,</w:t>
      </w:r>
      <w:r w:rsidR="00636D1E">
        <w:rPr>
          <w:lang w:bidi="ar-SA"/>
        </w:rPr>
        <w:t xml:space="preserve"> </w:t>
      </w:r>
      <w:r w:rsidR="00C2423E">
        <w:rPr>
          <w:lang w:bidi="ar-SA"/>
        </w:rPr>
        <w:t>including</w:t>
      </w:r>
      <w:r w:rsidR="00636D1E">
        <w:rPr>
          <w:lang w:bidi="ar-SA"/>
        </w:rPr>
        <w:t xml:space="preserve"> the assumption that</w:t>
      </w:r>
      <w:r w:rsidR="00636D1E">
        <w:t xml:space="preserve"> a</w:t>
      </w:r>
      <w:r w:rsidR="002A4866">
        <w:t xml:space="preserve">ll </w:t>
      </w:r>
      <w:r w:rsidR="007A5008" w:rsidDel="00E474E2">
        <w:t xml:space="preserve">families </w:t>
      </w:r>
      <w:r w:rsidR="00237DA1" w:rsidDel="00E474E2">
        <w:t>with children</w:t>
      </w:r>
      <w:r w:rsidR="002A4866">
        <w:t xml:space="preserve"> </w:t>
      </w:r>
      <w:r w:rsidR="00636D1E">
        <w:t>are</w:t>
      </w:r>
      <w:r w:rsidR="002A4866">
        <w:t xml:space="preserve"> entitled to receive a </w:t>
      </w:r>
      <w:r w:rsidR="00C2423E">
        <w:t>C</w:t>
      </w:r>
      <w:r w:rsidR="002A4866">
        <w:t>hild</w:t>
      </w:r>
      <w:r w:rsidR="00C2423E">
        <w:t xml:space="preserve"> C</w:t>
      </w:r>
      <w:r w:rsidR="002A4866">
        <w:t xml:space="preserve">are </w:t>
      </w:r>
      <w:r w:rsidR="00C2423E">
        <w:t>S</w:t>
      </w:r>
      <w:r w:rsidR="002A4866">
        <w:t>ubsidy that reduces their out-of-pocket costs.</w:t>
      </w:r>
      <w:r w:rsidR="004A42A2">
        <w:t xml:space="preserve"> </w:t>
      </w:r>
      <w:r w:rsidR="0050641D">
        <w:t xml:space="preserve">However, </w:t>
      </w:r>
      <w:r w:rsidR="0050641D">
        <w:rPr>
          <w:lang w:bidi="ar-SA"/>
        </w:rPr>
        <w:t>l</w:t>
      </w:r>
      <w:r w:rsidR="004A42A2">
        <w:rPr>
          <w:lang w:bidi="ar-SA"/>
        </w:rPr>
        <w:t xml:space="preserve">imiting family types to families with school-aged children means that the families most likely to be using significant </w:t>
      </w:r>
      <w:proofErr w:type="gramStart"/>
      <w:r w:rsidR="004A42A2">
        <w:rPr>
          <w:lang w:bidi="ar-SA"/>
        </w:rPr>
        <w:t>child care</w:t>
      </w:r>
      <w:proofErr w:type="gramEnd"/>
      <w:r w:rsidR="004A42A2">
        <w:rPr>
          <w:lang w:bidi="ar-SA"/>
        </w:rPr>
        <w:t xml:space="preserve"> are not examined. </w:t>
      </w:r>
      <w:r w:rsidR="00EF5E37">
        <w:rPr>
          <w:lang w:bidi="ar-SA"/>
        </w:rPr>
        <w:t xml:space="preserve">Further, </w:t>
      </w:r>
      <w:r w:rsidR="00EF5E37">
        <w:t>i</w:t>
      </w:r>
      <w:r w:rsidR="00AE3CFE">
        <w:t>n the final budget estimates</w:t>
      </w:r>
      <w:r w:rsidR="006C04EB">
        <w:t xml:space="preserve"> </w:t>
      </w:r>
      <w:r w:rsidR="00E474E2">
        <w:t xml:space="preserve">outside school hours </w:t>
      </w:r>
      <w:proofErr w:type="gramStart"/>
      <w:r w:rsidR="00AE3CFE">
        <w:t>c</w:t>
      </w:r>
      <w:r w:rsidR="00AA2996">
        <w:t>hild</w:t>
      </w:r>
      <w:r w:rsidR="00AE3CFE">
        <w:t xml:space="preserve"> </w:t>
      </w:r>
      <w:r w:rsidR="00AA2996">
        <w:t>care</w:t>
      </w:r>
      <w:proofErr w:type="gramEnd"/>
      <w:r w:rsidR="00AA2996">
        <w:t xml:space="preserve"> costs </w:t>
      </w:r>
      <w:r w:rsidR="00EF5E37">
        <w:t>we</w:t>
      </w:r>
      <w:r w:rsidR="00AA2996">
        <w:t>re bundled together with education costs</w:t>
      </w:r>
      <w:r w:rsidR="00EF5E37">
        <w:t xml:space="preserve"> so the </w:t>
      </w:r>
      <w:proofErr w:type="gramStart"/>
      <w:r w:rsidR="008D22EC">
        <w:t>child care</w:t>
      </w:r>
      <w:proofErr w:type="gramEnd"/>
      <w:r w:rsidR="008D22EC">
        <w:t xml:space="preserve"> costs are not separately identifiable</w:t>
      </w:r>
      <w:r w:rsidR="00AA2996">
        <w:t xml:space="preserve">. </w:t>
      </w:r>
    </w:p>
    <w:p w14:paraId="23A85F1D" w14:textId="60BA6F2C" w:rsidR="00EB14EC" w:rsidRDefault="00AA2996" w:rsidP="00344629">
      <w:pPr>
        <w:pStyle w:val="BodyText"/>
        <w:spacing w:line="276" w:lineRule="auto"/>
      </w:pPr>
      <w:r>
        <w:rPr>
          <w:lang w:bidi="ar-SA"/>
        </w:rPr>
        <w:t xml:space="preserve">The second study </w:t>
      </w:r>
      <w:r w:rsidR="00BC6EC2">
        <w:rPr>
          <w:lang w:bidi="ar-SA"/>
        </w:rPr>
        <w:t xml:space="preserve">is </w:t>
      </w:r>
      <w:r w:rsidR="00A03B83">
        <w:t>Phillips</w:t>
      </w:r>
      <w:r w:rsidR="00763A46">
        <w:t xml:space="preserve"> </w:t>
      </w:r>
      <w:r w:rsidR="003F6219">
        <w:t>and colleagues’</w:t>
      </w:r>
      <w:r w:rsidR="00543B1C">
        <w:t xml:space="preserve"> </w:t>
      </w:r>
      <w:r w:rsidR="00305DD7">
        <w:rPr>
          <w:lang w:bidi="ar-SA"/>
        </w:rPr>
        <w:t>(</w:t>
      </w:r>
      <w:r w:rsidR="00543B1C">
        <w:rPr>
          <w:lang w:bidi="ar-SA"/>
        </w:rPr>
        <w:t>2013</w:t>
      </w:r>
      <w:r w:rsidR="00305DD7">
        <w:rPr>
          <w:lang w:bidi="ar-SA"/>
        </w:rPr>
        <w:t>)</w:t>
      </w:r>
      <w:r w:rsidR="00543B1C">
        <w:rPr>
          <w:lang w:bidi="ar-SA"/>
        </w:rPr>
        <w:t xml:space="preserve"> </w:t>
      </w:r>
      <w:r w:rsidR="00F7693C">
        <w:rPr>
          <w:lang w:bidi="ar-SA"/>
        </w:rPr>
        <w:t>expenditure</w:t>
      </w:r>
      <w:r w:rsidR="00A03B83">
        <w:rPr>
          <w:lang w:bidi="ar-SA"/>
        </w:rPr>
        <w:t>-</w:t>
      </w:r>
      <w:r w:rsidR="00F7693C">
        <w:rPr>
          <w:lang w:bidi="ar-SA"/>
        </w:rPr>
        <w:t>based study</w:t>
      </w:r>
      <w:r w:rsidR="00305DD7">
        <w:rPr>
          <w:lang w:bidi="ar-SA"/>
        </w:rPr>
        <w:t xml:space="preserve">. Like housing, </w:t>
      </w:r>
      <w:r w:rsidR="00A03B83">
        <w:rPr>
          <w:lang w:bidi="ar-SA"/>
        </w:rPr>
        <w:t>the authors</w:t>
      </w:r>
      <w:r w:rsidR="00305DD7">
        <w:rPr>
          <w:lang w:bidi="ar-SA"/>
        </w:rPr>
        <w:t xml:space="preserve"> </w:t>
      </w:r>
      <w:r w:rsidR="00D75D3A">
        <w:rPr>
          <w:lang w:bidi="ar-SA"/>
        </w:rPr>
        <w:t>use</w:t>
      </w:r>
      <w:r w:rsidR="00305DD7">
        <w:rPr>
          <w:lang w:bidi="ar-SA"/>
        </w:rPr>
        <w:t xml:space="preserve"> </w:t>
      </w:r>
      <w:r w:rsidR="00730A5C">
        <w:rPr>
          <w:lang w:bidi="ar-SA"/>
        </w:rPr>
        <w:t xml:space="preserve">the </w:t>
      </w:r>
      <w:r w:rsidR="00305DD7">
        <w:rPr>
          <w:lang w:bidi="ar-SA"/>
        </w:rPr>
        <w:t>SI</w:t>
      </w:r>
      <w:r w:rsidR="006373A8">
        <w:rPr>
          <w:lang w:bidi="ar-SA"/>
        </w:rPr>
        <w:t xml:space="preserve">H to estimate the cost of </w:t>
      </w:r>
      <w:proofErr w:type="gramStart"/>
      <w:r w:rsidR="006373A8">
        <w:rPr>
          <w:lang w:bidi="ar-SA"/>
        </w:rPr>
        <w:t>child care</w:t>
      </w:r>
      <w:proofErr w:type="gramEnd"/>
      <w:r w:rsidR="00FC78D7">
        <w:rPr>
          <w:lang w:bidi="ar-SA"/>
        </w:rPr>
        <w:t xml:space="preserve">, with data based on the </w:t>
      </w:r>
      <w:r w:rsidR="00520455">
        <w:rPr>
          <w:lang w:bidi="ar-SA"/>
        </w:rPr>
        <w:t>2009-10</w:t>
      </w:r>
      <w:r w:rsidR="00FC78D7">
        <w:rPr>
          <w:lang w:bidi="ar-SA"/>
        </w:rPr>
        <w:t xml:space="preserve"> SIH</w:t>
      </w:r>
      <w:r w:rsidR="00BA3B53">
        <w:rPr>
          <w:lang w:bidi="ar-SA"/>
        </w:rPr>
        <w:t>.</w:t>
      </w:r>
      <w:r w:rsidR="00D75D3A">
        <w:t xml:space="preserve"> </w:t>
      </w:r>
      <w:r w:rsidR="00F33900">
        <w:t xml:space="preserve">The SIH </w:t>
      </w:r>
      <w:r w:rsidR="00BA3B53">
        <w:t>has</w:t>
      </w:r>
      <w:r w:rsidR="00F33900">
        <w:t xml:space="preserve"> data on </w:t>
      </w:r>
      <w:proofErr w:type="gramStart"/>
      <w:r w:rsidR="00F33900">
        <w:t>child care</w:t>
      </w:r>
      <w:proofErr w:type="gramEnd"/>
      <w:r w:rsidR="00F33900">
        <w:t xml:space="preserve"> use, cost and subsidies</w:t>
      </w:r>
      <w:r w:rsidR="00D44D2E">
        <w:t>,</w:t>
      </w:r>
      <w:r w:rsidR="00F33900">
        <w:t xml:space="preserve"> us</w:t>
      </w:r>
      <w:r w:rsidR="00D44D2E">
        <w:t>ing</w:t>
      </w:r>
      <w:r w:rsidR="00F33900">
        <w:t xml:space="preserve"> both reported and modelled data. </w:t>
      </w:r>
      <w:r w:rsidR="00832293">
        <w:t>The authors</w:t>
      </w:r>
      <w:r w:rsidR="00624513">
        <w:t xml:space="preserve"> estimate</w:t>
      </w:r>
      <w:r w:rsidR="00996688">
        <w:t>d</w:t>
      </w:r>
      <w:r w:rsidR="00624513">
        <w:t xml:space="preserve"> the lifetime costs of a child </w:t>
      </w:r>
      <w:r w:rsidR="00666856">
        <w:t>for three different families: low</w:t>
      </w:r>
      <w:r w:rsidR="00203C00">
        <w:t xml:space="preserve"> income</w:t>
      </w:r>
      <w:r w:rsidR="00666856">
        <w:t xml:space="preserve">, medium </w:t>
      </w:r>
      <w:r w:rsidR="00203C00">
        <w:t xml:space="preserve">income </w:t>
      </w:r>
      <w:r w:rsidR="00666856">
        <w:t>and high</w:t>
      </w:r>
      <w:r w:rsidR="00203C00">
        <w:t xml:space="preserve"> income</w:t>
      </w:r>
      <w:r w:rsidR="00666856">
        <w:t xml:space="preserve">. </w:t>
      </w:r>
      <w:r w:rsidR="005F3265">
        <w:t>The proportion of spending going to</w:t>
      </w:r>
      <w:r w:rsidR="00E474E2">
        <w:t xml:space="preserve"> </w:t>
      </w:r>
      <w:proofErr w:type="gramStart"/>
      <w:r w:rsidR="005F3265">
        <w:t>child</w:t>
      </w:r>
      <w:r w:rsidR="00424CC0">
        <w:t xml:space="preserve"> </w:t>
      </w:r>
      <w:r w:rsidR="005F3265">
        <w:t>care</w:t>
      </w:r>
      <w:proofErr w:type="gramEnd"/>
      <w:r w:rsidR="005F3265">
        <w:t xml:space="preserve"> increase</w:t>
      </w:r>
      <w:r w:rsidR="00203C00">
        <w:t>d</w:t>
      </w:r>
      <w:r w:rsidR="005F3265">
        <w:t xml:space="preserve"> with family income</w:t>
      </w:r>
      <w:r w:rsidR="00214546">
        <w:t xml:space="preserve">. For </w:t>
      </w:r>
      <w:r w:rsidR="005F3265">
        <w:t xml:space="preserve">a </w:t>
      </w:r>
      <w:r w:rsidR="00214546">
        <w:t>low-income</w:t>
      </w:r>
      <w:r w:rsidR="005F3265">
        <w:t xml:space="preserve"> family</w:t>
      </w:r>
      <w:r w:rsidR="000B516C">
        <w:t xml:space="preserve"> with two children</w:t>
      </w:r>
      <w:r w:rsidR="005F3265">
        <w:t xml:space="preserve">, </w:t>
      </w:r>
      <w:r w:rsidR="00B0442B">
        <w:t xml:space="preserve">1.4% of total lifetime child spending </w:t>
      </w:r>
      <w:r w:rsidR="00203C00">
        <w:t>went</w:t>
      </w:r>
      <w:r w:rsidR="00B0442B">
        <w:t xml:space="preserve"> to </w:t>
      </w:r>
      <w:proofErr w:type="gramStart"/>
      <w:r w:rsidR="00B0442B">
        <w:t>child</w:t>
      </w:r>
      <w:r w:rsidR="00424CC0">
        <w:t xml:space="preserve"> </w:t>
      </w:r>
      <w:r w:rsidR="00B0442B">
        <w:t>care</w:t>
      </w:r>
      <w:proofErr w:type="gramEnd"/>
      <w:r w:rsidR="00B0442B">
        <w:t>, for a medium</w:t>
      </w:r>
      <w:r w:rsidR="00214546">
        <w:t>-</w:t>
      </w:r>
      <w:r w:rsidR="00B0442B">
        <w:t>income family, this increase</w:t>
      </w:r>
      <w:r w:rsidR="006B6505">
        <w:t>d</w:t>
      </w:r>
      <w:r w:rsidR="00B0442B">
        <w:t xml:space="preserve"> </w:t>
      </w:r>
      <w:r w:rsidR="0062056C">
        <w:t xml:space="preserve">to </w:t>
      </w:r>
      <w:r w:rsidR="00B0442B">
        <w:t>6.6%</w:t>
      </w:r>
      <w:r w:rsidR="006B6505">
        <w:t xml:space="preserve">, and for a </w:t>
      </w:r>
      <w:r w:rsidR="00B0442B">
        <w:t>high</w:t>
      </w:r>
      <w:r w:rsidR="00214546">
        <w:t>-</w:t>
      </w:r>
      <w:r w:rsidR="00B0442B">
        <w:t>income family</w:t>
      </w:r>
      <w:r w:rsidR="006B6505">
        <w:t xml:space="preserve"> this was </w:t>
      </w:r>
      <w:r w:rsidR="00B0442B">
        <w:t>estimate</w:t>
      </w:r>
      <w:r w:rsidR="006B6505">
        <w:t>d a</w:t>
      </w:r>
      <w:r w:rsidR="006512F5">
        <w:t>t</w:t>
      </w:r>
      <w:r w:rsidR="00B0442B">
        <w:t xml:space="preserve"> 8.3%</w:t>
      </w:r>
      <w:r w:rsidR="002D0999">
        <w:t>.</w:t>
      </w:r>
      <w:r w:rsidR="00214546">
        <w:t xml:space="preserve"> </w:t>
      </w:r>
      <w:r w:rsidR="00BD414C">
        <w:t>However, g</w:t>
      </w:r>
      <w:r w:rsidR="00E474E2">
        <w:t xml:space="preserve">iven changes to the Child Care Subsidy </w:t>
      </w:r>
      <w:r w:rsidR="00BD414C">
        <w:t xml:space="preserve">as well as </w:t>
      </w:r>
      <w:r w:rsidR="0030603C">
        <w:t>on</w:t>
      </w:r>
      <w:r w:rsidR="00A85CB7">
        <w:t xml:space="preserve">going increases in the </w:t>
      </w:r>
      <w:r w:rsidR="00E474E2">
        <w:t>workforce participation of primary carers of children</w:t>
      </w:r>
      <w:r w:rsidR="00A027E3">
        <w:t>,</w:t>
      </w:r>
      <w:r w:rsidR="00E474E2" w:rsidDel="00DB5799">
        <w:t xml:space="preserve"> </w:t>
      </w:r>
      <w:r w:rsidR="00E474E2">
        <w:t xml:space="preserve">care should be taken in interpreting </w:t>
      </w:r>
      <w:r w:rsidR="00DB5799">
        <w:t xml:space="preserve">this older </w:t>
      </w:r>
      <w:r w:rsidR="00E474E2">
        <w:t xml:space="preserve">expenditure-based research </w:t>
      </w:r>
      <w:r w:rsidR="009374A1">
        <w:t>for</w:t>
      </w:r>
      <w:r w:rsidR="00E474E2">
        <w:t xml:space="preserve"> the cost of children including </w:t>
      </w:r>
      <w:proofErr w:type="gramStart"/>
      <w:r w:rsidR="00E474E2">
        <w:t>child care</w:t>
      </w:r>
      <w:proofErr w:type="gramEnd"/>
      <w:r w:rsidR="00E474E2">
        <w:t xml:space="preserve"> costs.</w:t>
      </w:r>
    </w:p>
    <w:p w14:paraId="443081A2" w14:textId="4E0BD91A" w:rsidR="00EB14EC" w:rsidRDefault="00EB14EC" w:rsidP="000544F5">
      <w:pPr>
        <w:pStyle w:val="Heading4"/>
      </w:pPr>
      <w:bookmarkStart w:id="27" w:name="_Toc168066342"/>
      <w:bookmarkStart w:id="28" w:name="_Toc1007432645"/>
      <w:r>
        <w:t>Summary</w:t>
      </w:r>
      <w:bookmarkEnd w:id="27"/>
      <w:bookmarkEnd w:id="28"/>
    </w:p>
    <w:p w14:paraId="51A32B96" w14:textId="0EE9AF27" w:rsidR="00463739" w:rsidRDefault="00463739" w:rsidP="003D2370">
      <w:pPr>
        <w:pStyle w:val="BodyText"/>
        <w:rPr>
          <w:lang w:bidi="ar-SA"/>
        </w:rPr>
      </w:pPr>
      <w:r>
        <w:rPr>
          <w:lang w:bidi="ar-SA"/>
        </w:rPr>
        <w:t>Our review found</w:t>
      </w:r>
      <w:r w:rsidR="00794582">
        <w:rPr>
          <w:lang w:bidi="ar-SA"/>
        </w:rPr>
        <w:t xml:space="preserve"> studies with</w:t>
      </w:r>
      <w:r>
        <w:rPr>
          <w:lang w:bidi="ar-SA"/>
        </w:rPr>
        <w:t xml:space="preserve"> estimates </w:t>
      </w:r>
      <w:r w:rsidR="00F664BC">
        <w:rPr>
          <w:lang w:bidi="ar-SA"/>
        </w:rPr>
        <w:t xml:space="preserve">of costs of </w:t>
      </w:r>
      <w:r w:rsidR="00054CC9">
        <w:rPr>
          <w:lang w:bidi="ar-SA"/>
        </w:rPr>
        <w:t xml:space="preserve">shared care across households, </w:t>
      </w:r>
      <w:proofErr w:type="gramStart"/>
      <w:r w:rsidR="00054CC9">
        <w:rPr>
          <w:lang w:bidi="ar-SA"/>
        </w:rPr>
        <w:t>child care</w:t>
      </w:r>
      <w:proofErr w:type="gramEnd"/>
      <w:r w:rsidR="00054CC9">
        <w:rPr>
          <w:lang w:bidi="ar-SA"/>
        </w:rPr>
        <w:t xml:space="preserve"> and housing types, but not for care patterns within households.</w:t>
      </w:r>
    </w:p>
    <w:p w14:paraId="5F919126" w14:textId="0A77B61E" w:rsidR="00382327" w:rsidRPr="00D30283" w:rsidRDefault="00463739" w:rsidP="003D2370">
      <w:pPr>
        <w:pStyle w:val="BodyText"/>
        <w:rPr>
          <w:rFonts w:cs="Arial"/>
          <w:lang w:bidi="ar-SA"/>
        </w:rPr>
      </w:pPr>
      <w:r w:rsidRPr="5A104D4B">
        <w:rPr>
          <w:rFonts w:cs="Arial"/>
          <w:color w:val="auto"/>
        </w:rPr>
        <w:t>E</w:t>
      </w:r>
      <w:r w:rsidR="00043195" w:rsidRPr="5A104D4B">
        <w:rPr>
          <w:rFonts w:cs="Arial"/>
          <w:color w:val="auto"/>
        </w:rPr>
        <w:t xml:space="preserve">ach of the </w:t>
      </w:r>
      <w:r w:rsidR="00382327" w:rsidRPr="5A104D4B">
        <w:rPr>
          <w:rFonts w:cs="Arial"/>
          <w:color w:val="auto"/>
        </w:rPr>
        <w:t xml:space="preserve">studies </w:t>
      </w:r>
      <w:r w:rsidR="00043195" w:rsidRPr="5A104D4B">
        <w:rPr>
          <w:rFonts w:cs="Arial"/>
          <w:color w:val="auto"/>
        </w:rPr>
        <w:t xml:space="preserve">that </w:t>
      </w:r>
      <w:r w:rsidR="00382327" w:rsidRPr="5A104D4B">
        <w:rPr>
          <w:rFonts w:cs="Arial"/>
          <w:color w:val="auto"/>
        </w:rPr>
        <w:t>estimate</w:t>
      </w:r>
      <w:r w:rsidR="00A90765" w:rsidRPr="5A104D4B">
        <w:rPr>
          <w:rFonts w:cs="Arial"/>
          <w:color w:val="auto"/>
        </w:rPr>
        <w:t>d</w:t>
      </w:r>
      <w:r w:rsidR="00382327" w:rsidRPr="5A104D4B">
        <w:rPr>
          <w:rFonts w:cs="Arial"/>
          <w:color w:val="auto"/>
        </w:rPr>
        <w:t xml:space="preserve"> the costs of children in shared care arrangements </w:t>
      </w:r>
      <w:r w:rsidR="00D81409">
        <w:rPr>
          <w:rFonts w:cs="Arial"/>
          <w:color w:val="auto"/>
        </w:rPr>
        <w:t xml:space="preserve">or low levels of care with contact costs, </w:t>
      </w:r>
      <w:r w:rsidR="00382327" w:rsidRPr="5A104D4B">
        <w:rPr>
          <w:rFonts w:cs="Arial"/>
        </w:rPr>
        <w:t>used a different approach to produce estimates</w:t>
      </w:r>
      <w:r w:rsidR="007B32BB" w:rsidRPr="5A104D4B">
        <w:rPr>
          <w:rFonts w:cs="Arial"/>
        </w:rPr>
        <w:t xml:space="preserve"> (</w:t>
      </w:r>
      <w:r w:rsidR="00F07049" w:rsidRPr="5A104D4B">
        <w:rPr>
          <w:rFonts w:cs="Arial"/>
        </w:rPr>
        <w:t>budget standards, self-reported economic wellbeing and expenditure)</w:t>
      </w:r>
      <w:r w:rsidR="00382327" w:rsidRPr="5A104D4B">
        <w:rPr>
          <w:rFonts w:cs="Arial"/>
        </w:rPr>
        <w:t xml:space="preserve">, </w:t>
      </w:r>
      <w:r w:rsidR="00F07049" w:rsidRPr="5A104D4B">
        <w:rPr>
          <w:rFonts w:cs="Arial"/>
        </w:rPr>
        <w:t>and</w:t>
      </w:r>
      <w:r w:rsidR="00382327" w:rsidRPr="5A104D4B">
        <w:rPr>
          <w:rFonts w:cs="Arial"/>
        </w:rPr>
        <w:t xml:space="preserve"> all came to the same conclusion</w:t>
      </w:r>
      <w:r w:rsidR="0093148B" w:rsidRPr="5A104D4B">
        <w:rPr>
          <w:rFonts w:cs="Arial"/>
        </w:rPr>
        <w:t>;</w:t>
      </w:r>
      <w:r w:rsidR="00382327" w:rsidRPr="5A104D4B">
        <w:rPr>
          <w:rFonts w:cs="Arial"/>
        </w:rPr>
        <w:t xml:space="preserve"> the cost of a child who is receiving direct care by two separated parents is higher than a child residing in an intact household. </w:t>
      </w:r>
    </w:p>
    <w:p w14:paraId="4F9312F3" w14:textId="5D4AE712" w:rsidR="007C206E" w:rsidRDefault="000307E4" w:rsidP="003D2370">
      <w:pPr>
        <w:pStyle w:val="BodyText"/>
        <w:spacing w:line="276" w:lineRule="auto"/>
        <w:rPr>
          <w:rFonts w:cs="Arial"/>
          <w:color w:val="auto"/>
        </w:rPr>
      </w:pPr>
      <w:r>
        <w:rPr>
          <w:rFonts w:cs="Arial"/>
          <w:color w:val="auto"/>
        </w:rPr>
        <w:t>All studies</w:t>
      </w:r>
      <w:r w:rsidR="00382327">
        <w:rPr>
          <w:rFonts w:cs="Arial"/>
          <w:color w:val="auto"/>
        </w:rPr>
        <w:t xml:space="preserve"> that used either a </w:t>
      </w:r>
      <w:r>
        <w:rPr>
          <w:rFonts w:cs="Arial"/>
          <w:color w:val="auto"/>
        </w:rPr>
        <w:t>budget standards</w:t>
      </w:r>
      <w:r w:rsidR="00382327">
        <w:rPr>
          <w:rFonts w:cs="Arial"/>
          <w:color w:val="auto"/>
        </w:rPr>
        <w:t xml:space="preserve"> </w:t>
      </w:r>
      <w:proofErr w:type="gramStart"/>
      <w:r w:rsidR="00382327">
        <w:rPr>
          <w:rFonts w:cs="Arial"/>
          <w:color w:val="auto"/>
        </w:rPr>
        <w:t>approach</w:t>
      </w:r>
      <w:proofErr w:type="gramEnd"/>
      <w:r w:rsidR="00382327">
        <w:rPr>
          <w:rFonts w:cs="Arial"/>
          <w:color w:val="auto"/>
        </w:rPr>
        <w:t xml:space="preserve"> or an expenditure approach estimated the costs of </w:t>
      </w:r>
      <w:proofErr w:type="gramStart"/>
      <w:r w:rsidR="00382327">
        <w:rPr>
          <w:rFonts w:cs="Arial"/>
          <w:color w:val="auto"/>
        </w:rPr>
        <w:t>child care</w:t>
      </w:r>
      <w:proofErr w:type="gramEnd"/>
      <w:r w:rsidR="00382327">
        <w:rPr>
          <w:rFonts w:cs="Arial"/>
          <w:color w:val="auto"/>
        </w:rPr>
        <w:t xml:space="preserve"> and housing. </w:t>
      </w:r>
      <w:r w:rsidR="007C206E">
        <w:rPr>
          <w:rFonts w:cs="Arial"/>
          <w:color w:val="auto"/>
        </w:rPr>
        <w:t xml:space="preserve">Studies </w:t>
      </w:r>
      <w:r w:rsidR="00EE1AB0">
        <w:rPr>
          <w:rFonts w:cs="Arial"/>
          <w:color w:val="auto"/>
        </w:rPr>
        <w:t>that used s</w:t>
      </w:r>
      <w:r w:rsidR="007C206E">
        <w:rPr>
          <w:rFonts w:cs="Arial"/>
          <w:color w:val="auto"/>
        </w:rPr>
        <w:t>elf-reported</w:t>
      </w:r>
      <w:r w:rsidR="00EE1AB0">
        <w:rPr>
          <w:rFonts w:cs="Arial"/>
          <w:color w:val="auto"/>
        </w:rPr>
        <w:t xml:space="preserve"> economic wellbeing approaches did not incorporate estimates of these costs.</w:t>
      </w:r>
    </w:p>
    <w:p w14:paraId="11958676" w14:textId="13EEBA54" w:rsidR="00674F3D" w:rsidRDefault="00674F3D" w:rsidP="003D2370">
      <w:pPr>
        <w:pStyle w:val="BodyText"/>
        <w:spacing w:line="276" w:lineRule="auto"/>
        <w:rPr>
          <w:rFonts w:cs="Arial"/>
          <w:color w:val="auto"/>
        </w:rPr>
      </w:pPr>
      <w:r>
        <w:rPr>
          <w:rFonts w:cs="Arial"/>
          <w:color w:val="auto"/>
        </w:rPr>
        <w:lastRenderedPageBreak/>
        <w:t>Although different types of housing costs were incorporated in the studies in our review</w:t>
      </w:r>
      <w:r w:rsidR="00D16911">
        <w:rPr>
          <w:rFonts w:cs="Arial"/>
          <w:color w:val="auto"/>
        </w:rPr>
        <w:t xml:space="preserve">, </w:t>
      </w:r>
      <w:r>
        <w:rPr>
          <w:rFonts w:cs="Arial"/>
          <w:color w:val="auto"/>
        </w:rPr>
        <w:t xml:space="preserve">the final estimates were typically aggregated into a single ‘housing’ line item. </w:t>
      </w:r>
      <w:r w:rsidR="00173481">
        <w:rPr>
          <w:rFonts w:cs="Arial"/>
          <w:color w:val="auto"/>
        </w:rPr>
        <w:t>Studies using the</w:t>
      </w:r>
      <w:r>
        <w:rPr>
          <w:rFonts w:cs="Arial"/>
          <w:color w:val="auto"/>
        </w:rPr>
        <w:t xml:space="preserve"> </w:t>
      </w:r>
      <w:r w:rsidR="001E1292">
        <w:rPr>
          <w:rFonts w:cs="Arial"/>
          <w:color w:val="auto"/>
        </w:rPr>
        <w:t>budget standards approach</w:t>
      </w:r>
      <w:r>
        <w:rPr>
          <w:rFonts w:cs="Arial"/>
          <w:color w:val="auto"/>
        </w:rPr>
        <w:t xml:space="preserve"> generally used the weekly rental costs of private dwellings to estimate housing costs and varied the size of the property depending on the size of the different households</w:t>
      </w:r>
      <w:r w:rsidR="00173481">
        <w:rPr>
          <w:rFonts w:cs="Arial"/>
          <w:color w:val="auto"/>
        </w:rPr>
        <w:t>. Some of these studies</w:t>
      </w:r>
      <w:r>
        <w:rPr>
          <w:rFonts w:cs="Arial"/>
          <w:color w:val="auto"/>
        </w:rPr>
        <w:t xml:space="preserve"> extended this to account for eligibility for social housing for low-income families</w:t>
      </w:r>
      <w:r>
        <w:t>. The expenditure studies typically used data that disaggregated household spending by rent and mortgage repayments</w:t>
      </w:r>
      <w:r w:rsidR="005C27D5">
        <w:t>. H</w:t>
      </w:r>
      <w:r>
        <w:t xml:space="preserve">owever, </w:t>
      </w:r>
      <w:r w:rsidR="00325FE9">
        <w:t xml:space="preserve">it was not clear if mortgage payments were treated as saving or expense, and </w:t>
      </w:r>
      <w:r>
        <w:t>in their final estimates they aggregate</w:t>
      </w:r>
      <w:r w:rsidR="0093148B">
        <w:t>d</w:t>
      </w:r>
      <w:r>
        <w:t xml:space="preserve"> and report</w:t>
      </w:r>
      <w:r w:rsidR="009B14EC">
        <w:t>ed</w:t>
      </w:r>
      <w:r>
        <w:t xml:space="preserve"> a single housing line item.</w:t>
      </w:r>
    </w:p>
    <w:p w14:paraId="400F5B17" w14:textId="339A9871" w:rsidR="00832872" w:rsidRDefault="00832872" w:rsidP="00222BC6">
      <w:pPr>
        <w:pStyle w:val="Heading2"/>
        <w:spacing w:before="0" w:after="120"/>
        <w:rPr>
          <w:lang w:bidi="en-US"/>
        </w:rPr>
      </w:pPr>
      <w:bookmarkStart w:id="29" w:name="_Toc13143954"/>
      <w:r w:rsidRPr="55984A4E">
        <w:rPr>
          <w:lang w:bidi="en-US"/>
        </w:rPr>
        <w:lastRenderedPageBreak/>
        <w:t>Discussion</w:t>
      </w:r>
      <w:bookmarkEnd w:id="29"/>
    </w:p>
    <w:p w14:paraId="09D5D18D" w14:textId="5ED8230A" w:rsidR="000611E0" w:rsidRDefault="000611E0" w:rsidP="00832872">
      <w:pPr>
        <w:pStyle w:val="BodyText"/>
      </w:pPr>
      <w:r>
        <w:t>This review focused on research from 2005 to early 2024 on the costs o</w:t>
      </w:r>
      <w:r w:rsidR="00F3643F">
        <w:t>f children. The focus of the research was to update the earlier literature review</w:t>
      </w:r>
      <w:r w:rsidR="00C678F7">
        <w:t xml:space="preserve"> by Gray (2007)</w:t>
      </w:r>
      <w:r w:rsidR="00F3643F">
        <w:t xml:space="preserve"> and</w:t>
      </w:r>
      <w:r w:rsidR="00E07F12">
        <w:t xml:space="preserve"> </w:t>
      </w:r>
      <w:r w:rsidR="00EA7E47">
        <w:t xml:space="preserve">look at costs in respect of patterns of care, shared care, </w:t>
      </w:r>
      <w:proofErr w:type="gramStart"/>
      <w:r w:rsidR="00EA7E47">
        <w:t>child care</w:t>
      </w:r>
      <w:proofErr w:type="gramEnd"/>
      <w:r w:rsidR="00EA7E47">
        <w:t xml:space="preserve"> and housing types in relation to the costs of children.</w:t>
      </w:r>
    </w:p>
    <w:p w14:paraId="5A2B8B09" w14:textId="5EA104ED" w:rsidR="006907BB" w:rsidRDefault="00CF27FC" w:rsidP="00832872">
      <w:pPr>
        <w:pStyle w:val="BodyText"/>
      </w:pPr>
      <w:r>
        <w:t>We observe that t</w:t>
      </w:r>
      <w:r w:rsidR="00352506">
        <w:t>here is still no consensus on the best way to estimate the cost of a child. As Gray (2007)</w:t>
      </w:r>
      <w:r w:rsidR="00932ADD">
        <w:t xml:space="preserve"> found</w:t>
      </w:r>
      <w:r w:rsidR="00517CF8">
        <w:t>,</w:t>
      </w:r>
      <w:r w:rsidR="00352506">
        <w:t xml:space="preserve"> there are many methods</w:t>
      </w:r>
      <w:r w:rsidR="00106F39">
        <w:t xml:space="preserve"> cover</w:t>
      </w:r>
      <w:r w:rsidR="00710B5E">
        <w:t>e</w:t>
      </w:r>
      <w:r w:rsidR="00106F39">
        <w:t>d</w:t>
      </w:r>
      <w:r w:rsidR="00352506">
        <w:t xml:space="preserve"> in the literature that use different data and different assumptions to estimate the cost of raising a child, and each method has its own benefits and limitations.</w:t>
      </w:r>
      <w:r w:rsidR="00F664BC">
        <w:t xml:space="preserve"> </w:t>
      </w:r>
    </w:p>
    <w:p w14:paraId="04611D16" w14:textId="18A9743A" w:rsidR="00832872" w:rsidRDefault="00596EDB" w:rsidP="00832872">
      <w:pPr>
        <w:pStyle w:val="BodyText"/>
      </w:pPr>
      <w:r>
        <w:t>The most common approaches remain the budget standards and</w:t>
      </w:r>
      <w:r w:rsidR="0009413E">
        <w:t xml:space="preserve"> methods using </w:t>
      </w:r>
      <w:r>
        <w:t>expenditure</w:t>
      </w:r>
      <w:r w:rsidR="0009413E">
        <w:t xml:space="preserve"> data to estimate parental expenditure on children by income level</w:t>
      </w:r>
      <w:r w:rsidR="00081B70">
        <w:t>.</w:t>
      </w:r>
      <w:r w:rsidR="006322CD">
        <w:t xml:space="preserve"> </w:t>
      </w:r>
      <w:r w:rsidR="00DC60F8">
        <w:t>We observed a r</w:t>
      </w:r>
      <w:r w:rsidR="006322CD">
        <w:t xml:space="preserve">ising popularity </w:t>
      </w:r>
      <w:r w:rsidR="00142C6A">
        <w:t>in international stud</w:t>
      </w:r>
      <w:r w:rsidR="00D45E05">
        <w:t>ies</w:t>
      </w:r>
      <w:r w:rsidR="006322CD">
        <w:t xml:space="preserve"> for </w:t>
      </w:r>
      <w:r w:rsidR="00DC60F8">
        <w:t xml:space="preserve">the </w:t>
      </w:r>
      <w:r w:rsidR="006322CD">
        <w:t>approach</w:t>
      </w:r>
      <w:r w:rsidR="00DC60F8">
        <w:t>es that use subjective measures of economic wellbeing</w:t>
      </w:r>
      <w:r w:rsidR="00265CD6">
        <w:t xml:space="preserve">, but that this had not yet translated into any official poverty </w:t>
      </w:r>
      <w:r w:rsidR="0002095F">
        <w:t xml:space="preserve">or cost of children </w:t>
      </w:r>
      <w:r w:rsidR="00265CD6">
        <w:t xml:space="preserve">measures. </w:t>
      </w:r>
      <w:r w:rsidR="006030EA">
        <w:t>We only found one Australian study</w:t>
      </w:r>
      <w:r w:rsidR="00025F24">
        <w:t>, from 2005,</w:t>
      </w:r>
      <w:r w:rsidR="006030EA">
        <w:t xml:space="preserve"> that applied this method</w:t>
      </w:r>
      <w:r w:rsidR="00B72149">
        <w:t>.</w:t>
      </w:r>
    </w:p>
    <w:p w14:paraId="1C7223F3" w14:textId="441637F4" w:rsidR="003A3909" w:rsidRDefault="003035BE" w:rsidP="00754826">
      <w:pPr>
        <w:pStyle w:val="BodyText"/>
      </w:pPr>
      <w:r>
        <w:t>B</w:t>
      </w:r>
      <w:r w:rsidR="00754826">
        <w:t xml:space="preserve">udget standards </w:t>
      </w:r>
      <w:r>
        <w:t xml:space="preserve">approaches </w:t>
      </w:r>
      <w:r w:rsidR="00F775A7">
        <w:t xml:space="preserve">are </w:t>
      </w:r>
      <w:r w:rsidR="00754826">
        <w:t xml:space="preserve">used </w:t>
      </w:r>
      <w:r w:rsidR="0009413E">
        <w:t>in</w:t>
      </w:r>
      <w:r w:rsidR="31D36DAF">
        <w:t xml:space="preserve"> </w:t>
      </w:r>
      <w:r w:rsidR="00B85882">
        <w:t xml:space="preserve">other OECD countries in </w:t>
      </w:r>
      <w:r w:rsidR="00754826">
        <w:t>setting minimum wage levels and in measuring poverty.</w:t>
      </w:r>
      <w:r w:rsidR="0009413E">
        <w:t xml:space="preserve"> In Australia, budget standards approaches are used to inform annual reviews of the minimum wage.</w:t>
      </w:r>
      <w:r w:rsidR="00754826">
        <w:t xml:space="preserve"> Since Gray (2007), budget standards (or reference budgets, as they are called in Europe) have become more embedded in European measures of poverty</w:t>
      </w:r>
      <w:r w:rsidR="00C51793">
        <w:t xml:space="preserve"> and income a</w:t>
      </w:r>
      <w:r w:rsidR="00B837E5">
        <w:t>dequacy</w:t>
      </w:r>
      <w:r w:rsidR="00754826">
        <w:t xml:space="preserve">. Recent updates of the Australian budget standards </w:t>
      </w:r>
      <w:r w:rsidR="00A31D56">
        <w:t>have</w:t>
      </w:r>
      <w:r w:rsidR="00754826">
        <w:t xml:space="preserve"> incorporate</w:t>
      </w:r>
      <w:r w:rsidR="001B0B3D">
        <w:t>d</w:t>
      </w:r>
      <w:r w:rsidR="00754826">
        <w:t xml:space="preserve"> developments from the European literature, including the application of the MIHL as the standard of living.</w:t>
      </w:r>
      <w:r w:rsidR="00E05CCB">
        <w:t xml:space="preserve"> </w:t>
      </w:r>
    </w:p>
    <w:p w14:paraId="57D01631" w14:textId="4420751E" w:rsidR="00754826" w:rsidRDefault="00754826" w:rsidP="00754826">
      <w:pPr>
        <w:pStyle w:val="BodyText"/>
      </w:pPr>
      <w:r>
        <w:t>Expenditure-based approaches are still widely used to estimate the cost of children</w:t>
      </w:r>
      <w:r w:rsidR="00EA37D7">
        <w:t xml:space="preserve"> internationally</w:t>
      </w:r>
      <w:r>
        <w:t xml:space="preserve">. Newer </w:t>
      </w:r>
      <w:r w:rsidR="004E34FD">
        <w:t xml:space="preserve">techniques </w:t>
      </w:r>
      <w:r w:rsidR="004E5B31">
        <w:t xml:space="preserve">for these </w:t>
      </w:r>
      <w:r>
        <w:t xml:space="preserve">methods have emerged in the international literature, including semi-parametric, non-parametric and indifference curve </w:t>
      </w:r>
      <w:r w:rsidR="00670983">
        <w:t>methods</w:t>
      </w:r>
      <w:r>
        <w:t>. We did not find any studies that appl</w:t>
      </w:r>
      <w:r w:rsidR="004E5B31">
        <w:t>ied</w:t>
      </w:r>
      <w:r>
        <w:t xml:space="preserve"> these newer techniques to estimate the cost of children in Australia. </w:t>
      </w:r>
    </w:p>
    <w:p w14:paraId="5A6ACAD6" w14:textId="39140B49" w:rsidR="00033541" w:rsidRDefault="00754826" w:rsidP="00754826">
      <w:pPr>
        <w:pStyle w:val="BodyText"/>
        <w:spacing w:line="276" w:lineRule="auto"/>
      </w:pPr>
      <w:r>
        <w:rPr>
          <w:rFonts w:cs="Arial"/>
          <w:bCs/>
          <w:color w:val="auto"/>
        </w:rPr>
        <w:t xml:space="preserve">There continues to be ongoing discussion around the variation in the estimates produced by these different </w:t>
      </w:r>
      <w:r w:rsidR="009E2E09">
        <w:rPr>
          <w:rFonts w:cs="Arial"/>
          <w:bCs/>
          <w:color w:val="auto"/>
        </w:rPr>
        <w:t>approaches</w:t>
      </w:r>
      <w:r w:rsidR="00033541">
        <w:t>.</w:t>
      </w:r>
      <w:r w:rsidR="00AE1DBD">
        <w:t xml:space="preserve"> Recent studies that compare</w:t>
      </w:r>
      <w:r w:rsidR="00161C22">
        <w:t>d</w:t>
      </w:r>
      <w:r w:rsidR="00AE1DBD">
        <w:t xml:space="preserve"> estimate</w:t>
      </w:r>
      <w:r w:rsidR="00FA67F7">
        <w:t>s from the different approaches conclude</w:t>
      </w:r>
      <w:r w:rsidR="00D85947">
        <w:t>d</w:t>
      </w:r>
      <w:r w:rsidR="00FA67F7">
        <w:t xml:space="preserve"> that the selection of the method can have a significant impact on our understanding of the needs of different household</w:t>
      </w:r>
      <w:r w:rsidR="00B1776C">
        <w:t>s</w:t>
      </w:r>
      <w:r w:rsidR="00FA67F7">
        <w:t xml:space="preserve">. </w:t>
      </w:r>
    </w:p>
    <w:p w14:paraId="103ABAD8" w14:textId="56F34DD4" w:rsidR="00AC1340" w:rsidRDefault="00E52DC0" w:rsidP="00AC1340">
      <w:pPr>
        <w:pStyle w:val="BodyText"/>
        <w:spacing w:line="276" w:lineRule="auto"/>
        <w:rPr>
          <w:rFonts w:cs="Arial"/>
          <w:color w:val="auto"/>
        </w:rPr>
      </w:pPr>
      <w:r>
        <w:t xml:space="preserve">Our review </w:t>
      </w:r>
      <w:r w:rsidR="00912B9C">
        <w:t>found studies that consider</w:t>
      </w:r>
      <w:r w:rsidR="00EC37A1">
        <w:t>ed</w:t>
      </w:r>
      <w:r w:rsidR="00912B9C">
        <w:t xml:space="preserve"> the cost of children in shared care arrangements, </w:t>
      </w:r>
      <w:r w:rsidR="00AC1340">
        <w:t>as well as studies that incorporate</w:t>
      </w:r>
      <w:r w:rsidR="00EC37A1">
        <w:t>d</w:t>
      </w:r>
      <w:r w:rsidR="00912B9C">
        <w:t xml:space="preserve"> </w:t>
      </w:r>
      <w:proofErr w:type="gramStart"/>
      <w:r w:rsidR="00912B9C">
        <w:t>child care</w:t>
      </w:r>
      <w:proofErr w:type="gramEnd"/>
      <w:r w:rsidR="00912B9C">
        <w:t xml:space="preserve"> and housing costs. </w:t>
      </w:r>
      <w:r w:rsidR="00AC1340">
        <w:rPr>
          <w:rFonts w:cs="Arial"/>
          <w:color w:val="auto"/>
        </w:rPr>
        <w:t xml:space="preserve">We did not </w:t>
      </w:r>
      <w:r w:rsidR="001C54F4">
        <w:rPr>
          <w:rFonts w:cs="Arial"/>
          <w:color w:val="auto"/>
        </w:rPr>
        <w:t xml:space="preserve">identify any </w:t>
      </w:r>
      <w:r w:rsidR="00AC1340">
        <w:rPr>
          <w:rFonts w:cs="Arial"/>
          <w:color w:val="auto"/>
        </w:rPr>
        <w:t>studies that estimated the cost of children experiencing different patterns of care within the same household</w:t>
      </w:r>
      <w:r w:rsidR="001C54F4">
        <w:rPr>
          <w:rFonts w:cs="Arial"/>
          <w:color w:val="auto"/>
        </w:rPr>
        <w:t>.</w:t>
      </w:r>
      <w:r w:rsidR="00AC1340">
        <w:rPr>
          <w:rFonts w:cs="Arial"/>
          <w:color w:val="auto"/>
        </w:rPr>
        <w:t xml:space="preserve"> </w:t>
      </w:r>
    </w:p>
    <w:p w14:paraId="58E9FDB1" w14:textId="183960F8" w:rsidR="00AC1340" w:rsidRPr="0088521E" w:rsidRDefault="00AC1340" w:rsidP="00764B22">
      <w:pPr>
        <w:pStyle w:val="BodyText"/>
        <w:rPr>
          <w:rFonts w:cs="Arial"/>
          <w:color w:val="auto"/>
        </w:rPr>
      </w:pPr>
      <w:r w:rsidRPr="5A104D4B">
        <w:rPr>
          <w:rFonts w:cs="Arial"/>
          <w:color w:val="auto"/>
        </w:rPr>
        <w:t xml:space="preserve">Each of the studies that estimated the costs of children in shared care arrangements used </w:t>
      </w:r>
      <w:r w:rsidR="009C5319" w:rsidRPr="5A104D4B">
        <w:rPr>
          <w:rFonts w:cs="Arial"/>
          <w:color w:val="auto"/>
        </w:rPr>
        <w:t xml:space="preserve">a different approach </w:t>
      </w:r>
      <w:r w:rsidRPr="5A104D4B">
        <w:rPr>
          <w:rFonts w:cs="Arial"/>
          <w:color w:val="auto"/>
        </w:rPr>
        <w:t xml:space="preserve">to produce estimates. </w:t>
      </w:r>
      <w:r w:rsidR="009C5319" w:rsidRPr="5A104D4B">
        <w:rPr>
          <w:rFonts w:cs="Arial"/>
          <w:color w:val="auto"/>
        </w:rPr>
        <w:t xml:space="preserve">One used </w:t>
      </w:r>
      <w:r w:rsidR="00D212DB">
        <w:rPr>
          <w:rFonts w:cs="Arial"/>
          <w:color w:val="auto"/>
        </w:rPr>
        <w:t>the</w:t>
      </w:r>
      <w:r w:rsidR="009C5319" w:rsidRPr="5A104D4B">
        <w:rPr>
          <w:rFonts w:cs="Arial"/>
          <w:color w:val="auto"/>
        </w:rPr>
        <w:t xml:space="preserve"> budget standards approach, another used expenditure data, and a third used the subjective</w:t>
      </w:r>
      <w:r w:rsidR="00E8517E">
        <w:rPr>
          <w:rFonts w:cs="Arial"/>
          <w:color w:val="auto"/>
        </w:rPr>
        <w:t xml:space="preserve"> economic wellbeing</w:t>
      </w:r>
      <w:r w:rsidR="009C5319" w:rsidRPr="5A104D4B">
        <w:rPr>
          <w:rFonts w:cs="Arial"/>
          <w:color w:val="auto"/>
        </w:rPr>
        <w:t xml:space="preserve"> approach.</w:t>
      </w:r>
      <w:r w:rsidR="006E3A0D" w:rsidRPr="5A104D4B">
        <w:rPr>
          <w:rFonts w:cs="Arial"/>
          <w:color w:val="auto"/>
        </w:rPr>
        <w:t xml:space="preserve"> </w:t>
      </w:r>
      <w:r w:rsidR="009C5319" w:rsidRPr="5A104D4B">
        <w:rPr>
          <w:rFonts w:cs="Arial"/>
          <w:color w:val="auto"/>
        </w:rPr>
        <w:t>A</w:t>
      </w:r>
      <w:r w:rsidRPr="5A104D4B">
        <w:rPr>
          <w:rFonts w:cs="Arial"/>
          <w:color w:val="auto"/>
        </w:rPr>
        <w:t xml:space="preserve">ll came to the same </w:t>
      </w:r>
      <w:r w:rsidR="0055086B" w:rsidRPr="5A104D4B">
        <w:rPr>
          <w:rFonts w:cs="Arial"/>
          <w:color w:val="auto"/>
        </w:rPr>
        <w:t>conclusion; the</w:t>
      </w:r>
      <w:r w:rsidRPr="5A104D4B">
        <w:rPr>
          <w:rFonts w:cs="Arial"/>
        </w:rPr>
        <w:t xml:space="preserve"> cost of a child who is receiving direct care by two separated parents is higher than a child residing in an intact household, and the costs experienced by a non-resident parent are higher than the proportion of time spent caring for the child</w:t>
      </w:r>
      <w:r w:rsidR="00323896" w:rsidRPr="5A104D4B">
        <w:rPr>
          <w:rFonts w:cs="Arial"/>
        </w:rPr>
        <w:t xml:space="preserve">. </w:t>
      </w:r>
      <w:r w:rsidR="00323896">
        <w:rPr>
          <w:rFonts w:cs="Arial"/>
        </w:rPr>
        <w:t>There was variation i</w:t>
      </w:r>
      <w:r w:rsidR="00764B22">
        <w:rPr>
          <w:rFonts w:cs="Arial"/>
        </w:rPr>
        <w:t>n</w:t>
      </w:r>
      <w:r w:rsidR="00323896">
        <w:rPr>
          <w:rFonts w:cs="Arial"/>
        </w:rPr>
        <w:t xml:space="preserve"> the estimates produced for the cost of a child for a non-resident parent</w:t>
      </w:r>
      <w:r w:rsidR="00526D4E">
        <w:rPr>
          <w:rFonts w:cs="Arial"/>
        </w:rPr>
        <w:t xml:space="preserve">. </w:t>
      </w:r>
      <w:r w:rsidR="0068726D">
        <w:rPr>
          <w:rFonts w:cs="Arial"/>
        </w:rPr>
        <w:t>T</w:t>
      </w:r>
      <w:r w:rsidR="00323896">
        <w:rPr>
          <w:rFonts w:cs="Arial"/>
        </w:rPr>
        <w:t>he</w:t>
      </w:r>
      <w:r w:rsidR="00196991">
        <w:rPr>
          <w:rFonts w:cs="Arial"/>
        </w:rPr>
        <w:t xml:space="preserve"> methods are not </w:t>
      </w:r>
      <w:r w:rsidR="00526D4E">
        <w:rPr>
          <w:rFonts w:cs="Arial"/>
        </w:rPr>
        <w:t xml:space="preserve">directly </w:t>
      </w:r>
      <w:r w:rsidR="00196991">
        <w:rPr>
          <w:rFonts w:cs="Arial"/>
        </w:rPr>
        <w:t>comparable as the studies t</w:t>
      </w:r>
      <w:r w:rsidR="00526D4E">
        <w:rPr>
          <w:rFonts w:cs="Arial"/>
        </w:rPr>
        <w:t>ook</w:t>
      </w:r>
      <w:r w:rsidR="00196991">
        <w:rPr>
          <w:rFonts w:cs="Arial"/>
        </w:rPr>
        <w:t xml:space="preserve"> p</w:t>
      </w:r>
      <w:r w:rsidR="00526D4E">
        <w:rPr>
          <w:rFonts w:cs="Arial"/>
        </w:rPr>
        <w:t>l</w:t>
      </w:r>
      <w:r w:rsidR="00196991">
        <w:rPr>
          <w:rFonts w:cs="Arial"/>
        </w:rPr>
        <w:t xml:space="preserve">ace in different years and in different countries. </w:t>
      </w:r>
    </w:p>
    <w:p w14:paraId="23B66098" w14:textId="087EB596" w:rsidR="00AC1340" w:rsidRDefault="00AC1340" w:rsidP="00AC1340">
      <w:pPr>
        <w:pStyle w:val="BodyText"/>
        <w:spacing w:line="276" w:lineRule="auto"/>
        <w:rPr>
          <w:rFonts w:cs="Arial"/>
          <w:color w:val="auto"/>
        </w:rPr>
      </w:pPr>
      <w:r>
        <w:rPr>
          <w:rFonts w:cs="Arial"/>
          <w:color w:val="auto"/>
        </w:rPr>
        <w:t xml:space="preserve">In relation to </w:t>
      </w:r>
      <w:proofErr w:type="gramStart"/>
      <w:r>
        <w:rPr>
          <w:rFonts w:cs="Arial"/>
          <w:color w:val="auto"/>
        </w:rPr>
        <w:t>child care</w:t>
      </w:r>
      <w:proofErr w:type="gramEnd"/>
      <w:r>
        <w:rPr>
          <w:rFonts w:cs="Arial"/>
          <w:color w:val="auto"/>
        </w:rPr>
        <w:t xml:space="preserve"> costs, given the high degree of variation in </w:t>
      </w:r>
      <w:proofErr w:type="gramStart"/>
      <w:r>
        <w:rPr>
          <w:rFonts w:cs="Arial"/>
          <w:color w:val="auto"/>
        </w:rPr>
        <w:t>child care</w:t>
      </w:r>
      <w:proofErr w:type="gramEnd"/>
      <w:r>
        <w:rPr>
          <w:rFonts w:cs="Arial"/>
          <w:color w:val="auto"/>
        </w:rPr>
        <w:t xml:space="preserve"> systems across </w:t>
      </w:r>
      <w:r w:rsidR="00E5416A">
        <w:rPr>
          <w:rFonts w:cs="Arial"/>
          <w:color w:val="auto"/>
        </w:rPr>
        <w:t>countries</w:t>
      </w:r>
      <w:r>
        <w:rPr>
          <w:rFonts w:cs="Arial"/>
          <w:color w:val="auto"/>
        </w:rPr>
        <w:t>, we only looked at how</w:t>
      </w:r>
      <w:r w:rsidR="00E5416A">
        <w:rPr>
          <w:rFonts w:cs="Arial"/>
          <w:color w:val="auto"/>
        </w:rPr>
        <w:t xml:space="preserve"> </w:t>
      </w:r>
      <w:r>
        <w:rPr>
          <w:rFonts w:cs="Arial"/>
          <w:color w:val="auto"/>
        </w:rPr>
        <w:t xml:space="preserve">studies incorporated </w:t>
      </w:r>
      <w:proofErr w:type="gramStart"/>
      <w:r>
        <w:rPr>
          <w:rFonts w:cs="Arial"/>
          <w:color w:val="auto"/>
        </w:rPr>
        <w:t>child care</w:t>
      </w:r>
      <w:proofErr w:type="gramEnd"/>
      <w:r>
        <w:rPr>
          <w:rFonts w:cs="Arial"/>
          <w:color w:val="auto"/>
        </w:rPr>
        <w:t xml:space="preserve"> costs into their estimates for </w:t>
      </w:r>
      <w:r>
        <w:rPr>
          <w:rFonts w:cs="Arial"/>
          <w:color w:val="auto"/>
        </w:rPr>
        <w:lastRenderedPageBreak/>
        <w:t>the costs of children</w:t>
      </w:r>
      <w:r w:rsidR="00E5416A">
        <w:rPr>
          <w:rFonts w:cs="Arial"/>
          <w:color w:val="auto"/>
        </w:rPr>
        <w:t xml:space="preserve"> in Australia</w:t>
      </w:r>
      <w:r>
        <w:rPr>
          <w:rFonts w:cs="Arial"/>
          <w:color w:val="auto"/>
        </w:rPr>
        <w:t xml:space="preserve">. </w:t>
      </w:r>
      <w:proofErr w:type="gramStart"/>
      <w:r>
        <w:rPr>
          <w:rFonts w:cs="Arial"/>
          <w:color w:val="auto"/>
        </w:rPr>
        <w:t>Both of the studies</w:t>
      </w:r>
      <w:proofErr w:type="gramEnd"/>
      <w:r>
        <w:rPr>
          <w:rFonts w:cs="Arial"/>
          <w:color w:val="auto"/>
        </w:rPr>
        <w:t xml:space="preserve"> we reviewed constructed </w:t>
      </w:r>
      <w:proofErr w:type="gramStart"/>
      <w:r>
        <w:rPr>
          <w:rFonts w:cs="Arial"/>
          <w:color w:val="auto"/>
        </w:rPr>
        <w:t>child care</w:t>
      </w:r>
      <w:proofErr w:type="gramEnd"/>
      <w:r>
        <w:rPr>
          <w:rFonts w:cs="Arial"/>
          <w:color w:val="auto"/>
        </w:rPr>
        <w:t xml:space="preserve"> costs based on the different family scenarios they were modelling. They used parental labour force status and income to estimate expected </w:t>
      </w:r>
      <w:proofErr w:type="gramStart"/>
      <w:r>
        <w:rPr>
          <w:rFonts w:cs="Arial"/>
          <w:color w:val="auto"/>
        </w:rPr>
        <w:t>child care</w:t>
      </w:r>
      <w:proofErr w:type="gramEnd"/>
      <w:r>
        <w:rPr>
          <w:rFonts w:cs="Arial"/>
          <w:color w:val="auto"/>
        </w:rPr>
        <w:t xml:space="preserve"> usage and cost, though only one reported </w:t>
      </w:r>
      <w:proofErr w:type="gramStart"/>
      <w:r>
        <w:rPr>
          <w:rFonts w:cs="Arial"/>
          <w:color w:val="auto"/>
        </w:rPr>
        <w:t>child care</w:t>
      </w:r>
      <w:proofErr w:type="gramEnd"/>
      <w:r>
        <w:rPr>
          <w:rFonts w:cs="Arial"/>
          <w:color w:val="auto"/>
        </w:rPr>
        <w:t xml:space="preserve"> results separately. That study, using the expenditure method, found that </w:t>
      </w:r>
      <w:proofErr w:type="gramStart"/>
      <w:r>
        <w:rPr>
          <w:rFonts w:cs="Arial"/>
          <w:color w:val="auto"/>
        </w:rPr>
        <w:t>child care</w:t>
      </w:r>
      <w:proofErr w:type="gramEnd"/>
      <w:r>
        <w:rPr>
          <w:rFonts w:cs="Arial"/>
          <w:color w:val="auto"/>
        </w:rPr>
        <w:t xml:space="preserve"> costs as a proportion of total lifetime </w:t>
      </w:r>
      <w:proofErr w:type="gramStart"/>
      <w:r>
        <w:rPr>
          <w:rFonts w:cs="Arial"/>
          <w:color w:val="auto"/>
        </w:rPr>
        <w:t>child care</w:t>
      </w:r>
      <w:proofErr w:type="gramEnd"/>
      <w:r>
        <w:rPr>
          <w:rFonts w:cs="Arial"/>
          <w:color w:val="auto"/>
        </w:rPr>
        <w:t xml:space="preserve"> spending increased as family income increased.</w:t>
      </w:r>
    </w:p>
    <w:p w14:paraId="26A47346" w14:textId="7C463664" w:rsidR="00AC1340" w:rsidRDefault="00AC1340" w:rsidP="00AC1340">
      <w:pPr>
        <w:pStyle w:val="BodyText"/>
        <w:spacing w:line="276" w:lineRule="auto"/>
      </w:pPr>
      <w:r>
        <w:rPr>
          <w:rFonts w:cs="Arial"/>
          <w:color w:val="auto"/>
        </w:rPr>
        <w:t>Although different types of housing costs were incorporated in studies, the final estimates were typically aggregated into a single ‘housing’ line item, so we were unable to determine the costs of children by housing type. The budget standards approach generally used the weekly rental costs of private dwellings to estimate housing costs and varied the size of the property depending on the size of the different households, with some extending this to account for eligibility for social housing for low-income families</w:t>
      </w:r>
      <w:r>
        <w:t>. The expenditure studies typically used household costs for rent</w:t>
      </w:r>
      <w:r w:rsidR="00526332">
        <w:t>, and it was unclear whether they treated mortgage payments as savings or as a housing expense</w:t>
      </w:r>
      <w:r>
        <w:t>. None covered all housing types.</w:t>
      </w:r>
    </w:p>
    <w:p w14:paraId="7A1CB6C9" w14:textId="18599755" w:rsidR="00277B4F" w:rsidRDefault="00277B4F" w:rsidP="00222BC6">
      <w:pPr>
        <w:pStyle w:val="Heading2"/>
        <w:spacing w:before="0" w:after="120"/>
        <w:rPr>
          <w:lang w:bidi="en-US"/>
        </w:rPr>
      </w:pPr>
      <w:bookmarkStart w:id="30" w:name="_Toc242556671"/>
      <w:r w:rsidRPr="55984A4E">
        <w:rPr>
          <w:lang w:bidi="en-US"/>
        </w:rPr>
        <w:lastRenderedPageBreak/>
        <w:t>References</w:t>
      </w:r>
      <w:bookmarkEnd w:id="30"/>
    </w:p>
    <w:p w14:paraId="3A9D4970" w14:textId="709F11D5" w:rsidR="00277B4F" w:rsidRPr="00277B4F" w:rsidRDefault="00277B4F" w:rsidP="007F3EFE">
      <w:pPr>
        <w:jc w:val="left"/>
      </w:pPr>
      <w:r w:rsidRPr="00277B4F">
        <w:t xml:space="preserve">Australian Bureau of Statistics. (2019-20). Child Care Use and Cost. ABS. </w:t>
      </w:r>
      <w:r w:rsidRPr="00E93C98">
        <w:t>https://www.abs.gov.au/statistics/detailed-methodology-information/concepts-sources-methods/survey-income-and-housing-user-guide-australia/2019-20/child-care-use-and-cost</w:t>
      </w:r>
      <w:r w:rsidRPr="00277B4F">
        <w:t>.</w:t>
      </w:r>
    </w:p>
    <w:p w14:paraId="606C0EF9" w14:textId="77777777" w:rsidR="00592223" w:rsidRDefault="00592223" w:rsidP="007F3EFE">
      <w:pPr>
        <w:jc w:val="left"/>
      </w:pPr>
      <w:r w:rsidRPr="00592223">
        <w:t>Australian Bureau of Statistics. (2015-16</w:t>
      </w:r>
      <w:r w:rsidRPr="00153820">
        <w:rPr>
          <w:i/>
          <w:iCs/>
        </w:rPr>
        <w:t>). </w:t>
      </w:r>
      <w:r w:rsidRPr="00153820">
        <w:t xml:space="preserve">Household Expenditure Survey, Australia: Summary of Results. </w:t>
      </w:r>
      <w:r w:rsidRPr="00592223">
        <w:t xml:space="preserve">ABS. https://www.abs.gov.au/statistics/economy/finance/household-expenditure-survey-australia-summary-results/2015-16. </w:t>
      </w:r>
    </w:p>
    <w:p w14:paraId="5ADAE482" w14:textId="547E8631" w:rsidR="008E51A3" w:rsidRPr="00277B4F" w:rsidRDefault="008E51A3" w:rsidP="007F3EFE">
      <w:pPr>
        <w:jc w:val="left"/>
      </w:pPr>
      <w:proofErr w:type="spellStart"/>
      <w:r w:rsidRPr="008E51A3">
        <w:t>Bazarkulova</w:t>
      </w:r>
      <w:proofErr w:type="spellEnd"/>
      <w:r w:rsidRPr="008E51A3">
        <w:t>, D., Duncan, K., &amp; Frankel, S. (2017). </w:t>
      </w:r>
      <w:r w:rsidRPr="00153820">
        <w:t>Estimating the cost of raising children. Setting the agenda for Canada</w:t>
      </w:r>
      <w:r w:rsidRPr="008E51A3">
        <w:rPr>
          <w:i/>
          <w:iCs/>
        </w:rPr>
        <w:t>.</w:t>
      </w:r>
      <w:r w:rsidRPr="008E51A3">
        <w:t> Campaign 2000. </w:t>
      </w:r>
      <w:hyperlink r:id="rId12" w:history="1">
        <w:r w:rsidR="00543D69" w:rsidRPr="00543D69">
          <w:rPr>
            <w:rStyle w:val="Hyperlink"/>
          </w:rPr>
          <w:t>CostOfRaisingChildren_Eng_Sep_2017.pdf (campaign2000.ca)</w:t>
        </w:r>
      </w:hyperlink>
    </w:p>
    <w:p w14:paraId="3F172761" w14:textId="34D5B67B" w:rsidR="00277B4F" w:rsidRPr="00277B4F" w:rsidRDefault="00277B4F" w:rsidP="007F3EFE">
      <w:pPr>
        <w:jc w:val="left"/>
      </w:pPr>
      <w:r w:rsidRPr="00277B4F">
        <w:t xml:space="preserve">Bedford, </w:t>
      </w:r>
      <w:r w:rsidR="002C7706">
        <w:t>M</w:t>
      </w:r>
      <w:r w:rsidR="00C86418">
        <w:t>.,</w:t>
      </w:r>
      <w:r w:rsidRPr="00277B4F">
        <w:t xml:space="preserve"> Bradbury, </w:t>
      </w:r>
      <w:r w:rsidR="00C86418">
        <w:t xml:space="preserve">B., </w:t>
      </w:r>
      <w:r w:rsidR="005E260A">
        <w:t>&amp;</w:t>
      </w:r>
      <w:r w:rsidRPr="00277B4F">
        <w:t xml:space="preserve"> Naidoo, </w:t>
      </w:r>
      <w:r w:rsidR="00C86418">
        <w:t>Y.</w:t>
      </w:r>
      <w:r w:rsidR="005E260A">
        <w:t xml:space="preserve"> </w:t>
      </w:r>
      <w:r w:rsidRPr="00277B4F">
        <w:t>(2023), Budget Standards for Low-Paid Families. Report prepared for the Fair Work Commission, Melbourne, Australia.</w:t>
      </w:r>
    </w:p>
    <w:p w14:paraId="764E77F8" w14:textId="77777777" w:rsidR="00277B4F" w:rsidRPr="00277B4F" w:rsidRDefault="00277B4F" w:rsidP="007F3EFE">
      <w:pPr>
        <w:jc w:val="left"/>
      </w:pPr>
      <w:r w:rsidRPr="00A53C61">
        <w:rPr>
          <w:lang w:bidi="en-US"/>
        </w:rPr>
        <w:t xml:space="preserve">Bonke, J., &amp; Browning, M. (2011). Spending on children: Direct survey evidence. </w:t>
      </w:r>
      <w:r w:rsidRPr="00625C42">
        <w:rPr>
          <w:i/>
          <w:iCs/>
          <w:lang w:bidi="en-US"/>
        </w:rPr>
        <w:t>The Economic</w:t>
      </w:r>
      <w:r w:rsidRPr="00625C42">
        <w:rPr>
          <w:i/>
          <w:iCs/>
        </w:rPr>
        <w:t xml:space="preserve"> </w:t>
      </w:r>
      <w:r w:rsidRPr="00625C42">
        <w:rPr>
          <w:i/>
          <w:iCs/>
          <w:lang w:bidi="en-US"/>
        </w:rPr>
        <w:t>Journal</w:t>
      </w:r>
      <w:r w:rsidRPr="00277B4F">
        <w:rPr>
          <w:lang w:bidi="en-US"/>
        </w:rPr>
        <w:t>, 121(August), F123–F143.</w:t>
      </w:r>
    </w:p>
    <w:p w14:paraId="2AC3655A" w14:textId="1D02BE0F" w:rsidR="00D32797" w:rsidRDefault="00D32797" w:rsidP="007F3EFE">
      <w:pPr>
        <w:jc w:val="left"/>
        <w:rPr>
          <w:lang w:bidi="en-US"/>
        </w:rPr>
      </w:pPr>
      <w:r w:rsidRPr="00D32797">
        <w:rPr>
          <w:lang w:bidi="en-US"/>
        </w:rPr>
        <w:t>Bradbury, B. (2008)</w:t>
      </w:r>
      <w:r w:rsidR="003555A2">
        <w:rPr>
          <w:lang w:bidi="en-US"/>
        </w:rPr>
        <w:t>.</w:t>
      </w:r>
      <w:r w:rsidRPr="00D32797">
        <w:rPr>
          <w:lang w:bidi="en-US"/>
        </w:rPr>
        <w:t xml:space="preserve"> </w:t>
      </w:r>
      <w:r w:rsidR="006F35B1">
        <w:rPr>
          <w:lang w:bidi="en-US"/>
        </w:rPr>
        <w:t>Time and the cost of children</w:t>
      </w:r>
      <w:r w:rsidRPr="00D32797">
        <w:rPr>
          <w:lang w:bidi="en-US"/>
        </w:rPr>
        <w:t xml:space="preserve">. </w:t>
      </w:r>
      <w:r w:rsidRPr="00D32797">
        <w:rPr>
          <w:i/>
          <w:iCs/>
          <w:lang w:bidi="en-US"/>
        </w:rPr>
        <w:t>Review of Income and Wealth</w:t>
      </w:r>
      <w:r w:rsidRPr="00D32797">
        <w:rPr>
          <w:lang w:bidi="en-US"/>
        </w:rPr>
        <w:t>, 54: 305-323. https://doi.org/10.1111/j.1475-4991.2008.00277.x</w:t>
      </w:r>
    </w:p>
    <w:p w14:paraId="0A2ED8E9" w14:textId="6A810587" w:rsidR="00277B4F" w:rsidRDefault="00277B4F" w:rsidP="007F3EFE">
      <w:pPr>
        <w:jc w:val="left"/>
      </w:pPr>
      <w:r w:rsidRPr="00277B4F">
        <w:t>Bradbury</w:t>
      </w:r>
      <w:r w:rsidR="003B40F8">
        <w:t>,</w:t>
      </w:r>
      <w:r w:rsidRPr="00277B4F">
        <w:t xml:space="preserve"> B</w:t>
      </w:r>
      <w:r w:rsidR="00B810D6">
        <w:t>.</w:t>
      </w:r>
      <w:r w:rsidR="00361EE7">
        <w:t xml:space="preserve"> (</w:t>
      </w:r>
      <w:r w:rsidRPr="00277B4F">
        <w:t>2014</w:t>
      </w:r>
      <w:r w:rsidR="00361EE7">
        <w:t>)</w:t>
      </w:r>
      <w:r w:rsidRPr="00277B4F">
        <w:t>, </w:t>
      </w:r>
      <w:r w:rsidRPr="00F2362F">
        <w:rPr>
          <w:i/>
          <w:iCs/>
        </w:rPr>
        <w:t>Child costs</w:t>
      </w:r>
      <w:r w:rsidRPr="007D5388">
        <w:rPr>
          <w:i/>
          <w:iCs/>
        </w:rPr>
        <w:t xml:space="preserve">, in Ben-Arieh A; Casas F; </w:t>
      </w:r>
      <w:proofErr w:type="spellStart"/>
      <w:r w:rsidRPr="007D5388">
        <w:rPr>
          <w:i/>
          <w:iCs/>
        </w:rPr>
        <w:t>Frones</w:t>
      </w:r>
      <w:proofErr w:type="spellEnd"/>
      <w:r w:rsidRPr="007D5388">
        <w:rPr>
          <w:i/>
          <w:iCs/>
        </w:rPr>
        <w:t xml:space="preserve"> I; Korbin JE (ed.), Handbook of child well-being,</w:t>
      </w:r>
      <w:r w:rsidRPr="00277B4F">
        <w:t> Springer, </w:t>
      </w:r>
      <w:proofErr w:type="spellStart"/>
      <w:r w:rsidRPr="00277B4F">
        <w:t>Dordrect</w:t>
      </w:r>
      <w:proofErr w:type="spellEnd"/>
      <w:r w:rsidRPr="00277B4F">
        <w:t>, Heidelberg, New York, London, pp. 1483 - 1507, </w:t>
      </w:r>
      <w:r w:rsidR="009C6C37" w:rsidRPr="00D67A4E">
        <w:t>http://dx.doi.org/10.1007/978-90-481-9063-8_60</w:t>
      </w:r>
    </w:p>
    <w:p w14:paraId="3D9B7DD1" w14:textId="436D12E7" w:rsidR="00D95B59" w:rsidRDefault="00FF0755" w:rsidP="00FF0755">
      <w:pPr>
        <w:jc w:val="left"/>
      </w:pPr>
      <w:r w:rsidRPr="00FF0755">
        <w:t>Bradshaw, J., Middleton, S., Davis, A., Oldfield, N., Smith, N., Cusworth, L., &amp; Williams, J. (2008). A minimum income standard for Britain: What people think. ((Joseph Rowntree Foundation)). Joseph Rowntree Foundation. </w:t>
      </w:r>
      <w:hyperlink r:id="rId13" w:history="1">
        <w:r w:rsidR="00DF7FC8">
          <w:rPr>
            <w:rStyle w:val="Hyperlink"/>
          </w:rPr>
          <w:t xml:space="preserve">A minimum income standard for </w:t>
        </w:r>
        <w:proofErr w:type="spellStart"/>
        <w:proofErr w:type="gramStart"/>
        <w:r w:rsidR="00DF7FC8">
          <w:rPr>
            <w:rStyle w:val="Hyperlink"/>
          </w:rPr>
          <w:t>Britain:What</w:t>
        </w:r>
        <w:proofErr w:type="spellEnd"/>
        <w:proofErr w:type="gramEnd"/>
        <w:r w:rsidR="00DF7FC8">
          <w:rPr>
            <w:rStyle w:val="Hyperlink"/>
          </w:rPr>
          <w:t xml:space="preserve"> people think (whiterose.ac.uk)</w:t>
        </w:r>
      </w:hyperlink>
      <w:r w:rsidR="00DF7FC8">
        <w:rPr>
          <w:rStyle w:val="Hyperlink"/>
        </w:rPr>
        <w:t xml:space="preserve"> </w:t>
      </w:r>
      <w:r w:rsidR="00D95B59" w:rsidRPr="00D95B59">
        <w:t>Breunig, R.</w:t>
      </w:r>
      <w:r w:rsidR="00B572E8">
        <w:t>,</w:t>
      </w:r>
      <w:r w:rsidR="00D95B59" w:rsidRPr="00D95B59">
        <w:t xml:space="preserve"> and Cobb-Clark, D. (2005), ‘</w:t>
      </w:r>
      <w:r w:rsidR="00D95B59" w:rsidRPr="00D95B59">
        <w:rPr>
          <w:i/>
          <w:iCs/>
        </w:rPr>
        <w:t>Understanding the Factors Associated with Financial Stress in Australian Households’</w:t>
      </w:r>
      <w:r w:rsidR="00D95B59" w:rsidRPr="00D95B59">
        <w:t>, Australian Social Policy, 2005, 13–64.</w:t>
      </w:r>
    </w:p>
    <w:p w14:paraId="4E501E72" w14:textId="06907488" w:rsidR="00970FD3" w:rsidRPr="00FF0755" w:rsidRDefault="00970FD3" w:rsidP="00FF0755">
      <w:pPr>
        <w:jc w:val="left"/>
      </w:pPr>
      <w:r w:rsidRPr="00970FD3">
        <w:t>Bütikofer, A.</w:t>
      </w:r>
      <w:r w:rsidR="00F2770C">
        <w:t xml:space="preserve"> (2012).</w:t>
      </w:r>
      <w:r w:rsidRPr="00970FD3">
        <w:t xml:space="preserve"> Semiparametric base-independent equivalence scales and the cost of children in Switzerland. </w:t>
      </w:r>
      <w:r w:rsidRPr="00970FD3">
        <w:rPr>
          <w:i/>
          <w:iCs/>
        </w:rPr>
        <w:t xml:space="preserve">Swiss </w:t>
      </w:r>
      <w:r w:rsidR="00F2770C">
        <w:rPr>
          <w:i/>
          <w:iCs/>
        </w:rPr>
        <w:t>Journal of</w:t>
      </w:r>
      <w:r w:rsidRPr="00970FD3">
        <w:rPr>
          <w:i/>
          <w:iCs/>
        </w:rPr>
        <w:t xml:space="preserve"> Economics Statistics</w:t>
      </w:r>
      <w:r w:rsidRPr="00970FD3">
        <w:t> </w:t>
      </w:r>
      <w:r w:rsidRPr="001634A0">
        <w:t>148</w:t>
      </w:r>
      <w:r w:rsidRPr="00970FD3">
        <w:t>, 1–35. https://doi.org/10.1007/BF03399358</w:t>
      </w:r>
    </w:p>
    <w:p w14:paraId="4244160C" w14:textId="5DD37E0F" w:rsidR="00277B4F" w:rsidRDefault="00277B4F" w:rsidP="007F3EFE">
      <w:pPr>
        <w:jc w:val="left"/>
      </w:pPr>
      <w:proofErr w:type="spellStart"/>
      <w:r w:rsidRPr="00277B4F">
        <w:t>Chiappori</w:t>
      </w:r>
      <w:proofErr w:type="spellEnd"/>
      <w:r w:rsidRPr="00277B4F">
        <w:t>, P.A. (2016). Equivalence “Versus” Indifference Scales. </w:t>
      </w:r>
      <w:r w:rsidRPr="001634A0">
        <w:rPr>
          <w:i/>
          <w:iCs/>
        </w:rPr>
        <w:t>The Economic Journal</w:t>
      </w:r>
      <w:r w:rsidRPr="00277B4F">
        <w:t>, 126(592), 523–545.</w:t>
      </w:r>
    </w:p>
    <w:p w14:paraId="4E8C7862" w14:textId="1597F492" w:rsidR="008642DC" w:rsidRDefault="001B1C8A" w:rsidP="007F3EFE">
      <w:pPr>
        <w:jc w:val="left"/>
      </w:pPr>
      <w:r w:rsidRPr="001B1C8A">
        <w:t>Deeming, C. (Ed.). (2020). </w:t>
      </w:r>
      <w:r w:rsidRPr="001B1C8A">
        <w:rPr>
          <w:i/>
          <w:iCs/>
        </w:rPr>
        <w:t>Minimum Income Standards and Reference Budgets: International and Comparative Policy Perspectives</w:t>
      </w:r>
      <w:r w:rsidRPr="001B1C8A">
        <w:t>. </w:t>
      </w:r>
      <w:r w:rsidR="004F0331" w:rsidRPr="00D67A4E">
        <w:t>Bristol: Policy Press</w:t>
      </w:r>
    </w:p>
    <w:p w14:paraId="490E9510" w14:textId="15B7B8B6" w:rsidR="00277B4F" w:rsidRPr="00277B4F" w:rsidRDefault="00277B4F" w:rsidP="007F3EFE">
      <w:pPr>
        <w:jc w:val="left"/>
      </w:pPr>
      <w:r w:rsidRPr="00277B4F">
        <w:t>Dudel</w:t>
      </w:r>
      <w:r w:rsidR="001634A0">
        <w:t>,</w:t>
      </w:r>
      <w:r w:rsidRPr="00277B4F">
        <w:t xml:space="preserve"> C</w:t>
      </w:r>
      <w:r w:rsidR="001634A0">
        <w:t>.</w:t>
      </w:r>
      <w:r w:rsidRPr="00277B4F">
        <w:t xml:space="preserve"> (2015) Nonparametric bounds on equivalence scales. </w:t>
      </w:r>
      <w:r w:rsidRPr="001634A0">
        <w:rPr>
          <w:i/>
          <w:iCs/>
        </w:rPr>
        <w:t>Econ</w:t>
      </w:r>
      <w:r w:rsidR="00F2770C">
        <w:rPr>
          <w:i/>
          <w:iCs/>
        </w:rPr>
        <w:t>omic</w:t>
      </w:r>
      <w:r w:rsidRPr="001634A0">
        <w:rPr>
          <w:i/>
          <w:iCs/>
        </w:rPr>
        <w:t xml:space="preserve"> Bull</w:t>
      </w:r>
      <w:r w:rsidR="00F2770C">
        <w:rPr>
          <w:i/>
          <w:iCs/>
        </w:rPr>
        <w:t>etin,</w:t>
      </w:r>
      <w:r w:rsidRPr="00277B4F">
        <w:t xml:space="preserve"> 35(4):2161–2165</w:t>
      </w:r>
    </w:p>
    <w:p w14:paraId="23CEC90F" w14:textId="133D61A3" w:rsidR="00052E10" w:rsidRDefault="00652FA0" w:rsidP="007F3EFE">
      <w:pPr>
        <w:jc w:val="left"/>
      </w:pPr>
      <w:r w:rsidRPr="00652FA0">
        <w:t xml:space="preserve">Dudel, C., </w:t>
      </w:r>
      <w:proofErr w:type="spellStart"/>
      <w:r w:rsidRPr="00652FA0">
        <w:t>Garbuszus</w:t>
      </w:r>
      <w:proofErr w:type="spellEnd"/>
      <w:r w:rsidRPr="00652FA0">
        <w:t>, J. M., &amp; Schmied, J. (2021). Assessing differences in household needs: a comparison of approaches for the estimation of equivalence scales using German expenditure data. </w:t>
      </w:r>
      <w:r w:rsidRPr="00652FA0">
        <w:rPr>
          <w:i/>
          <w:iCs/>
        </w:rPr>
        <w:t>Empirical Economics</w:t>
      </w:r>
      <w:r w:rsidRPr="00652FA0">
        <w:t>, </w:t>
      </w:r>
      <w:r w:rsidRPr="00652FA0">
        <w:rPr>
          <w:i/>
          <w:iCs/>
        </w:rPr>
        <w:t>60</w:t>
      </w:r>
      <w:r w:rsidRPr="00652FA0">
        <w:t xml:space="preserve">(4), 1629–1659. </w:t>
      </w:r>
      <w:r w:rsidRPr="00E93C98">
        <w:t>https://doi.org/10.1007/s00181-020-01822-6</w:t>
      </w:r>
    </w:p>
    <w:p w14:paraId="0EBB088A" w14:textId="65CF99C4" w:rsidR="00652FA0" w:rsidRPr="00277B4F" w:rsidRDefault="00AA4737" w:rsidP="007F3EFE">
      <w:pPr>
        <w:jc w:val="left"/>
      </w:pPr>
      <w:r w:rsidRPr="00D67A4E">
        <w:t>Fair Work Commission. (2023).</w:t>
      </w:r>
      <w:r w:rsidRPr="00AA4737">
        <w:t> </w:t>
      </w:r>
      <w:r w:rsidRPr="00837878">
        <w:t>Research for the Annual Wage Review 2022–23</w:t>
      </w:r>
      <w:r w:rsidRPr="00AA4737">
        <w:t>. Retrieved from https://www.fwc.gov.au/hearings-decisions/major-cases/annual-wage-reviews/annual-wage-review-2022-23/research-annual-wage</w:t>
      </w:r>
    </w:p>
    <w:p w14:paraId="3EBB6C2B" w14:textId="30BA3970" w:rsidR="00B352FE" w:rsidRPr="00277B4F" w:rsidRDefault="00B352FE" w:rsidP="007F3EFE">
      <w:pPr>
        <w:jc w:val="left"/>
      </w:pPr>
      <w:r w:rsidRPr="00B352FE">
        <w:lastRenderedPageBreak/>
        <w:t>Goedemé, T., Storms, B., Stockman, S., Penne, T.</w:t>
      </w:r>
      <w:r w:rsidR="00C9450E">
        <w:t>,</w:t>
      </w:r>
      <w:r w:rsidRPr="00B352FE">
        <w:t xml:space="preserve"> &amp; Van den Bosch, K. (2015). Towards Cross-Country Comparable Reference Budgets in Europe: First Results of a Concerted Effort. </w:t>
      </w:r>
      <w:r w:rsidRPr="00B352FE">
        <w:rPr>
          <w:i/>
          <w:iCs/>
        </w:rPr>
        <w:t>European Journal of Social Security</w:t>
      </w:r>
      <w:r w:rsidRPr="00B352FE">
        <w:t>, </w:t>
      </w:r>
      <w:r w:rsidRPr="00B352FE">
        <w:rPr>
          <w:i/>
          <w:iCs/>
        </w:rPr>
        <w:t>17</w:t>
      </w:r>
      <w:r w:rsidRPr="00B352FE">
        <w:t>(1), 3-30.</w:t>
      </w:r>
      <w:r w:rsidR="00C322DA">
        <w:t xml:space="preserve"> </w:t>
      </w:r>
      <w:r w:rsidRPr="00B352FE">
        <w:t> </w:t>
      </w:r>
      <w:r w:rsidR="00C322DA">
        <w:br/>
      </w:r>
      <w:r w:rsidR="00C322DA" w:rsidRPr="00D67A4E">
        <w:t>https://doi.org/10.1177/138826271501700101</w:t>
      </w:r>
    </w:p>
    <w:p w14:paraId="7F0A9200" w14:textId="77777777" w:rsidR="00277B4F" w:rsidRDefault="00277B4F" w:rsidP="007F3EFE">
      <w:pPr>
        <w:jc w:val="left"/>
        <w:rPr>
          <w:lang w:bidi="en-US"/>
        </w:rPr>
      </w:pPr>
      <w:r w:rsidRPr="009310F0">
        <w:rPr>
          <w:lang w:bidi="en-US"/>
        </w:rPr>
        <w:t>Gray, M. (2007). Costs of children and equivalence scales: A review of methodological issues and</w:t>
      </w:r>
      <w:r w:rsidRPr="00277B4F">
        <w:t xml:space="preserve"> </w:t>
      </w:r>
      <w:r w:rsidRPr="009310F0">
        <w:rPr>
          <w:lang w:bidi="en-US"/>
        </w:rPr>
        <w:t>Australian estimates. In Costs of children: Research commissioned by the Ministerial</w:t>
      </w:r>
      <w:r w:rsidRPr="00277B4F">
        <w:t xml:space="preserve"> </w:t>
      </w:r>
      <w:r w:rsidRPr="00277B4F">
        <w:rPr>
          <w:lang w:bidi="en-US"/>
        </w:rPr>
        <w:t>Taskforce on Child Support (</w:t>
      </w:r>
      <w:proofErr w:type="spellStart"/>
      <w:r w:rsidRPr="00277B4F">
        <w:rPr>
          <w:lang w:bidi="en-US"/>
        </w:rPr>
        <w:t>FaHCSIA</w:t>
      </w:r>
      <w:proofErr w:type="spellEnd"/>
      <w:r w:rsidRPr="00277B4F">
        <w:rPr>
          <w:lang w:bidi="en-US"/>
        </w:rPr>
        <w:t xml:space="preserve"> Occasional Paper No 18).</w:t>
      </w:r>
    </w:p>
    <w:p w14:paraId="11D4BFBF" w14:textId="47628A7A" w:rsidR="00C61DA7" w:rsidRPr="00277B4F" w:rsidRDefault="00C61DA7" w:rsidP="007F3EFE">
      <w:pPr>
        <w:jc w:val="left"/>
      </w:pPr>
      <w:r w:rsidRPr="00C61DA7">
        <w:t xml:space="preserve">Gray, M., </w:t>
      </w:r>
      <w:r w:rsidR="006A47BE">
        <w:t xml:space="preserve">&amp; </w:t>
      </w:r>
      <w:r w:rsidRPr="00C61DA7">
        <w:t>Stanton, D. I</w:t>
      </w:r>
      <w:r>
        <w:t>.</w:t>
      </w:r>
      <w:r w:rsidRPr="00C61DA7">
        <w:t xml:space="preserve"> (2010). </w:t>
      </w:r>
      <w:r w:rsidRPr="00C61DA7">
        <w:rPr>
          <w:i/>
          <w:iCs/>
        </w:rPr>
        <w:t>Costs of children and equivalence scales: a review of methodological issues and Australian estimates</w:t>
      </w:r>
      <w:r w:rsidRPr="00C61DA7">
        <w:t>.</w:t>
      </w:r>
      <w:r w:rsidR="00910C8E">
        <w:t xml:space="preserve"> Australian Journal of Labour Economics, 13(1) 99-115</w:t>
      </w:r>
      <w:r w:rsidR="009D7ABF">
        <w:t>.</w:t>
      </w:r>
    </w:p>
    <w:p w14:paraId="2F2894B2" w14:textId="506976CD" w:rsidR="00017A7B" w:rsidRDefault="00017A7B" w:rsidP="007F3EFE">
      <w:pPr>
        <w:jc w:val="left"/>
      </w:pPr>
      <w:r>
        <w:t>Henman</w:t>
      </w:r>
      <w:r w:rsidRPr="00017A7B">
        <w:t>, P.</w:t>
      </w:r>
      <w:r w:rsidR="006A47BE">
        <w:t>,</w:t>
      </w:r>
      <w:r w:rsidRPr="00017A7B">
        <w:t xml:space="preserve"> &amp; </w:t>
      </w:r>
      <w:r w:rsidR="00D07F64">
        <w:t>Mitchell</w:t>
      </w:r>
      <w:r w:rsidRPr="00017A7B">
        <w:t>, K. (2001). Estimating the Cost of Contact for Non-resident Parents: A Budget Standards Approach. </w:t>
      </w:r>
      <w:r w:rsidRPr="00017A7B">
        <w:rPr>
          <w:i/>
          <w:iCs/>
        </w:rPr>
        <w:t>Journal of Social Policy</w:t>
      </w:r>
      <w:r w:rsidRPr="00017A7B">
        <w:t>, </w:t>
      </w:r>
      <w:r w:rsidRPr="00017A7B">
        <w:rPr>
          <w:i/>
          <w:iCs/>
        </w:rPr>
        <w:t>30</w:t>
      </w:r>
      <w:r w:rsidRPr="00017A7B">
        <w:t>(3), 495–520. doi:10.1017/S0047279401006341</w:t>
      </w:r>
    </w:p>
    <w:p w14:paraId="2D7E60DC" w14:textId="0A0AA80F" w:rsidR="00277B4F" w:rsidRDefault="00277B4F" w:rsidP="007F3EFE">
      <w:pPr>
        <w:jc w:val="left"/>
      </w:pPr>
      <w:r w:rsidRPr="00277B4F">
        <w:t>Henman, P.</w:t>
      </w:r>
      <w:r w:rsidR="004A4E47">
        <w:t xml:space="preserve"> (</w:t>
      </w:r>
      <w:r w:rsidRPr="00277B4F">
        <w:t>2005</w:t>
      </w:r>
      <w:r w:rsidR="004A4E47">
        <w:t>).</w:t>
      </w:r>
      <w:r w:rsidRPr="00277B4F">
        <w:t xml:space="preserve"> Updated Costs of Children using Australian Budget Standards, Department of Families, Community Services and Indigenous Affairs report, </w:t>
      </w:r>
      <w:hyperlink r:id="rId14" w:history="1">
        <w:r w:rsidR="007F4D82" w:rsidRPr="007F4D82">
          <w:rPr>
            <w:rStyle w:val="Hyperlink"/>
          </w:rPr>
          <w:t>Updated Costs of Children Using Australian Budget Standards (dss.gov.au)</w:t>
        </w:r>
      </w:hyperlink>
      <w:r w:rsidR="007F4D82">
        <w:t xml:space="preserve"> </w:t>
      </w:r>
    </w:p>
    <w:p w14:paraId="0BF2C63D" w14:textId="7B3FC3D0" w:rsidR="002707BB" w:rsidRPr="00277B4F" w:rsidRDefault="002707BB" w:rsidP="007F3EFE">
      <w:pPr>
        <w:jc w:val="left"/>
      </w:pPr>
      <w:r>
        <w:t>Hill, K.</w:t>
      </w:r>
      <w:r w:rsidR="00B572E8">
        <w:t>,</w:t>
      </w:r>
      <w:r>
        <w:t xml:space="preserve"> </w:t>
      </w:r>
      <w:r w:rsidR="005876B2">
        <w:t>&amp;</w:t>
      </w:r>
      <w:r>
        <w:t xml:space="preserve"> Hirsch, D. (2024)</w:t>
      </w:r>
      <w:r w:rsidR="005876B2">
        <w:t>.</w:t>
      </w:r>
      <w:r>
        <w:t> A Minimum Income Standard for non-resident parents with some responsibilities for children. York: Joseph Rowntree Foundation</w:t>
      </w:r>
      <w:r w:rsidR="00517190">
        <w:t>.</w:t>
      </w:r>
    </w:p>
    <w:p w14:paraId="62C2DA7C" w14:textId="74C0091B" w:rsidR="00176A1D" w:rsidRDefault="00176A1D" w:rsidP="007F3EFE">
      <w:pPr>
        <w:jc w:val="left"/>
      </w:pPr>
      <w:r w:rsidRPr="00176A1D">
        <w:t>Lino</w:t>
      </w:r>
      <w:r w:rsidR="00F1714B">
        <w:t>,</w:t>
      </w:r>
      <w:r w:rsidRPr="00176A1D">
        <w:t xml:space="preserve"> M</w:t>
      </w:r>
      <w:r w:rsidRPr="00714697">
        <w:t>.</w:t>
      </w:r>
      <w:r w:rsidR="002E0E5D">
        <w:t xml:space="preserve"> (</w:t>
      </w:r>
      <w:r w:rsidR="002E0E5D" w:rsidRPr="00D67A4E">
        <w:t>201</w:t>
      </w:r>
      <w:r w:rsidR="002E0E5D">
        <w:t>7)</w:t>
      </w:r>
      <w:r w:rsidR="005876B2">
        <w:t>.</w:t>
      </w:r>
      <w:r w:rsidRPr="00714697">
        <w:t> </w:t>
      </w:r>
      <w:r w:rsidRPr="00D67A4E">
        <w:t>Expenditures on Children by Familie</w:t>
      </w:r>
      <w:r w:rsidR="002E0E5D">
        <w:t>s</w:t>
      </w:r>
      <w:r w:rsidRPr="00D67A4E">
        <w:t xml:space="preserve">. </w:t>
      </w:r>
      <w:r w:rsidRPr="00176A1D">
        <w:t xml:space="preserve">Revised ed. </w:t>
      </w:r>
      <w:proofErr w:type="spellStart"/>
      <w:r w:rsidRPr="00176A1D">
        <w:t>Center</w:t>
      </w:r>
      <w:proofErr w:type="spellEnd"/>
      <w:r w:rsidRPr="00176A1D">
        <w:t xml:space="preserve"> for Nutrition Policy and Promotion, U.S. Dept. of Agriculture. </w:t>
      </w:r>
    </w:p>
    <w:p w14:paraId="701BA7FF" w14:textId="006DA1AF" w:rsidR="00C30679" w:rsidRPr="00277B4F" w:rsidRDefault="00277B4F" w:rsidP="007F3EFE">
      <w:pPr>
        <w:jc w:val="left"/>
      </w:pPr>
      <w:r w:rsidRPr="00277B4F">
        <w:t xml:space="preserve">Martin, H. </w:t>
      </w:r>
      <w:r w:rsidR="00A12CB9" w:rsidRPr="00A12CB9">
        <w:t xml:space="preserve">(2017), “Calculating the standard of living of a household: one or several equivalence scales?”, </w:t>
      </w:r>
      <w:proofErr w:type="spellStart"/>
      <w:r w:rsidR="00A12CB9" w:rsidRPr="00F1714B">
        <w:rPr>
          <w:i/>
          <w:iCs/>
        </w:rPr>
        <w:t>Economie</w:t>
      </w:r>
      <w:proofErr w:type="spellEnd"/>
      <w:r w:rsidR="00A12CB9" w:rsidRPr="00F1714B">
        <w:rPr>
          <w:i/>
          <w:iCs/>
        </w:rPr>
        <w:t xml:space="preserve"> et </w:t>
      </w:r>
      <w:proofErr w:type="spellStart"/>
      <w:r w:rsidR="00A12CB9" w:rsidRPr="00F1714B">
        <w:rPr>
          <w:i/>
          <w:iCs/>
        </w:rPr>
        <w:t>Statistique</w:t>
      </w:r>
      <w:proofErr w:type="spellEnd"/>
      <w:r w:rsidR="00A12CB9" w:rsidRPr="00A12CB9">
        <w:t>, Vol. 491/1, pp. 93-108, https://doi.org/10.24187/ECOSTAT.2017.491D.1907.</w:t>
      </w:r>
    </w:p>
    <w:p w14:paraId="6D899087" w14:textId="222ED5FD" w:rsidR="00277B4F" w:rsidRDefault="00277B4F" w:rsidP="007F3EFE">
      <w:pPr>
        <w:jc w:val="left"/>
      </w:pPr>
      <w:r w:rsidRPr="00277B4F">
        <w:t>Martin, H.</w:t>
      </w:r>
      <w:r w:rsidR="0036363F">
        <w:t>,</w:t>
      </w:r>
      <w:r w:rsidRPr="00277B4F">
        <w:t xml:space="preserve"> </w:t>
      </w:r>
      <w:r w:rsidR="0043386B">
        <w:t>&amp;</w:t>
      </w:r>
      <w:r w:rsidRPr="00277B4F">
        <w:t xml:space="preserve"> </w:t>
      </w:r>
      <w:proofErr w:type="spellStart"/>
      <w:r w:rsidR="0043386B" w:rsidRPr="00277B4F">
        <w:t>Périvier</w:t>
      </w:r>
      <w:proofErr w:type="spellEnd"/>
      <w:r w:rsidR="0043386B">
        <w:t xml:space="preserve">, </w:t>
      </w:r>
      <w:r w:rsidRPr="00277B4F">
        <w:t>H.</w:t>
      </w:r>
      <w:r w:rsidR="00907662">
        <w:t xml:space="preserve"> </w:t>
      </w:r>
      <w:r w:rsidRPr="00277B4F">
        <w:t>(2018)</w:t>
      </w:r>
      <w:r w:rsidR="005876B2">
        <w:t>.</w:t>
      </w:r>
      <w:r w:rsidRPr="00277B4F">
        <w:t xml:space="preserve"> Equivalence scales challenged by new family configurations, </w:t>
      </w:r>
      <w:r w:rsidRPr="00F1714B">
        <w:rPr>
          <w:i/>
          <w:iCs/>
        </w:rPr>
        <w:t xml:space="preserve">Revue </w:t>
      </w:r>
      <w:proofErr w:type="spellStart"/>
      <w:r w:rsidRPr="00F1714B">
        <w:rPr>
          <w:i/>
          <w:iCs/>
        </w:rPr>
        <w:t>economique</w:t>
      </w:r>
      <w:proofErr w:type="spellEnd"/>
      <w:r w:rsidRPr="00277B4F">
        <w:t xml:space="preserve">, Vol. 69/2, pp. 303-334, </w:t>
      </w:r>
      <w:r w:rsidR="0036363F" w:rsidRPr="00D67A4E">
        <w:t>https://doi.org/10.3917/RECO.PR2.0114</w:t>
      </w:r>
      <w:r w:rsidRPr="00277B4F">
        <w:t xml:space="preserve">. </w:t>
      </w:r>
      <w:r w:rsidR="007E4A7A">
        <w:t xml:space="preserve">(Translated to English.) </w:t>
      </w:r>
    </w:p>
    <w:p w14:paraId="33054888" w14:textId="4844F47B" w:rsidR="00084AFF" w:rsidRPr="00084AFF" w:rsidRDefault="00084AFF" w:rsidP="00084AFF">
      <w:r w:rsidRPr="00084AFF">
        <w:t xml:space="preserve">Morawski, L., </w:t>
      </w:r>
      <w:proofErr w:type="spellStart"/>
      <w:r w:rsidRPr="00084AFF">
        <w:t>Kalbarczyk-Stęclik</w:t>
      </w:r>
      <w:proofErr w:type="spellEnd"/>
      <w:r w:rsidRPr="00084AFF">
        <w:t xml:space="preserve">, M., &amp; </w:t>
      </w:r>
      <w:proofErr w:type="spellStart"/>
      <w:r w:rsidRPr="00084AFF">
        <w:t>Miśta</w:t>
      </w:r>
      <w:proofErr w:type="spellEnd"/>
      <w:r w:rsidRPr="00084AFF">
        <w:t>, R. (2017). Subjective Equivalence Scales Using Eu-</w:t>
      </w:r>
      <w:proofErr w:type="spellStart"/>
      <w:r w:rsidRPr="00084AFF">
        <w:t>Silc</w:t>
      </w:r>
      <w:proofErr w:type="spellEnd"/>
      <w:r w:rsidRPr="00084AFF">
        <w:t xml:space="preserve"> Panel Data for Poland, the Czech Republic, and Hungary. </w:t>
      </w:r>
      <w:r w:rsidRPr="00084AFF">
        <w:rPr>
          <w:i/>
          <w:iCs/>
        </w:rPr>
        <w:t xml:space="preserve">Acta </w:t>
      </w:r>
      <w:proofErr w:type="spellStart"/>
      <w:r w:rsidRPr="00084AFF">
        <w:rPr>
          <w:i/>
          <w:iCs/>
        </w:rPr>
        <w:t>Oeconomica</w:t>
      </w:r>
      <w:proofErr w:type="spellEnd"/>
      <w:r w:rsidRPr="00084AFF">
        <w:t>, 67(4), 585–604.</w:t>
      </w:r>
    </w:p>
    <w:p w14:paraId="54A53BF3" w14:textId="26CEAADF" w:rsidR="004A440B" w:rsidRDefault="0016407E" w:rsidP="007F3EFE">
      <w:pPr>
        <w:jc w:val="left"/>
      </w:pPr>
      <w:r>
        <w:t xml:space="preserve">OECD (2013), </w:t>
      </w:r>
      <w:r w:rsidRPr="00DE3DCC">
        <w:rPr>
          <w:i/>
          <w:iCs/>
        </w:rPr>
        <w:t>Framework for integrated analysis, in OECD Framework for Statistics on the Distribution of Household Income, Consumption and Wealth</w:t>
      </w:r>
      <w:r>
        <w:t>, OECD Publishing, Paris.</w:t>
      </w:r>
    </w:p>
    <w:p w14:paraId="07AFCCD3" w14:textId="4D2FC60C" w:rsidR="0081046D" w:rsidRDefault="0081046D" w:rsidP="007F3EFE">
      <w:pPr>
        <w:jc w:val="left"/>
      </w:pPr>
      <w:r>
        <w:t>Osborne</w:t>
      </w:r>
      <w:r w:rsidR="007D3E72">
        <w:t>, C., Wu, E.</w:t>
      </w:r>
      <w:r w:rsidR="00AF10AF">
        <w:t xml:space="preserve">, </w:t>
      </w:r>
      <w:r w:rsidR="009D4D49">
        <w:t xml:space="preserve">&amp; </w:t>
      </w:r>
      <w:r w:rsidR="00AF10AF">
        <w:t>Benson, K. (2021)</w:t>
      </w:r>
      <w:r w:rsidR="00906CB4">
        <w:t>. An Updated Estimation Model of the Cost of Raising Children in Texas</w:t>
      </w:r>
      <w:r w:rsidR="008267FA">
        <w:t xml:space="preserve">. </w:t>
      </w:r>
      <w:r w:rsidR="00C14BFE" w:rsidRPr="00C14BFE">
        <w:rPr>
          <w:rFonts w:cs="Arial"/>
          <w:i/>
          <w:iCs/>
          <w:color w:val="auto"/>
          <w:szCs w:val="20"/>
          <w:lang w:eastAsia="ja-JP"/>
        </w:rPr>
        <w:t xml:space="preserve">Prenatal-to-3 Policy Impact </w:t>
      </w:r>
      <w:proofErr w:type="spellStart"/>
      <w:r w:rsidR="00C14BFE" w:rsidRPr="00C14BFE">
        <w:rPr>
          <w:rFonts w:cs="Arial"/>
          <w:i/>
          <w:iCs/>
          <w:color w:val="auto"/>
          <w:szCs w:val="20"/>
          <w:lang w:eastAsia="ja-JP"/>
        </w:rPr>
        <w:t>Center</w:t>
      </w:r>
      <w:proofErr w:type="spellEnd"/>
      <w:r w:rsidR="00517190">
        <w:rPr>
          <w:rFonts w:cs="Arial"/>
          <w:i/>
          <w:iCs/>
          <w:color w:val="auto"/>
          <w:szCs w:val="20"/>
          <w:lang w:eastAsia="ja-JP"/>
        </w:rPr>
        <w:t>.</w:t>
      </w:r>
    </w:p>
    <w:p w14:paraId="517A6C13" w14:textId="37E6C32B" w:rsidR="00277B4F" w:rsidRPr="00277B4F" w:rsidRDefault="00277B4F" w:rsidP="007F3EFE">
      <w:pPr>
        <w:jc w:val="left"/>
      </w:pPr>
      <w:r w:rsidRPr="00277B4F">
        <w:t>Padley, M.</w:t>
      </w:r>
      <w:r w:rsidR="009D4D49">
        <w:t>,</w:t>
      </w:r>
      <w:r w:rsidRPr="00277B4F">
        <w:t xml:space="preserve"> </w:t>
      </w:r>
      <w:r w:rsidR="005571DB">
        <w:t>&amp;</w:t>
      </w:r>
      <w:r w:rsidRPr="00277B4F">
        <w:t xml:space="preserve"> Stone, J. (2023) A Minimum Income Standard for the United Kingdom in 2023. York: Joseph Rowntree Foundation.</w:t>
      </w:r>
    </w:p>
    <w:p w14:paraId="6D119C66" w14:textId="30A556F2" w:rsidR="001160C2" w:rsidRPr="00277B4F" w:rsidRDefault="00123532" w:rsidP="007F3EFE">
      <w:pPr>
        <w:jc w:val="left"/>
      </w:pPr>
      <w:r>
        <w:t>Phillips B</w:t>
      </w:r>
      <w:r w:rsidR="001C6213">
        <w:t>.</w:t>
      </w:r>
      <w:r>
        <w:t>, Li, J</w:t>
      </w:r>
      <w:r w:rsidR="001C6213">
        <w:t>.</w:t>
      </w:r>
      <w:r>
        <w:t xml:space="preserve">, </w:t>
      </w:r>
      <w:r w:rsidR="009D4D49">
        <w:t xml:space="preserve">&amp; </w:t>
      </w:r>
      <w:r>
        <w:t>Taylor, M</w:t>
      </w:r>
      <w:r w:rsidR="001C6213">
        <w:t>.</w:t>
      </w:r>
      <w:r>
        <w:t xml:space="preserve"> (2013)</w:t>
      </w:r>
      <w:r w:rsidR="00DF410D">
        <w:t>.</w:t>
      </w:r>
      <w:r>
        <w:t xml:space="preserve"> Cost of Kids: The Cost of Raising Children in Australia. AMP.NATSEM Income and Wealth Report, Issue 33, May 2013, Sydney, AMP</w:t>
      </w:r>
      <w:r w:rsidR="00517190">
        <w:t>.</w:t>
      </w:r>
    </w:p>
    <w:p w14:paraId="078B3398" w14:textId="6058B616" w:rsidR="002D32E9" w:rsidRPr="00447292" w:rsidRDefault="00292C19" w:rsidP="007F3EFE">
      <w:pPr>
        <w:jc w:val="left"/>
      </w:pPr>
      <w:r w:rsidRPr="00447292">
        <w:t>Percival, R. &amp; Harding, A.</w:t>
      </w:r>
      <w:r w:rsidR="00DF410D">
        <w:t xml:space="preserve"> </w:t>
      </w:r>
      <w:r w:rsidRPr="00447292">
        <w:t>(2005). The estimated costs of children in Australian families in 2005-06. [Dept. of Families, Community Services and Indigenous Affairs].</w:t>
      </w:r>
    </w:p>
    <w:p w14:paraId="78FA85D2" w14:textId="37DC894C" w:rsidR="002B41CB" w:rsidRDefault="00240694" w:rsidP="007F3EFE">
      <w:pPr>
        <w:jc w:val="left"/>
        <w:rPr>
          <w:rFonts w:cs="Arial"/>
          <w:color w:val="auto"/>
          <w:szCs w:val="20"/>
          <w:lang w:eastAsia="ja-JP"/>
        </w:rPr>
      </w:pPr>
      <w:r>
        <w:t>Rapp</w:t>
      </w:r>
      <w:r w:rsidR="00E4255C">
        <w:t>, S.,</w:t>
      </w:r>
      <w:r>
        <w:t xml:space="preserve"> </w:t>
      </w:r>
      <w:r w:rsidR="00E4255C">
        <w:t xml:space="preserve">&amp; </w:t>
      </w:r>
      <w:proofErr w:type="spellStart"/>
      <w:r w:rsidR="00E4255C" w:rsidRPr="00E4255C">
        <w:t>Thévenon</w:t>
      </w:r>
      <w:proofErr w:type="spellEnd"/>
      <w:r w:rsidR="0082215D">
        <w:t>, O. (</w:t>
      </w:r>
      <w:r w:rsidR="00973294">
        <w:t>Unpublished</w:t>
      </w:r>
      <w:r w:rsidR="004C2D94">
        <w:t xml:space="preserve">). </w:t>
      </w:r>
      <w:r w:rsidR="00EB0217" w:rsidRPr="00D67A4E">
        <w:rPr>
          <w:rFonts w:cs="Arial"/>
          <w:color w:val="auto"/>
          <w:szCs w:val="20"/>
          <w:lang w:eastAsia="ja-JP"/>
        </w:rPr>
        <w:t>The cost of raising children</w:t>
      </w:r>
      <w:r w:rsidR="00DE7137" w:rsidRPr="00D67A4E">
        <w:rPr>
          <w:rFonts w:cs="Arial"/>
          <w:color w:val="auto"/>
          <w:szCs w:val="20"/>
          <w:lang w:eastAsia="ja-JP"/>
        </w:rPr>
        <w:t>: Challenges presented by new family configurations</w:t>
      </w:r>
      <w:r w:rsidR="0018327A">
        <w:rPr>
          <w:rFonts w:cs="Arial"/>
          <w:color w:val="auto"/>
          <w:szCs w:val="20"/>
          <w:lang w:eastAsia="ja-JP"/>
        </w:rPr>
        <w:t>. OECD Working Party on Social Policy.</w:t>
      </w:r>
      <w:r w:rsidR="002B41CB">
        <w:rPr>
          <w:rFonts w:cs="Arial"/>
          <w:color w:val="auto"/>
          <w:szCs w:val="20"/>
          <w:lang w:eastAsia="ja-JP"/>
        </w:rPr>
        <w:t xml:space="preserve"> Employment, Labour and Social Affairs Committee.</w:t>
      </w:r>
    </w:p>
    <w:p w14:paraId="5A156851" w14:textId="77777777" w:rsidR="00BC7FC1" w:rsidRDefault="00BC7FC1" w:rsidP="00BC7FC1">
      <w:pPr>
        <w:jc w:val="left"/>
      </w:pPr>
      <w:r w:rsidRPr="00447292">
        <w:lastRenderedPageBreak/>
        <w:t>Robb, C. (2019). Cost of raising children and expenditures on children. Institute for Research on Poverty, University of Wisconsin-Madison.</w:t>
      </w:r>
    </w:p>
    <w:p w14:paraId="38B482EC" w14:textId="5ACB9120" w:rsidR="00DC2D65" w:rsidRPr="00277B4F" w:rsidRDefault="00DC2D65" w:rsidP="007F3EFE">
      <w:pPr>
        <w:jc w:val="left"/>
      </w:pPr>
      <w:r>
        <w:t xml:space="preserve">Saunders, P., &amp; Bedford, M. (2017). New Minimum Income for Healthy Living Budget Standards for Low-Paid and Unemployed Australians. (SPRC Report 11/17). Sydney: Social Policy Research Centre, UNSW Sydney. </w:t>
      </w:r>
      <w:r w:rsidRPr="00E93C98">
        <w:t>http://doi.org/10.4225/53/5994e0ca804a4</w:t>
      </w:r>
    </w:p>
    <w:p w14:paraId="56347F68" w14:textId="5EA9E1A5" w:rsidR="0041624D" w:rsidRPr="00277B4F" w:rsidRDefault="0041624D" w:rsidP="007F3EFE">
      <w:pPr>
        <w:jc w:val="left"/>
      </w:pPr>
      <w:r w:rsidRPr="0041624D">
        <w:t>Saunders</w:t>
      </w:r>
      <w:r>
        <w:t>,</w:t>
      </w:r>
      <w:r w:rsidRPr="0041624D">
        <w:t xml:space="preserve"> P</w:t>
      </w:r>
      <w:r>
        <w:t>.</w:t>
      </w:r>
      <w:r w:rsidR="00DF410D">
        <w:t>,</w:t>
      </w:r>
      <w:r>
        <w:t xml:space="preserve"> </w:t>
      </w:r>
      <w:r w:rsidR="00517190">
        <w:t xml:space="preserve">&amp; </w:t>
      </w:r>
      <w:r w:rsidRPr="0041624D">
        <w:t>Bedford</w:t>
      </w:r>
      <w:r w:rsidR="00AD3209">
        <w:t>,</w:t>
      </w:r>
      <w:r w:rsidRPr="0041624D">
        <w:t xml:space="preserve"> M</w:t>
      </w:r>
      <w:r w:rsidR="00AD3209">
        <w:t>.</w:t>
      </w:r>
      <w:r w:rsidRPr="0041624D">
        <w:t> </w:t>
      </w:r>
      <w:r w:rsidR="00AD3209">
        <w:t>(</w:t>
      </w:r>
      <w:r w:rsidRPr="0041624D">
        <w:t>2018</w:t>
      </w:r>
      <w:r w:rsidR="00AD3209">
        <w:t>)</w:t>
      </w:r>
      <w:r w:rsidR="00DF410D">
        <w:t>.</w:t>
      </w:r>
      <w:r w:rsidRPr="0041624D">
        <w:t> New estimates of the costs of children, </w:t>
      </w:r>
      <w:r w:rsidRPr="0041624D">
        <w:rPr>
          <w:i/>
          <w:iCs/>
        </w:rPr>
        <w:t>Family Matters</w:t>
      </w:r>
      <w:r w:rsidRPr="0041624D">
        <w:t>,19 - 27, https://aifs.gov.au/publications/issue/new-estimates-costs-children</w:t>
      </w:r>
    </w:p>
    <w:p w14:paraId="56FC08D0" w14:textId="143452FB" w:rsidR="00687191" w:rsidRPr="00277B4F" w:rsidRDefault="00687191" w:rsidP="007F3EFE">
      <w:pPr>
        <w:jc w:val="left"/>
      </w:pPr>
      <w:r w:rsidRPr="00D67A4E">
        <w:t>Social Metrics Commission. (20</w:t>
      </w:r>
      <w:r w:rsidR="000F7173">
        <w:t>19</w:t>
      </w:r>
      <w:r w:rsidRPr="000F7173">
        <w:t>). </w:t>
      </w:r>
      <w:r w:rsidR="00A86FEF" w:rsidRPr="000F7173">
        <w:t xml:space="preserve">Equivalisation in poverty measures: can we do </w:t>
      </w:r>
      <w:proofErr w:type="gramStart"/>
      <w:r w:rsidR="00A86FEF" w:rsidRPr="000F7173">
        <w:t>better?</w:t>
      </w:r>
      <w:r w:rsidR="00517190">
        <w:t>.</w:t>
      </w:r>
      <w:proofErr w:type="gramEnd"/>
      <w:r w:rsidRPr="00687191">
        <w:t xml:space="preserve"> Retrieved from https://socialmetricscommission.org.uk/wp-content/uploads/2019/12/SMC-Equivalisation-Report-2020-01-03-Web.pdf</w:t>
      </w:r>
    </w:p>
    <w:p w14:paraId="347131B2" w14:textId="0377254B" w:rsidR="00277B4F" w:rsidRPr="00277B4F" w:rsidRDefault="00277B4F" w:rsidP="007F3EFE">
      <w:pPr>
        <w:jc w:val="left"/>
      </w:pPr>
      <w:r w:rsidRPr="00277B4F">
        <w:t>Szulc, A. (2009). A matching estimator of household equivalence scales. </w:t>
      </w:r>
      <w:r w:rsidRPr="000F7173">
        <w:rPr>
          <w:i/>
          <w:iCs/>
        </w:rPr>
        <w:t>E</w:t>
      </w:r>
      <w:r w:rsidR="000F7173">
        <w:rPr>
          <w:i/>
          <w:iCs/>
        </w:rPr>
        <w:t>conomics Letters</w:t>
      </w:r>
      <w:r w:rsidRPr="00277B4F">
        <w:t>, 103(2), 81–83.</w:t>
      </w:r>
    </w:p>
    <w:p w14:paraId="5BCE5DF4" w14:textId="77777777" w:rsidR="00CD0ED5" w:rsidRDefault="00CD0ED5">
      <w:pPr>
        <w:suppressAutoHyphens w:val="0"/>
        <w:spacing w:before="0" w:line="240" w:lineRule="auto"/>
        <w:jc w:val="left"/>
        <w:rPr>
          <w:rFonts w:cs="Arial"/>
          <w:color w:val="ED0C64"/>
          <w:kern w:val="32"/>
          <w:sz w:val="44"/>
        </w:rPr>
      </w:pPr>
      <w:r>
        <w:br w:type="page"/>
      </w:r>
    </w:p>
    <w:p w14:paraId="1A9F37C8" w14:textId="2E2EFDE1" w:rsidR="00083190" w:rsidRDefault="005E530B" w:rsidP="00222BC6">
      <w:pPr>
        <w:pStyle w:val="Heading2"/>
        <w:spacing w:before="360" w:after="120" w:line="240" w:lineRule="auto"/>
      </w:pPr>
      <w:bookmarkStart w:id="31" w:name="_Toc495885402"/>
      <w:r>
        <w:lastRenderedPageBreak/>
        <w:t>Appendix</w:t>
      </w:r>
      <w:r w:rsidR="00C47F29">
        <w:t xml:space="preserve"> 1: An update of estimation methods</w:t>
      </w:r>
      <w:bookmarkEnd w:id="31"/>
    </w:p>
    <w:p w14:paraId="5C677DAC" w14:textId="201F2DB0" w:rsidR="00202DB1" w:rsidRDefault="00202DB1" w:rsidP="000544F5">
      <w:pPr>
        <w:pStyle w:val="Heading4"/>
        <w:spacing w:line="240" w:lineRule="auto"/>
      </w:pPr>
      <w:bookmarkStart w:id="32" w:name="_Toc406954793"/>
      <w:r>
        <w:t>Household equivalence scales</w:t>
      </w:r>
      <w:r w:rsidR="00001CDE">
        <w:t xml:space="preserve"> and expert scales</w:t>
      </w:r>
      <w:bookmarkEnd w:id="32"/>
    </w:p>
    <w:p w14:paraId="5A06E905" w14:textId="1BEAB3C0" w:rsidR="003A61D5" w:rsidRDefault="00202DB1" w:rsidP="00D67A4E">
      <w:pPr>
        <w:pStyle w:val="BodyText"/>
      </w:pPr>
      <w:r>
        <w:t xml:space="preserve">Household equivalence scales provide a standardised way to measure how the relative needs of households vary according to family size and composition. Equivalence scales are typically expressed as a ratio in comparison to reference household with a single adult. The reference household is assigned a value of 1, and each additional member of the household is assigned a value that ranges between 0 and 1, to account for the expected economies of scale of a household with more than one person. </w:t>
      </w:r>
      <w:r w:rsidR="003A61D5">
        <w:t xml:space="preserve">Equivalence scales are estimated </w:t>
      </w:r>
      <w:r w:rsidR="008749E9">
        <w:t xml:space="preserve">using either the methods outlined in the Findings section of this review, or </w:t>
      </w:r>
      <w:r w:rsidR="002E148D">
        <w:t xml:space="preserve">via expert input. </w:t>
      </w:r>
    </w:p>
    <w:p w14:paraId="48C7F052" w14:textId="3A4A4BB8" w:rsidR="00202DB1" w:rsidRDefault="00202DB1" w:rsidP="00D67A4E">
      <w:pPr>
        <w:pStyle w:val="BodyText"/>
      </w:pPr>
      <w:r>
        <w:t xml:space="preserve">For example, </w:t>
      </w:r>
      <w:r w:rsidR="00A4063C">
        <w:t xml:space="preserve">there are two </w:t>
      </w:r>
      <w:proofErr w:type="gramStart"/>
      <w:r w:rsidR="00A4063C">
        <w:t>widely</w:t>
      </w:r>
      <w:r>
        <w:t>-used</w:t>
      </w:r>
      <w:proofErr w:type="gramEnd"/>
      <w:r>
        <w:t xml:space="preserve"> scale</w:t>
      </w:r>
      <w:r w:rsidR="00A4063C">
        <w:t xml:space="preserve">s in international income distribution, poverty and inequality research, </w:t>
      </w:r>
      <w:r>
        <w:t>the OECD-modified equivalence scale</w:t>
      </w:r>
      <w:r w:rsidR="00A4063C">
        <w:t xml:space="preserve"> and the square root scale</w:t>
      </w:r>
      <w:r>
        <w:t>. Th</w:t>
      </w:r>
      <w:r w:rsidR="00A4063C">
        <w:t>e</w:t>
      </w:r>
      <w:r>
        <w:t xml:space="preserve"> </w:t>
      </w:r>
      <w:r w:rsidR="00A4063C">
        <w:t xml:space="preserve">OECD modified scale </w:t>
      </w:r>
      <w:r>
        <w:t>assigns a value of 0.5 to each additional household member aged 14 years and over, and a value of 0.3 to each additional child under the age of 14.</w:t>
      </w:r>
      <w:r w:rsidR="00A4063C">
        <w:t xml:space="preserve"> The square root scale sets the equivalence scale for a household as the square root of the household size. Both </w:t>
      </w:r>
      <w:r w:rsidR="00B77F9E">
        <w:t>scale</w:t>
      </w:r>
      <w:r w:rsidR="00A4063C">
        <w:t>s</w:t>
      </w:r>
      <w:r w:rsidR="00B77F9E" w:rsidDel="00A4063C">
        <w:t xml:space="preserve"> </w:t>
      </w:r>
      <w:r w:rsidR="00A4063C">
        <w:t xml:space="preserve">were </w:t>
      </w:r>
      <w:r w:rsidR="00B77F9E">
        <w:t>developed using expert input, with a view to us</w:t>
      </w:r>
      <w:r w:rsidR="00A4063C">
        <w:t xml:space="preserve">ing a single </w:t>
      </w:r>
      <w:r w:rsidR="00B77F9E">
        <w:t>scale to compare poverty across countries.</w:t>
      </w:r>
      <w:r w:rsidR="00BD48BC">
        <w:t xml:space="preserve"> </w:t>
      </w:r>
      <w:r w:rsidR="00E474E2">
        <w:t>However, as noted by the OECD “</w:t>
      </w:r>
      <w:r w:rsidR="00E474E2" w:rsidDel="006145CD">
        <w:t xml:space="preserve">there is no </w:t>
      </w:r>
      <w:r w:rsidR="00E474E2">
        <w:t>accepted method for determining equivalence scales, and no equivalence scale is recommended by the OECD for general use” (OECD</w:t>
      </w:r>
      <w:r w:rsidR="002C4834">
        <w:t>, year unknown</w:t>
      </w:r>
      <w:r w:rsidR="00E474E2">
        <w:t>))</w:t>
      </w:r>
      <w:r w:rsidR="002C4834">
        <w:t>.</w:t>
      </w:r>
      <w:r w:rsidR="00A003B3">
        <w:t xml:space="preserve"> For further information </w:t>
      </w:r>
      <w:r w:rsidR="00095C09">
        <w:t xml:space="preserve">see </w:t>
      </w:r>
      <w:r w:rsidR="008D1826">
        <w:t>OECD (2013)</w:t>
      </w:r>
      <w:r w:rsidR="001843AB">
        <w:t>.</w:t>
      </w:r>
      <w:r w:rsidR="00A4063C">
        <w:t xml:space="preserve"> </w:t>
      </w:r>
    </w:p>
    <w:p w14:paraId="0F2298C1" w14:textId="46D780B8" w:rsidR="00BB46E6" w:rsidRPr="00A05717" w:rsidRDefault="00BB46E6" w:rsidP="00D67A4E">
      <w:pPr>
        <w:pStyle w:val="FigureCaption"/>
        <w:rPr>
          <w:color w:val="E7005E"/>
        </w:rPr>
      </w:pPr>
      <w:r w:rsidRPr="00A05717">
        <w:rPr>
          <w:color w:val="E7005E"/>
        </w:rPr>
        <w:t xml:space="preserve">Table </w:t>
      </w:r>
      <w:r w:rsidR="00D60238" w:rsidRPr="00A05717">
        <w:rPr>
          <w:color w:val="E7005E"/>
        </w:rPr>
        <w:t>5</w:t>
      </w:r>
      <w:r w:rsidR="00324513" w:rsidRPr="00A05717">
        <w:rPr>
          <w:color w:val="E7005E"/>
        </w:rPr>
        <w:t>.</w:t>
      </w:r>
      <w:r w:rsidRPr="00A05717">
        <w:rPr>
          <w:color w:val="E7005E"/>
        </w:rPr>
        <w:t xml:space="preserve"> Single and couple household budgets by budget area ($ per week, excluding housing costs)</w:t>
      </w:r>
      <w:r w:rsidR="00EB43E3" w:rsidRPr="00A05717">
        <w:rPr>
          <w:color w:val="E7005E"/>
        </w:rPr>
        <w:t xml:space="preserve">, estimated using </w:t>
      </w:r>
      <w:r w:rsidR="001A3621" w:rsidRPr="00A05717">
        <w:rPr>
          <w:color w:val="E7005E"/>
        </w:rPr>
        <w:t>Australian budget standards</w:t>
      </w:r>
    </w:p>
    <w:tbl>
      <w:tblPr>
        <w:tblStyle w:val="TableGrid"/>
        <w:tblpPr w:leftFromText="180" w:rightFromText="180" w:vertAnchor="text" w:horzAnchor="margin" w:tblpY="265"/>
        <w:tblW w:w="9306" w:type="dxa"/>
        <w:tblLook w:val="04A0" w:firstRow="1" w:lastRow="0" w:firstColumn="1" w:lastColumn="0" w:noHBand="0" w:noVBand="1"/>
      </w:tblPr>
      <w:tblGrid>
        <w:gridCol w:w="1636"/>
        <w:gridCol w:w="963"/>
        <w:gridCol w:w="1156"/>
        <w:gridCol w:w="1190"/>
        <w:gridCol w:w="1194"/>
        <w:gridCol w:w="1024"/>
        <w:gridCol w:w="1056"/>
        <w:gridCol w:w="1087"/>
      </w:tblGrid>
      <w:tr w:rsidR="00BF3282" w:rsidRPr="00C94474" w14:paraId="45F3D69C" w14:textId="77777777" w:rsidTr="00BF3282">
        <w:trPr>
          <w:cnfStyle w:val="100000000000" w:firstRow="1" w:lastRow="0" w:firstColumn="0" w:lastColumn="0" w:oddVBand="0" w:evenVBand="0" w:oddHBand="0" w:evenHBand="0" w:firstRowFirstColumn="0" w:firstRowLastColumn="0" w:lastRowFirstColumn="0" w:lastRowLastColumn="0"/>
          <w:trHeight w:val="344"/>
        </w:trPr>
        <w:tc>
          <w:tcPr>
            <w:tcW w:w="1636" w:type="dxa"/>
            <w:shd w:val="clear" w:color="auto" w:fill="62136D" w:themeFill="accent2"/>
            <w:noWrap/>
            <w:hideMark/>
          </w:tcPr>
          <w:p w14:paraId="7412E874" w14:textId="77777777" w:rsidR="001E4F4C" w:rsidRPr="00C94474" w:rsidRDefault="001E4F4C" w:rsidP="000A4E22">
            <w:pPr>
              <w:suppressAutoHyphens w:val="0"/>
              <w:spacing w:before="0" w:line="240" w:lineRule="auto"/>
              <w:jc w:val="left"/>
              <w:rPr>
                <w:rFonts w:ascii="Times New Roman" w:eastAsia="Times New Roman" w:hAnsi="Times New Roman"/>
                <w:color w:val="auto"/>
                <w:szCs w:val="20"/>
                <w:lang w:eastAsia="en-AU"/>
              </w:rPr>
            </w:pPr>
          </w:p>
        </w:tc>
        <w:tc>
          <w:tcPr>
            <w:tcW w:w="963" w:type="dxa"/>
            <w:shd w:val="clear" w:color="auto" w:fill="62136D" w:themeFill="accent2"/>
            <w:noWrap/>
            <w:hideMark/>
          </w:tcPr>
          <w:p w14:paraId="146C9AB0" w14:textId="50AEFE2E" w:rsidR="001E4F4C" w:rsidRPr="00D67A4E"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Sing</w:t>
            </w:r>
            <w:r w:rsidR="00C94474" w:rsidRPr="00D67A4E">
              <w:rPr>
                <w:rFonts w:eastAsia="Times New Roman" w:cs="Arial"/>
                <w:color w:val="FFFFFF" w:themeColor="background1"/>
                <w:szCs w:val="20"/>
                <w:lang w:eastAsia="en-AU"/>
              </w:rPr>
              <w:t>l</w:t>
            </w:r>
            <w:r w:rsidRPr="00D67A4E">
              <w:rPr>
                <w:rFonts w:eastAsia="Times New Roman" w:cs="Arial"/>
                <w:color w:val="FFFFFF" w:themeColor="background1"/>
                <w:szCs w:val="20"/>
                <w:lang w:eastAsia="en-AU"/>
              </w:rPr>
              <w:t>e person, FT</w:t>
            </w:r>
          </w:p>
        </w:tc>
        <w:tc>
          <w:tcPr>
            <w:tcW w:w="1156" w:type="dxa"/>
            <w:shd w:val="clear" w:color="auto" w:fill="62136D" w:themeFill="accent2"/>
            <w:noWrap/>
            <w:hideMark/>
          </w:tcPr>
          <w:p w14:paraId="2576FED2" w14:textId="77777777" w:rsidR="001E4F4C" w:rsidRPr="00D67A4E"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Single-earner couple</w:t>
            </w:r>
          </w:p>
        </w:tc>
        <w:tc>
          <w:tcPr>
            <w:tcW w:w="1190" w:type="dxa"/>
            <w:shd w:val="clear" w:color="auto" w:fill="62136D" w:themeFill="accent2"/>
            <w:noWrap/>
            <w:hideMark/>
          </w:tcPr>
          <w:p w14:paraId="437A2A03" w14:textId="77777777" w:rsidR="001E4F4C"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Single-earner couple,</w:t>
            </w:r>
          </w:p>
          <w:p w14:paraId="611A908F" w14:textId="2B120D60" w:rsidR="00524142" w:rsidRPr="00D67A4E" w:rsidRDefault="00524142"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1 child</w:t>
            </w:r>
          </w:p>
        </w:tc>
        <w:tc>
          <w:tcPr>
            <w:tcW w:w="1194" w:type="dxa"/>
            <w:shd w:val="clear" w:color="auto" w:fill="62136D" w:themeFill="accent2"/>
            <w:noWrap/>
            <w:hideMark/>
          </w:tcPr>
          <w:p w14:paraId="5AED7114" w14:textId="77777777" w:rsidR="001E4F4C"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Single-earner couple,</w:t>
            </w:r>
          </w:p>
          <w:p w14:paraId="5328A8B9" w14:textId="77C92B44" w:rsidR="00524142" w:rsidRPr="00D67A4E" w:rsidRDefault="00524142"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2 children</w:t>
            </w:r>
          </w:p>
        </w:tc>
        <w:tc>
          <w:tcPr>
            <w:tcW w:w="1024" w:type="dxa"/>
            <w:shd w:val="clear" w:color="auto" w:fill="62136D" w:themeFill="accent2"/>
            <w:noWrap/>
            <w:hideMark/>
          </w:tcPr>
          <w:p w14:paraId="59DD94D3" w14:textId="77777777" w:rsidR="001E4F4C" w:rsidRPr="00D67A4E"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Dual-earner couple</w:t>
            </w:r>
          </w:p>
        </w:tc>
        <w:tc>
          <w:tcPr>
            <w:tcW w:w="1056" w:type="dxa"/>
            <w:shd w:val="clear" w:color="auto" w:fill="62136D" w:themeFill="accent2"/>
            <w:noWrap/>
            <w:hideMark/>
          </w:tcPr>
          <w:p w14:paraId="5F298C1C" w14:textId="77777777" w:rsidR="001E4F4C"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Dual-earner couple,</w:t>
            </w:r>
          </w:p>
          <w:p w14:paraId="24A357C4" w14:textId="7DFC6979" w:rsidR="00524142" w:rsidRPr="00D67A4E" w:rsidRDefault="00524142"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1 child</w:t>
            </w:r>
          </w:p>
        </w:tc>
        <w:tc>
          <w:tcPr>
            <w:tcW w:w="1087" w:type="dxa"/>
            <w:shd w:val="clear" w:color="auto" w:fill="62136D" w:themeFill="accent2"/>
            <w:noWrap/>
            <w:hideMark/>
          </w:tcPr>
          <w:p w14:paraId="13D7D790" w14:textId="77777777" w:rsidR="001E4F4C" w:rsidRDefault="001E4F4C"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Dual-earner couple,</w:t>
            </w:r>
          </w:p>
          <w:p w14:paraId="296AD05F" w14:textId="7C7DFBB0" w:rsidR="00524142" w:rsidRPr="00D67A4E" w:rsidRDefault="00524142" w:rsidP="000A4E22">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2 children</w:t>
            </w:r>
          </w:p>
        </w:tc>
      </w:tr>
      <w:tr w:rsidR="00D67A4E" w:rsidRPr="00C94474" w14:paraId="5494BFE9" w14:textId="77777777" w:rsidTr="00D67A4E">
        <w:trPr>
          <w:trHeight w:val="344"/>
        </w:trPr>
        <w:tc>
          <w:tcPr>
            <w:tcW w:w="1636" w:type="dxa"/>
            <w:noWrap/>
            <w:hideMark/>
          </w:tcPr>
          <w:p w14:paraId="63E76B1D"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Food</w:t>
            </w:r>
          </w:p>
        </w:tc>
        <w:tc>
          <w:tcPr>
            <w:tcW w:w="963" w:type="dxa"/>
            <w:noWrap/>
            <w:hideMark/>
          </w:tcPr>
          <w:p w14:paraId="40051652"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82</w:t>
            </w:r>
          </w:p>
        </w:tc>
        <w:tc>
          <w:tcPr>
            <w:tcW w:w="1156" w:type="dxa"/>
            <w:noWrap/>
            <w:hideMark/>
          </w:tcPr>
          <w:p w14:paraId="1E361904"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165</w:t>
            </w:r>
          </w:p>
        </w:tc>
        <w:tc>
          <w:tcPr>
            <w:tcW w:w="1190" w:type="dxa"/>
            <w:noWrap/>
            <w:hideMark/>
          </w:tcPr>
          <w:p w14:paraId="1C6A5E09"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202</w:t>
            </w:r>
          </w:p>
        </w:tc>
        <w:tc>
          <w:tcPr>
            <w:tcW w:w="1194" w:type="dxa"/>
            <w:noWrap/>
            <w:hideMark/>
          </w:tcPr>
          <w:p w14:paraId="37A63FDC"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256</w:t>
            </w:r>
          </w:p>
        </w:tc>
        <w:tc>
          <w:tcPr>
            <w:tcW w:w="1024" w:type="dxa"/>
            <w:noWrap/>
            <w:hideMark/>
          </w:tcPr>
          <w:p w14:paraId="7FECA46C"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165</w:t>
            </w:r>
          </w:p>
        </w:tc>
        <w:tc>
          <w:tcPr>
            <w:tcW w:w="1056" w:type="dxa"/>
            <w:noWrap/>
            <w:hideMark/>
          </w:tcPr>
          <w:p w14:paraId="346CCAB5"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202</w:t>
            </w:r>
          </w:p>
        </w:tc>
        <w:tc>
          <w:tcPr>
            <w:tcW w:w="1087" w:type="dxa"/>
            <w:noWrap/>
            <w:hideMark/>
          </w:tcPr>
          <w:p w14:paraId="4CA944D0"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256</w:t>
            </w:r>
          </w:p>
        </w:tc>
      </w:tr>
      <w:tr w:rsidR="00D67A4E" w:rsidRPr="00C94474" w14:paraId="469FF2F0" w14:textId="77777777" w:rsidTr="00D67A4E">
        <w:trPr>
          <w:trHeight w:val="344"/>
        </w:trPr>
        <w:tc>
          <w:tcPr>
            <w:tcW w:w="1636" w:type="dxa"/>
            <w:noWrap/>
            <w:hideMark/>
          </w:tcPr>
          <w:p w14:paraId="6A36F074"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Personal Care</w:t>
            </w:r>
          </w:p>
        </w:tc>
        <w:tc>
          <w:tcPr>
            <w:tcW w:w="963" w:type="dxa"/>
            <w:noWrap/>
            <w:hideMark/>
          </w:tcPr>
          <w:p w14:paraId="58B387ED"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19</w:t>
            </w:r>
          </w:p>
        </w:tc>
        <w:tc>
          <w:tcPr>
            <w:tcW w:w="1156" w:type="dxa"/>
            <w:noWrap/>
            <w:hideMark/>
          </w:tcPr>
          <w:p w14:paraId="7A727D9D"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36</w:t>
            </w:r>
          </w:p>
        </w:tc>
        <w:tc>
          <w:tcPr>
            <w:tcW w:w="1190" w:type="dxa"/>
            <w:noWrap/>
            <w:hideMark/>
          </w:tcPr>
          <w:p w14:paraId="1549ED2B"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36</w:t>
            </w:r>
          </w:p>
        </w:tc>
        <w:tc>
          <w:tcPr>
            <w:tcW w:w="1194" w:type="dxa"/>
            <w:noWrap/>
            <w:hideMark/>
          </w:tcPr>
          <w:p w14:paraId="501C4B49"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33</w:t>
            </w:r>
          </w:p>
        </w:tc>
        <w:tc>
          <w:tcPr>
            <w:tcW w:w="1024" w:type="dxa"/>
            <w:noWrap/>
            <w:hideMark/>
          </w:tcPr>
          <w:p w14:paraId="6880FFF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37</w:t>
            </w:r>
          </w:p>
        </w:tc>
        <w:tc>
          <w:tcPr>
            <w:tcW w:w="1056" w:type="dxa"/>
            <w:noWrap/>
            <w:hideMark/>
          </w:tcPr>
          <w:p w14:paraId="37E99043"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37</w:t>
            </w:r>
          </w:p>
        </w:tc>
        <w:tc>
          <w:tcPr>
            <w:tcW w:w="1087" w:type="dxa"/>
            <w:noWrap/>
            <w:hideMark/>
          </w:tcPr>
          <w:p w14:paraId="16501DC7"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50</w:t>
            </w:r>
          </w:p>
        </w:tc>
      </w:tr>
      <w:tr w:rsidR="00D67A4E" w:rsidRPr="00C94474" w14:paraId="32EADE3D" w14:textId="77777777" w:rsidTr="00D67A4E">
        <w:trPr>
          <w:trHeight w:val="344"/>
        </w:trPr>
        <w:tc>
          <w:tcPr>
            <w:tcW w:w="1636" w:type="dxa"/>
            <w:noWrap/>
            <w:hideMark/>
          </w:tcPr>
          <w:p w14:paraId="1967CDAF"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Clothing &amp; Footwear</w:t>
            </w:r>
          </w:p>
        </w:tc>
        <w:tc>
          <w:tcPr>
            <w:tcW w:w="963" w:type="dxa"/>
            <w:noWrap/>
            <w:hideMark/>
          </w:tcPr>
          <w:p w14:paraId="3E4A83DF"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13</w:t>
            </w:r>
          </w:p>
        </w:tc>
        <w:tc>
          <w:tcPr>
            <w:tcW w:w="1156" w:type="dxa"/>
            <w:noWrap/>
            <w:hideMark/>
          </w:tcPr>
          <w:p w14:paraId="4BB1DEEC"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19</w:t>
            </w:r>
          </w:p>
        </w:tc>
        <w:tc>
          <w:tcPr>
            <w:tcW w:w="1190" w:type="dxa"/>
            <w:noWrap/>
            <w:hideMark/>
          </w:tcPr>
          <w:p w14:paraId="01C1E692"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29</w:t>
            </w:r>
          </w:p>
        </w:tc>
        <w:tc>
          <w:tcPr>
            <w:tcW w:w="1194" w:type="dxa"/>
            <w:noWrap/>
            <w:hideMark/>
          </w:tcPr>
          <w:p w14:paraId="06B7128F"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39</w:t>
            </w:r>
          </w:p>
        </w:tc>
        <w:tc>
          <w:tcPr>
            <w:tcW w:w="1024" w:type="dxa"/>
            <w:noWrap/>
            <w:hideMark/>
          </w:tcPr>
          <w:p w14:paraId="384FAF2D"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25</w:t>
            </w:r>
          </w:p>
        </w:tc>
        <w:tc>
          <w:tcPr>
            <w:tcW w:w="1056" w:type="dxa"/>
            <w:noWrap/>
            <w:hideMark/>
          </w:tcPr>
          <w:p w14:paraId="640016CC"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35</w:t>
            </w:r>
          </w:p>
        </w:tc>
        <w:tc>
          <w:tcPr>
            <w:tcW w:w="1087" w:type="dxa"/>
            <w:noWrap/>
            <w:hideMark/>
          </w:tcPr>
          <w:p w14:paraId="72776945"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44</w:t>
            </w:r>
          </w:p>
        </w:tc>
      </w:tr>
      <w:tr w:rsidR="00D67A4E" w:rsidRPr="00C94474" w14:paraId="711ABED3" w14:textId="77777777" w:rsidTr="00D67A4E">
        <w:trPr>
          <w:trHeight w:val="344"/>
        </w:trPr>
        <w:tc>
          <w:tcPr>
            <w:tcW w:w="1636" w:type="dxa"/>
            <w:noWrap/>
            <w:hideMark/>
          </w:tcPr>
          <w:p w14:paraId="49A26ABA"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Recreation</w:t>
            </w:r>
          </w:p>
        </w:tc>
        <w:tc>
          <w:tcPr>
            <w:tcW w:w="963" w:type="dxa"/>
            <w:noWrap/>
            <w:hideMark/>
          </w:tcPr>
          <w:p w14:paraId="76E53364"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37</w:t>
            </w:r>
          </w:p>
        </w:tc>
        <w:tc>
          <w:tcPr>
            <w:tcW w:w="1156" w:type="dxa"/>
            <w:noWrap/>
            <w:hideMark/>
          </w:tcPr>
          <w:p w14:paraId="51F16AA7"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48</w:t>
            </w:r>
          </w:p>
        </w:tc>
        <w:tc>
          <w:tcPr>
            <w:tcW w:w="1190" w:type="dxa"/>
            <w:noWrap/>
            <w:hideMark/>
          </w:tcPr>
          <w:p w14:paraId="35957517"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78</w:t>
            </w:r>
          </w:p>
        </w:tc>
        <w:tc>
          <w:tcPr>
            <w:tcW w:w="1194" w:type="dxa"/>
            <w:noWrap/>
            <w:hideMark/>
          </w:tcPr>
          <w:p w14:paraId="41B9C6D3"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95</w:t>
            </w:r>
          </w:p>
        </w:tc>
        <w:tc>
          <w:tcPr>
            <w:tcW w:w="1024" w:type="dxa"/>
            <w:noWrap/>
            <w:hideMark/>
          </w:tcPr>
          <w:p w14:paraId="0F0D73D5"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48</w:t>
            </w:r>
          </w:p>
        </w:tc>
        <w:tc>
          <w:tcPr>
            <w:tcW w:w="1056" w:type="dxa"/>
            <w:noWrap/>
            <w:hideMark/>
          </w:tcPr>
          <w:p w14:paraId="12216A6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78</w:t>
            </w:r>
          </w:p>
        </w:tc>
        <w:tc>
          <w:tcPr>
            <w:tcW w:w="1087" w:type="dxa"/>
            <w:noWrap/>
            <w:hideMark/>
          </w:tcPr>
          <w:p w14:paraId="26FCAC58"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95</w:t>
            </w:r>
          </w:p>
        </w:tc>
      </w:tr>
      <w:tr w:rsidR="00D67A4E" w:rsidRPr="00C94474" w14:paraId="375B6F96" w14:textId="77777777" w:rsidTr="00D67A4E">
        <w:trPr>
          <w:trHeight w:val="344"/>
        </w:trPr>
        <w:tc>
          <w:tcPr>
            <w:tcW w:w="1636" w:type="dxa"/>
            <w:noWrap/>
            <w:hideMark/>
          </w:tcPr>
          <w:p w14:paraId="49176D3F"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Household goods and services</w:t>
            </w:r>
          </w:p>
        </w:tc>
        <w:tc>
          <w:tcPr>
            <w:tcW w:w="963" w:type="dxa"/>
            <w:noWrap/>
            <w:hideMark/>
          </w:tcPr>
          <w:p w14:paraId="22C6E500"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104</w:t>
            </w:r>
          </w:p>
        </w:tc>
        <w:tc>
          <w:tcPr>
            <w:tcW w:w="1156" w:type="dxa"/>
            <w:noWrap/>
            <w:hideMark/>
          </w:tcPr>
          <w:p w14:paraId="434C060B"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120</w:t>
            </w:r>
          </w:p>
        </w:tc>
        <w:tc>
          <w:tcPr>
            <w:tcW w:w="1190" w:type="dxa"/>
            <w:noWrap/>
            <w:hideMark/>
          </w:tcPr>
          <w:p w14:paraId="5690B40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144</w:t>
            </w:r>
          </w:p>
        </w:tc>
        <w:tc>
          <w:tcPr>
            <w:tcW w:w="1194" w:type="dxa"/>
            <w:noWrap/>
            <w:hideMark/>
          </w:tcPr>
          <w:p w14:paraId="085851AF"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152</w:t>
            </w:r>
          </w:p>
        </w:tc>
        <w:tc>
          <w:tcPr>
            <w:tcW w:w="1024" w:type="dxa"/>
            <w:noWrap/>
            <w:hideMark/>
          </w:tcPr>
          <w:p w14:paraId="3F425CD3"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126</w:t>
            </w:r>
          </w:p>
        </w:tc>
        <w:tc>
          <w:tcPr>
            <w:tcW w:w="1056" w:type="dxa"/>
            <w:noWrap/>
            <w:hideMark/>
          </w:tcPr>
          <w:p w14:paraId="6FEFD19B"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146</w:t>
            </w:r>
          </w:p>
        </w:tc>
        <w:tc>
          <w:tcPr>
            <w:tcW w:w="1087" w:type="dxa"/>
            <w:noWrap/>
            <w:hideMark/>
          </w:tcPr>
          <w:p w14:paraId="5E492809"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154</w:t>
            </w:r>
          </w:p>
        </w:tc>
      </w:tr>
      <w:tr w:rsidR="00D67A4E" w:rsidRPr="00C94474" w14:paraId="72C1B6D6" w14:textId="77777777" w:rsidTr="00D67A4E">
        <w:trPr>
          <w:trHeight w:val="344"/>
        </w:trPr>
        <w:tc>
          <w:tcPr>
            <w:tcW w:w="1636" w:type="dxa"/>
            <w:noWrap/>
            <w:hideMark/>
          </w:tcPr>
          <w:p w14:paraId="6D1FEEB4"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Health</w:t>
            </w:r>
          </w:p>
        </w:tc>
        <w:tc>
          <w:tcPr>
            <w:tcW w:w="963" w:type="dxa"/>
            <w:noWrap/>
            <w:hideMark/>
          </w:tcPr>
          <w:p w14:paraId="7D155E5B"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11</w:t>
            </w:r>
          </w:p>
        </w:tc>
        <w:tc>
          <w:tcPr>
            <w:tcW w:w="1156" w:type="dxa"/>
            <w:noWrap/>
            <w:hideMark/>
          </w:tcPr>
          <w:p w14:paraId="37D1C9B6"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w:t>
            </w:r>
          </w:p>
        </w:tc>
        <w:tc>
          <w:tcPr>
            <w:tcW w:w="1190" w:type="dxa"/>
            <w:noWrap/>
            <w:hideMark/>
          </w:tcPr>
          <w:p w14:paraId="06342051"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33</w:t>
            </w:r>
          </w:p>
        </w:tc>
        <w:tc>
          <w:tcPr>
            <w:tcW w:w="1194" w:type="dxa"/>
            <w:noWrap/>
            <w:hideMark/>
          </w:tcPr>
          <w:p w14:paraId="18C864B2"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44</w:t>
            </w:r>
          </w:p>
        </w:tc>
        <w:tc>
          <w:tcPr>
            <w:tcW w:w="1024" w:type="dxa"/>
            <w:noWrap/>
            <w:hideMark/>
          </w:tcPr>
          <w:p w14:paraId="5ACBCD04"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w:t>
            </w:r>
          </w:p>
        </w:tc>
        <w:tc>
          <w:tcPr>
            <w:tcW w:w="1056" w:type="dxa"/>
            <w:noWrap/>
            <w:hideMark/>
          </w:tcPr>
          <w:p w14:paraId="5784EFD0"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33</w:t>
            </w:r>
          </w:p>
        </w:tc>
        <w:tc>
          <w:tcPr>
            <w:tcW w:w="1087" w:type="dxa"/>
            <w:noWrap/>
            <w:hideMark/>
          </w:tcPr>
          <w:p w14:paraId="21F0E4D7"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44</w:t>
            </w:r>
          </w:p>
        </w:tc>
      </w:tr>
      <w:tr w:rsidR="00D67A4E" w:rsidRPr="00C94474" w14:paraId="23999D9E" w14:textId="77777777" w:rsidTr="00D67A4E">
        <w:trPr>
          <w:trHeight w:val="344"/>
        </w:trPr>
        <w:tc>
          <w:tcPr>
            <w:tcW w:w="1636" w:type="dxa"/>
            <w:noWrap/>
            <w:hideMark/>
          </w:tcPr>
          <w:p w14:paraId="45342A98"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Transport</w:t>
            </w:r>
          </w:p>
        </w:tc>
        <w:tc>
          <w:tcPr>
            <w:tcW w:w="963" w:type="dxa"/>
            <w:noWrap/>
            <w:hideMark/>
          </w:tcPr>
          <w:p w14:paraId="7D52EF45"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111</w:t>
            </w:r>
          </w:p>
        </w:tc>
        <w:tc>
          <w:tcPr>
            <w:tcW w:w="1156" w:type="dxa"/>
            <w:noWrap/>
            <w:hideMark/>
          </w:tcPr>
          <w:p w14:paraId="71B2130A"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186</w:t>
            </w:r>
          </w:p>
        </w:tc>
        <w:tc>
          <w:tcPr>
            <w:tcW w:w="1190" w:type="dxa"/>
            <w:noWrap/>
            <w:hideMark/>
          </w:tcPr>
          <w:p w14:paraId="579152E7"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217</w:t>
            </w:r>
          </w:p>
        </w:tc>
        <w:tc>
          <w:tcPr>
            <w:tcW w:w="1194" w:type="dxa"/>
            <w:noWrap/>
            <w:hideMark/>
          </w:tcPr>
          <w:p w14:paraId="7D2653E3"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218</w:t>
            </w:r>
          </w:p>
        </w:tc>
        <w:tc>
          <w:tcPr>
            <w:tcW w:w="1024" w:type="dxa"/>
            <w:noWrap/>
            <w:hideMark/>
          </w:tcPr>
          <w:p w14:paraId="426D21DA"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186</w:t>
            </w:r>
          </w:p>
        </w:tc>
        <w:tc>
          <w:tcPr>
            <w:tcW w:w="1056" w:type="dxa"/>
            <w:noWrap/>
            <w:hideMark/>
          </w:tcPr>
          <w:p w14:paraId="6FB881BB"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217</w:t>
            </w:r>
          </w:p>
        </w:tc>
        <w:tc>
          <w:tcPr>
            <w:tcW w:w="1087" w:type="dxa"/>
            <w:noWrap/>
            <w:hideMark/>
          </w:tcPr>
          <w:p w14:paraId="1455E576"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218</w:t>
            </w:r>
          </w:p>
        </w:tc>
      </w:tr>
      <w:tr w:rsidR="00D67A4E" w:rsidRPr="00C94474" w14:paraId="7938CFCC" w14:textId="77777777" w:rsidTr="00D67A4E">
        <w:trPr>
          <w:trHeight w:val="344"/>
        </w:trPr>
        <w:tc>
          <w:tcPr>
            <w:tcW w:w="1636" w:type="dxa"/>
            <w:noWrap/>
            <w:hideMark/>
          </w:tcPr>
          <w:p w14:paraId="369E4CB5" w14:textId="77777777"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Education</w:t>
            </w:r>
          </w:p>
        </w:tc>
        <w:tc>
          <w:tcPr>
            <w:tcW w:w="963" w:type="dxa"/>
            <w:noWrap/>
            <w:hideMark/>
          </w:tcPr>
          <w:p w14:paraId="71F18D59"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0</w:t>
            </w:r>
          </w:p>
        </w:tc>
        <w:tc>
          <w:tcPr>
            <w:tcW w:w="1156" w:type="dxa"/>
            <w:noWrap/>
            <w:hideMark/>
          </w:tcPr>
          <w:p w14:paraId="5AC8881D"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0</w:t>
            </w:r>
          </w:p>
        </w:tc>
        <w:tc>
          <w:tcPr>
            <w:tcW w:w="1190" w:type="dxa"/>
            <w:noWrap/>
            <w:hideMark/>
          </w:tcPr>
          <w:p w14:paraId="5A1AB93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23</w:t>
            </w:r>
          </w:p>
        </w:tc>
        <w:tc>
          <w:tcPr>
            <w:tcW w:w="1194" w:type="dxa"/>
            <w:noWrap/>
            <w:hideMark/>
          </w:tcPr>
          <w:p w14:paraId="4E417144"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52</w:t>
            </w:r>
          </w:p>
        </w:tc>
        <w:tc>
          <w:tcPr>
            <w:tcW w:w="1024" w:type="dxa"/>
            <w:noWrap/>
            <w:hideMark/>
          </w:tcPr>
          <w:p w14:paraId="3FA30D34"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0</w:t>
            </w:r>
          </w:p>
        </w:tc>
        <w:tc>
          <w:tcPr>
            <w:tcW w:w="1056" w:type="dxa"/>
            <w:noWrap/>
            <w:hideMark/>
          </w:tcPr>
          <w:p w14:paraId="6D3E5303"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65</w:t>
            </w:r>
          </w:p>
        </w:tc>
        <w:tc>
          <w:tcPr>
            <w:tcW w:w="1087" w:type="dxa"/>
            <w:noWrap/>
            <w:hideMark/>
          </w:tcPr>
          <w:p w14:paraId="0B03931A"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137</w:t>
            </w:r>
          </w:p>
        </w:tc>
      </w:tr>
      <w:tr w:rsidR="00D67A4E" w:rsidRPr="00C94474" w14:paraId="23F80F9C" w14:textId="77777777" w:rsidTr="00D67A4E">
        <w:trPr>
          <w:trHeight w:val="344"/>
        </w:trPr>
        <w:tc>
          <w:tcPr>
            <w:tcW w:w="1636" w:type="dxa"/>
            <w:noWrap/>
            <w:hideMark/>
          </w:tcPr>
          <w:p w14:paraId="5F223B20" w14:textId="64739D50" w:rsidR="001E4F4C" w:rsidRPr="00D67A4E" w:rsidRDefault="001E4F4C" w:rsidP="000A4E22">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Total</w:t>
            </w:r>
            <w:r w:rsidR="005A6F55">
              <w:rPr>
                <w:rFonts w:eastAsia="Times New Roman" w:cs="Arial"/>
                <w:color w:val="000000"/>
                <w:szCs w:val="20"/>
                <w:lang w:eastAsia="en-AU"/>
              </w:rPr>
              <w:t xml:space="preserve"> (</w:t>
            </w:r>
            <w:proofErr w:type="spellStart"/>
            <w:r w:rsidR="005A6F55">
              <w:rPr>
                <w:rFonts w:eastAsia="Times New Roman" w:cs="Arial"/>
                <w:color w:val="000000"/>
                <w:szCs w:val="20"/>
                <w:lang w:eastAsia="en-AU"/>
              </w:rPr>
              <w:t>exc</w:t>
            </w:r>
            <w:proofErr w:type="spellEnd"/>
            <w:r w:rsidR="00B26B02">
              <w:rPr>
                <w:rFonts w:eastAsia="Times New Roman" w:cs="Arial"/>
                <w:color w:val="000000"/>
                <w:szCs w:val="20"/>
                <w:lang w:eastAsia="en-AU"/>
              </w:rPr>
              <w:t xml:space="preserve"> housing and discretionary)</w:t>
            </w:r>
          </w:p>
        </w:tc>
        <w:tc>
          <w:tcPr>
            <w:tcW w:w="963" w:type="dxa"/>
            <w:noWrap/>
            <w:hideMark/>
          </w:tcPr>
          <w:p w14:paraId="3F432D7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377</w:t>
            </w:r>
          </w:p>
        </w:tc>
        <w:tc>
          <w:tcPr>
            <w:tcW w:w="1156" w:type="dxa"/>
            <w:noWrap/>
            <w:hideMark/>
          </w:tcPr>
          <w:p w14:paraId="0F34FFB6"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596</w:t>
            </w:r>
          </w:p>
        </w:tc>
        <w:tc>
          <w:tcPr>
            <w:tcW w:w="1190" w:type="dxa"/>
            <w:noWrap/>
            <w:hideMark/>
          </w:tcPr>
          <w:p w14:paraId="7F42A0C9"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762</w:t>
            </w:r>
          </w:p>
        </w:tc>
        <w:tc>
          <w:tcPr>
            <w:tcW w:w="1194" w:type="dxa"/>
            <w:noWrap/>
            <w:hideMark/>
          </w:tcPr>
          <w:p w14:paraId="3A1F3DA6"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888</w:t>
            </w:r>
          </w:p>
        </w:tc>
        <w:tc>
          <w:tcPr>
            <w:tcW w:w="1024" w:type="dxa"/>
            <w:noWrap/>
            <w:hideMark/>
          </w:tcPr>
          <w:p w14:paraId="5B8CE23E"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608</w:t>
            </w:r>
          </w:p>
        </w:tc>
        <w:tc>
          <w:tcPr>
            <w:tcW w:w="1056" w:type="dxa"/>
            <w:noWrap/>
            <w:hideMark/>
          </w:tcPr>
          <w:p w14:paraId="46D055AA"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814</w:t>
            </w:r>
          </w:p>
        </w:tc>
        <w:tc>
          <w:tcPr>
            <w:tcW w:w="1087" w:type="dxa"/>
            <w:noWrap/>
            <w:hideMark/>
          </w:tcPr>
          <w:p w14:paraId="41733F3D" w14:textId="77777777" w:rsidR="001E4F4C" w:rsidRPr="00D67A4E" w:rsidRDefault="001E4F4C" w:rsidP="000A4E22">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998</w:t>
            </w:r>
          </w:p>
        </w:tc>
      </w:tr>
      <w:tr w:rsidR="00B26B02" w:rsidRPr="00C94474" w14:paraId="0E643438" w14:textId="77777777" w:rsidTr="00D67A4E">
        <w:trPr>
          <w:trHeight w:val="344"/>
        </w:trPr>
        <w:tc>
          <w:tcPr>
            <w:tcW w:w="1636" w:type="dxa"/>
            <w:noWrap/>
          </w:tcPr>
          <w:p w14:paraId="19E4A5CD" w14:textId="4D13B5C9" w:rsidR="00B26B02" w:rsidRPr="00D67A4E" w:rsidRDefault="00B26B02" w:rsidP="000A4E22">
            <w:pPr>
              <w:suppressAutoHyphens w:val="0"/>
              <w:spacing w:before="0" w:line="240" w:lineRule="auto"/>
              <w:jc w:val="left"/>
              <w:rPr>
                <w:rFonts w:eastAsia="Times New Roman" w:cs="Arial"/>
                <w:color w:val="000000"/>
                <w:szCs w:val="20"/>
                <w:lang w:eastAsia="en-AU"/>
              </w:rPr>
            </w:pPr>
            <w:r>
              <w:rPr>
                <w:rFonts w:eastAsia="Times New Roman" w:cs="Arial"/>
                <w:color w:val="000000"/>
                <w:szCs w:val="20"/>
                <w:lang w:eastAsia="en-AU"/>
              </w:rPr>
              <w:t>Housing</w:t>
            </w:r>
          </w:p>
        </w:tc>
        <w:tc>
          <w:tcPr>
            <w:tcW w:w="963" w:type="dxa"/>
            <w:noWrap/>
          </w:tcPr>
          <w:p w14:paraId="73B96E8E" w14:textId="17E5D468" w:rsidR="00B26B02" w:rsidRPr="00D67A4E" w:rsidRDefault="00D157FC"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426</w:t>
            </w:r>
          </w:p>
        </w:tc>
        <w:tc>
          <w:tcPr>
            <w:tcW w:w="1156" w:type="dxa"/>
            <w:noWrap/>
          </w:tcPr>
          <w:p w14:paraId="2BD3298F" w14:textId="343F65D1"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561</w:t>
            </w:r>
          </w:p>
        </w:tc>
        <w:tc>
          <w:tcPr>
            <w:tcW w:w="1190" w:type="dxa"/>
            <w:noWrap/>
          </w:tcPr>
          <w:p w14:paraId="5EEE230C" w14:textId="1FEA01BC"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461</w:t>
            </w:r>
          </w:p>
        </w:tc>
        <w:tc>
          <w:tcPr>
            <w:tcW w:w="1194" w:type="dxa"/>
            <w:noWrap/>
          </w:tcPr>
          <w:p w14:paraId="70C363DD" w14:textId="3DC394A2" w:rsidR="00B26B02" w:rsidRPr="00D67A4E" w:rsidRDefault="00AA496C"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461</w:t>
            </w:r>
          </w:p>
        </w:tc>
        <w:tc>
          <w:tcPr>
            <w:tcW w:w="1024" w:type="dxa"/>
            <w:noWrap/>
          </w:tcPr>
          <w:p w14:paraId="12DB13B1" w14:textId="2C515427"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461</w:t>
            </w:r>
          </w:p>
        </w:tc>
        <w:tc>
          <w:tcPr>
            <w:tcW w:w="1056" w:type="dxa"/>
            <w:noWrap/>
          </w:tcPr>
          <w:p w14:paraId="798F3142" w14:textId="33FE8431"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495</w:t>
            </w:r>
          </w:p>
        </w:tc>
        <w:tc>
          <w:tcPr>
            <w:tcW w:w="1087" w:type="dxa"/>
            <w:noWrap/>
          </w:tcPr>
          <w:p w14:paraId="0561A784" w14:textId="728DEC3D"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495</w:t>
            </w:r>
          </w:p>
        </w:tc>
      </w:tr>
      <w:tr w:rsidR="00B26B02" w:rsidRPr="00C94474" w14:paraId="484EA979" w14:textId="77777777" w:rsidTr="00D67A4E">
        <w:trPr>
          <w:trHeight w:val="344"/>
        </w:trPr>
        <w:tc>
          <w:tcPr>
            <w:tcW w:w="1636" w:type="dxa"/>
            <w:noWrap/>
          </w:tcPr>
          <w:p w14:paraId="3C952166" w14:textId="4F73EBE8" w:rsidR="00B26B02" w:rsidRDefault="00B26B02" w:rsidP="000A4E22">
            <w:pPr>
              <w:suppressAutoHyphens w:val="0"/>
              <w:spacing w:before="0" w:line="240" w:lineRule="auto"/>
              <w:jc w:val="left"/>
              <w:rPr>
                <w:rFonts w:eastAsia="Times New Roman" w:cs="Arial"/>
                <w:color w:val="000000"/>
                <w:szCs w:val="20"/>
                <w:lang w:eastAsia="en-AU"/>
              </w:rPr>
            </w:pPr>
            <w:r>
              <w:rPr>
                <w:rFonts w:eastAsia="Times New Roman" w:cs="Arial"/>
                <w:color w:val="000000"/>
                <w:szCs w:val="20"/>
                <w:lang w:eastAsia="en-AU"/>
              </w:rPr>
              <w:t>Discretionary</w:t>
            </w:r>
          </w:p>
        </w:tc>
        <w:tc>
          <w:tcPr>
            <w:tcW w:w="963" w:type="dxa"/>
            <w:noWrap/>
          </w:tcPr>
          <w:p w14:paraId="402F079E" w14:textId="473033B8" w:rsidR="00B26B02" w:rsidRPr="00D67A4E" w:rsidRDefault="00D157FC"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89</w:t>
            </w:r>
          </w:p>
        </w:tc>
        <w:tc>
          <w:tcPr>
            <w:tcW w:w="1156" w:type="dxa"/>
            <w:noWrap/>
          </w:tcPr>
          <w:p w14:paraId="67440FC3" w14:textId="603B676F"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99</w:t>
            </w:r>
          </w:p>
        </w:tc>
        <w:tc>
          <w:tcPr>
            <w:tcW w:w="1190" w:type="dxa"/>
            <w:noWrap/>
          </w:tcPr>
          <w:p w14:paraId="391DA41A" w14:textId="720E2483"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93</w:t>
            </w:r>
          </w:p>
        </w:tc>
        <w:tc>
          <w:tcPr>
            <w:tcW w:w="1194" w:type="dxa"/>
            <w:noWrap/>
          </w:tcPr>
          <w:p w14:paraId="412D4160" w14:textId="10E1A82F" w:rsidR="00B26B02" w:rsidRPr="00D67A4E" w:rsidRDefault="00AA496C"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90</w:t>
            </w:r>
          </w:p>
        </w:tc>
        <w:tc>
          <w:tcPr>
            <w:tcW w:w="1024" w:type="dxa"/>
            <w:noWrap/>
          </w:tcPr>
          <w:p w14:paraId="0031E81B" w14:textId="392A48A8"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84</w:t>
            </w:r>
          </w:p>
        </w:tc>
        <w:tc>
          <w:tcPr>
            <w:tcW w:w="1056" w:type="dxa"/>
            <w:noWrap/>
          </w:tcPr>
          <w:p w14:paraId="15A1FA53" w14:textId="139723EC"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111</w:t>
            </w:r>
          </w:p>
        </w:tc>
        <w:tc>
          <w:tcPr>
            <w:tcW w:w="1087" w:type="dxa"/>
            <w:noWrap/>
          </w:tcPr>
          <w:p w14:paraId="020D0392" w14:textId="13ABF46D"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106</w:t>
            </w:r>
          </w:p>
        </w:tc>
      </w:tr>
      <w:tr w:rsidR="00B26B02" w:rsidRPr="00C94474" w14:paraId="2FFC1E33" w14:textId="77777777" w:rsidTr="00D67A4E">
        <w:trPr>
          <w:trHeight w:val="344"/>
        </w:trPr>
        <w:tc>
          <w:tcPr>
            <w:tcW w:w="1636" w:type="dxa"/>
            <w:noWrap/>
          </w:tcPr>
          <w:p w14:paraId="13FC3FF0" w14:textId="3F272127" w:rsidR="00B26B02" w:rsidRDefault="00D157FC" w:rsidP="000A4E22">
            <w:pPr>
              <w:suppressAutoHyphens w:val="0"/>
              <w:spacing w:before="0" w:line="240" w:lineRule="auto"/>
              <w:jc w:val="left"/>
              <w:rPr>
                <w:rFonts w:eastAsia="Times New Roman" w:cs="Arial"/>
                <w:color w:val="000000"/>
                <w:szCs w:val="20"/>
                <w:lang w:eastAsia="en-AU"/>
              </w:rPr>
            </w:pPr>
            <w:r>
              <w:rPr>
                <w:rFonts w:eastAsia="Times New Roman" w:cs="Arial"/>
                <w:color w:val="000000"/>
                <w:szCs w:val="20"/>
                <w:lang w:eastAsia="en-AU"/>
              </w:rPr>
              <w:t>Total (incl housing &amp; discretionary)</w:t>
            </w:r>
          </w:p>
        </w:tc>
        <w:tc>
          <w:tcPr>
            <w:tcW w:w="963" w:type="dxa"/>
            <w:noWrap/>
          </w:tcPr>
          <w:p w14:paraId="4F2D9AA0" w14:textId="23EE71B6" w:rsidR="00B26B02" w:rsidRPr="00D67A4E" w:rsidRDefault="00D157FC"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891</w:t>
            </w:r>
          </w:p>
        </w:tc>
        <w:tc>
          <w:tcPr>
            <w:tcW w:w="1156" w:type="dxa"/>
            <w:noWrap/>
          </w:tcPr>
          <w:p w14:paraId="2391CE0F" w14:textId="6DC1911B"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1,155</w:t>
            </w:r>
          </w:p>
        </w:tc>
        <w:tc>
          <w:tcPr>
            <w:tcW w:w="1190" w:type="dxa"/>
            <w:noWrap/>
          </w:tcPr>
          <w:p w14:paraId="2B9AD870" w14:textId="6EFE6AD4" w:rsidR="00B26B02" w:rsidRPr="00D67A4E" w:rsidRDefault="007E4ED0"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1,317</w:t>
            </w:r>
          </w:p>
        </w:tc>
        <w:tc>
          <w:tcPr>
            <w:tcW w:w="1194" w:type="dxa"/>
            <w:noWrap/>
          </w:tcPr>
          <w:p w14:paraId="6E6E02FF" w14:textId="24BA1A3A"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1,439</w:t>
            </w:r>
          </w:p>
        </w:tc>
        <w:tc>
          <w:tcPr>
            <w:tcW w:w="1024" w:type="dxa"/>
            <w:noWrap/>
          </w:tcPr>
          <w:p w14:paraId="0D75E754" w14:textId="358FD072"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1,154</w:t>
            </w:r>
          </w:p>
        </w:tc>
        <w:tc>
          <w:tcPr>
            <w:tcW w:w="1056" w:type="dxa"/>
            <w:noWrap/>
          </w:tcPr>
          <w:p w14:paraId="7F382A33" w14:textId="29B44128" w:rsidR="00B26B02" w:rsidRPr="00D67A4E" w:rsidRDefault="00996E46"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1,420</w:t>
            </w:r>
          </w:p>
        </w:tc>
        <w:tc>
          <w:tcPr>
            <w:tcW w:w="1087" w:type="dxa"/>
            <w:noWrap/>
          </w:tcPr>
          <w:p w14:paraId="28B7D892" w14:textId="46C22938" w:rsidR="00B26B02" w:rsidRPr="00D67A4E" w:rsidRDefault="002A2589" w:rsidP="000A4E22">
            <w:pPr>
              <w:suppressAutoHyphens w:val="0"/>
              <w:spacing w:before="0" w:line="240" w:lineRule="auto"/>
              <w:jc w:val="right"/>
              <w:rPr>
                <w:rFonts w:eastAsia="Times New Roman" w:cs="Arial"/>
                <w:color w:val="000000"/>
                <w:szCs w:val="20"/>
                <w:lang w:eastAsia="en-AU"/>
              </w:rPr>
            </w:pPr>
            <w:r>
              <w:rPr>
                <w:rFonts w:eastAsia="Times New Roman" w:cs="Arial"/>
                <w:color w:val="000000"/>
                <w:szCs w:val="20"/>
                <w:lang w:eastAsia="en-AU"/>
              </w:rPr>
              <w:t>1,599</w:t>
            </w:r>
          </w:p>
        </w:tc>
      </w:tr>
    </w:tbl>
    <w:p w14:paraId="5270806B" w14:textId="4384FACD" w:rsidR="00C133A4" w:rsidRDefault="00C133A4" w:rsidP="00D67A4E">
      <w:pPr>
        <w:pStyle w:val="FigureNotes"/>
      </w:pPr>
      <w:r>
        <w:lastRenderedPageBreak/>
        <w:t>Notes: Housing costs based on 40th percentile Sydney rents. Discretionary expenditures allow for alcohol consumption at healthy threshold, average tobacco expenditures, average gambling expenditures, a small allowance for eating out and a travel allowance.</w:t>
      </w:r>
      <w:r w:rsidR="00F83B66">
        <w:br/>
        <w:t>FT = working full-time</w:t>
      </w:r>
    </w:p>
    <w:p w14:paraId="327E3822" w14:textId="4F22F2C0" w:rsidR="00C63808" w:rsidRDefault="00C63808" w:rsidP="00D67A4E">
      <w:pPr>
        <w:pStyle w:val="FigureNotes"/>
      </w:pPr>
      <w:r>
        <w:t>PT = working part-time</w:t>
      </w:r>
    </w:p>
    <w:p w14:paraId="1EF07EB7" w14:textId="3CB92C05" w:rsidR="00972B07" w:rsidRDefault="0089109D" w:rsidP="00D67A4E">
      <w:pPr>
        <w:pStyle w:val="FigureNotes"/>
      </w:pPr>
      <w:r>
        <w:t xml:space="preserve">Source: Bedford </w:t>
      </w:r>
      <w:r w:rsidR="00E96786">
        <w:t>and Saunders</w:t>
      </w:r>
      <w:r>
        <w:t>, 2023</w:t>
      </w:r>
      <w:r w:rsidR="002A2589">
        <w:t>, p.45, Table 10</w:t>
      </w:r>
      <w:r w:rsidR="001843AB">
        <w:t>.</w:t>
      </w:r>
    </w:p>
    <w:p w14:paraId="581650D0" w14:textId="21767D74" w:rsidR="00EC45C3" w:rsidRPr="00A05717" w:rsidRDefault="002207CB" w:rsidP="00745A26">
      <w:pPr>
        <w:pStyle w:val="FigureCaption"/>
        <w:spacing w:before="360" w:line="360" w:lineRule="auto"/>
        <w:rPr>
          <w:color w:val="E7005E"/>
        </w:rPr>
      </w:pPr>
      <w:r w:rsidRPr="00A05717">
        <w:rPr>
          <w:color w:val="E7005E"/>
        </w:rPr>
        <w:t xml:space="preserve">Table </w:t>
      </w:r>
      <w:r w:rsidR="00D60238" w:rsidRPr="00A05717">
        <w:rPr>
          <w:color w:val="E7005E"/>
        </w:rPr>
        <w:t>6</w:t>
      </w:r>
      <w:r w:rsidR="00324513" w:rsidRPr="00A05717">
        <w:rPr>
          <w:color w:val="E7005E"/>
        </w:rPr>
        <w:t>.</w:t>
      </w:r>
      <w:r w:rsidRPr="00A05717">
        <w:rPr>
          <w:color w:val="E7005E"/>
        </w:rPr>
        <w:t xml:space="preserve"> Single parent household budgets by budget area ($ per week, excluding housing costs), estimated using Australian budget standards</w:t>
      </w:r>
    </w:p>
    <w:tbl>
      <w:tblPr>
        <w:tblStyle w:val="TableGrid"/>
        <w:tblW w:w="9056" w:type="dxa"/>
        <w:tblLook w:val="04A0" w:firstRow="1" w:lastRow="0" w:firstColumn="1" w:lastColumn="0" w:noHBand="0" w:noVBand="1"/>
      </w:tblPr>
      <w:tblGrid>
        <w:gridCol w:w="3544"/>
        <w:gridCol w:w="1418"/>
        <w:gridCol w:w="1559"/>
        <w:gridCol w:w="917"/>
        <w:gridCol w:w="1618"/>
      </w:tblGrid>
      <w:tr w:rsidR="00972B07" w:rsidRPr="00972B07" w14:paraId="77B549E5" w14:textId="77777777" w:rsidTr="00A05717">
        <w:trPr>
          <w:cnfStyle w:val="100000000000" w:firstRow="1" w:lastRow="0" w:firstColumn="0" w:lastColumn="0" w:oddVBand="0" w:evenVBand="0" w:oddHBand="0" w:evenHBand="0" w:firstRowFirstColumn="0" w:firstRowLastColumn="0" w:lastRowFirstColumn="0" w:lastRowLastColumn="0"/>
          <w:trHeight w:val="307"/>
        </w:trPr>
        <w:tc>
          <w:tcPr>
            <w:tcW w:w="3544" w:type="dxa"/>
            <w:noWrap/>
            <w:hideMark/>
          </w:tcPr>
          <w:p w14:paraId="1CEE2138" w14:textId="204353CC" w:rsidR="006F61ED" w:rsidRPr="001B7684" w:rsidRDefault="00972B07" w:rsidP="006F61ED">
            <w:pPr>
              <w:suppressAutoHyphens w:val="0"/>
              <w:spacing w:before="0" w:line="240" w:lineRule="auto"/>
              <w:jc w:val="left"/>
              <w:rPr>
                <w:rFonts w:eastAsia="Times New Roman" w:cs="Arial"/>
                <w:color w:val="auto"/>
                <w:szCs w:val="20"/>
                <w:lang w:eastAsia="en-AU"/>
              </w:rPr>
            </w:pPr>
            <w:r w:rsidRPr="001B7684">
              <w:rPr>
                <w:rFonts w:eastAsia="Times New Roman" w:cs="Arial"/>
                <w:color w:val="FFFFFF" w:themeColor="background1"/>
                <w:szCs w:val="20"/>
                <w:lang w:eastAsia="en-AU"/>
              </w:rPr>
              <w:t>Budget area</w:t>
            </w:r>
          </w:p>
        </w:tc>
        <w:tc>
          <w:tcPr>
            <w:tcW w:w="1418" w:type="dxa"/>
            <w:noWrap/>
            <w:hideMark/>
          </w:tcPr>
          <w:p w14:paraId="767D1411" w14:textId="77777777" w:rsidR="006F61ED" w:rsidRPr="001B7684" w:rsidRDefault="006F61ED" w:rsidP="006F61ED">
            <w:pPr>
              <w:suppressAutoHyphens w:val="0"/>
              <w:spacing w:before="0" w:line="240" w:lineRule="auto"/>
              <w:jc w:val="left"/>
              <w:rPr>
                <w:rFonts w:eastAsia="Times New Roman" w:cs="Arial"/>
                <w:color w:val="FFFFFF" w:themeColor="background1"/>
                <w:szCs w:val="20"/>
                <w:lang w:eastAsia="en-AU"/>
              </w:rPr>
            </w:pPr>
            <w:r w:rsidRPr="001B7684">
              <w:rPr>
                <w:rFonts w:eastAsia="Times New Roman" w:cs="Arial"/>
                <w:color w:val="FFFFFF" w:themeColor="background1"/>
                <w:szCs w:val="20"/>
                <w:lang w:eastAsia="en-AU"/>
              </w:rPr>
              <w:t>Single parent, FT 1 child</w:t>
            </w:r>
          </w:p>
        </w:tc>
        <w:tc>
          <w:tcPr>
            <w:tcW w:w="1559" w:type="dxa"/>
            <w:noWrap/>
            <w:hideMark/>
          </w:tcPr>
          <w:p w14:paraId="3777CF41" w14:textId="77777777" w:rsidR="006F61ED" w:rsidRPr="001B7684" w:rsidRDefault="006F61ED" w:rsidP="006F61ED">
            <w:pPr>
              <w:suppressAutoHyphens w:val="0"/>
              <w:spacing w:before="0" w:line="240" w:lineRule="auto"/>
              <w:jc w:val="left"/>
              <w:rPr>
                <w:rFonts w:eastAsia="Times New Roman" w:cs="Arial"/>
                <w:color w:val="FFFFFF" w:themeColor="background1"/>
                <w:szCs w:val="20"/>
                <w:lang w:eastAsia="en-AU"/>
              </w:rPr>
            </w:pPr>
            <w:r w:rsidRPr="001B7684">
              <w:rPr>
                <w:rFonts w:eastAsia="Times New Roman" w:cs="Arial"/>
                <w:color w:val="FFFFFF" w:themeColor="background1"/>
                <w:szCs w:val="20"/>
                <w:lang w:eastAsia="en-AU"/>
              </w:rPr>
              <w:t>Single parent, 1 child</w:t>
            </w:r>
          </w:p>
        </w:tc>
        <w:tc>
          <w:tcPr>
            <w:tcW w:w="917" w:type="dxa"/>
            <w:noWrap/>
            <w:hideMark/>
          </w:tcPr>
          <w:p w14:paraId="0A56CCDB" w14:textId="3ACFCFCD" w:rsidR="006F61ED" w:rsidRPr="001B7684" w:rsidRDefault="006F61ED" w:rsidP="006F61ED">
            <w:pPr>
              <w:suppressAutoHyphens w:val="0"/>
              <w:spacing w:before="0" w:line="240" w:lineRule="auto"/>
              <w:jc w:val="left"/>
              <w:rPr>
                <w:rFonts w:eastAsia="Times New Roman" w:cs="Arial"/>
                <w:color w:val="FFFFFF" w:themeColor="background1"/>
                <w:szCs w:val="20"/>
                <w:lang w:eastAsia="en-AU"/>
              </w:rPr>
            </w:pPr>
            <w:r w:rsidRPr="001B7684">
              <w:rPr>
                <w:rFonts w:eastAsia="Times New Roman" w:cs="Arial"/>
                <w:color w:val="FFFFFF" w:themeColor="background1"/>
                <w:szCs w:val="20"/>
                <w:lang w:eastAsia="en-AU"/>
              </w:rPr>
              <w:t>Single parent, FT,</w:t>
            </w:r>
            <w:r w:rsidR="00972B07" w:rsidRPr="00972B07">
              <w:rPr>
                <w:rFonts w:eastAsia="Times New Roman" w:cs="Arial"/>
                <w:color w:val="FFFFFF" w:themeColor="background1"/>
                <w:szCs w:val="20"/>
                <w:lang w:eastAsia="en-AU"/>
              </w:rPr>
              <w:br/>
            </w:r>
            <w:r w:rsidR="00972B07" w:rsidRPr="001B7684">
              <w:rPr>
                <w:rFonts w:eastAsia="Times New Roman" w:cs="Arial"/>
                <w:color w:val="FFFFFF" w:themeColor="background1"/>
                <w:szCs w:val="20"/>
                <w:lang w:eastAsia="en-AU"/>
              </w:rPr>
              <w:t>2 children</w:t>
            </w:r>
          </w:p>
        </w:tc>
        <w:tc>
          <w:tcPr>
            <w:tcW w:w="1618" w:type="dxa"/>
            <w:noWrap/>
            <w:hideMark/>
          </w:tcPr>
          <w:p w14:paraId="3EFD91AD" w14:textId="11E7933C" w:rsidR="006F61ED" w:rsidRPr="001B7684" w:rsidRDefault="006F61ED" w:rsidP="006F61ED">
            <w:pPr>
              <w:suppressAutoHyphens w:val="0"/>
              <w:spacing w:before="0" w:line="240" w:lineRule="auto"/>
              <w:jc w:val="left"/>
              <w:rPr>
                <w:rFonts w:eastAsia="Times New Roman" w:cs="Arial"/>
                <w:color w:val="FFFFFF" w:themeColor="background1"/>
                <w:szCs w:val="20"/>
                <w:lang w:eastAsia="en-AU"/>
              </w:rPr>
            </w:pPr>
            <w:r w:rsidRPr="001B7684">
              <w:rPr>
                <w:rFonts w:eastAsia="Times New Roman" w:cs="Arial"/>
                <w:color w:val="FFFFFF" w:themeColor="background1"/>
                <w:szCs w:val="20"/>
                <w:lang w:eastAsia="en-AU"/>
              </w:rPr>
              <w:t>Single parent, PT</w:t>
            </w:r>
            <w:r w:rsidR="00972B07" w:rsidRPr="001B7684">
              <w:rPr>
                <w:rFonts w:eastAsia="Times New Roman" w:cs="Arial"/>
                <w:color w:val="FFFFFF" w:themeColor="background1"/>
                <w:szCs w:val="20"/>
                <w:lang w:eastAsia="en-AU"/>
              </w:rPr>
              <w:br/>
              <w:t>2 children</w:t>
            </w:r>
          </w:p>
        </w:tc>
      </w:tr>
      <w:tr w:rsidR="00972B07" w:rsidRPr="00972B07" w14:paraId="31D27F83" w14:textId="77777777" w:rsidTr="00A05717">
        <w:trPr>
          <w:trHeight w:val="307"/>
        </w:trPr>
        <w:tc>
          <w:tcPr>
            <w:tcW w:w="3544" w:type="dxa"/>
            <w:noWrap/>
            <w:hideMark/>
          </w:tcPr>
          <w:p w14:paraId="2362B0E9"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Food</w:t>
            </w:r>
          </w:p>
        </w:tc>
        <w:tc>
          <w:tcPr>
            <w:tcW w:w="1418" w:type="dxa"/>
            <w:noWrap/>
            <w:hideMark/>
          </w:tcPr>
          <w:p w14:paraId="1C299E88"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120</w:t>
            </w:r>
          </w:p>
        </w:tc>
        <w:tc>
          <w:tcPr>
            <w:tcW w:w="1559" w:type="dxa"/>
            <w:noWrap/>
            <w:hideMark/>
          </w:tcPr>
          <w:p w14:paraId="03B3909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120</w:t>
            </w:r>
          </w:p>
        </w:tc>
        <w:tc>
          <w:tcPr>
            <w:tcW w:w="917" w:type="dxa"/>
            <w:noWrap/>
            <w:hideMark/>
          </w:tcPr>
          <w:p w14:paraId="1ABF9C46"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173</w:t>
            </w:r>
          </w:p>
        </w:tc>
        <w:tc>
          <w:tcPr>
            <w:tcW w:w="1618" w:type="dxa"/>
            <w:noWrap/>
            <w:hideMark/>
          </w:tcPr>
          <w:p w14:paraId="43DAD69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173</w:t>
            </w:r>
          </w:p>
        </w:tc>
      </w:tr>
      <w:tr w:rsidR="00972B07" w:rsidRPr="00972B07" w14:paraId="287291E2" w14:textId="77777777" w:rsidTr="00A05717">
        <w:trPr>
          <w:trHeight w:val="307"/>
        </w:trPr>
        <w:tc>
          <w:tcPr>
            <w:tcW w:w="3544" w:type="dxa"/>
            <w:noWrap/>
            <w:hideMark/>
          </w:tcPr>
          <w:p w14:paraId="5BC08837"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Personal Care</w:t>
            </w:r>
          </w:p>
        </w:tc>
        <w:tc>
          <w:tcPr>
            <w:tcW w:w="1418" w:type="dxa"/>
            <w:noWrap/>
            <w:hideMark/>
          </w:tcPr>
          <w:p w14:paraId="04367B1A"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26</w:t>
            </w:r>
          </w:p>
        </w:tc>
        <w:tc>
          <w:tcPr>
            <w:tcW w:w="1559" w:type="dxa"/>
            <w:noWrap/>
            <w:hideMark/>
          </w:tcPr>
          <w:p w14:paraId="391D551C"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25</w:t>
            </w:r>
          </w:p>
        </w:tc>
        <w:tc>
          <w:tcPr>
            <w:tcW w:w="917" w:type="dxa"/>
            <w:noWrap/>
            <w:hideMark/>
          </w:tcPr>
          <w:p w14:paraId="3556E3A5"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32</w:t>
            </w:r>
          </w:p>
        </w:tc>
        <w:tc>
          <w:tcPr>
            <w:tcW w:w="1618" w:type="dxa"/>
            <w:noWrap/>
            <w:hideMark/>
          </w:tcPr>
          <w:p w14:paraId="61680DE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32</w:t>
            </w:r>
          </w:p>
        </w:tc>
      </w:tr>
      <w:tr w:rsidR="00972B07" w:rsidRPr="00972B07" w14:paraId="238871B4" w14:textId="77777777" w:rsidTr="00A05717">
        <w:trPr>
          <w:trHeight w:val="307"/>
        </w:trPr>
        <w:tc>
          <w:tcPr>
            <w:tcW w:w="3544" w:type="dxa"/>
            <w:noWrap/>
            <w:hideMark/>
          </w:tcPr>
          <w:p w14:paraId="2B400B51"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Clothing &amp; Footwear</w:t>
            </w:r>
          </w:p>
        </w:tc>
        <w:tc>
          <w:tcPr>
            <w:tcW w:w="1418" w:type="dxa"/>
            <w:noWrap/>
            <w:hideMark/>
          </w:tcPr>
          <w:p w14:paraId="52FEDA19"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22</w:t>
            </w:r>
          </w:p>
        </w:tc>
        <w:tc>
          <w:tcPr>
            <w:tcW w:w="1559" w:type="dxa"/>
            <w:noWrap/>
            <w:hideMark/>
          </w:tcPr>
          <w:p w14:paraId="1601C95A"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22</w:t>
            </w:r>
          </w:p>
        </w:tc>
        <w:tc>
          <w:tcPr>
            <w:tcW w:w="917" w:type="dxa"/>
            <w:noWrap/>
            <w:hideMark/>
          </w:tcPr>
          <w:p w14:paraId="5D96341F"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32</w:t>
            </w:r>
          </w:p>
        </w:tc>
        <w:tc>
          <w:tcPr>
            <w:tcW w:w="1618" w:type="dxa"/>
            <w:noWrap/>
            <w:hideMark/>
          </w:tcPr>
          <w:p w14:paraId="665A6C7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32</w:t>
            </w:r>
          </w:p>
        </w:tc>
      </w:tr>
      <w:tr w:rsidR="00972B07" w:rsidRPr="00972B07" w14:paraId="3978FCF1" w14:textId="77777777" w:rsidTr="00A05717">
        <w:trPr>
          <w:trHeight w:val="307"/>
        </w:trPr>
        <w:tc>
          <w:tcPr>
            <w:tcW w:w="3544" w:type="dxa"/>
            <w:noWrap/>
            <w:hideMark/>
          </w:tcPr>
          <w:p w14:paraId="38BE429F"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Recreation</w:t>
            </w:r>
          </w:p>
        </w:tc>
        <w:tc>
          <w:tcPr>
            <w:tcW w:w="1418" w:type="dxa"/>
            <w:noWrap/>
            <w:hideMark/>
          </w:tcPr>
          <w:p w14:paraId="760EA473"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67</w:t>
            </w:r>
          </w:p>
        </w:tc>
        <w:tc>
          <w:tcPr>
            <w:tcW w:w="1559" w:type="dxa"/>
            <w:noWrap/>
            <w:hideMark/>
          </w:tcPr>
          <w:p w14:paraId="2AC7D60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67</w:t>
            </w:r>
          </w:p>
        </w:tc>
        <w:tc>
          <w:tcPr>
            <w:tcW w:w="917" w:type="dxa"/>
            <w:noWrap/>
            <w:hideMark/>
          </w:tcPr>
          <w:p w14:paraId="4F6B7761"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83</w:t>
            </w:r>
          </w:p>
        </w:tc>
        <w:tc>
          <w:tcPr>
            <w:tcW w:w="1618" w:type="dxa"/>
            <w:noWrap/>
            <w:hideMark/>
          </w:tcPr>
          <w:p w14:paraId="68CFA91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83</w:t>
            </w:r>
          </w:p>
        </w:tc>
      </w:tr>
      <w:tr w:rsidR="00972B07" w:rsidRPr="00972B07" w14:paraId="596B1A9A" w14:textId="77777777" w:rsidTr="00A05717">
        <w:trPr>
          <w:trHeight w:val="307"/>
        </w:trPr>
        <w:tc>
          <w:tcPr>
            <w:tcW w:w="3544" w:type="dxa"/>
            <w:noWrap/>
            <w:hideMark/>
          </w:tcPr>
          <w:p w14:paraId="0FE73C82"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Household goods and services</w:t>
            </w:r>
          </w:p>
        </w:tc>
        <w:tc>
          <w:tcPr>
            <w:tcW w:w="1418" w:type="dxa"/>
            <w:noWrap/>
            <w:hideMark/>
          </w:tcPr>
          <w:p w14:paraId="3508FFC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123</w:t>
            </w:r>
          </w:p>
        </w:tc>
        <w:tc>
          <w:tcPr>
            <w:tcW w:w="1559" w:type="dxa"/>
            <w:noWrap/>
            <w:hideMark/>
          </w:tcPr>
          <w:p w14:paraId="354A1FC5"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123</w:t>
            </w:r>
          </w:p>
        </w:tc>
        <w:tc>
          <w:tcPr>
            <w:tcW w:w="917" w:type="dxa"/>
            <w:noWrap/>
            <w:hideMark/>
          </w:tcPr>
          <w:p w14:paraId="77B1A4EA"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133</w:t>
            </w:r>
          </w:p>
        </w:tc>
        <w:tc>
          <w:tcPr>
            <w:tcW w:w="1618" w:type="dxa"/>
            <w:noWrap/>
            <w:hideMark/>
          </w:tcPr>
          <w:p w14:paraId="75108D1E"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133</w:t>
            </w:r>
          </w:p>
        </w:tc>
      </w:tr>
      <w:tr w:rsidR="00972B07" w:rsidRPr="00972B07" w14:paraId="15838D35" w14:textId="77777777" w:rsidTr="00A05717">
        <w:trPr>
          <w:trHeight w:val="307"/>
        </w:trPr>
        <w:tc>
          <w:tcPr>
            <w:tcW w:w="3544" w:type="dxa"/>
            <w:noWrap/>
            <w:hideMark/>
          </w:tcPr>
          <w:p w14:paraId="5DBC966F"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Health</w:t>
            </w:r>
          </w:p>
        </w:tc>
        <w:tc>
          <w:tcPr>
            <w:tcW w:w="1418" w:type="dxa"/>
            <w:noWrap/>
            <w:hideMark/>
          </w:tcPr>
          <w:p w14:paraId="26E40149"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22</w:t>
            </w:r>
          </w:p>
        </w:tc>
        <w:tc>
          <w:tcPr>
            <w:tcW w:w="1559" w:type="dxa"/>
            <w:noWrap/>
            <w:hideMark/>
          </w:tcPr>
          <w:p w14:paraId="141202A6"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22</w:t>
            </w:r>
          </w:p>
        </w:tc>
        <w:tc>
          <w:tcPr>
            <w:tcW w:w="917" w:type="dxa"/>
            <w:noWrap/>
            <w:hideMark/>
          </w:tcPr>
          <w:p w14:paraId="11FC457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33</w:t>
            </w:r>
          </w:p>
        </w:tc>
        <w:tc>
          <w:tcPr>
            <w:tcW w:w="1618" w:type="dxa"/>
            <w:noWrap/>
            <w:hideMark/>
          </w:tcPr>
          <w:p w14:paraId="1601B1B0"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33</w:t>
            </w:r>
          </w:p>
        </w:tc>
      </w:tr>
      <w:tr w:rsidR="00972B07" w:rsidRPr="00972B07" w14:paraId="3EC044A5" w14:textId="77777777" w:rsidTr="00A05717">
        <w:trPr>
          <w:trHeight w:val="307"/>
        </w:trPr>
        <w:tc>
          <w:tcPr>
            <w:tcW w:w="3544" w:type="dxa"/>
            <w:noWrap/>
            <w:hideMark/>
          </w:tcPr>
          <w:p w14:paraId="5AA039FF"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Transport</w:t>
            </w:r>
          </w:p>
        </w:tc>
        <w:tc>
          <w:tcPr>
            <w:tcW w:w="1418" w:type="dxa"/>
            <w:noWrap/>
            <w:hideMark/>
          </w:tcPr>
          <w:p w14:paraId="4FDDE505"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140</w:t>
            </w:r>
          </w:p>
        </w:tc>
        <w:tc>
          <w:tcPr>
            <w:tcW w:w="1559" w:type="dxa"/>
            <w:noWrap/>
            <w:hideMark/>
          </w:tcPr>
          <w:p w14:paraId="0EA7D48D"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138</w:t>
            </w:r>
          </w:p>
        </w:tc>
        <w:tc>
          <w:tcPr>
            <w:tcW w:w="917" w:type="dxa"/>
            <w:noWrap/>
            <w:hideMark/>
          </w:tcPr>
          <w:p w14:paraId="5791CFA2"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141</w:t>
            </w:r>
          </w:p>
        </w:tc>
        <w:tc>
          <w:tcPr>
            <w:tcW w:w="1618" w:type="dxa"/>
            <w:noWrap/>
            <w:hideMark/>
          </w:tcPr>
          <w:p w14:paraId="0FD74C5A"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141</w:t>
            </w:r>
          </w:p>
        </w:tc>
      </w:tr>
      <w:tr w:rsidR="00972B07" w:rsidRPr="00972B07" w14:paraId="6778025E" w14:textId="77777777" w:rsidTr="00A05717">
        <w:trPr>
          <w:trHeight w:val="307"/>
        </w:trPr>
        <w:tc>
          <w:tcPr>
            <w:tcW w:w="3544" w:type="dxa"/>
            <w:noWrap/>
            <w:hideMark/>
          </w:tcPr>
          <w:p w14:paraId="6DC9668F"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Education</w:t>
            </w:r>
          </w:p>
        </w:tc>
        <w:tc>
          <w:tcPr>
            <w:tcW w:w="1418" w:type="dxa"/>
            <w:noWrap/>
            <w:hideMark/>
          </w:tcPr>
          <w:p w14:paraId="6270722F"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61</w:t>
            </w:r>
          </w:p>
        </w:tc>
        <w:tc>
          <w:tcPr>
            <w:tcW w:w="1559" w:type="dxa"/>
            <w:noWrap/>
            <w:hideMark/>
          </w:tcPr>
          <w:p w14:paraId="0ED96731"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43</w:t>
            </w:r>
          </w:p>
        </w:tc>
        <w:tc>
          <w:tcPr>
            <w:tcW w:w="917" w:type="dxa"/>
            <w:noWrap/>
            <w:hideMark/>
          </w:tcPr>
          <w:p w14:paraId="45588EC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128</w:t>
            </w:r>
          </w:p>
        </w:tc>
        <w:tc>
          <w:tcPr>
            <w:tcW w:w="1618" w:type="dxa"/>
            <w:noWrap/>
            <w:hideMark/>
          </w:tcPr>
          <w:p w14:paraId="716A492C"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92</w:t>
            </w:r>
          </w:p>
        </w:tc>
      </w:tr>
      <w:tr w:rsidR="00972B07" w:rsidRPr="00972B07" w14:paraId="7CEAD40D" w14:textId="77777777" w:rsidTr="00A05717">
        <w:trPr>
          <w:trHeight w:val="307"/>
        </w:trPr>
        <w:tc>
          <w:tcPr>
            <w:tcW w:w="3544" w:type="dxa"/>
            <w:noWrap/>
            <w:hideMark/>
          </w:tcPr>
          <w:p w14:paraId="544E754A"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Total (excl housing &amp; discretionary)</w:t>
            </w:r>
          </w:p>
        </w:tc>
        <w:tc>
          <w:tcPr>
            <w:tcW w:w="1418" w:type="dxa"/>
            <w:noWrap/>
            <w:hideMark/>
          </w:tcPr>
          <w:p w14:paraId="60F68953"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579</w:t>
            </w:r>
          </w:p>
        </w:tc>
        <w:tc>
          <w:tcPr>
            <w:tcW w:w="1559" w:type="dxa"/>
            <w:noWrap/>
            <w:hideMark/>
          </w:tcPr>
          <w:p w14:paraId="6CFF0F24"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559</w:t>
            </w:r>
          </w:p>
        </w:tc>
        <w:tc>
          <w:tcPr>
            <w:tcW w:w="917" w:type="dxa"/>
            <w:noWrap/>
            <w:hideMark/>
          </w:tcPr>
          <w:p w14:paraId="0FF4B7B1"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756</w:t>
            </w:r>
          </w:p>
        </w:tc>
        <w:tc>
          <w:tcPr>
            <w:tcW w:w="1618" w:type="dxa"/>
            <w:noWrap/>
            <w:hideMark/>
          </w:tcPr>
          <w:p w14:paraId="3A37AC16"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719</w:t>
            </w:r>
          </w:p>
        </w:tc>
      </w:tr>
      <w:tr w:rsidR="00972B07" w:rsidRPr="00972B07" w14:paraId="00B6032F" w14:textId="77777777" w:rsidTr="00A05717">
        <w:trPr>
          <w:trHeight w:val="307"/>
        </w:trPr>
        <w:tc>
          <w:tcPr>
            <w:tcW w:w="3544" w:type="dxa"/>
            <w:noWrap/>
            <w:hideMark/>
          </w:tcPr>
          <w:p w14:paraId="77996CCD"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Housing</w:t>
            </w:r>
          </w:p>
        </w:tc>
        <w:tc>
          <w:tcPr>
            <w:tcW w:w="1418" w:type="dxa"/>
            <w:noWrap/>
            <w:hideMark/>
          </w:tcPr>
          <w:p w14:paraId="53EFE3F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461</w:t>
            </w:r>
          </w:p>
        </w:tc>
        <w:tc>
          <w:tcPr>
            <w:tcW w:w="1559" w:type="dxa"/>
            <w:noWrap/>
            <w:hideMark/>
          </w:tcPr>
          <w:p w14:paraId="35095F5C"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461</w:t>
            </w:r>
          </w:p>
        </w:tc>
        <w:tc>
          <w:tcPr>
            <w:tcW w:w="917" w:type="dxa"/>
            <w:noWrap/>
            <w:hideMark/>
          </w:tcPr>
          <w:p w14:paraId="439C2417"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495</w:t>
            </w:r>
          </w:p>
        </w:tc>
        <w:tc>
          <w:tcPr>
            <w:tcW w:w="1618" w:type="dxa"/>
            <w:noWrap/>
            <w:hideMark/>
          </w:tcPr>
          <w:p w14:paraId="58214DC3"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495</w:t>
            </w:r>
          </w:p>
        </w:tc>
      </w:tr>
      <w:tr w:rsidR="00972B07" w:rsidRPr="00972B07" w14:paraId="3B3B2390" w14:textId="77777777" w:rsidTr="00A05717">
        <w:trPr>
          <w:trHeight w:val="307"/>
        </w:trPr>
        <w:tc>
          <w:tcPr>
            <w:tcW w:w="3544" w:type="dxa"/>
            <w:noWrap/>
            <w:hideMark/>
          </w:tcPr>
          <w:p w14:paraId="73B23D07"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Discretionary</w:t>
            </w:r>
          </w:p>
        </w:tc>
        <w:tc>
          <w:tcPr>
            <w:tcW w:w="1418" w:type="dxa"/>
            <w:noWrap/>
            <w:hideMark/>
          </w:tcPr>
          <w:p w14:paraId="17DC1AB3"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96</w:t>
            </w:r>
          </w:p>
        </w:tc>
        <w:tc>
          <w:tcPr>
            <w:tcW w:w="1559" w:type="dxa"/>
            <w:noWrap/>
            <w:hideMark/>
          </w:tcPr>
          <w:p w14:paraId="71F900E4"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87</w:t>
            </w:r>
          </w:p>
        </w:tc>
        <w:tc>
          <w:tcPr>
            <w:tcW w:w="917" w:type="dxa"/>
            <w:noWrap/>
            <w:hideMark/>
          </w:tcPr>
          <w:p w14:paraId="78A4300C"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109</w:t>
            </w:r>
          </w:p>
        </w:tc>
        <w:tc>
          <w:tcPr>
            <w:tcW w:w="1618" w:type="dxa"/>
            <w:noWrap/>
            <w:hideMark/>
          </w:tcPr>
          <w:p w14:paraId="4DD43B10"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100</w:t>
            </w:r>
          </w:p>
        </w:tc>
      </w:tr>
      <w:tr w:rsidR="00972B07" w:rsidRPr="00972B07" w14:paraId="23358C78" w14:textId="77777777" w:rsidTr="00A05717">
        <w:trPr>
          <w:trHeight w:val="307"/>
        </w:trPr>
        <w:tc>
          <w:tcPr>
            <w:tcW w:w="3544" w:type="dxa"/>
            <w:noWrap/>
            <w:hideMark/>
          </w:tcPr>
          <w:p w14:paraId="042103FF" w14:textId="77777777" w:rsidR="006F61ED" w:rsidRPr="001B7684" w:rsidRDefault="006F61ED" w:rsidP="006F61ED">
            <w:pPr>
              <w:suppressAutoHyphens w:val="0"/>
              <w:spacing w:before="0" w:line="240" w:lineRule="auto"/>
              <w:jc w:val="left"/>
              <w:rPr>
                <w:rFonts w:eastAsia="Times New Roman" w:cs="Arial"/>
                <w:color w:val="000000"/>
                <w:szCs w:val="20"/>
                <w:lang w:eastAsia="en-AU"/>
              </w:rPr>
            </w:pPr>
            <w:r w:rsidRPr="001B7684">
              <w:rPr>
                <w:rFonts w:eastAsia="Times New Roman" w:cs="Arial"/>
                <w:color w:val="000000"/>
                <w:szCs w:val="20"/>
                <w:lang w:eastAsia="en-AU"/>
              </w:rPr>
              <w:t>Total (incl housing &amp; discretionary)</w:t>
            </w:r>
          </w:p>
        </w:tc>
        <w:tc>
          <w:tcPr>
            <w:tcW w:w="1418" w:type="dxa"/>
            <w:noWrap/>
            <w:hideMark/>
          </w:tcPr>
          <w:p w14:paraId="01A31041"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1,136</w:t>
            </w:r>
          </w:p>
        </w:tc>
        <w:tc>
          <w:tcPr>
            <w:tcW w:w="1559" w:type="dxa"/>
            <w:noWrap/>
            <w:hideMark/>
          </w:tcPr>
          <w:p w14:paraId="67B32D15"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1,107</w:t>
            </w:r>
          </w:p>
        </w:tc>
        <w:tc>
          <w:tcPr>
            <w:tcW w:w="917" w:type="dxa"/>
            <w:noWrap/>
            <w:hideMark/>
          </w:tcPr>
          <w:p w14:paraId="5FD5638F"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1,359</w:t>
            </w:r>
          </w:p>
        </w:tc>
        <w:tc>
          <w:tcPr>
            <w:tcW w:w="1618" w:type="dxa"/>
            <w:noWrap/>
            <w:hideMark/>
          </w:tcPr>
          <w:p w14:paraId="18593D98" w14:textId="77777777" w:rsidR="006F61ED" w:rsidRPr="001B7684" w:rsidRDefault="006F61ED" w:rsidP="006F61ED">
            <w:pPr>
              <w:suppressAutoHyphens w:val="0"/>
              <w:spacing w:before="0" w:line="240" w:lineRule="auto"/>
              <w:jc w:val="right"/>
              <w:rPr>
                <w:rFonts w:eastAsia="Times New Roman" w:cs="Arial"/>
                <w:color w:val="000000"/>
                <w:szCs w:val="20"/>
                <w:lang w:eastAsia="en-AU"/>
              </w:rPr>
            </w:pPr>
            <w:r w:rsidRPr="001B7684">
              <w:rPr>
                <w:rFonts w:eastAsia="Times New Roman" w:cs="Arial"/>
                <w:color w:val="000000"/>
                <w:szCs w:val="20"/>
                <w:lang w:eastAsia="en-AU"/>
              </w:rPr>
              <w:t>1,313</w:t>
            </w:r>
          </w:p>
        </w:tc>
      </w:tr>
    </w:tbl>
    <w:p w14:paraId="745BA2DC" w14:textId="77777777" w:rsidR="00E96786" w:rsidRDefault="00E96786" w:rsidP="00E96786">
      <w:pPr>
        <w:pStyle w:val="FigureNotes"/>
      </w:pPr>
      <w:r>
        <w:t>Notes: Housing costs based on 40th percentile Sydney rents. Discretionary expenditures allow for alcohol consumption at healthy threshold, average tobacco expenditures, average gambling expenditures, a small allowance for eating out and a travel allowance.</w:t>
      </w:r>
    </w:p>
    <w:p w14:paraId="22315E63" w14:textId="77777777" w:rsidR="00C63808" w:rsidRDefault="00C63808" w:rsidP="00C63808">
      <w:pPr>
        <w:pStyle w:val="FigureNotes"/>
      </w:pPr>
      <w:r>
        <w:t>FT = working full-time</w:t>
      </w:r>
    </w:p>
    <w:p w14:paraId="229A474C" w14:textId="60553BCB" w:rsidR="00C63808" w:rsidRDefault="00C63808" w:rsidP="00E96786">
      <w:pPr>
        <w:pStyle w:val="FigureNotes"/>
      </w:pPr>
      <w:r>
        <w:t>PT = working part-time</w:t>
      </w:r>
    </w:p>
    <w:p w14:paraId="3C84BB99" w14:textId="573AFF81" w:rsidR="006F61ED" w:rsidRDefault="00E96786" w:rsidP="00D67A4E">
      <w:pPr>
        <w:pStyle w:val="FigureNotes"/>
      </w:pPr>
      <w:r>
        <w:t>Source: Bedford and Saunders, 2023, p.45, Table 11</w:t>
      </w:r>
      <w:r w:rsidR="001B7684">
        <w:t>.</w:t>
      </w:r>
    </w:p>
    <w:p w14:paraId="2B674D2C" w14:textId="3E258148" w:rsidR="005E530B" w:rsidRPr="00A05717" w:rsidRDefault="005E530B" w:rsidP="00745A26">
      <w:pPr>
        <w:pStyle w:val="FigureCaption"/>
        <w:spacing w:before="380" w:line="360" w:lineRule="auto"/>
        <w:rPr>
          <w:color w:val="E7005E"/>
        </w:rPr>
      </w:pPr>
      <w:r w:rsidRPr="00A05717">
        <w:rPr>
          <w:color w:val="E7005E"/>
        </w:rPr>
        <w:t xml:space="preserve">Table </w:t>
      </w:r>
      <w:r w:rsidR="00D60238" w:rsidRPr="00A05717">
        <w:rPr>
          <w:color w:val="E7005E"/>
        </w:rPr>
        <w:t>7</w:t>
      </w:r>
      <w:r w:rsidRPr="00A05717">
        <w:rPr>
          <w:color w:val="E7005E"/>
        </w:rPr>
        <w:t xml:space="preserve">. Equivalence scales estimated by Dudel, </w:t>
      </w:r>
      <w:proofErr w:type="spellStart"/>
      <w:r w:rsidRPr="00A05717">
        <w:rPr>
          <w:color w:val="E7005E"/>
        </w:rPr>
        <w:t>Garbuszus</w:t>
      </w:r>
      <w:proofErr w:type="spellEnd"/>
      <w:r w:rsidRPr="00A05717">
        <w:rPr>
          <w:color w:val="E7005E"/>
        </w:rPr>
        <w:t xml:space="preserve"> and Schmied (202</w:t>
      </w:r>
      <w:r w:rsidR="00A55351" w:rsidRPr="00A05717">
        <w:rPr>
          <w:color w:val="E7005E"/>
        </w:rPr>
        <w:t>1</w:t>
      </w:r>
      <w:r w:rsidRPr="00A05717">
        <w:rPr>
          <w:color w:val="E7005E"/>
        </w:rPr>
        <w:t>) using modern expenditure and demand systems</w:t>
      </w:r>
    </w:p>
    <w:tbl>
      <w:tblPr>
        <w:tblStyle w:val="TableGrid"/>
        <w:tblW w:w="8821" w:type="dxa"/>
        <w:tblLook w:val="04A0" w:firstRow="1" w:lastRow="0" w:firstColumn="1" w:lastColumn="0" w:noHBand="0" w:noVBand="1"/>
      </w:tblPr>
      <w:tblGrid>
        <w:gridCol w:w="1831"/>
        <w:gridCol w:w="844"/>
        <w:gridCol w:w="1535"/>
        <w:gridCol w:w="1535"/>
        <w:gridCol w:w="1535"/>
        <w:gridCol w:w="1541"/>
      </w:tblGrid>
      <w:tr w:rsidR="005E530B" w:rsidRPr="009C26F1" w14:paraId="18B65CA9" w14:textId="77777777" w:rsidTr="00642542">
        <w:trPr>
          <w:cnfStyle w:val="100000000000" w:firstRow="1" w:lastRow="0" w:firstColumn="0" w:lastColumn="0" w:oddVBand="0" w:evenVBand="0" w:oddHBand="0" w:evenHBand="0" w:firstRowFirstColumn="0" w:firstRowLastColumn="0" w:lastRowFirstColumn="0" w:lastRowLastColumn="0"/>
          <w:trHeight w:val="323"/>
        </w:trPr>
        <w:tc>
          <w:tcPr>
            <w:tcW w:w="1831" w:type="dxa"/>
            <w:hideMark/>
          </w:tcPr>
          <w:p w14:paraId="350865E1"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Approach</w:t>
            </w:r>
          </w:p>
        </w:tc>
        <w:tc>
          <w:tcPr>
            <w:tcW w:w="844" w:type="dxa"/>
            <w:noWrap/>
            <w:hideMark/>
          </w:tcPr>
          <w:p w14:paraId="1E393ADD"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Single adult</w:t>
            </w:r>
          </w:p>
        </w:tc>
        <w:tc>
          <w:tcPr>
            <w:tcW w:w="1535" w:type="dxa"/>
            <w:hideMark/>
          </w:tcPr>
          <w:p w14:paraId="1493E6C3"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Couple, no children</w:t>
            </w:r>
          </w:p>
        </w:tc>
        <w:tc>
          <w:tcPr>
            <w:tcW w:w="1535" w:type="dxa"/>
            <w:hideMark/>
          </w:tcPr>
          <w:p w14:paraId="09087C58"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Two adults, one child</w:t>
            </w:r>
          </w:p>
        </w:tc>
        <w:tc>
          <w:tcPr>
            <w:tcW w:w="1535" w:type="dxa"/>
            <w:hideMark/>
          </w:tcPr>
          <w:p w14:paraId="2596E39C"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Two adults, two children</w:t>
            </w:r>
          </w:p>
        </w:tc>
        <w:tc>
          <w:tcPr>
            <w:tcW w:w="1538" w:type="dxa"/>
            <w:hideMark/>
          </w:tcPr>
          <w:p w14:paraId="28A68E85" w14:textId="77777777" w:rsidR="005E530B" w:rsidRPr="009C26F1" w:rsidRDefault="005E530B" w:rsidP="001812F9">
            <w:pPr>
              <w:suppressAutoHyphens w:val="0"/>
              <w:spacing w:before="0" w:line="360" w:lineRule="auto"/>
              <w:jc w:val="left"/>
              <w:rPr>
                <w:rFonts w:eastAsia="Times New Roman" w:cs="Arial"/>
                <w:b/>
                <w:bCs/>
                <w:color w:val="FFFFFF" w:themeColor="background1"/>
                <w:szCs w:val="20"/>
                <w:lang w:eastAsia="en-AU"/>
              </w:rPr>
            </w:pPr>
            <w:r w:rsidRPr="009C26F1">
              <w:rPr>
                <w:rFonts w:eastAsia="Times New Roman" w:cs="Arial"/>
                <w:b/>
                <w:bCs/>
                <w:color w:val="FFFFFF" w:themeColor="background1"/>
                <w:szCs w:val="20"/>
                <w:lang w:eastAsia="en-AU"/>
              </w:rPr>
              <w:t>Two adults, three children</w:t>
            </w:r>
          </w:p>
        </w:tc>
      </w:tr>
      <w:tr w:rsidR="005E530B" w:rsidRPr="009C26F1" w14:paraId="044E0E54" w14:textId="77777777" w:rsidTr="00642542">
        <w:trPr>
          <w:trHeight w:val="323"/>
        </w:trPr>
        <w:tc>
          <w:tcPr>
            <w:tcW w:w="8821" w:type="dxa"/>
            <w:gridSpan w:val="6"/>
            <w:shd w:val="clear" w:color="auto" w:fill="BFBFBF" w:themeFill="background1" w:themeFillShade="BF"/>
            <w:hideMark/>
          </w:tcPr>
          <w:p w14:paraId="270D78CB" w14:textId="77777777" w:rsidR="005E530B" w:rsidRPr="00071C6C" w:rsidRDefault="005E530B" w:rsidP="001812F9">
            <w:pPr>
              <w:shd w:val="clear" w:color="auto" w:fill="BFBFBF" w:themeFill="background1" w:themeFillShade="BF"/>
              <w:suppressAutoHyphens w:val="0"/>
              <w:spacing w:line="360" w:lineRule="auto"/>
              <w:jc w:val="center"/>
              <w:rPr>
                <w:rFonts w:eastAsia="Times New Roman" w:cs="Arial"/>
                <w:i/>
                <w:iCs/>
                <w:color w:val="000000"/>
                <w:szCs w:val="20"/>
                <w:lang w:eastAsia="en-AU"/>
              </w:rPr>
            </w:pPr>
            <w:r w:rsidRPr="009C26F1">
              <w:rPr>
                <w:rFonts w:eastAsia="Times New Roman" w:cs="Arial"/>
                <w:i/>
                <w:iCs/>
                <w:color w:val="000000"/>
                <w:szCs w:val="20"/>
                <w:lang w:eastAsia="en-AU"/>
              </w:rPr>
              <w:t>Engel’s approach</w:t>
            </w:r>
          </w:p>
          <w:p w14:paraId="4ADFBC77" w14:textId="77777777" w:rsidR="005E530B" w:rsidRPr="009C26F1" w:rsidRDefault="005E530B" w:rsidP="001812F9">
            <w:pPr>
              <w:suppressAutoHyphens w:val="0"/>
              <w:spacing w:before="0" w:line="360" w:lineRule="auto"/>
              <w:jc w:val="center"/>
              <w:rPr>
                <w:rFonts w:eastAsia="Times New Roman" w:cs="Arial"/>
                <w:color w:val="000000"/>
                <w:szCs w:val="20"/>
                <w:lang w:eastAsia="en-AU"/>
              </w:rPr>
            </w:pPr>
          </w:p>
        </w:tc>
      </w:tr>
      <w:tr w:rsidR="005E530B" w:rsidRPr="009C26F1" w14:paraId="0A8CED20" w14:textId="77777777" w:rsidTr="00642542">
        <w:trPr>
          <w:trHeight w:val="323"/>
        </w:trPr>
        <w:tc>
          <w:tcPr>
            <w:tcW w:w="1831" w:type="dxa"/>
            <w:hideMark/>
          </w:tcPr>
          <w:p w14:paraId="418871F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Engel (food)</w:t>
            </w:r>
          </w:p>
        </w:tc>
        <w:tc>
          <w:tcPr>
            <w:tcW w:w="844" w:type="dxa"/>
            <w:noWrap/>
            <w:hideMark/>
          </w:tcPr>
          <w:p w14:paraId="2A8945E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6F4BB70F"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1.72 </w:t>
            </w:r>
          </w:p>
        </w:tc>
        <w:tc>
          <w:tcPr>
            <w:tcW w:w="1535" w:type="dxa"/>
            <w:noWrap/>
            <w:hideMark/>
          </w:tcPr>
          <w:p w14:paraId="46BABC3A"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2.66</w:t>
            </w:r>
          </w:p>
        </w:tc>
        <w:tc>
          <w:tcPr>
            <w:tcW w:w="1535" w:type="dxa"/>
            <w:noWrap/>
            <w:hideMark/>
          </w:tcPr>
          <w:p w14:paraId="04D3C7A1"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3.63 </w:t>
            </w:r>
          </w:p>
        </w:tc>
        <w:tc>
          <w:tcPr>
            <w:tcW w:w="1538" w:type="dxa"/>
            <w:noWrap/>
            <w:hideMark/>
          </w:tcPr>
          <w:p w14:paraId="4B9E14B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4.67 </w:t>
            </w:r>
          </w:p>
        </w:tc>
      </w:tr>
      <w:tr w:rsidR="005E530B" w:rsidRPr="009C26F1" w14:paraId="780B20DA" w14:textId="77777777" w:rsidTr="00642542">
        <w:trPr>
          <w:trHeight w:val="323"/>
        </w:trPr>
        <w:tc>
          <w:tcPr>
            <w:tcW w:w="1831" w:type="dxa"/>
            <w:hideMark/>
          </w:tcPr>
          <w:p w14:paraId="5B718CC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Rothbarth (adult</w:t>
            </w:r>
            <w:r>
              <w:rPr>
                <w:rFonts w:eastAsia="Times New Roman" w:cs="Arial"/>
                <w:color w:val="000000"/>
                <w:szCs w:val="20"/>
                <w:lang w:eastAsia="en-AU"/>
              </w:rPr>
              <w:t xml:space="preserve"> </w:t>
            </w:r>
            <w:r w:rsidRPr="009C26F1">
              <w:rPr>
                <w:rFonts w:eastAsia="Times New Roman" w:cs="Arial"/>
                <w:color w:val="000000"/>
                <w:szCs w:val="20"/>
                <w:lang w:eastAsia="en-AU"/>
              </w:rPr>
              <w:t>goods)</w:t>
            </w:r>
          </w:p>
        </w:tc>
        <w:tc>
          <w:tcPr>
            <w:tcW w:w="844" w:type="dxa"/>
            <w:noWrap/>
            <w:hideMark/>
          </w:tcPr>
          <w:p w14:paraId="2E32E2A6"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w:t>
            </w:r>
          </w:p>
        </w:tc>
        <w:tc>
          <w:tcPr>
            <w:tcW w:w="1535" w:type="dxa"/>
            <w:noWrap/>
            <w:hideMark/>
          </w:tcPr>
          <w:p w14:paraId="712DB5C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01A4357F"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1.29 </w:t>
            </w:r>
          </w:p>
        </w:tc>
        <w:tc>
          <w:tcPr>
            <w:tcW w:w="1535" w:type="dxa"/>
            <w:noWrap/>
            <w:hideMark/>
          </w:tcPr>
          <w:p w14:paraId="13A4E94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1.23 </w:t>
            </w:r>
          </w:p>
        </w:tc>
        <w:tc>
          <w:tcPr>
            <w:tcW w:w="1538" w:type="dxa"/>
            <w:noWrap/>
            <w:hideMark/>
          </w:tcPr>
          <w:p w14:paraId="3896461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1.22 </w:t>
            </w:r>
          </w:p>
        </w:tc>
      </w:tr>
      <w:tr w:rsidR="005E530B" w:rsidRPr="009C26F1" w14:paraId="16EA96FA" w14:textId="77777777" w:rsidTr="00642542">
        <w:trPr>
          <w:trHeight w:val="323"/>
        </w:trPr>
        <w:tc>
          <w:tcPr>
            <w:tcW w:w="8821" w:type="dxa"/>
            <w:gridSpan w:val="6"/>
            <w:shd w:val="clear" w:color="auto" w:fill="BFBFBF" w:themeFill="background1" w:themeFillShade="BF"/>
            <w:hideMark/>
          </w:tcPr>
          <w:p w14:paraId="5DF83A8A" w14:textId="77777777" w:rsidR="005E530B" w:rsidRPr="009C26F1" w:rsidRDefault="005E530B" w:rsidP="001812F9">
            <w:pPr>
              <w:suppressAutoHyphens w:val="0"/>
              <w:spacing w:line="360" w:lineRule="auto"/>
              <w:jc w:val="center"/>
              <w:rPr>
                <w:rFonts w:eastAsia="Times New Roman" w:cs="Arial"/>
                <w:color w:val="000000"/>
                <w:szCs w:val="20"/>
                <w:lang w:eastAsia="en-AU"/>
              </w:rPr>
            </w:pPr>
            <w:r w:rsidRPr="009C26F1">
              <w:rPr>
                <w:rFonts w:eastAsia="Times New Roman" w:cs="Arial"/>
                <w:i/>
                <w:iCs/>
                <w:color w:val="000000"/>
                <w:szCs w:val="20"/>
                <w:lang w:eastAsia="en-AU"/>
              </w:rPr>
              <w:t>Expenditure systems</w:t>
            </w:r>
          </w:p>
        </w:tc>
      </w:tr>
      <w:tr w:rsidR="005E530B" w:rsidRPr="009C26F1" w14:paraId="43BFA0FC" w14:textId="77777777" w:rsidTr="00642542">
        <w:trPr>
          <w:trHeight w:val="323"/>
        </w:trPr>
        <w:tc>
          <w:tcPr>
            <w:tcW w:w="1831" w:type="dxa"/>
            <w:hideMark/>
          </w:tcPr>
          <w:p w14:paraId="40AEBC4D"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Extended linear</w:t>
            </w:r>
          </w:p>
        </w:tc>
        <w:tc>
          <w:tcPr>
            <w:tcW w:w="844" w:type="dxa"/>
            <w:noWrap/>
            <w:hideMark/>
          </w:tcPr>
          <w:p w14:paraId="0A7ABAC1"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215B3D5B"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1.71 </w:t>
            </w:r>
          </w:p>
        </w:tc>
        <w:tc>
          <w:tcPr>
            <w:tcW w:w="1535" w:type="dxa"/>
            <w:noWrap/>
            <w:hideMark/>
          </w:tcPr>
          <w:p w14:paraId="444D8B3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1.79 </w:t>
            </w:r>
          </w:p>
        </w:tc>
        <w:tc>
          <w:tcPr>
            <w:tcW w:w="1535" w:type="dxa"/>
            <w:noWrap/>
            <w:hideMark/>
          </w:tcPr>
          <w:p w14:paraId="6DE2E84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1.99 </w:t>
            </w:r>
          </w:p>
        </w:tc>
        <w:tc>
          <w:tcPr>
            <w:tcW w:w="1538" w:type="dxa"/>
            <w:noWrap/>
            <w:hideMark/>
          </w:tcPr>
          <w:p w14:paraId="34F55B62"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2.24 </w:t>
            </w:r>
          </w:p>
        </w:tc>
      </w:tr>
      <w:tr w:rsidR="005E530B" w:rsidRPr="009C26F1" w14:paraId="472D8EE9" w14:textId="77777777" w:rsidTr="00642542">
        <w:trPr>
          <w:trHeight w:val="323"/>
        </w:trPr>
        <w:tc>
          <w:tcPr>
            <w:tcW w:w="1831" w:type="dxa"/>
            <w:hideMark/>
          </w:tcPr>
          <w:p w14:paraId="298FA9FB"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Quadratic</w:t>
            </w:r>
          </w:p>
        </w:tc>
        <w:tc>
          <w:tcPr>
            <w:tcW w:w="844" w:type="dxa"/>
            <w:noWrap/>
            <w:hideMark/>
          </w:tcPr>
          <w:p w14:paraId="0778D22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412234E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1.90</w:t>
            </w:r>
          </w:p>
        </w:tc>
        <w:tc>
          <w:tcPr>
            <w:tcW w:w="1535" w:type="dxa"/>
            <w:noWrap/>
            <w:hideMark/>
          </w:tcPr>
          <w:p w14:paraId="5855220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2.03</w:t>
            </w:r>
          </w:p>
        </w:tc>
        <w:tc>
          <w:tcPr>
            <w:tcW w:w="1535" w:type="dxa"/>
            <w:noWrap/>
            <w:hideMark/>
          </w:tcPr>
          <w:p w14:paraId="5506DCF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1.97</w:t>
            </w:r>
          </w:p>
        </w:tc>
        <w:tc>
          <w:tcPr>
            <w:tcW w:w="1538" w:type="dxa"/>
            <w:noWrap/>
            <w:hideMark/>
          </w:tcPr>
          <w:p w14:paraId="03574CE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2.17</w:t>
            </w:r>
          </w:p>
        </w:tc>
      </w:tr>
      <w:tr w:rsidR="005E530B" w:rsidRPr="009C26F1" w14:paraId="07AAEA0D" w14:textId="77777777" w:rsidTr="00642542">
        <w:trPr>
          <w:trHeight w:val="323"/>
        </w:trPr>
        <w:tc>
          <w:tcPr>
            <w:tcW w:w="8821" w:type="dxa"/>
            <w:gridSpan w:val="6"/>
            <w:shd w:val="clear" w:color="auto" w:fill="BFBFBF" w:themeFill="background1" w:themeFillShade="BF"/>
            <w:hideMark/>
          </w:tcPr>
          <w:p w14:paraId="39D05072" w14:textId="77777777" w:rsidR="005E530B" w:rsidRPr="009C26F1" w:rsidRDefault="005E530B" w:rsidP="001812F9">
            <w:pPr>
              <w:suppressAutoHyphens w:val="0"/>
              <w:spacing w:line="360" w:lineRule="auto"/>
              <w:jc w:val="center"/>
              <w:rPr>
                <w:rFonts w:eastAsia="Times New Roman" w:cs="Arial"/>
                <w:i/>
                <w:iCs/>
                <w:color w:val="000000"/>
                <w:szCs w:val="20"/>
                <w:lang w:eastAsia="en-AU"/>
              </w:rPr>
            </w:pPr>
            <w:r w:rsidRPr="009C26F1">
              <w:rPr>
                <w:rFonts w:eastAsia="Times New Roman" w:cs="Arial"/>
                <w:i/>
                <w:iCs/>
                <w:color w:val="000000"/>
                <w:szCs w:val="20"/>
                <w:lang w:eastAsia="en-AU"/>
              </w:rPr>
              <w:t>Demand systems </w:t>
            </w:r>
          </w:p>
        </w:tc>
      </w:tr>
      <w:tr w:rsidR="005E530B" w:rsidRPr="009C26F1" w14:paraId="4EEAE35F" w14:textId="77777777" w:rsidTr="00642542">
        <w:trPr>
          <w:trHeight w:val="323"/>
        </w:trPr>
        <w:tc>
          <w:tcPr>
            <w:tcW w:w="1831" w:type="dxa"/>
            <w:hideMark/>
          </w:tcPr>
          <w:p w14:paraId="42E1B6E2"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lastRenderedPageBreak/>
              <w:t>Almost ideal</w:t>
            </w:r>
          </w:p>
        </w:tc>
        <w:tc>
          <w:tcPr>
            <w:tcW w:w="844" w:type="dxa"/>
            <w:noWrap/>
            <w:hideMark/>
          </w:tcPr>
          <w:p w14:paraId="6831E4D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5D25567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1.20 </w:t>
            </w:r>
          </w:p>
        </w:tc>
        <w:tc>
          <w:tcPr>
            <w:tcW w:w="1535" w:type="dxa"/>
            <w:noWrap/>
            <w:hideMark/>
          </w:tcPr>
          <w:p w14:paraId="7C73C456"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1.25 </w:t>
            </w:r>
          </w:p>
        </w:tc>
        <w:tc>
          <w:tcPr>
            <w:tcW w:w="1535" w:type="dxa"/>
            <w:noWrap/>
            <w:hideMark/>
          </w:tcPr>
          <w:p w14:paraId="004009A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1.31 </w:t>
            </w:r>
          </w:p>
        </w:tc>
        <w:tc>
          <w:tcPr>
            <w:tcW w:w="1538" w:type="dxa"/>
            <w:noWrap/>
            <w:hideMark/>
          </w:tcPr>
          <w:p w14:paraId="33BF59F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1.39 </w:t>
            </w:r>
          </w:p>
        </w:tc>
      </w:tr>
      <w:tr w:rsidR="005E530B" w:rsidRPr="009C26F1" w14:paraId="76AD8351" w14:textId="77777777" w:rsidTr="00642542">
        <w:trPr>
          <w:trHeight w:val="323"/>
        </w:trPr>
        <w:tc>
          <w:tcPr>
            <w:tcW w:w="1831" w:type="dxa"/>
            <w:hideMark/>
          </w:tcPr>
          <w:p w14:paraId="242193C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Quadratic almost ideal</w:t>
            </w:r>
          </w:p>
        </w:tc>
        <w:tc>
          <w:tcPr>
            <w:tcW w:w="844" w:type="dxa"/>
            <w:noWrap/>
            <w:hideMark/>
          </w:tcPr>
          <w:p w14:paraId="372FBC3F"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3D558D2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1.58</w:t>
            </w:r>
          </w:p>
        </w:tc>
        <w:tc>
          <w:tcPr>
            <w:tcW w:w="1535" w:type="dxa"/>
            <w:noWrap/>
            <w:hideMark/>
          </w:tcPr>
          <w:p w14:paraId="16143FC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1.76 </w:t>
            </w:r>
          </w:p>
        </w:tc>
        <w:tc>
          <w:tcPr>
            <w:tcW w:w="1535" w:type="dxa"/>
            <w:noWrap/>
            <w:hideMark/>
          </w:tcPr>
          <w:p w14:paraId="21E044E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2.11 </w:t>
            </w:r>
          </w:p>
        </w:tc>
        <w:tc>
          <w:tcPr>
            <w:tcW w:w="1538" w:type="dxa"/>
            <w:noWrap/>
            <w:hideMark/>
          </w:tcPr>
          <w:p w14:paraId="33C06348"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2.26 </w:t>
            </w:r>
          </w:p>
        </w:tc>
      </w:tr>
      <w:tr w:rsidR="005E530B" w:rsidRPr="009C26F1" w14:paraId="6AA83A52" w14:textId="77777777" w:rsidTr="00642542">
        <w:trPr>
          <w:trHeight w:val="323"/>
        </w:trPr>
        <w:tc>
          <w:tcPr>
            <w:tcW w:w="8821" w:type="dxa"/>
            <w:gridSpan w:val="6"/>
            <w:shd w:val="clear" w:color="auto" w:fill="BFBFBF" w:themeFill="background1" w:themeFillShade="BF"/>
            <w:hideMark/>
          </w:tcPr>
          <w:p w14:paraId="7993A32C" w14:textId="77777777" w:rsidR="005E530B" w:rsidRPr="009F3B42" w:rsidRDefault="005E530B" w:rsidP="001812F9">
            <w:pPr>
              <w:shd w:val="clear" w:color="auto" w:fill="BFBFBF" w:themeFill="background1" w:themeFillShade="BF"/>
              <w:suppressAutoHyphens w:val="0"/>
              <w:spacing w:line="360" w:lineRule="auto"/>
              <w:jc w:val="center"/>
              <w:rPr>
                <w:rFonts w:eastAsia="Times New Roman" w:cs="Arial"/>
                <w:i/>
                <w:iCs/>
                <w:color w:val="000000"/>
                <w:szCs w:val="20"/>
                <w:lang w:eastAsia="en-AU"/>
              </w:rPr>
            </w:pPr>
            <w:r w:rsidRPr="009C26F1">
              <w:rPr>
                <w:rFonts w:eastAsia="Times New Roman" w:cs="Arial"/>
                <w:i/>
                <w:iCs/>
                <w:color w:val="000000"/>
                <w:szCs w:val="20"/>
                <w:lang w:eastAsia="en-AU"/>
              </w:rPr>
              <w:t>Semiparametric</w:t>
            </w:r>
          </w:p>
          <w:p w14:paraId="2FE7CCCA" w14:textId="77777777" w:rsidR="005E530B" w:rsidRPr="009C26F1" w:rsidRDefault="005E530B" w:rsidP="001812F9">
            <w:pPr>
              <w:suppressAutoHyphens w:val="0"/>
              <w:spacing w:before="0" w:line="360" w:lineRule="auto"/>
              <w:jc w:val="center"/>
              <w:rPr>
                <w:rFonts w:eastAsia="Times New Roman" w:cs="Arial"/>
                <w:color w:val="000000"/>
                <w:szCs w:val="20"/>
                <w:lang w:eastAsia="en-AU"/>
              </w:rPr>
            </w:pPr>
          </w:p>
        </w:tc>
      </w:tr>
      <w:tr w:rsidR="005E530B" w:rsidRPr="009C26F1" w14:paraId="3CCD44D2" w14:textId="77777777" w:rsidTr="00642542">
        <w:trPr>
          <w:trHeight w:val="323"/>
        </w:trPr>
        <w:tc>
          <w:tcPr>
            <w:tcW w:w="1831" w:type="dxa"/>
            <w:hideMark/>
          </w:tcPr>
          <w:p w14:paraId="52D24CEE"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Original loss function</w:t>
            </w:r>
          </w:p>
        </w:tc>
        <w:tc>
          <w:tcPr>
            <w:tcW w:w="844" w:type="dxa"/>
            <w:noWrap/>
            <w:hideMark/>
          </w:tcPr>
          <w:p w14:paraId="68DE2AF0"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2E222948"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1.22 </w:t>
            </w:r>
          </w:p>
        </w:tc>
        <w:tc>
          <w:tcPr>
            <w:tcW w:w="1535" w:type="dxa"/>
            <w:noWrap/>
            <w:hideMark/>
          </w:tcPr>
          <w:p w14:paraId="6F967ECD"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2.40 </w:t>
            </w:r>
          </w:p>
        </w:tc>
        <w:tc>
          <w:tcPr>
            <w:tcW w:w="1535" w:type="dxa"/>
            <w:noWrap/>
            <w:hideMark/>
          </w:tcPr>
          <w:p w14:paraId="7B8B81E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2.10 </w:t>
            </w:r>
          </w:p>
        </w:tc>
        <w:tc>
          <w:tcPr>
            <w:tcW w:w="1538" w:type="dxa"/>
            <w:noWrap/>
            <w:hideMark/>
          </w:tcPr>
          <w:p w14:paraId="32031F1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1.16 </w:t>
            </w:r>
          </w:p>
        </w:tc>
      </w:tr>
      <w:tr w:rsidR="005E530B" w:rsidRPr="009C26F1" w14:paraId="3C9C3914" w14:textId="77777777" w:rsidTr="00642542">
        <w:trPr>
          <w:trHeight w:val="323"/>
        </w:trPr>
        <w:tc>
          <w:tcPr>
            <w:tcW w:w="1831" w:type="dxa"/>
            <w:hideMark/>
          </w:tcPr>
          <w:p w14:paraId="29D6095A"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Modified loss function</w:t>
            </w:r>
          </w:p>
        </w:tc>
        <w:tc>
          <w:tcPr>
            <w:tcW w:w="844" w:type="dxa"/>
            <w:noWrap/>
            <w:hideMark/>
          </w:tcPr>
          <w:p w14:paraId="13318C1A"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6ED8831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1.76 </w:t>
            </w:r>
          </w:p>
        </w:tc>
        <w:tc>
          <w:tcPr>
            <w:tcW w:w="1535" w:type="dxa"/>
            <w:noWrap/>
            <w:hideMark/>
          </w:tcPr>
          <w:p w14:paraId="03299AF8"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1.62 </w:t>
            </w:r>
          </w:p>
        </w:tc>
        <w:tc>
          <w:tcPr>
            <w:tcW w:w="1535" w:type="dxa"/>
            <w:noWrap/>
            <w:hideMark/>
          </w:tcPr>
          <w:p w14:paraId="6E2AC39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1.89 </w:t>
            </w:r>
          </w:p>
        </w:tc>
        <w:tc>
          <w:tcPr>
            <w:tcW w:w="1538" w:type="dxa"/>
            <w:noWrap/>
            <w:hideMark/>
          </w:tcPr>
          <w:p w14:paraId="799DFA67"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2.15 </w:t>
            </w:r>
          </w:p>
        </w:tc>
      </w:tr>
      <w:tr w:rsidR="005E530B" w:rsidRPr="009C26F1" w14:paraId="3E3F2E0D" w14:textId="77777777" w:rsidTr="00642542">
        <w:trPr>
          <w:trHeight w:val="323"/>
        </w:trPr>
        <w:tc>
          <w:tcPr>
            <w:tcW w:w="8821" w:type="dxa"/>
            <w:gridSpan w:val="6"/>
            <w:shd w:val="clear" w:color="auto" w:fill="BFBFBF" w:themeFill="background1" w:themeFillShade="BF"/>
            <w:hideMark/>
          </w:tcPr>
          <w:p w14:paraId="50469140" w14:textId="77777777" w:rsidR="005E530B" w:rsidRPr="009C26F1" w:rsidRDefault="005E530B" w:rsidP="001812F9">
            <w:pPr>
              <w:suppressAutoHyphens w:val="0"/>
              <w:spacing w:line="360" w:lineRule="auto"/>
              <w:jc w:val="center"/>
              <w:rPr>
                <w:rFonts w:eastAsia="Times New Roman" w:cs="Arial"/>
                <w:color w:val="000000"/>
                <w:szCs w:val="20"/>
                <w:lang w:eastAsia="en-AU"/>
              </w:rPr>
            </w:pPr>
            <w:r w:rsidRPr="009C26F1">
              <w:rPr>
                <w:rFonts w:eastAsia="Times New Roman" w:cs="Arial"/>
                <w:i/>
                <w:iCs/>
                <w:color w:val="000000"/>
                <w:szCs w:val="20"/>
                <w:lang w:eastAsia="en-AU"/>
              </w:rPr>
              <w:t>Counterfactual (nonparametric)</w:t>
            </w:r>
          </w:p>
        </w:tc>
      </w:tr>
      <w:tr w:rsidR="005E530B" w:rsidRPr="009C26F1" w14:paraId="0F845903" w14:textId="77777777" w:rsidTr="00642542">
        <w:trPr>
          <w:trHeight w:val="323"/>
        </w:trPr>
        <w:tc>
          <w:tcPr>
            <w:tcW w:w="1831" w:type="dxa"/>
            <w:hideMark/>
          </w:tcPr>
          <w:p w14:paraId="18D66E7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Matching</w:t>
            </w:r>
          </w:p>
        </w:tc>
        <w:tc>
          <w:tcPr>
            <w:tcW w:w="844" w:type="dxa"/>
            <w:noWrap/>
            <w:hideMark/>
          </w:tcPr>
          <w:p w14:paraId="755942A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7C5E853C"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1.66 </w:t>
            </w:r>
          </w:p>
        </w:tc>
        <w:tc>
          <w:tcPr>
            <w:tcW w:w="1535" w:type="dxa"/>
            <w:noWrap/>
            <w:hideMark/>
          </w:tcPr>
          <w:p w14:paraId="512A522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1.90 </w:t>
            </w:r>
          </w:p>
        </w:tc>
        <w:tc>
          <w:tcPr>
            <w:tcW w:w="1535" w:type="dxa"/>
            <w:noWrap/>
            <w:hideMark/>
          </w:tcPr>
          <w:p w14:paraId="5F9E3F50"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2.12 </w:t>
            </w:r>
          </w:p>
        </w:tc>
        <w:tc>
          <w:tcPr>
            <w:tcW w:w="1538" w:type="dxa"/>
            <w:noWrap/>
            <w:hideMark/>
          </w:tcPr>
          <w:p w14:paraId="54EFD327"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2.38 </w:t>
            </w:r>
          </w:p>
        </w:tc>
      </w:tr>
      <w:tr w:rsidR="005E530B" w:rsidRPr="009C26F1" w14:paraId="3889829C" w14:textId="77777777" w:rsidTr="00642542">
        <w:trPr>
          <w:trHeight w:val="323"/>
        </w:trPr>
        <w:tc>
          <w:tcPr>
            <w:tcW w:w="1831" w:type="dxa"/>
            <w:hideMark/>
          </w:tcPr>
          <w:p w14:paraId="63577366"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Partial identification</w:t>
            </w:r>
          </w:p>
        </w:tc>
        <w:tc>
          <w:tcPr>
            <w:tcW w:w="844" w:type="dxa"/>
            <w:noWrap/>
            <w:hideMark/>
          </w:tcPr>
          <w:p w14:paraId="2CF2E972"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7DF288A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 xml:space="preserve">[1.54;1.72] </w:t>
            </w:r>
          </w:p>
        </w:tc>
        <w:tc>
          <w:tcPr>
            <w:tcW w:w="1535" w:type="dxa"/>
            <w:noWrap/>
            <w:hideMark/>
          </w:tcPr>
          <w:p w14:paraId="5C70C754"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[1.67;1.84]</w:t>
            </w:r>
          </w:p>
        </w:tc>
        <w:tc>
          <w:tcPr>
            <w:tcW w:w="1535" w:type="dxa"/>
            <w:noWrap/>
            <w:hideMark/>
          </w:tcPr>
          <w:p w14:paraId="6D9BD3EE"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[1.90;2.08]</w:t>
            </w:r>
          </w:p>
        </w:tc>
        <w:tc>
          <w:tcPr>
            <w:tcW w:w="1538" w:type="dxa"/>
            <w:noWrap/>
            <w:hideMark/>
          </w:tcPr>
          <w:p w14:paraId="0E1E3951"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[1.76;1.88]</w:t>
            </w:r>
          </w:p>
        </w:tc>
      </w:tr>
      <w:tr w:rsidR="005E530B" w:rsidRPr="009C26F1" w14:paraId="709795F7" w14:textId="77777777" w:rsidTr="00642542">
        <w:trPr>
          <w:trHeight w:val="323"/>
        </w:trPr>
        <w:tc>
          <w:tcPr>
            <w:tcW w:w="8821" w:type="dxa"/>
            <w:gridSpan w:val="6"/>
            <w:shd w:val="clear" w:color="auto" w:fill="BFBFBF" w:themeFill="background1" w:themeFillShade="BF"/>
            <w:hideMark/>
          </w:tcPr>
          <w:p w14:paraId="0E647EA1" w14:textId="77777777" w:rsidR="005E530B" w:rsidRPr="007500A0" w:rsidRDefault="005E530B" w:rsidP="001812F9">
            <w:pPr>
              <w:suppressAutoHyphens w:val="0"/>
              <w:spacing w:line="360" w:lineRule="auto"/>
              <w:jc w:val="center"/>
              <w:rPr>
                <w:rFonts w:eastAsia="Times New Roman" w:cs="Arial"/>
                <w:i/>
                <w:iCs/>
                <w:color w:val="000000"/>
                <w:szCs w:val="20"/>
                <w:lang w:eastAsia="en-AU"/>
              </w:rPr>
            </w:pPr>
            <w:r w:rsidRPr="009C26F1">
              <w:rPr>
                <w:rFonts w:eastAsia="Times New Roman" w:cs="Arial"/>
                <w:i/>
                <w:iCs/>
                <w:color w:val="000000"/>
                <w:szCs w:val="20"/>
                <w:lang w:eastAsia="en-AU"/>
              </w:rPr>
              <w:t>Expert scales</w:t>
            </w:r>
          </w:p>
          <w:p w14:paraId="405AA5CE" w14:textId="77777777" w:rsidR="005E530B" w:rsidRPr="009C26F1" w:rsidRDefault="005E530B" w:rsidP="001812F9">
            <w:pPr>
              <w:suppressAutoHyphens w:val="0"/>
              <w:spacing w:before="0" w:line="360" w:lineRule="auto"/>
              <w:jc w:val="center"/>
              <w:rPr>
                <w:rFonts w:eastAsia="Times New Roman" w:cs="Arial"/>
                <w:color w:val="000000"/>
                <w:szCs w:val="20"/>
                <w:lang w:eastAsia="en-AU"/>
              </w:rPr>
            </w:pPr>
          </w:p>
        </w:tc>
      </w:tr>
      <w:tr w:rsidR="005E530B" w:rsidRPr="009C26F1" w14:paraId="0F1025DA" w14:textId="77777777" w:rsidTr="00642542">
        <w:trPr>
          <w:trHeight w:val="323"/>
        </w:trPr>
        <w:tc>
          <w:tcPr>
            <w:tcW w:w="1831" w:type="dxa"/>
            <w:hideMark/>
          </w:tcPr>
          <w:p w14:paraId="0261258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Square root scale</w:t>
            </w:r>
          </w:p>
        </w:tc>
        <w:tc>
          <w:tcPr>
            <w:tcW w:w="844" w:type="dxa"/>
            <w:noWrap/>
            <w:hideMark/>
          </w:tcPr>
          <w:p w14:paraId="63E9B589"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17E62E87"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1.41</w:t>
            </w:r>
          </w:p>
        </w:tc>
        <w:tc>
          <w:tcPr>
            <w:tcW w:w="1535" w:type="dxa"/>
            <w:noWrap/>
            <w:hideMark/>
          </w:tcPr>
          <w:p w14:paraId="7493AEC8"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1.73</w:t>
            </w:r>
          </w:p>
        </w:tc>
        <w:tc>
          <w:tcPr>
            <w:tcW w:w="1535" w:type="dxa"/>
            <w:noWrap/>
            <w:hideMark/>
          </w:tcPr>
          <w:p w14:paraId="60A5224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2.00</w:t>
            </w:r>
          </w:p>
        </w:tc>
        <w:tc>
          <w:tcPr>
            <w:tcW w:w="1538" w:type="dxa"/>
            <w:noWrap/>
            <w:hideMark/>
          </w:tcPr>
          <w:p w14:paraId="3A209565"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2.23</w:t>
            </w:r>
          </w:p>
        </w:tc>
      </w:tr>
      <w:tr w:rsidR="005E530B" w:rsidRPr="009C26F1" w14:paraId="272E6BE6" w14:textId="77777777" w:rsidTr="00642542">
        <w:trPr>
          <w:trHeight w:val="323"/>
        </w:trPr>
        <w:tc>
          <w:tcPr>
            <w:tcW w:w="1831" w:type="dxa"/>
            <w:hideMark/>
          </w:tcPr>
          <w:p w14:paraId="7988CDB8"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Modified OECD scale</w:t>
            </w:r>
          </w:p>
        </w:tc>
        <w:tc>
          <w:tcPr>
            <w:tcW w:w="844" w:type="dxa"/>
            <w:noWrap/>
            <w:hideMark/>
          </w:tcPr>
          <w:p w14:paraId="10490E86"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1.00</w:t>
            </w:r>
          </w:p>
        </w:tc>
        <w:tc>
          <w:tcPr>
            <w:tcW w:w="1535" w:type="dxa"/>
            <w:noWrap/>
            <w:hideMark/>
          </w:tcPr>
          <w:p w14:paraId="5DBED5C3"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1.50</w:t>
            </w:r>
          </w:p>
        </w:tc>
        <w:tc>
          <w:tcPr>
            <w:tcW w:w="1535" w:type="dxa"/>
            <w:noWrap/>
            <w:hideMark/>
          </w:tcPr>
          <w:p w14:paraId="7D1B84AF"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1.80</w:t>
            </w:r>
          </w:p>
        </w:tc>
        <w:tc>
          <w:tcPr>
            <w:tcW w:w="1535" w:type="dxa"/>
            <w:noWrap/>
            <w:hideMark/>
          </w:tcPr>
          <w:p w14:paraId="23BE2E87"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2.10</w:t>
            </w:r>
          </w:p>
        </w:tc>
        <w:tc>
          <w:tcPr>
            <w:tcW w:w="1538" w:type="dxa"/>
            <w:noWrap/>
            <w:hideMark/>
          </w:tcPr>
          <w:p w14:paraId="520BBBBF" w14:textId="77777777" w:rsidR="005E530B" w:rsidRPr="009C26F1" w:rsidRDefault="005E530B" w:rsidP="001812F9">
            <w:pPr>
              <w:suppressAutoHyphens w:val="0"/>
              <w:spacing w:before="0" w:line="360" w:lineRule="auto"/>
              <w:jc w:val="left"/>
              <w:rPr>
                <w:rFonts w:eastAsia="Times New Roman" w:cs="Arial"/>
                <w:color w:val="000000"/>
                <w:szCs w:val="20"/>
                <w:lang w:eastAsia="en-AU"/>
              </w:rPr>
            </w:pPr>
            <w:r w:rsidRPr="009C26F1">
              <w:rPr>
                <w:rFonts w:eastAsia="Times New Roman" w:cs="Arial"/>
                <w:color w:val="000000"/>
                <w:szCs w:val="20"/>
                <w:lang w:eastAsia="en-AU"/>
              </w:rPr>
              <w:t>2.40</w:t>
            </w:r>
          </w:p>
        </w:tc>
      </w:tr>
    </w:tbl>
    <w:p w14:paraId="74095F5B" w14:textId="598BEAEB" w:rsidR="005E530B" w:rsidRPr="005E530B" w:rsidRDefault="005A34AC" w:rsidP="00D67A4E">
      <w:pPr>
        <w:pStyle w:val="FigureNotes"/>
        <w:rPr>
          <w:lang w:bidi="ar-SA"/>
        </w:rPr>
      </w:pPr>
      <w:r>
        <w:t xml:space="preserve">Dudel, </w:t>
      </w:r>
      <w:proofErr w:type="spellStart"/>
      <w:r>
        <w:t>Garbuszus</w:t>
      </w:r>
      <w:proofErr w:type="spellEnd"/>
      <w:r>
        <w:t xml:space="preserve"> and Schmied (2021)</w:t>
      </w:r>
      <w:r w:rsidR="00845F80">
        <w:t xml:space="preserve">, </w:t>
      </w:r>
      <w:r w:rsidR="003032E6">
        <w:t>p. 1652-1,653,</w:t>
      </w:r>
      <w:r w:rsidR="00D132D0">
        <w:t xml:space="preserve"> </w:t>
      </w:r>
      <w:r w:rsidR="00366480">
        <w:t xml:space="preserve">Table 8. </w:t>
      </w:r>
      <w:r w:rsidR="00B71C02">
        <w:t xml:space="preserve">See the paper for </w:t>
      </w:r>
      <w:proofErr w:type="gramStart"/>
      <w:r w:rsidR="00B71C02">
        <w:t>detail</w:t>
      </w:r>
      <w:proofErr w:type="gramEnd"/>
      <w:r w:rsidR="00B71C02">
        <w:t xml:space="preserve"> about each approach</w:t>
      </w:r>
      <w:r w:rsidR="00366480">
        <w:t>.</w:t>
      </w:r>
    </w:p>
    <w:p w14:paraId="74CB6283" w14:textId="48BAB941" w:rsidR="005955FE" w:rsidRPr="00A05717" w:rsidRDefault="007101CE" w:rsidP="00D67A4E">
      <w:pPr>
        <w:pStyle w:val="FigureCaption"/>
        <w:rPr>
          <w:color w:val="E7005E"/>
        </w:rPr>
      </w:pPr>
      <w:r w:rsidRPr="00A05717">
        <w:rPr>
          <w:color w:val="E7005E"/>
        </w:rPr>
        <w:t xml:space="preserve">Table </w:t>
      </w:r>
      <w:r w:rsidR="00D60238" w:rsidRPr="00A05717">
        <w:rPr>
          <w:color w:val="E7005E"/>
        </w:rPr>
        <w:t>8</w:t>
      </w:r>
      <w:r w:rsidR="00BF27ED" w:rsidRPr="00A05717">
        <w:rPr>
          <w:color w:val="E7005E"/>
        </w:rPr>
        <w:t>. A comparison of equivalence scales</w:t>
      </w:r>
      <w:r w:rsidR="00204E39" w:rsidRPr="00A05717">
        <w:rPr>
          <w:color w:val="E7005E"/>
        </w:rPr>
        <w:t>, conducted by the UK’s Social Metric Commission in 2019</w:t>
      </w:r>
    </w:p>
    <w:tbl>
      <w:tblPr>
        <w:tblStyle w:val="TableGrid"/>
        <w:tblW w:w="8723" w:type="dxa"/>
        <w:tblLook w:val="04A0" w:firstRow="1" w:lastRow="0" w:firstColumn="1" w:lastColumn="0" w:noHBand="0" w:noVBand="1"/>
      </w:tblPr>
      <w:tblGrid>
        <w:gridCol w:w="1486"/>
        <w:gridCol w:w="976"/>
        <w:gridCol w:w="1018"/>
        <w:gridCol w:w="1288"/>
        <w:gridCol w:w="1411"/>
        <w:gridCol w:w="984"/>
        <w:gridCol w:w="1560"/>
      </w:tblGrid>
      <w:tr w:rsidR="00034D9A" w:rsidRPr="007101CE" w14:paraId="7B7083A1" w14:textId="77777777" w:rsidTr="00034D9A">
        <w:trPr>
          <w:cnfStyle w:val="100000000000" w:firstRow="1" w:lastRow="0" w:firstColumn="0" w:lastColumn="0" w:oddVBand="0" w:evenVBand="0" w:oddHBand="0" w:evenHBand="0" w:firstRowFirstColumn="0" w:firstRowLastColumn="0" w:lastRowFirstColumn="0" w:lastRowLastColumn="0"/>
          <w:trHeight w:val="579"/>
        </w:trPr>
        <w:tc>
          <w:tcPr>
            <w:tcW w:w="1486" w:type="dxa"/>
            <w:noWrap/>
            <w:hideMark/>
          </w:tcPr>
          <w:p w14:paraId="1F3E697B"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p>
        </w:tc>
        <w:tc>
          <w:tcPr>
            <w:tcW w:w="976" w:type="dxa"/>
            <w:noWrap/>
            <w:hideMark/>
          </w:tcPr>
          <w:p w14:paraId="38615000"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OECD modified</w:t>
            </w:r>
          </w:p>
        </w:tc>
        <w:tc>
          <w:tcPr>
            <w:tcW w:w="1018" w:type="dxa"/>
            <w:noWrap/>
            <w:hideMark/>
          </w:tcPr>
          <w:p w14:paraId="0846F24F" w14:textId="13542B98"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OECD modified</w:t>
            </w:r>
          </w:p>
        </w:tc>
        <w:tc>
          <w:tcPr>
            <w:tcW w:w="1288" w:type="dxa"/>
            <w:noWrap/>
            <w:hideMark/>
          </w:tcPr>
          <w:p w14:paraId="24CA802A"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OECD modified</w:t>
            </w:r>
          </w:p>
        </w:tc>
        <w:tc>
          <w:tcPr>
            <w:tcW w:w="1411" w:type="dxa"/>
            <w:noWrap/>
            <w:hideMark/>
          </w:tcPr>
          <w:p w14:paraId="07A39F55" w14:textId="09AC0948"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McClements*</w:t>
            </w:r>
          </w:p>
        </w:tc>
        <w:tc>
          <w:tcPr>
            <w:tcW w:w="983" w:type="dxa"/>
            <w:noWrap/>
            <w:hideMark/>
          </w:tcPr>
          <w:p w14:paraId="2B242BB7"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Square Root</w:t>
            </w:r>
          </w:p>
        </w:tc>
        <w:tc>
          <w:tcPr>
            <w:tcW w:w="1560" w:type="dxa"/>
            <w:noWrap/>
            <w:hideMark/>
          </w:tcPr>
          <w:p w14:paraId="25ADC8EC"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US Supplemental</w:t>
            </w:r>
          </w:p>
        </w:tc>
      </w:tr>
      <w:tr w:rsidR="00D67A4E" w:rsidRPr="006A6D5A" w14:paraId="6FE4B75B" w14:textId="77777777" w:rsidTr="00D67A4E">
        <w:trPr>
          <w:trHeight w:val="579"/>
        </w:trPr>
        <w:tc>
          <w:tcPr>
            <w:tcW w:w="1486" w:type="dxa"/>
            <w:shd w:val="clear" w:color="auto" w:fill="62136D" w:themeFill="accent2"/>
            <w:noWrap/>
            <w:hideMark/>
          </w:tcPr>
          <w:p w14:paraId="3D9A5FB2"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Family type</w:t>
            </w:r>
          </w:p>
        </w:tc>
        <w:tc>
          <w:tcPr>
            <w:tcW w:w="976" w:type="dxa"/>
            <w:shd w:val="clear" w:color="auto" w:fill="62136D" w:themeFill="accent2"/>
            <w:noWrap/>
            <w:hideMark/>
          </w:tcPr>
          <w:p w14:paraId="6656095A"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p>
        </w:tc>
        <w:tc>
          <w:tcPr>
            <w:tcW w:w="1018" w:type="dxa"/>
            <w:shd w:val="clear" w:color="auto" w:fill="62136D" w:themeFill="accent2"/>
            <w:noWrap/>
            <w:hideMark/>
          </w:tcPr>
          <w:p w14:paraId="0DB1ABCC"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(after housing costs)</w:t>
            </w:r>
          </w:p>
        </w:tc>
        <w:tc>
          <w:tcPr>
            <w:tcW w:w="1288" w:type="dxa"/>
            <w:shd w:val="clear" w:color="auto" w:fill="62136D" w:themeFill="accent2"/>
            <w:noWrap/>
            <w:hideMark/>
          </w:tcPr>
          <w:p w14:paraId="74186C60"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(after housing and childcare)</w:t>
            </w:r>
          </w:p>
        </w:tc>
        <w:tc>
          <w:tcPr>
            <w:tcW w:w="2395" w:type="dxa"/>
            <w:gridSpan w:val="2"/>
            <w:shd w:val="clear" w:color="auto" w:fill="62136D" w:themeFill="accent2"/>
            <w:noWrap/>
            <w:hideMark/>
          </w:tcPr>
          <w:p w14:paraId="6D3D501E" w14:textId="77777777" w:rsidR="006A6D5A"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w:t>
            </w:r>
            <w:proofErr w:type="gramStart"/>
            <w:r w:rsidRPr="00D67A4E">
              <w:rPr>
                <w:rFonts w:eastAsia="Times New Roman" w:cs="Arial"/>
                <w:color w:val="FFFFFF" w:themeColor="background1"/>
                <w:szCs w:val="20"/>
                <w:lang w:eastAsia="en-AU"/>
              </w:rPr>
              <w:t>after</w:t>
            </w:r>
            <w:proofErr w:type="gramEnd"/>
            <w:r w:rsidRPr="00D67A4E">
              <w:rPr>
                <w:rFonts w:eastAsia="Times New Roman" w:cs="Arial"/>
                <w:color w:val="FFFFFF" w:themeColor="background1"/>
                <w:szCs w:val="20"/>
                <w:lang w:eastAsia="en-AU"/>
              </w:rPr>
              <w:t xml:space="preserve"> housing</w:t>
            </w:r>
          </w:p>
          <w:p w14:paraId="680292B6" w14:textId="1C39B765"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r w:rsidRPr="00D67A4E">
              <w:rPr>
                <w:rFonts w:eastAsia="Times New Roman" w:cs="Arial"/>
                <w:color w:val="FFFFFF" w:themeColor="background1"/>
                <w:szCs w:val="20"/>
                <w:lang w:eastAsia="en-AU"/>
              </w:rPr>
              <w:t xml:space="preserve"> costs)</w:t>
            </w:r>
          </w:p>
        </w:tc>
        <w:tc>
          <w:tcPr>
            <w:tcW w:w="1560" w:type="dxa"/>
            <w:shd w:val="clear" w:color="auto" w:fill="62136D" w:themeFill="accent2"/>
            <w:noWrap/>
            <w:hideMark/>
          </w:tcPr>
          <w:p w14:paraId="45C3496D" w14:textId="77777777" w:rsidR="00EA0FAE" w:rsidRPr="00D67A4E" w:rsidRDefault="00EA0FAE" w:rsidP="00EA0FAE">
            <w:pPr>
              <w:suppressAutoHyphens w:val="0"/>
              <w:spacing w:before="0" w:line="240" w:lineRule="auto"/>
              <w:jc w:val="left"/>
              <w:rPr>
                <w:rFonts w:eastAsia="Times New Roman" w:cs="Arial"/>
                <w:color w:val="FFFFFF" w:themeColor="background1"/>
                <w:szCs w:val="20"/>
                <w:lang w:eastAsia="en-AU"/>
              </w:rPr>
            </w:pPr>
          </w:p>
        </w:tc>
      </w:tr>
      <w:tr w:rsidR="006A6D5A" w:rsidRPr="006A6D5A" w14:paraId="414A8122" w14:textId="77777777" w:rsidTr="00D67A4E">
        <w:trPr>
          <w:trHeight w:val="328"/>
        </w:trPr>
        <w:tc>
          <w:tcPr>
            <w:tcW w:w="1486" w:type="dxa"/>
            <w:noWrap/>
            <w:hideMark/>
          </w:tcPr>
          <w:p w14:paraId="345B1951"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Single adult</w:t>
            </w:r>
          </w:p>
        </w:tc>
        <w:tc>
          <w:tcPr>
            <w:tcW w:w="976" w:type="dxa"/>
            <w:noWrap/>
            <w:hideMark/>
          </w:tcPr>
          <w:p w14:paraId="25E70AA0" w14:textId="70806F55"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c>
          <w:tcPr>
            <w:tcW w:w="1018" w:type="dxa"/>
            <w:noWrap/>
            <w:hideMark/>
          </w:tcPr>
          <w:p w14:paraId="2B8F5991" w14:textId="7A59940D"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c>
          <w:tcPr>
            <w:tcW w:w="1288" w:type="dxa"/>
            <w:noWrap/>
            <w:hideMark/>
          </w:tcPr>
          <w:p w14:paraId="356BE76B" w14:textId="417C722E"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c>
          <w:tcPr>
            <w:tcW w:w="1411" w:type="dxa"/>
            <w:noWrap/>
            <w:hideMark/>
          </w:tcPr>
          <w:p w14:paraId="0799C240" w14:textId="5560318B"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c>
          <w:tcPr>
            <w:tcW w:w="983" w:type="dxa"/>
            <w:noWrap/>
            <w:hideMark/>
          </w:tcPr>
          <w:p w14:paraId="30BDC494" w14:textId="77546F81"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c>
          <w:tcPr>
            <w:tcW w:w="1560" w:type="dxa"/>
            <w:noWrap/>
            <w:hideMark/>
          </w:tcPr>
          <w:p w14:paraId="7B2B257F" w14:textId="33A4C36D"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w:t>
            </w:r>
            <w:r w:rsidR="009D0B3C">
              <w:rPr>
                <w:rFonts w:eastAsia="Times New Roman" w:cs="Arial"/>
                <w:color w:val="000000"/>
                <w:szCs w:val="20"/>
                <w:lang w:eastAsia="en-AU"/>
              </w:rPr>
              <w:t>.00</w:t>
            </w:r>
          </w:p>
        </w:tc>
      </w:tr>
      <w:tr w:rsidR="006A6D5A" w:rsidRPr="006A6D5A" w14:paraId="3D4E8F80" w14:textId="77777777" w:rsidTr="00D67A4E">
        <w:trPr>
          <w:trHeight w:val="579"/>
        </w:trPr>
        <w:tc>
          <w:tcPr>
            <w:tcW w:w="1486" w:type="dxa"/>
            <w:noWrap/>
            <w:hideMark/>
          </w:tcPr>
          <w:p w14:paraId="6248C2E7"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Couple</w:t>
            </w:r>
          </w:p>
        </w:tc>
        <w:tc>
          <w:tcPr>
            <w:tcW w:w="976" w:type="dxa"/>
            <w:noWrap/>
            <w:hideMark/>
          </w:tcPr>
          <w:p w14:paraId="1C69F1AF" w14:textId="546FE9A1"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1.5</w:t>
            </w:r>
            <w:r w:rsidR="009D0B3C">
              <w:rPr>
                <w:rFonts w:eastAsia="Times New Roman" w:cs="Arial"/>
                <w:color w:val="000000"/>
                <w:szCs w:val="20"/>
                <w:lang w:eastAsia="en-AU"/>
              </w:rPr>
              <w:t>0</w:t>
            </w:r>
          </w:p>
        </w:tc>
        <w:tc>
          <w:tcPr>
            <w:tcW w:w="1018" w:type="dxa"/>
            <w:noWrap/>
            <w:hideMark/>
          </w:tcPr>
          <w:p w14:paraId="27699148"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1.72</w:t>
            </w:r>
          </w:p>
        </w:tc>
        <w:tc>
          <w:tcPr>
            <w:tcW w:w="1288" w:type="dxa"/>
            <w:noWrap/>
            <w:hideMark/>
          </w:tcPr>
          <w:p w14:paraId="17F72E4E"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1.72</w:t>
            </w:r>
          </w:p>
        </w:tc>
        <w:tc>
          <w:tcPr>
            <w:tcW w:w="1411" w:type="dxa"/>
            <w:noWrap/>
            <w:hideMark/>
          </w:tcPr>
          <w:p w14:paraId="00B83431"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1.82</w:t>
            </w:r>
          </w:p>
        </w:tc>
        <w:tc>
          <w:tcPr>
            <w:tcW w:w="983" w:type="dxa"/>
            <w:noWrap/>
            <w:hideMark/>
          </w:tcPr>
          <w:p w14:paraId="35B6E4B6"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1.41</w:t>
            </w:r>
          </w:p>
        </w:tc>
        <w:tc>
          <w:tcPr>
            <w:tcW w:w="1560" w:type="dxa"/>
            <w:noWrap/>
            <w:hideMark/>
          </w:tcPr>
          <w:p w14:paraId="4470FAB3"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1.41</w:t>
            </w:r>
          </w:p>
        </w:tc>
      </w:tr>
      <w:tr w:rsidR="006A6D5A" w:rsidRPr="006A6D5A" w14:paraId="5531254F" w14:textId="77777777" w:rsidTr="00D67A4E">
        <w:trPr>
          <w:trHeight w:val="579"/>
        </w:trPr>
        <w:tc>
          <w:tcPr>
            <w:tcW w:w="1486" w:type="dxa"/>
            <w:noWrap/>
            <w:hideMark/>
          </w:tcPr>
          <w:p w14:paraId="09E3FF9D"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Couple one child</w:t>
            </w:r>
          </w:p>
        </w:tc>
        <w:tc>
          <w:tcPr>
            <w:tcW w:w="976" w:type="dxa"/>
            <w:noWrap/>
            <w:hideMark/>
          </w:tcPr>
          <w:p w14:paraId="0AD1E2E9"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1.84</w:t>
            </w:r>
          </w:p>
        </w:tc>
        <w:tc>
          <w:tcPr>
            <w:tcW w:w="1018" w:type="dxa"/>
            <w:noWrap/>
            <w:hideMark/>
          </w:tcPr>
          <w:p w14:paraId="30FAB2F4"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2.14</w:t>
            </w:r>
          </w:p>
        </w:tc>
        <w:tc>
          <w:tcPr>
            <w:tcW w:w="1288" w:type="dxa"/>
            <w:noWrap/>
            <w:hideMark/>
          </w:tcPr>
          <w:p w14:paraId="1CAFF7DC"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2.18</w:t>
            </w:r>
          </w:p>
        </w:tc>
        <w:tc>
          <w:tcPr>
            <w:tcW w:w="1411" w:type="dxa"/>
            <w:noWrap/>
            <w:hideMark/>
          </w:tcPr>
          <w:p w14:paraId="25C475C3"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2.25</w:t>
            </w:r>
          </w:p>
        </w:tc>
        <w:tc>
          <w:tcPr>
            <w:tcW w:w="983" w:type="dxa"/>
            <w:noWrap/>
            <w:hideMark/>
          </w:tcPr>
          <w:p w14:paraId="7CE66E36"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1.73</w:t>
            </w:r>
          </w:p>
        </w:tc>
        <w:tc>
          <w:tcPr>
            <w:tcW w:w="1560" w:type="dxa"/>
            <w:noWrap/>
            <w:hideMark/>
          </w:tcPr>
          <w:p w14:paraId="2F1F0C8C" w14:textId="2E81EF29"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1.9</w:t>
            </w:r>
            <w:r w:rsidR="009D0B3C">
              <w:rPr>
                <w:rFonts w:eastAsia="Times New Roman" w:cs="Arial"/>
                <w:color w:val="000000"/>
                <w:szCs w:val="20"/>
                <w:lang w:eastAsia="en-AU"/>
              </w:rPr>
              <w:t>0</w:t>
            </w:r>
          </w:p>
        </w:tc>
      </w:tr>
      <w:tr w:rsidR="006A6D5A" w:rsidRPr="006A6D5A" w14:paraId="5BF6469B" w14:textId="77777777" w:rsidTr="00D67A4E">
        <w:trPr>
          <w:trHeight w:val="579"/>
        </w:trPr>
        <w:tc>
          <w:tcPr>
            <w:tcW w:w="1486" w:type="dxa"/>
            <w:noWrap/>
            <w:hideMark/>
          </w:tcPr>
          <w:p w14:paraId="5971285B"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Couple two children</w:t>
            </w:r>
          </w:p>
        </w:tc>
        <w:tc>
          <w:tcPr>
            <w:tcW w:w="976" w:type="dxa"/>
            <w:noWrap/>
            <w:hideMark/>
          </w:tcPr>
          <w:p w14:paraId="65261109"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2.18</w:t>
            </w:r>
          </w:p>
        </w:tc>
        <w:tc>
          <w:tcPr>
            <w:tcW w:w="1018" w:type="dxa"/>
            <w:noWrap/>
            <w:hideMark/>
          </w:tcPr>
          <w:p w14:paraId="00686848"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2.56</w:t>
            </w:r>
          </w:p>
        </w:tc>
        <w:tc>
          <w:tcPr>
            <w:tcW w:w="1288" w:type="dxa"/>
            <w:noWrap/>
            <w:hideMark/>
          </w:tcPr>
          <w:p w14:paraId="407535BF"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2.62</w:t>
            </w:r>
          </w:p>
        </w:tc>
        <w:tc>
          <w:tcPr>
            <w:tcW w:w="1411" w:type="dxa"/>
            <w:noWrap/>
            <w:hideMark/>
          </w:tcPr>
          <w:p w14:paraId="6B9BC4F1"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2.68</w:t>
            </w:r>
          </w:p>
        </w:tc>
        <w:tc>
          <w:tcPr>
            <w:tcW w:w="983" w:type="dxa"/>
            <w:noWrap/>
            <w:hideMark/>
          </w:tcPr>
          <w:p w14:paraId="51DF30A2" w14:textId="68F5B7AC"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w:t>
            </w:r>
            <w:r w:rsidR="009D0B3C">
              <w:rPr>
                <w:rFonts w:eastAsia="Times New Roman" w:cs="Arial"/>
                <w:color w:val="000000"/>
                <w:szCs w:val="20"/>
                <w:lang w:eastAsia="en-AU"/>
              </w:rPr>
              <w:t>.00</w:t>
            </w:r>
          </w:p>
        </w:tc>
        <w:tc>
          <w:tcPr>
            <w:tcW w:w="1560" w:type="dxa"/>
            <w:noWrap/>
            <w:hideMark/>
          </w:tcPr>
          <w:p w14:paraId="7A59A405"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2.16</w:t>
            </w:r>
          </w:p>
        </w:tc>
      </w:tr>
      <w:tr w:rsidR="006A6D5A" w:rsidRPr="006A6D5A" w14:paraId="62A225C1" w14:textId="77777777" w:rsidTr="00D67A4E">
        <w:trPr>
          <w:trHeight w:val="579"/>
        </w:trPr>
        <w:tc>
          <w:tcPr>
            <w:tcW w:w="1486" w:type="dxa"/>
            <w:noWrap/>
            <w:hideMark/>
          </w:tcPr>
          <w:p w14:paraId="11FF8CA4"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Couple three children</w:t>
            </w:r>
          </w:p>
        </w:tc>
        <w:tc>
          <w:tcPr>
            <w:tcW w:w="976" w:type="dxa"/>
            <w:noWrap/>
            <w:hideMark/>
          </w:tcPr>
          <w:p w14:paraId="13C32B60"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2.52</w:t>
            </w:r>
          </w:p>
        </w:tc>
        <w:tc>
          <w:tcPr>
            <w:tcW w:w="1018" w:type="dxa"/>
            <w:noWrap/>
            <w:hideMark/>
          </w:tcPr>
          <w:p w14:paraId="4163B367"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2.98</w:t>
            </w:r>
          </w:p>
        </w:tc>
        <w:tc>
          <w:tcPr>
            <w:tcW w:w="1288" w:type="dxa"/>
            <w:noWrap/>
            <w:hideMark/>
          </w:tcPr>
          <w:p w14:paraId="28E652BB"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3.12</w:t>
            </w:r>
          </w:p>
        </w:tc>
        <w:tc>
          <w:tcPr>
            <w:tcW w:w="1411" w:type="dxa"/>
            <w:noWrap/>
            <w:hideMark/>
          </w:tcPr>
          <w:p w14:paraId="2700A162"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3.11</w:t>
            </w:r>
          </w:p>
        </w:tc>
        <w:tc>
          <w:tcPr>
            <w:tcW w:w="983" w:type="dxa"/>
            <w:noWrap/>
            <w:hideMark/>
          </w:tcPr>
          <w:p w14:paraId="5E3BF116"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2.24</w:t>
            </w:r>
          </w:p>
        </w:tc>
        <w:tc>
          <w:tcPr>
            <w:tcW w:w="1560" w:type="dxa"/>
            <w:noWrap/>
            <w:hideMark/>
          </w:tcPr>
          <w:p w14:paraId="3C9CB395" w14:textId="6FABB35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2.4</w:t>
            </w:r>
            <w:r w:rsidR="009D0B3C">
              <w:rPr>
                <w:rFonts w:eastAsia="Times New Roman" w:cs="Arial"/>
                <w:color w:val="000000"/>
                <w:szCs w:val="20"/>
                <w:lang w:eastAsia="en-AU"/>
              </w:rPr>
              <w:t>0</w:t>
            </w:r>
          </w:p>
        </w:tc>
      </w:tr>
      <w:tr w:rsidR="006A6D5A" w:rsidRPr="006A6D5A" w14:paraId="76AF81A0" w14:textId="77777777" w:rsidTr="00D67A4E">
        <w:trPr>
          <w:trHeight w:val="579"/>
        </w:trPr>
        <w:tc>
          <w:tcPr>
            <w:tcW w:w="1486" w:type="dxa"/>
            <w:noWrap/>
            <w:hideMark/>
          </w:tcPr>
          <w:p w14:paraId="018F5A06"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Lone parent one child</w:t>
            </w:r>
          </w:p>
        </w:tc>
        <w:tc>
          <w:tcPr>
            <w:tcW w:w="976" w:type="dxa"/>
            <w:noWrap/>
            <w:hideMark/>
          </w:tcPr>
          <w:p w14:paraId="737D43C9"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1.34</w:t>
            </w:r>
          </w:p>
        </w:tc>
        <w:tc>
          <w:tcPr>
            <w:tcW w:w="1018" w:type="dxa"/>
            <w:noWrap/>
            <w:hideMark/>
          </w:tcPr>
          <w:p w14:paraId="279E6B49"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1.42</w:t>
            </w:r>
          </w:p>
        </w:tc>
        <w:tc>
          <w:tcPr>
            <w:tcW w:w="1288" w:type="dxa"/>
            <w:noWrap/>
            <w:hideMark/>
          </w:tcPr>
          <w:p w14:paraId="038698E1"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1.72</w:t>
            </w:r>
          </w:p>
        </w:tc>
        <w:tc>
          <w:tcPr>
            <w:tcW w:w="1411" w:type="dxa"/>
            <w:noWrap/>
            <w:hideMark/>
          </w:tcPr>
          <w:p w14:paraId="5DA39C8B"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1.43</w:t>
            </w:r>
          </w:p>
        </w:tc>
        <w:tc>
          <w:tcPr>
            <w:tcW w:w="983" w:type="dxa"/>
            <w:noWrap/>
            <w:hideMark/>
          </w:tcPr>
          <w:p w14:paraId="68B97229"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1.41</w:t>
            </w:r>
          </w:p>
        </w:tc>
        <w:tc>
          <w:tcPr>
            <w:tcW w:w="1560" w:type="dxa"/>
            <w:noWrap/>
            <w:hideMark/>
          </w:tcPr>
          <w:p w14:paraId="2D5D7DCA"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1.51</w:t>
            </w:r>
          </w:p>
        </w:tc>
      </w:tr>
      <w:tr w:rsidR="006A6D5A" w:rsidRPr="006A6D5A" w14:paraId="13ACB91D" w14:textId="77777777" w:rsidTr="00D67A4E">
        <w:trPr>
          <w:trHeight w:val="579"/>
        </w:trPr>
        <w:tc>
          <w:tcPr>
            <w:tcW w:w="1486" w:type="dxa"/>
            <w:noWrap/>
            <w:hideMark/>
          </w:tcPr>
          <w:p w14:paraId="460CCFC2"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Lone parent two children</w:t>
            </w:r>
          </w:p>
        </w:tc>
        <w:tc>
          <w:tcPr>
            <w:tcW w:w="976" w:type="dxa"/>
            <w:noWrap/>
            <w:hideMark/>
          </w:tcPr>
          <w:p w14:paraId="748B3065"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1.68</w:t>
            </w:r>
          </w:p>
        </w:tc>
        <w:tc>
          <w:tcPr>
            <w:tcW w:w="1018" w:type="dxa"/>
            <w:noWrap/>
            <w:hideMark/>
          </w:tcPr>
          <w:p w14:paraId="1ACC9A9D"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1.84</w:t>
            </w:r>
          </w:p>
        </w:tc>
        <w:tc>
          <w:tcPr>
            <w:tcW w:w="1288" w:type="dxa"/>
            <w:noWrap/>
            <w:hideMark/>
          </w:tcPr>
          <w:p w14:paraId="36543FB2" w14:textId="7D650288"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w:t>
            </w:r>
            <w:r w:rsidR="009D0B3C">
              <w:rPr>
                <w:rFonts w:eastAsia="Times New Roman" w:cs="Arial"/>
                <w:color w:val="000000"/>
                <w:szCs w:val="20"/>
                <w:lang w:eastAsia="en-AU"/>
              </w:rPr>
              <w:t>0</w:t>
            </w:r>
          </w:p>
        </w:tc>
        <w:tc>
          <w:tcPr>
            <w:tcW w:w="1411" w:type="dxa"/>
            <w:noWrap/>
            <w:hideMark/>
          </w:tcPr>
          <w:p w14:paraId="591C4E27"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1.86</w:t>
            </w:r>
          </w:p>
        </w:tc>
        <w:tc>
          <w:tcPr>
            <w:tcW w:w="983" w:type="dxa"/>
            <w:noWrap/>
            <w:hideMark/>
          </w:tcPr>
          <w:p w14:paraId="2DEF1ABE"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1.73</w:t>
            </w:r>
          </w:p>
        </w:tc>
        <w:tc>
          <w:tcPr>
            <w:tcW w:w="1560" w:type="dxa"/>
            <w:noWrap/>
            <w:hideMark/>
          </w:tcPr>
          <w:p w14:paraId="48E1A611"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1.79</w:t>
            </w:r>
          </w:p>
        </w:tc>
      </w:tr>
      <w:tr w:rsidR="006A6D5A" w:rsidRPr="006A6D5A" w14:paraId="0F9C7C33" w14:textId="77777777" w:rsidTr="00D67A4E">
        <w:trPr>
          <w:trHeight w:val="176"/>
        </w:trPr>
        <w:tc>
          <w:tcPr>
            <w:tcW w:w="1486" w:type="dxa"/>
            <w:noWrap/>
            <w:hideMark/>
          </w:tcPr>
          <w:p w14:paraId="64464654" w14:textId="77777777" w:rsidR="00EA0FAE" w:rsidRPr="00D67A4E" w:rsidRDefault="00EA0FAE" w:rsidP="00EA0FAE">
            <w:pPr>
              <w:suppressAutoHyphens w:val="0"/>
              <w:spacing w:before="0" w:line="240" w:lineRule="auto"/>
              <w:jc w:val="left"/>
              <w:rPr>
                <w:rFonts w:eastAsia="Times New Roman" w:cs="Arial"/>
                <w:color w:val="000000"/>
                <w:szCs w:val="20"/>
                <w:lang w:eastAsia="en-AU"/>
              </w:rPr>
            </w:pPr>
            <w:r w:rsidRPr="00D67A4E">
              <w:rPr>
                <w:rFonts w:eastAsia="Times New Roman" w:cs="Arial"/>
                <w:color w:val="000000"/>
                <w:szCs w:val="20"/>
                <w:lang w:eastAsia="en-AU"/>
              </w:rPr>
              <w:t>Lone parent three children</w:t>
            </w:r>
          </w:p>
        </w:tc>
        <w:tc>
          <w:tcPr>
            <w:tcW w:w="976" w:type="dxa"/>
            <w:noWrap/>
            <w:hideMark/>
          </w:tcPr>
          <w:p w14:paraId="7704F894"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2.02</w:t>
            </w:r>
          </w:p>
        </w:tc>
        <w:tc>
          <w:tcPr>
            <w:tcW w:w="1018" w:type="dxa"/>
            <w:noWrap/>
            <w:hideMark/>
          </w:tcPr>
          <w:p w14:paraId="14C12D78"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2.26</w:t>
            </w:r>
          </w:p>
        </w:tc>
        <w:tc>
          <w:tcPr>
            <w:tcW w:w="1288" w:type="dxa"/>
            <w:noWrap/>
            <w:hideMark/>
          </w:tcPr>
          <w:p w14:paraId="51FA170E"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2.71</w:t>
            </w:r>
          </w:p>
        </w:tc>
        <w:tc>
          <w:tcPr>
            <w:tcW w:w="1411" w:type="dxa"/>
            <w:noWrap/>
            <w:hideMark/>
          </w:tcPr>
          <w:p w14:paraId="0253525A"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2.29</w:t>
            </w:r>
          </w:p>
        </w:tc>
        <w:tc>
          <w:tcPr>
            <w:tcW w:w="983" w:type="dxa"/>
            <w:noWrap/>
            <w:hideMark/>
          </w:tcPr>
          <w:p w14:paraId="518AE723" w14:textId="6E5C95E1"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w:t>
            </w:r>
            <w:r w:rsidR="009D0B3C">
              <w:rPr>
                <w:rFonts w:eastAsia="Times New Roman" w:cs="Arial"/>
                <w:color w:val="000000"/>
                <w:szCs w:val="20"/>
                <w:lang w:eastAsia="en-AU"/>
              </w:rPr>
              <w:t>.00</w:t>
            </w:r>
          </w:p>
        </w:tc>
        <w:tc>
          <w:tcPr>
            <w:tcW w:w="1560" w:type="dxa"/>
            <w:noWrap/>
            <w:hideMark/>
          </w:tcPr>
          <w:p w14:paraId="58D21C82" w14:textId="77777777" w:rsidR="00EA0FAE" w:rsidRPr="00D67A4E" w:rsidRDefault="00EA0FAE" w:rsidP="00EA0FAE">
            <w:pPr>
              <w:suppressAutoHyphens w:val="0"/>
              <w:spacing w:before="0" w:line="240" w:lineRule="auto"/>
              <w:jc w:val="right"/>
              <w:rPr>
                <w:rFonts w:eastAsia="Times New Roman" w:cs="Arial"/>
                <w:color w:val="000000"/>
                <w:szCs w:val="20"/>
                <w:lang w:eastAsia="en-AU"/>
              </w:rPr>
            </w:pPr>
            <w:r w:rsidRPr="00D67A4E">
              <w:rPr>
                <w:rFonts w:eastAsia="Times New Roman" w:cs="Arial"/>
                <w:color w:val="000000"/>
                <w:szCs w:val="20"/>
                <w:lang w:eastAsia="en-AU"/>
              </w:rPr>
              <w:t>2.06</w:t>
            </w:r>
          </w:p>
        </w:tc>
      </w:tr>
    </w:tbl>
    <w:p w14:paraId="5A7B785D" w14:textId="66D83241" w:rsidR="00D67A4E" w:rsidRPr="00642542" w:rsidRDefault="00204E39" w:rsidP="00642542">
      <w:pPr>
        <w:pStyle w:val="FigureNotes"/>
      </w:pPr>
      <w:r>
        <w:lastRenderedPageBreak/>
        <w:t>Source: Social Metrics Commission, 2019</w:t>
      </w:r>
      <w:r w:rsidR="00E22D13">
        <w:t>,</w:t>
      </w:r>
      <w:r w:rsidR="00E22D13" w:rsidRPr="00E22D13">
        <w:t xml:space="preserve"> </w:t>
      </w:r>
      <w:r w:rsidR="00D132D0">
        <w:t xml:space="preserve">p. 22, </w:t>
      </w:r>
      <w:r w:rsidR="00E22D13">
        <w:t>Table 5</w:t>
      </w:r>
      <w:r>
        <w:t xml:space="preserve">. Details on each of the scales </w:t>
      </w:r>
      <w:r w:rsidR="00470346">
        <w:t xml:space="preserve">used </w:t>
      </w:r>
      <w:r>
        <w:t xml:space="preserve">here can be found in the original study. </w:t>
      </w:r>
    </w:p>
    <w:p w14:paraId="62D45F29" w14:textId="0B91266A" w:rsidR="00C47F29" w:rsidRDefault="00C47F29" w:rsidP="00222BC6">
      <w:pPr>
        <w:pStyle w:val="Heading2"/>
        <w:pageBreakBefore w:val="0"/>
        <w:spacing w:before="360" w:after="120" w:line="240" w:lineRule="auto"/>
      </w:pPr>
      <w:bookmarkStart w:id="33" w:name="_Toc647424734"/>
      <w:r>
        <w:t xml:space="preserve">Appendix 2: </w:t>
      </w:r>
      <w:r w:rsidR="000F7866">
        <w:t>Costs of children in s</w:t>
      </w:r>
      <w:r>
        <w:t>hared care</w:t>
      </w:r>
      <w:r w:rsidR="000F7866">
        <w:t xml:space="preserve"> arrangements</w:t>
      </w:r>
      <w:bookmarkEnd w:id="33"/>
    </w:p>
    <w:p w14:paraId="61E9D034" w14:textId="48440AAC" w:rsidR="005955FE" w:rsidRPr="00A05717" w:rsidRDefault="007B627D" w:rsidP="00D67A4E">
      <w:pPr>
        <w:pStyle w:val="FigureCaption"/>
        <w:rPr>
          <w:color w:val="E7005E"/>
          <w:lang w:bidi="ar-SA"/>
        </w:rPr>
      </w:pPr>
      <w:r w:rsidRPr="00A05717">
        <w:rPr>
          <w:color w:val="E7005E"/>
        </w:rPr>
        <w:t xml:space="preserve">Table </w:t>
      </w:r>
      <w:r w:rsidR="00D60238" w:rsidRPr="00A05717">
        <w:rPr>
          <w:color w:val="E7005E"/>
        </w:rPr>
        <w:t>9</w:t>
      </w:r>
      <w:r w:rsidRPr="00A05717">
        <w:rPr>
          <w:color w:val="E7005E"/>
        </w:rPr>
        <w:t xml:space="preserve">: Gross Costs of a </w:t>
      </w:r>
      <w:proofErr w:type="gramStart"/>
      <w:r w:rsidRPr="00A05717">
        <w:rPr>
          <w:color w:val="E7005E"/>
        </w:rPr>
        <w:t>6 Year Old</w:t>
      </w:r>
      <w:proofErr w:type="gramEnd"/>
      <w:r w:rsidRPr="00A05717">
        <w:rPr>
          <w:color w:val="E7005E"/>
        </w:rPr>
        <w:t xml:space="preserve"> Child, Separated Households, Various Contact Arrangements (June quarter 2004, $'000</w:t>
      </w:r>
      <w:r w:rsidR="00CA07A9" w:rsidRPr="00A05717">
        <w:rPr>
          <w:color w:val="E7005E"/>
        </w:rPr>
        <w:t>/year)</w:t>
      </w:r>
    </w:p>
    <w:tbl>
      <w:tblPr>
        <w:tblStyle w:val="TableGrid"/>
        <w:tblW w:w="8499" w:type="dxa"/>
        <w:tblLook w:val="04A0" w:firstRow="1" w:lastRow="0" w:firstColumn="1" w:lastColumn="0" w:noHBand="0" w:noVBand="1"/>
      </w:tblPr>
      <w:tblGrid>
        <w:gridCol w:w="1458"/>
        <w:gridCol w:w="698"/>
        <w:gridCol w:w="860"/>
        <w:gridCol w:w="753"/>
        <w:gridCol w:w="745"/>
        <w:gridCol w:w="698"/>
        <w:gridCol w:w="698"/>
        <w:gridCol w:w="698"/>
        <w:gridCol w:w="786"/>
        <w:gridCol w:w="1105"/>
      </w:tblGrid>
      <w:tr w:rsidR="00E855A5" w:rsidRPr="007B627D" w14:paraId="6A23441A" w14:textId="77777777" w:rsidTr="00E855A5">
        <w:trPr>
          <w:cnfStyle w:val="100000000000" w:firstRow="1" w:lastRow="0" w:firstColumn="0" w:lastColumn="0" w:oddVBand="0" w:evenVBand="0" w:oddHBand="0" w:evenHBand="0" w:firstRowFirstColumn="0" w:firstRowLastColumn="0" w:lastRowFirstColumn="0" w:lastRowLastColumn="0"/>
          <w:trHeight w:val="525"/>
        </w:trPr>
        <w:tc>
          <w:tcPr>
            <w:tcW w:w="1472" w:type="dxa"/>
            <w:shd w:val="clear" w:color="auto" w:fill="62136D" w:themeFill="accent2"/>
            <w:noWrap/>
            <w:hideMark/>
          </w:tcPr>
          <w:p w14:paraId="53EEAC80" w14:textId="77777777"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Household Contact Level</w:t>
            </w:r>
          </w:p>
        </w:tc>
        <w:tc>
          <w:tcPr>
            <w:tcW w:w="704" w:type="dxa"/>
            <w:shd w:val="clear" w:color="auto" w:fill="62136D" w:themeFill="accent2"/>
            <w:noWrap/>
            <w:hideMark/>
          </w:tcPr>
          <w:p w14:paraId="065C8E02" w14:textId="6A50EFAF" w:rsidR="007B627D" w:rsidRPr="00D67A4E" w:rsidRDefault="00DE545C"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Syd</w:t>
            </w:r>
          </w:p>
        </w:tc>
        <w:tc>
          <w:tcPr>
            <w:tcW w:w="868" w:type="dxa"/>
            <w:shd w:val="clear" w:color="auto" w:fill="62136D" w:themeFill="accent2"/>
            <w:noWrap/>
            <w:hideMark/>
          </w:tcPr>
          <w:p w14:paraId="27C09E99" w14:textId="34380B2A"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Mel</w:t>
            </w:r>
          </w:p>
        </w:tc>
        <w:tc>
          <w:tcPr>
            <w:tcW w:w="760" w:type="dxa"/>
            <w:shd w:val="clear" w:color="auto" w:fill="62136D" w:themeFill="accent2"/>
            <w:noWrap/>
            <w:hideMark/>
          </w:tcPr>
          <w:p w14:paraId="23910C14" w14:textId="228580B2"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Bris</w:t>
            </w:r>
          </w:p>
        </w:tc>
        <w:tc>
          <w:tcPr>
            <w:tcW w:w="752" w:type="dxa"/>
            <w:shd w:val="clear" w:color="auto" w:fill="62136D" w:themeFill="accent2"/>
            <w:noWrap/>
            <w:hideMark/>
          </w:tcPr>
          <w:p w14:paraId="0E893376" w14:textId="4A7A65FA"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Ade</w:t>
            </w:r>
          </w:p>
        </w:tc>
        <w:tc>
          <w:tcPr>
            <w:tcW w:w="704" w:type="dxa"/>
            <w:shd w:val="clear" w:color="auto" w:fill="62136D" w:themeFill="accent2"/>
            <w:noWrap/>
            <w:hideMark/>
          </w:tcPr>
          <w:p w14:paraId="4087E153" w14:textId="6F30E22B"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Per</w:t>
            </w:r>
          </w:p>
        </w:tc>
        <w:tc>
          <w:tcPr>
            <w:tcW w:w="704" w:type="dxa"/>
            <w:shd w:val="clear" w:color="auto" w:fill="62136D" w:themeFill="accent2"/>
            <w:noWrap/>
            <w:hideMark/>
          </w:tcPr>
          <w:p w14:paraId="37DC147B" w14:textId="2AA66921"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Hob</w:t>
            </w:r>
          </w:p>
        </w:tc>
        <w:tc>
          <w:tcPr>
            <w:tcW w:w="704" w:type="dxa"/>
            <w:shd w:val="clear" w:color="auto" w:fill="62136D" w:themeFill="accent2"/>
            <w:noWrap/>
            <w:hideMark/>
          </w:tcPr>
          <w:p w14:paraId="110A78AB" w14:textId="619E5A2D"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Dar</w:t>
            </w:r>
          </w:p>
        </w:tc>
        <w:tc>
          <w:tcPr>
            <w:tcW w:w="793" w:type="dxa"/>
            <w:shd w:val="clear" w:color="auto" w:fill="62136D" w:themeFill="accent2"/>
            <w:noWrap/>
            <w:hideMark/>
          </w:tcPr>
          <w:p w14:paraId="59C4049F" w14:textId="09603EC6"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Can</w:t>
            </w:r>
          </w:p>
        </w:tc>
        <w:tc>
          <w:tcPr>
            <w:tcW w:w="1038" w:type="dxa"/>
            <w:shd w:val="clear" w:color="auto" w:fill="62136D" w:themeFill="accent2"/>
            <w:noWrap/>
            <w:hideMark/>
          </w:tcPr>
          <w:p w14:paraId="4FF2330F" w14:textId="77777777" w:rsidR="007B627D" w:rsidRPr="00D67A4E" w:rsidRDefault="007B627D" w:rsidP="007B627D">
            <w:pPr>
              <w:suppressAutoHyphens w:val="0"/>
              <w:spacing w:before="0" w:line="240" w:lineRule="auto"/>
              <w:jc w:val="left"/>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Weighted Average</w:t>
            </w:r>
          </w:p>
        </w:tc>
      </w:tr>
      <w:tr w:rsidR="00596678" w:rsidRPr="007B627D" w14:paraId="7A8B32D9" w14:textId="77777777" w:rsidTr="00D67A4E">
        <w:trPr>
          <w:trHeight w:val="525"/>
        </w:trPr>
        <w:tc>
          <w:tcPr>
            <w:tcW w:w="8499" w:type="dxa"/>
            <w:gridSpan w:val="10"/>
            <w:noWrap/>
            <w:hideMark/>
          </w:tcPr>
          <w:p w14:paraId="4FBC0150" w14:textId="5C951315"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 xml:space="preserve">Cost of child - Post separation — </w:t>
            </w:r>
            <w:r w:rsidR="00354DE5">
              <w:rPr>
                <w:rFonts w:eastAsia="Times New Roman" w:cs="Arial"/>
                <w:color w:val="000000"/>
                <w:szCs w:val="20"/>
                <w:lang w:eastAsia="en-AU"/>
              </w:rPr>
              <w:t xml:space="preserve">Modest </w:t>
            </w:r>
            <w:proofErr w:type="gramStart"/>
            <w:r w:rsidR="00354DE5">
              <w:rPr>
                <w:rFonts w:eastAsia="Times New Roman" w:cs="Arial"/>
                <w:color w:val="000000"/>
                <w:szCs w:val="20"/>
                <w:lang w:eastAsia="en-AU"/>
              </w:rPr>
              <w:t>But</w:t>
            </w:r>
            <w:proofErr w:type="gramEnd"/>
            <w:r w:rsidR="00354DE5">
              <w:rPr>
                <w:rFonts w:eastAsia="Times New Roman" w:cs="Arial"/>
                <w:color w:val="000000"/>
                <w:szCs w:val="20"/>
                <w:lang w:eastAsia="en-AU"/>
              </w:rPr>
              <w:t xml:space="preserve"> Adequate</w:t>
            </w:r>
            <w:r w:rsidRPr="007B627D">
              <w:rPr>
                <w:rFonts w:eastAsia="Times New Roman" w:cs="Arial"/>
                <w:color w:val="000000"/>
                <w:szCs w:val="20"/>
                <w:lang w:eastAsia="en-AU"/>
              </w:rPr>
              <w:t xml:space="preserve"> — Both parents work full-time</w:t>
            </w:r>
          </w:p>
        </w:tc>
      </w:tr>
      <w:tr w:rsidR="00ED30C0" w:rsidRPr="007B627D" w14:paraId="40F2A13C" w14:textId="77777777" w:rsidTr="00D67A4E">
        <w:trPr>
          <w:trHeight w:val="525"/>
        </w:trPr>
        <w:tc>
          <w:tcPr>
            <w:tcW w:w="1472" w:type="dxa"/>
            <w:noWrap/>
            <w:hideMark/>
          </w:tcPr>
          <w:p w14:paraId="492AB866"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(100%)</w:t>
            </w:r>
          </w:p>
        </w:tc>
        <w:tc>
          <w:tcPr>
            <w:tcW w:w="704" w:type="dxa"/>
            <w:noWrap/>
            <w:hideMark/>
          </w:tcPr>
          <w:p w14:paraId="06F10DC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9.27</w:t>
            </w:r>
          </w:p>
        </w:tc>
        <w:tc>
          <w:tcPr>
            <w:tcW w:w="868" w:type="dxa"/>
            <w:noWrap/>
            <w:hideMark/>
          </w:tcPr>
          <w:p w14:paraId="68AA544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11.42</w:t>
            </w:r>
          </w:p>
        </w:tc>
        <w:tc>
          <w:tcPr>
            <w:tcW w:w="760" w:type="dxa"/>
            <w:noWrap/>
            <w:hideMark/>
          </w:tcPr>
          <w:p w14:paraId="696FD81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10.98</w:t>
            </w:r>
          </w:p>
        </w:tc>
        <w:tc>
          <w:tcPr>
            <w:tcW w:w="752" w:type="dxa"/>
            <w:noWrap/>
            <w:hideMark/>
          </w:tcPr>
          <w:p w14:paraId="02C2FD2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9.51</w:t>
            </w:r>
          </w:p>
        </w:tc>
        <w:tc>
          <w:tcPr>
            <w:tcW w:w="704" w:type="dxa"/>
            <w:noWrap/>
            <w:hideMark/>
          </w:tcPr>
          <w:p w14:paraId="0D7747A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10.13</w:t>
            </w:r>
          </w:p>
        </w:tc>
        <w:tc>
          <w:tcPr>
            <w:tcW w:w="704" w:type="dxa"/>
            <w:noWrap/>
            <w:hideMark/>
          </w:tcPr>
          <w:p w14:paraId="3404436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10.65</w:t>
            </w:r>
          </w:p>
        </w:tc>
        <w:tc>
          <w:tcPr>
            <w:tcW w:w="704" w:type="dxa"/>
            <w:noWrap/>
            <w:hideMark/>
          </w:tcPr>
          <w:p w14:paraId="229BD68A" w14:textId="2D5F4D2D"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10.8</w:t>
            </w:r>
            <w:r w:rsidR="00580472">
              <w:rPr>
                <w:rFonts w:eastAsia="Times New Roman" w:cs="Arial"/>
                <w:color w:val="000000"/>
                <w:sz w:val="18"/>
                <w:lang w:eastAsia="en-AU"/>
              </w:rPr>
              <w:t>0</w:t>
            </w:r>
          </w:p>
        </w:tc>
        <w:tc>
          <w:tcPr>
            <w:tcW w:w="793" w:type="dxa"/>
            <w:noWrap/>
            <w:hideMark/>
          </w:tcPr>
          <w:p w14:paraId="4F821E1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11.95</w:t>
            </w:r>
          </w:p>
        </w:tc>
        <w:tc>
          <w:tcPr>
            <w:tcW w:w="1038" w:type="dxa"/>
            <w:noWrap/>
            <w:hideMark/>
          </w:tcPr>
          <w:p w14:paraId="4DC9F7EE"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10.36</w:t>
            </w:r>
          </w:p>
        </w:tc>
      </w:tr>
      <w:tr w:rsidR="00ED30C0" w:rsidRPr="007B627D" w14:paraId="19045438" w14:textId="77777777" w:rsidTr="00D67A4E">
        <w:trPr>
          <w:trHeight w:val="525"/>
        </w:trPr>
        <w:tc>
          <w:tcPr>
            <w:tcW w:w="1472" w:type="dxa"/>
            <w:noWrap/>
            <w:hideMark/>
          </w:tcPr>
          <w:p w14:paraId="28077598"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(80%)</w:t>
            </w:r>
          </w:p>
        </w:tc>
        <w:tc>
          <w:tcPr>
            <w:tcW w:w="704" w:type="dxa"/>
            <w:noWrap/>
            <w:hideMark/>
          </w:tcPr>
          <w:p w14:paraId="41370DA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9.13</w:t>
            </w:r>
          </w:p>
        </w:tc>
        <w:tc>
          <w:tcPr>
            <w:tcW w:w="868" w:type="dxa"/>
            <w:noWrap/>
            <w:hideMark/>
          </w:tcPr>
          <w:p w14:paraId="78148E4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11.28</w:t>
            </w:r>
          </w:p>
        </w:tc>
        <w:tc>
          <w:tcPr>
            <w:tcW w:w="760" w:type="dxa"/>
            <w:noWrap/>
            <w:hideMark/>
          </w:tcPr>
          <w:p w14:paraId="47A3DB6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10.83</w:t>
            </w:r>
          </w:p>
        </w:tc>
        <w:tc>
          <w:tcPr>
            <w:tcW w:w="752" w:type="dxa"/>
            <w:noWrap/>
            <w:hideMark/>
          </w:tcPr>
          <w:p w14:paraId="742466D0"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9.39</w:t>
            </w:r>
          </w:p>
        </w:tc>
        <w:tc>
          <w:tcPr>
            <w:tcW w:w="704" w:type="dxa"/>
            <w:noWrap/>
            <w:hideMark/>
          </w:tcPr>
          <w:p w14:paraId="3389317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9.98</w:t>
            </w:r>
          </w:p>
        </w:tc>
        <w:tc>
          <w:tcPr>
            <w:tcW w:w="704" w:type="dxa"/>
            <w:noWrap/>
            <w:hideMark/>
          </w:tcPr>
          <w:p w14:paraId="313AD43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10.51</w:t>
            </w:r>
          </w:p>
        </w:tc>
        <w:tc>
          <w:tcPr>
            <w:tcW w:w="704" w:type="dxa"/>
            <w:noWrap/>
            <w:hideMark/>
          </w:tcPr>
          <w:p w14:paraId="38ECB1E7"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10.64</w:t>
            </w:r>
          </w:p>
        </w:tc>
        <w:tc>
          <w:tcPr>
            <w:tcW w:w="793" w:type="dxa"/>
            <w:noWrap/>
            <w:hideMark/>
          </w:tcPr>
          <w:p w14:paraId="6B71B5EB" w14:textId="2CE09A79"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11.8</w:t>
            </w:r>
            <w:r w:rsidR="00580472">
              <w:rPr>
                <w:rFonts w:eastAsia="Times New Roman" w:cs="Arial"/>
                <w:color w:val="000000"/>
                <w:sz w:val="18"/>
                <w:lang w:eastAsia="en-AU"/>
              </w:rPr>
              <w:t>0</w:t>
            </w:r>
          </w:p>
        </w:tc>
        <w:tc>
          <w:tcPr>
            <w:tcW w:w="1038" w:type="dxa"/>
            <w:noWrap/>
            <w:hideMark/>
          </w:tcPr>
          <w:p w14:paraId="045CF1C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10.21</w:t>
            </w:r>
          </w:p>
        </w:tc>
      </w:tr>
      <w:tr w:rsidR="00ED30C0" w:rsidRPr="007B627D" w14:paraId="6B7FF193" w14:textId="77777777" w:rsidTr="00D67A4E">
        <w:trPr>
          <w:trHeight w:val="525"/>
        </w:trPr>
        <w:tc>
          <w:tcPr>
            <w:tcW w:w="1472" w:type="dxa"/>
            <w:noWrap/>
            <w:hideMark/>
          </w:tcPr>
          <w:p w14:paraId="07FD9B3F"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Non-resident parent (20%)</w:t>
            </w:r>
          </w:p>
        </w:tc>
        <w:tc>
          <w:tcPr>
            <w:tcW w:w="704" w:type="dxa"/>
            <w:noWrap/>
            <w:hideMark/>
          </w:tcPr>
          <w:p w14:paraId="27396C2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2.87</w:t>
            </w:r>
          </w:p>
        </w:tc>
        <w:tc>
          <w:tcPr>
            <w:tcW w:w="868" w:type="dxa"/>
            <w:noWrap/>
            <w:hideMark/>
          </w:tcPr>
          <w:p w14:paraId="60F794D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4.67</w:t>
            </w:r>
          </w:p>
        </w:tc>
        <w:tc>
          <w:tcPr>
            <w:tcW w:w="760" w:type="dxa"/>
            <w:noWrap/>
            <w:hideMark/>
          </w:tcPr>
          <w:p w14:paraId="1517146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4.86</w:t>
            </w:r>
          </w:p>
        </w:tc>
        <w:tc>
          <w:tcPr>
            <w:tcW w:w="752" w:type="dxa"/>
            <w:noWrap/>
            <w:hideMark/>
          </w:tcPr>
          <w:p w14:paraId="317610F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3.65</w:t>
            </w:r>
          </w:p>
        </w:tc>
        <w:tc>
          <w:tcPr>
            <w:tcW w:w="704" w:type="dxa"/>
            <w:noWrap/>
            <w:hideMark/>
          </w:tcPr>
          <w:p w14:paraId="1975253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3.88</w:t>
            </w:r>
          </w:p>
        </w:tc>
        <w:tc>
          <w:tcPr>
            <w:tcW w:w="704" w:type="dxa"/>
            <w:noWrap/>
            <w:hideMark/>
          </w:tcPr>
          <w:p w14:paraId="3E20F71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4.16</w:t>
            </w:r>
          </w:p>
        </w:tc>
        <w:tc>
          <w:tcPr>
            <w:tcW w:w="704" w:type="dxa"/>
            <w:noWrap/>
            <w:hideMark/>
          </w:tcPr>
          <w:p w14:paraId="11B3CD81"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4.63</w:t>
            </w:r>
          </w:p>
        </w:tc>
        <w:tc>
          <w:tcPr>
            <w:tcW w:w="793" w:type="dxa"/>
            <w:noWrap/>
            <w:hideMark/>
          </w:tcPr>
          <w:p w14:paraId="39DF7E6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5.21</w:t>
            </w:r>
          </w:p>
        </w:tc>
        <w:tc>
          <w:tcPr>
            <w:tcW w:w="1038" w:type="dxa"/>
            <w:noWrap/>
            <w:hideMark/>
          </w:tcPr>
          <w:p w14:paraId="4E019D5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3.95</w:t>
            </w:r>
          </w:p>
        </w:tc>
      </w:tr>
      <w:tr w:rsidR="00ED30C0" w:rsidRPr="007B627D" w14:paraId="2C90EF13" w14:textId="77777777" w:rsidTr="00D67A4E">
        <w:trPr>
          <w:trHeight w:val="525"/>
        </w:trPr>
        <w:tc>
          <w:tcPr>
            <w:tcW w:w="1472" w:type="dxa"/>
            <w:noWrap/>
            <w:hideMark/>
          </w:tcPr>
          <w:p w14:paraId="42AB8264"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Total (80%/20%)</w:t>
            </w:r>
          </w:p>
        </w:tc>
        <w:tc>
          <w:tcPr>
            <w:tcW w:w="704" w:type="dxa"/>
            <w:noWrap/>
            <w:hideMark/>
          </w:tcPr>
          <w:p w14:paraId="48B61856" w14:textId="7068A0AC"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12</w:t>
            </w:r>
            <w:r w:rsidR="00580472" w:rsidRPr="00EE2AAA">
              <w:rPr>
                <w:rFonts w:eastAsia="Times New Roman" w:cs="Arial"/>
                <w:color w:val="000000"/>
                <w:sz w:val="18"/>
                <w:szCs w:val="24"/>
                <w:lang w:eastAsia="en-AU"/>
              </w:rPr>
              <w:t>.00</w:t>
            </w:r>
          </w:p>
        </w:tc>
        <w:tc>
          <w:tcPr>
            <w:tcW w:w="868" w:type="dxa"/>
            <w:noWrap/>
            <w:hideMark/>
          </w:tcPr>
          <w:p w14:paraId="0CD0653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15.95</w:t>
            </w:r>
          </w:p>
        </w:tc>
        <w:tc>
          <w:tcPr>
            <w:tcW w:w="760" w:type="dxa"/>
            <w:noWrap/>
            <w:hideMark/>
          </w:tcPr>
          <w:p w14:paraId="31C713B8" w14:textId="78C028BD"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15.7</w:t>
            </w:r>
            <w:r w:rsidR="00580472" w:rsidRPr="00EE2AAA">
              <w:rPr>
                <w:rFonts w:eastAsia="Times New Roman" w:cs="Arial"/>
                <w:color w:val="000000"/>
                <w:sz w:val="18"/>
                <w:szCs w:val="24"/>
                <w:lang w:eastAsia="en-AU"/>
              </w:rPr>
              <w:t>0</w:t>
            </w:r>
          </w:p>
        </w:tc>
        <w:tc>
          <w:tcPr>
            <w:tcW w:w="752" w:type="dxa"/>
            <w:noWrap/>
            <w:hideMark/>
          </w:tcPr>
          <w:p w14:paraId="3D4C4A8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13.04</w:t>
            </w:r>
          </w:p>
        </w:tc>
        <w:tc>
          <w:tcPr>
            <w:tcW w:w="704" w:type="dxa"/>
            <w:noWrap/>
            <w:hideMark/>
          </w:tcPr>
          <w:p w14:paraId="32D4820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13.86</w:t>
            </w:r>
          </w:p>
        </w:tc>
        <w:tc>
          <w:tcPr>
            <w:tcW w:w="704" w:type="dxa"/>
            <w:noWrap/>
            <w:hideMark/>
          </w:tcPr>
          <w:p w14:paraId="1D8CFD9E"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14.67</w:t>
            </w:r>
          </w:p>
        </w:tc>
        <w:tc>
          <w:tcPr>
            <w:tcW w:w="704" w:type="dxa"/>
            <w:noWrap/>
            <w:hideMark/>
          </w:tcPr>
          <w:p w14:paraId="44EA5D4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15.26</w:t>
            </w:r>
          </w:p>
        </w:tc>
        <w:tc>
          <w:tcPr>
            <w:tcW w:w="793" w:type="dxa"/>
            <w:noWrap/>
            <w:hideMark/>
          </w:tcPr>
          <w:p w14:paraId="6E09668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17.01</w:t>
            </w:r>
          </w:p>
        </w:tc>
        <w:tc>
          <w:tcPr>
            <w:tcW w:w="1038" w:type="dxa"/>
            <w:noWrap/>
            <w:hideMark/>
          </w:tcPr>
          <w:p w14:paraId="79B00F6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14.17</w:t>
            </w:r>
          </w:p>
        </w:tc>
      </w:tr>
      <w:tr w:rsidR="00ED30C0" w:rsidRPr="007B627D" w14:paraId="31B011BE" w14:textId="77777777" w:rsidTr="00D67A4E">
        <w:trPr>
          <w:trHeight w:val="525"/>
        </w:trPr>
        <w:tc>
          <w:tcPr>
            <w:tcW w:w="1472" w:type="dxa"/>
            <w:noWrap/>
            <w:hideMark/>
          </w:tcPr>
          <w:p w14:paraId="080DA339"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(50%)</w:t>
            </w:r>
          </w:p>
        </w:tc>
        <w:tc>
          <w:tcPr>
            <w:tcW w:w="704" w:type="dxa"/>
            <w:noWrap/>
            <w:hideMark/>
          </w:tcPr>
          <w:p w14:paraId="0E3B6A1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6.42</w:t>
            </w:r>
          </w:p>
        </w:tc>
        <w:tc>
          <w:tcPr>
            <w:tcW w:w="868" w:type="dxa"/>
            <w:noWrap/>
            <w:hideMark/>
          </w:tcPr>
          <w:p w14:paraId="1861F0E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8.42</w:t>
            </w:r>
          </w:p>
        </w:tc>
        <w:tc>
          <w:tcPr>
            <w:tcW w:w="760" w:type="dxa"/>
            <w:noWrap/>
            <w:hideMark/>
          </w:tcPr>
          <w:p w14:paraId="006309F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8.24</w:t>
            </w:r>
          </w:p>
        </w:tc>
        <w:tc>
          <w:tcPr>
            <w:tcW w:w="752" w:type="dxa"/>
            <w:noWrap/>
            <w:hideMark/>
          </w:tcPr>
          <w:p w14:paraId="7281DF8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6.97</w:t>
            </w:r>
          </w:p>
        </w:tc>
        <w:tc>
          <w:tcPr>
            <w:tcW w:w="704" w:type="dxa"/>
            <w:noWrap/>
            <w:hideMark/>
          </w:tcPr>
          <w:p w14:paraId="7B68607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7.35</w:t>
            </w:r>
          </w:p>
        </w:tc>
        <w:tc>
          <w:tcPr>
            <w:tcW w:w="704" w:type="dxa"/>
            <w:noWrap/>
            <w:hideMark/>
          </w:tcPr>
          <w:p w14:paraId="6E4955D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7.78</w:t>
            </w:r>
          </w:p>
        </w:tc>
        <w:tc>
          <w:tcPr>
            <w:tcW w:w="704" w:type="dxa"/>
            <w:noWrap/>
            <w:hideMark/>
          </w:tcPr>
          <w:p w14:paraId="0E6E5A1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8.06</w:t>
            </w:r>
          </w:p>
        </w:tc>
        <w:tc>
          <w:tcPr>
            <w:tcW w:w="793" w:type="dxa"/>
            <w:noWrap/>
            <w:hideMark/>
          </w:tcPr>
          <w:p w14:paraId="3A83077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8.94</w:t>
            </w:r>
          </w:p>
        </w:tc>
        <w:tc>
          <w:tcPr>
            <w:tcW w:w="1038" w:type="dxa"/>
            <w:noWrap/>
            <w:hideMark/>
          </w:tcPr>
          <w:p w14:paraId="4FC305C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7.51</w:t>
            </w:r>
          </w:p>
        </w:tc>
      </w:tr>
      <w:tr w:rsidR="00ED30C0" w:rsidRPr="007B627D" w14:paraId="01F106D9" w14:textId="77777777" w:rsidTr="00D67A4E">
        <w:trPr>
          <w:trHeight w:val="525"/>
        </w:trPr>
        <w:tc>
          <w:tcPr>
            <w:tcW w:w="1472" w:type="dxa"/>
            <w:noWrap/>
            <w:hideMark/>
          </w:tcPr>
          <w:p w14:paraId="45801BB8"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Non-resident parent (50%)</w:t>
            </w:r>
          </w:p>
        </w:tc>
        <w:tc>
          <w:tcPr>
            <w:tcW w:w="704" w:type="dxa"/>
            <w:noWrap/>
            <w:hideMark/>
          </w:tcPr>
          <w:p w14:paraId="5EB4454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6.33</w:t>
            </w:r>
          </w:p>
        </w:tc>
        <w:tc>
          <w:tcPr>
            <w:tcW w:w="868" w:type="dxa"/>
            <w:noWrap/>
            <w:hideMark/>
          </w:tcPr>
          <w:p w14:paraId="44D269B1"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8.28</w:t>
            </w:r>
          </w:p>
        </w:tc>
        <w:tc>
          <w:tcPr>
            <w:tcW w:w="760" w:type="dxa"/>
            <w:noWrap/>
            <w:hideMark/>
          </w:tcPr>
          <w:p w14:paraId="572D8E4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8.16</w:t>
            </w:r>
          </w:p>
        </w:tc>
        <w:tc>
          <w:tcPr>
            <w:tcW w:w="752" w:type="dxa"/>
            <w:noWrap/>
            <w:hideMark/>
          </w:tcPr>
          <w:p w14:paraId="09B837FA"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6.82</w:t>
            </w:r>
          </w:p>
        </w:tc>
        <w:tc>
          <w:tcPr>
            <w:tcW w:w="704" w:type="dxa"/>
            <w:noWrap/>
            <w:hideMark/>
          </w:tcPr>
          <w:p w14:paraId="7B4820C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7.25</w:t>
            </w:r>
          </w:p>
        </w:tc>
        <w:tc>
          <w:tcPr>
            <w:tcW w:w="704" w:type="dxa"/>
            <w:noWrap/>
            <w:hideMark/>
          </w:tcPr>
          <w:p w14:paraId="191F2E0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7.64</w:t>
            </w:r>
          </w:p>
        </w:tc>
        <w:tc>
          <w:tcPr>
            <w:tcW w:w="704" w:type="dxa"/>
            <w:noWrap/>
            <w:hideMark/>
          </w:tcPr>
          <w:p w14:paraId="5C362041"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7.96</w:t>
            </w:r>
          </w:p>
        </w:tc>
        <w:tc>
          <w:tcPr>
            <w:tcW w:w="793" w:type="dxa"/>
            <w:noWrap/>
            <w:hideMark/>
          </w:tcPr>
          <w:p w14:paraId="238049A9" w14:textId="657B1432"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8.8</w:t>
            </w:r>
            <w:r w:rsidR="00580472">
              <w:rPr>
                <w:rFonts w:eastAsia="Times New Roman" w:cs="Arial"/>
                <w:color w:val="000000"/>
                <w:sz w:val="18"/>
                <w:lang w:eastAsia="en-AU"/>
              </w:rPr>
              <w:t>0</w:t>
            </w:r>
          </w:p>
        </w:tc>
        <w:tc>
          <w:tcPr>
            <w:tcW w:w="1038" w:type="dxa"/>
            <w:noWrap/>
            <w:hideMark/>
          </w:tcPr>
          <w:p w14:paraId="0B96AF64" w14:textId="3FB7F964"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7.4</w:t>
            </w:r>
            <w:r w:rsidR="00580472">
              <w:rPr>
                <w:rFonts w:eastAsia="Times New Roman" w:cs="Arial"/>
                <w:color w:val="000000"/>
                <w:sz w:val="18"/>
                <w:lang w:eastAsia="en-AU"/>
              </w:rPr>
              <w:t>0</w:t>
            </w:r>
          </w:p>
        </w:tc>
      </w:tr>
      <w:tr w:rsidR="00ED30C0" w:rsidRPr="007B627D" w14:paraId="131E25EE" w14:textId="77777777" w:rsidTr="00D67A4E">
        <w:trPr>
          <w:trHeight w:val="525"/>
        </w:trPr>
        <w:tc>
          <w:tcPr>
            <w:tcW w:w="1472" w:type="dxa"/>
            <w:noWrap/>
            <w:hideMark/>
          </w:tcPr>
          <w:p w14:paraId="790D1223"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Total (50%/50%)</w:t>
            </w:r>
          </w:p>
        </w:tc>
        <w:tc>
          <w:tcPr>
            <w:tcW w:w="704" w:type="dxa"/>
            <w:noWrap/>
            <w:hideMark/>
          </w:tcPr>
          <w:p w14:paraId="057DAF1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12.74</w:t>
            </w:r>
          </w:p>
        </w:tc>
        <w:tc>
          <w:tcPr>
            <w:tcW w:w="868" w:type="dxa"/>
            <w:noWrap/>
            <w:hideMark/>
          </w:tcPr>
          <w:p w14:paraId="41B1FDCF" w14:textId="00B4253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16.7</w:t>
            </w:r>
            <w:r w:rsidR="00580472" w:rsidRPr="00EE2AAA">
              <w:rPr>
                <w:rFonts w:eastAsia="Times New Roman" w:cs="Arial"/>
                <w:color w:val="000000"/>
                <w:sz w:val="18"/>
                <w:szCs w:val="24"/>
                <w:lang w:eastAsia="en-AU"/>
              </w:rPr>
              <w:t>0</w:t>
            </w:r>
          </w:p>
        </w:tc>
        <w:tc>
          <w:tcPr>
            <w:tcW w:w="760" w:type="dxa"/>
            <w:noWrap/>
            <w:hideMark/>
          </w:tcPr>
          <w:p w14:paraId="6462D7D9" w14:textId="0FE5E2BF"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16.4</w:t>
            </w:r>
            <w:r w:rsidR="00580472" w:rsidRPr="00EE2AAA">
              <w:rPr>
                <w:rFonts w:eastAsia="Times New Roman" w:cs="Arial"/>
                <w:color w:val="000000"/>
                <w:sz w:val="18"/>
                <w:szCs w:val="24"/>
                <w:lang w:eastAsia="en-AU"/>
              </w:rPr>
              <w:t>0</w:t>
            </w:r>
          </w:p>
        </w:tc>
        <w:tc>
          <w:tcPr>
            <w:tcW w:w="752" w:type="dxa"/>
            <w:noWrap/>
            <w:hideMark/>
          </w:tcPr>
          <w:p w14:paraId="3EFF7E0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13.79</w:t>
            </w:r>
          </w:p>
        </w:tc>
        <w:tc>
          <w:tcPr>
            <w:tcW w:w="704" w:type="dxa"/>
            <w:noWrap/>
            <w:hideMark/>
          </w:tcPr>
          <w:p w14:paraId="6A9245A7" w14:textId="45B96376"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14.6</w:t>
            </w:r>
            <w:r w:rsidR="00580472" w:rsidRPr="00EE2AAA">
              <w:rPr>
                <w:rFonts w:eastAsia="Times New Roman" w:cs="Arial"/>
                <w:color w:val="000000"/>
                <w:sz w:val="18"/>
                <w:szCs w:val="24"/>
                <w:lang w:eastAsia="en-AU"/>
              </w:rPr>
              <w:t>0</w:t>
            </w:r>
          </w:p>
        </w:tc>
        <w:tc>
          <w:tcPr>
            <w:tcW w:w="704" w:type="dxa"/>
            <w:noWrap/>
            <w:hideMark/>
          </w:tcPr>
          <w:p w14:paraId="08870E9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15.43</w:t>
            </w:r>
          </w:p>
        </w:tc>
        <w:tc>
          <w:tcPr>
            <w:tcW w:w="704" w:type="dxa"/>
            <w:noWrap/>
            <w:hideMark/>
          </w:tcPr>
          <w:p w14:paraId="404727B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16.02</w:t>
            </w:r>
          </w:p>
        </w:tc>
        <w:tc>
          <w:tcPr>
            <w:tcW w:w="793" w:type="dxa"/>
            <w:noWrap/>
            <w:hideMark/>
          </w:tcPr>
          <w:p w14:paraId="04CBA38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17.74</w:t>
            </w:r>
          </w:p>
        </w:tc>
        <w:tc>
          <w:tcPr>
            <w:tcW w:w="1038" w:type="dxa"/>
            <w:noWrap/>
            <w:hideMark/>
          </w:tcPr>
          <w:p w14:paraId="134D11D1"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14.91</w:t>
            </w:r>
          </w:p>
        </w:tc>
      </w:tr>
      <w:tr w:rsidR="00596678" w:rsidRPr="007B627D" w14:paraId="413779DF" w14:textId="77777777" w:rsidTr="00D67A4E">
        <w:trPr>
          <w:trHeight w:val="525"/>
        </w:trPr>
        <w:tc>
          <w:tcPr>
            <w:tcW w:w="8499" w:type="dxa"/>
            <w:gridSpan w:val="10"/>
            <w:noWrap/>
            <w:hideMark/>
          </w:tcPr>
          <w:p w14:paraId="3EFE6A0E" w14:textId="40E363D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 xml:space="preserve">Cost of child - Post separation — </w:t>
            </w:r>
            <w:r w:rsidR="00354DE5">
              <w:rPr>
                <w:rFonts w:eastAsia="Times New Roman" w:cs="Arial"/>
                <w:color w:val="000000"/>
                <w:szCs w:val="20"/>
                <w:lang w:eastAsia="en-AU"/>
              </w:rPr>
              <w:t>Low cost</w:t>
            </w:r>
            <w:r w:rsidRPr="007B627D">
              <w:rPr>
                <w:rFonts w:eastAsia="Times New Roman" w:cs="Arial"/>
                <w:color w:val="000000"/>
                <w:szCs w:val="20"/>
                <w:lang w:eastAsia="en-AU"/>
              </w:rPr>
              <w:t xml:space="preserve"> — Resident parent not in the labour force; </w:t>
            </w:r>
            <w:proofErr w:type="gramStart"/>
            <w:r w:rsidRPr="007B627D">
              <w:rPr>
                <w:rFonts w:eastAsia="Times New Roman" w:cs="Arial"/>
                <w:color w:val="000000"/>
                <w:szCs w:val="20"/>
                <w:lang w:eastAsia="en-AU"/>
              </w:rPr>
              <w:t>Non-resident</w:t>
            </w:r>
            <w:proofErr w:type="gramEnd"/>
            <w:r w:rsidRPr="007B627D">
              <w:rPr>
                <w:rFonts w:eastAsia="Times New Roman" w:cs="Arial"/>
                <w:color w:val="000000"/>
                <w:szCs w:val="20"/>
                <w:lang w:eastAsia="en-AU"/>
              </w:rPr>
              <w:t xml:space="preserve"> parent employed</w:t>
            </w:r>
          </w:p>
        </w:tc>
      </w:tr>
      <w:tr w:rsidR="00ED30C0" w:rsidRPr="007B627D" w14:paraId="42026707" w14:textId="77777777" w:rsidTr="00D67A4E">
        <w:trPr>
          <w:trHeight w:val="525"/>
        </w:trPr>
        <w:tc>
          <w:tcPr>
            <w:tcW w:w="1472" w:type="dxa"/>
            <w:noWrap/>
            <w:hideMark/>
          </w:tcPr>
          <w:p w14:paraId="084B313D"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(100%)</w:t>
            </w:r>
          </w:p>
        </w:tc>
        <w:tc>
          <w:tcPr>
            <w:tcW w:w="704" w:type="dxa"/>
            <w:noWrap/>
            <w:hideMark/>
          </w:tcPr>
          <w:p w14:paraId="47ACA0B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5.09</w:t>
            </w:r>
          </w:p>
        </w:tc>
        <w:tc>
          <w:tcPr>
            <w:tcW w:w="868" w:type="dxa"/>
            <w:noWrap/>
            <w:hideMark/>
          </w:tcPr>
          <w:p w14:paraId="449F599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5.77</w:t>
            </w:r>
          </w:p>
        </w:tc>
        <w:tc>
          <w:tcPr>
            <w:tcW w:w="760" w:type="dxa"/>
            <w:noWrap/>
            <w:hideMark/>
          </w:tcPr>
          <w:p w14:paraId="303DA58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6.21</w:t>
            </w:r>
          </w:p>
        </w:tc>
        <w:tc>
          <w:tcPr>
            <w:tcW w:w="752" w:type="dxa"/>
            <w:noWrap/>
            <w:hideMark/>
          </w:tcPr>
          <w:p w14:paraId="4804803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4.96</w:t>
            </w:r>
          </w:p>
        </w:tc>
        <w:tc>
          <w:tcPr>
            <w:tcW w:w="704" w:type="dxa"/>
            <w:noWrap/>
            <w:hideMark/>
          </w:tcPr>
          <w:p w14:paraId="6FB88D9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5.03</w:t>
            </w:r>
          </w:p>
        </w:tc>
        <w:tc>
          <w:tcPr>
            <w:tcW w:w="704" w:type="dxa"/>
            <w:noWrap/>
            <w:hideMark/>
          </w:tcPr>
          <w:p w14:paraId="161C7CC6" w14:textId="71D81D3F"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6.3</w:t>
            </w:r>
            <w:r w:rsidR="00580472">
              <w:rPr>
                <w:rFonts w:eastAsia="Times New Roman" w:cs="Arial"/>
                <w:color w:val="000000"/>
                <w:sz w:val="18"/>
                <w:lang w:eastAsia="en-AU"/>
              </w:rPr>
              <w:t>0</w:t>
            </w:r>
          </w:p>
        </w:tc>
        <w:tc>
          <w:tcPr>
            <w:tcW w:w="704" w:type="dxa"/>
            <w:noWrap/>
            <w:hideMark/>
          </w:tcPr>
          <w:p w14:paraId="5DEB844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5.45</w:t>
            </w:r>
          </w:p>
        </w:tc>
        <w:tc>
          <w:tcPr>
            <w:tcW w:w="793" w:type="dxa"/>
            <w:noWrap/>
            <w:hideMark/>
          </w:tcPr>
          <w:p w14:paraId="2F3E9B8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6.83</w:t>
            </w:r>
          </w:p>
        </w:tc>
        <w:tc>
          <w:tcPr>
            <w:tcW w:w="1038" w:type="dxa"/>
            <w:noWrap/>
            <w:hideMark/>
          </w:tcPr>
          <w:p w14:paraId="0FE0FD3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5.49</w:t>
            </w:r>
          </w:p>
        </w:tc>
      </w:tr>
      <w:tr w:rsidR="00ED30C0" w:rsidRPr="007B627D" w14:paraId="630416CB" w14:textId="77777777" w:rsidTr="00D67A4E">
        <w:trPr>
          <w:trHeight w:val="525"/>
        </w:trPr>
        <w:tc>
          <w:tcPr>
            <w:tcW w:w="1472" w:type="dxa"/>
            <w:noWrap/>
            <w:hideMark/>
          </w:tcPr>
          <w:p w14:paraId="7F55251B"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(80%)</w:t>
            </w:r>
          </w:p>
        </w:tc>
        <w:tc>
          <w:tcPr>
            <w:tcW w:w="704" w:type="dxa"/>
            <w:noWrap/>
            <w:hideMark/>
          </w:tcPr>
          <w:p w14:paraId="007D893A"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5.05</w:t>
            </w:r>
          </w:p>
        </w:tc>
        <w:tc>
          <w:tcPr>
            <w:tcW w:w="868" w:type="dxa"/>
            <w:noWrap/>
            <w:hideMark/>
          </w:tcPr>
          <w:p w14:paraId="6B0638D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5.74</w:t>
            </w:r>
          </w:p>
        </w:tc>
        <w:tc>
          <w:tcPr>
            <w:tcW w:w="760" w:type="dxa"/>
            <w:noWrap/>
            <w:hideMark/>
          </w:tcPr>
          <w:p w14:paraId="68BF172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6.17</w:t>
            </w:r>
          </w:p>
        </w:tc>
        <w:tc>
          <w:tcPr>
            <w:tcW w:w="752" w:type="dxa"/>
            <w:noWrap/>
            <w:hideMark/>
          </w:tcPr>
          <w:p w14:paraId="05E7F50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4.95</w:t>
            </w:r>
          </w:p>
        </w:tc>
        <w:tc>
          <w:tcPr>
            <w:tcW w:w="704" w:type="dxa"/>
            <w:noWrap/>
            <w:hideMark/>
          </w:tcPr>
          <w:p w14:paraId="2EB000C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4.99</w:t>
            </w:r>
          </w:p>
        </w:tc>
        <w:tc>
          <w:tcPr>
            <w:tcW w:w="704" w:type="dxa"/>
            <w:noWrap/>
            <w:hideMark/>
          </w:tcPr>
          <w:p w14:paraId="311AE06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6.28</w:t>
            </w:r>
          </w:p>
        </w:tc>
        <w:tc>
          <w:tcPr>
            <w:tcW w:w="704" w:type="dxa"/>
            <w:noWrap/>
            <w:hideMark/>
          </w:tcPr>
          <w:p w14:paraId="6F20CBC0" w14:textId="23A220BA"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5.4</w:t>
            </w:r>
            <w:r w:rsidR="00580472">
              <w:rPr>
                <w:rFonts w:eastAsia="Times New Roman" w:cs="Arial"/>
                <w:color w:val="000000"/>
                <w:sz w:val="18"/>
                <w:lang w:eastAsia="en-AU"/>
              </w:rPr>
              <w:t>0</w:t>
            </w:r>
          </w:p>
        </w:tc>
        <w:tc>
          <w:tcPr>
            <w:tcW w:w="793" w:type="dxa"/>
            <w:noWrap/>
            <w:hideMark/>
          </w:tcPr>
          <w:p w14:paraId="58358540"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6.78</w:t>
            </w:r>
          </w:p>
        </w:tc>
        <w:tc>
          <w:tcPr>
            <w:tcW w:w="1038" w:type="dxa"/>
            <w:noWrap/>
            <w:hideMark/>
          </w:tcPr>
          <w:p w14:paraId="1845D5D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5.46</w:t>
            </w:r>
          </w:p>
        </w:tc>
      </w:tr>
      <w:tr w:rsidR="00ED30C0" w:rsidRPr="007B627D" w14:paraId="3822B163" w14:textId="77777777" w:rsidTr="00D67A4E">
        <w:trPr>
          <w:trHeight w:val="525"/>
        </w:trPr>
        <w:tc>
          <w:tcPr>
            <w:tcW w:w="1472" w:type="dxa"/>
            <w:noWrap/>
            <w:hideMark/>
          </w:tcPr>
          <w:p w14:paraId="5FAB1F11"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Non-resident parent (20%)</w:t>
            </w:r>
          </w:p>
        </w:tc>
        <w:tc>
          <w:tcPr>
            <w:tcW w:w="704" w:type="dxa"/>
            <w:noWrap/>
            <w:hideMark/>
          </w:tcPr>
          <w:p w14:paraId="42D3B39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2.85</w:t>
            </w:r>
          </w:p>
        </w:tc>
        <w:tc>
          <w:tcPr>
            <w:tcW w:w="868" w:type="dxa"/>
            <w:noWrap/>
            <w:hideMark/>
          </w:tcPr>
          <w:p w14:paraId="4E9D1DE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3.63</w:t>
            </w:r>
          </w:p>
        </w:tc>
        <w:tc>
          <w:tcPr>
            <w:tcW w:w="760" w:type="dxa"/>
            <w:noWrap/>
            <w:hideMark/>
          </w:tcPr>
          <w:p w14:paraId="7C90879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4.09</w:t>
            </w:r>
          </w:p>
        </w:tc>
        <w:tc>
          <w:tcPr>
            <w:tcW w:w="752" w:type="dxa"/>
            <w:noWrap/>
            <w:hideMark/>
          </w:tcPr>
          <w:p w14:paraId="4FAED54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2.85</w:t>
            </w:r>
          </w:p>
        </w:tc>
        <w:tc>
          <w:tcPr>
            <w:tcW w:w="704" w:type="dxa"/>
            <w:noWrap/>
            <w:hideMark/>
          </w:tcPr>
          <w:p w14:paraId="0138861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2.83</w:t>
            </w:r>
          </w:p>
        </w:tc>
        <w:tc>
          <w:tcPr>
            <w:tcW w:w="704" w:type="dxa"/>
            <w:noWrap/>
            <w:hideMark/>
          </w:tcPr>
          <w:p w14:paraId="707C176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4.15</w:t>
            </w:r>
          </w:p>
        </w:tc>
        <w:tc>
          <w:tcPr>
            <w:tcW w:w="704" w:type="dxa"/>
            <w:noWrap/>
            <w:hideMark/>
          </w:tcPr>
          <w:p w14:paraId="639A094E" w14:textId="586FD575"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3.2</w:t>
            </w:r>
            <w:r w:rsidR="00580472">
              <w:rPr>
                <w:rFonts w:eastAsia="Times New Roman" w:cs="Arial"/>
                <w:color w:val="000000"/>
                <w:sz w:val="18"/>
                <w:lang w:eastAsia="en-AU"/>
              </w:rPr>
              <w:t>0</w:t>
            </w:r>
          </w:p>
        </w:tc>
        <w:tc>
          <w:tcPr>
            <w:tcW w:w="793" w:type="dxa"/>
            <w:noWrap/>
            <w:hideMark/>
          </w:tcPr>
          <w:p w14:paraId="2763E0B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4.63</w:t>
            </w:r>
          </w:p>
        </w:tc>
        <w:tc>
          <w:tcPr>
            <w:tcW w:w="1038" w:type="dxa"/>
            <w:noWrap/>
            <w:hideMark/>
          </w:tcPr>
          <w:p w14:paraId="3DB064C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3.32</w:t>
            </w:r>
          </w:p>
        </w:tc>
      </w:tr>
      <w:tr w:rsidR="00ED30C0" w:rsidRPr="007B627D" w14:paraId="37CDE8FE" w14:textId="77777777" w:rsidTr="00D67A4E">
        <w:trPr>
          <w:trHeight w:val="525"/>
        </w:trPr>
        <w:tc>
          <w:tcPr>
            <w:tcW w:w="1472" w:type="dxa"/>
            <w:noWrap/>
            <w:hideMark/>
          </w:tcPr>
          <w:p w14:paraId="76D3BEEC" w14:textId="6E7A1023"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Total (80%20%)</w:t>
            </w:r>
          </w:p>
        </w:tc>
        <w:tc>
          <w:tcPr>
            <w:tcW w:w="704" w:type="dxa"/>
            <w:noWrap/>
            <w:hideMark/>
          </w:tcPr>
          <w:p w14:paraId="345069C8" w14:textId="2E1757CA"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7.9</w:t>
            </w:r>
            <w:r w:rsidR="00580472">
              <w:rPr>
                <w:rFonts w:eastAsia="Times New Roman" w:cs="Arial"/>
                <w:color w:val="000000"/>
                <w:sz w:val="18"/>
                <w:lang w:eastAsia="en-AU"/>
              </w:rPr>
              <w:t>0</w:t>
            </w:r>
          </w:p>
        </w:tc>
        <w:tc>
          <w:tcPr>
            <w:tcW w:w="868" w:type="dxa"/>
            <w:noWrap/>
            <w:hideMark/>
          </w:tcPr>
          <w:p w14:paraId="0BF6F5DA"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9.37</w:t>
            </w:r>
          </w:p>
        </w:tc>
        <w:tc>
          <w:tcPr>
            <w:tcW w:w="760" w:type="dxa"/>
            <w:noWrap/>
            <w:hideMark/>
          </w:tcPr>
          <w:p w14:paraId="1C4257A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10.26</w:t>
            </w:r>
          </w:p>
        </w:tc>
        <w:tc>
          <w:tcPr>
            <w:tcW w:w="752" w:type="dxa"/>
            <w:noWrap/>
            <w:hideMark/>
          </w:tcPr>
          <w:p w14:paraId="382988FF" w14:textId="5B2161FB"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7.8</w:t>
            </w:r>
            <w:r w:rsidR="00580472">
              <w:rPr>
                <w:rFonts w:eastAsia="Times New Roman" w:cs="Arial"/>
                <w:color w:val="000000"/>
                <w:sz w:val="18"/>
                <w:lang w:eastAsia="en-AU"/>
              </w:rPr>
              <w:t>0</w:t>
            </w:r>
          </w:p>
        </w:tc>
        <w:tc>
          <w:tcPr>
            <w:tcW w:w="704" w:type="dxa"/>
            <w:noWrap/>
            <w:hideMark/>
          </w:tcPr>
          <w:p w14:paraId="2C79649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7.82</w:t>
            </w:r>
          </w:p>
        </w:tc>
        <w:tc>
          <w:tcPr>
            <w:tcW w:w="704" w:type="dxa"/>
            <w:noWrap/>
            <w:hideMark/>
          </w:tcPr>
          <w:p w14:paraId="4815F44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10.43</w:t>
            </w:r>
          </w:p>
        </w:tc>
        <w:tc>
          <w:tcPr>
            <w:tcW w:w="704" w:type="dxa"/>
            <w:noWrap/>
            <w:hideMark/>
          </w:tcPr>
          <w:p w14:paraId="0D4899A4" w14:textId="18C1C65B"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8.6</w:t>
            </w:r>
            <w:r w:rsidR="00580472">
              <w:rPr>
                <w:rFonts w:eastAsia="Times New Roman" w:cs="Arial"/>
                <w:color w:val="000000"/>
                <w:sz w:val="18"/>
                <w:lang w:eastAsia="en-AU"/>
              </w:rPr>
              <w:t>0</w:t>
            </w:r>
          </w:p>
        </w:tc>
        <w:tc>
          <w:tcPr>
            <w:tcW w:w="793" w:type="dxa"/>
            <w:noWrap/>
            <w:hideMark/>
          </w:tcPr>
          <w:p w14:paraId="353AE040"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11.41</w:t>
            </w:r>
          </w:p>
        </w:tc>
        <w:tc>
          <w:tcPr>
            <w:tcW w:w="1038" w:type="dxa"/>
            <w:noWrap/>
            <w:hideMark/>
          </w:tcPr>
          <w:p w14:paraId="2EB9CF8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8.78</w:t>
            </w:r>
          </w:p>
        </w:tc>
      </w:tr>
      <w:tr w:rsidR="00ED30C0" w:rsidRPr="007B627D" w14:paraId="7AD8E071" w14:textId="77777777" w:rsidTr="00D67A4E">
        <w:trPr>
          <w:trHeight w:val="525"/>
        </w:trPr>
        <w:tc>
          <w:tcPr>
            <w:tcW w:w="1472" w:type="dxa"/>
            <w:noWrap/>
            <w:hideMark/>
          </w:tcPr>
          <w:p w14:paraId="1C7A033B"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Resident parent (50%)</w:t>
            </w:r>
          </w:p>
        </w:tc>
        <w:tc>
          <w:tcPr>
            <w:tcW w:w="704" w:type="dxa"/>
            <w:noWrap/>
            <w:hideMark/>
          </w:tcPr>
          <w:p w14:paraId="0FDAB4CB"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4.36</w:t>
            </w:r>
          </w:p>
        </w:tc>
        <w:tc>
          <w:tcPr>
            <w:tcW w:w="868" w:type="dxa"/>
            <w:noWrap/>
            <w:hideMark/>
          </w:tcPr>
          <w:p w14:paraId="545698BA"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5.09</w:t>
            </w:r>
          </w:p>
        </w:tc>
        <w:tc>
          <w:tcPr>
            <w:tcW w:w="760" w:type="dxa"/>
            <w:noWrap/>
            <w:hideMark/>
          </w:tcPr>
          <w:p w14:paraId="192DEE4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5.52</w:t>
            </w:r>
          </w:p>
        </w:tc>
        <w:tc>
          <w:tcPr>
            <w:tcW w:w="752" w:type="dxa"/>
            <w:noWrap/>
            <w:hideMark/>
          </w:tcPr>
          <w:p w14:paraId="121A6040"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4.31</w:t>
            </w:r>
          </w:p>
        </w:tc>
        <w:tc>
          <w:tcPr>
            <w:tcW w:w="704" w:type="dxa"/>
            <w:noWrap/>
            <w:hideMark/>
          </w:tcPr>
          <w:p w14:paraId="18EB3DE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4.32</w:t>
            </w:r>
          </w:p>
        </w:tc>
        <w:tc>
          <w:tcPr>
            <w:tcW w:w="704" w:type="dxa"/>
            <w:noWrap/>
            <w:hideMark/>
          </w:tcPr>
          <w:p w14:paraId="13B2D22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5.62</w:t>
            </w:r>
          </w:p>
        </w:tc>
        <w:tc>
          <w:tcPr>
            <w:tcW w:w="704" w:type="dxa"/>
            <w:noWrap/>
            <w:hideMark/>
          </w:tcPr>
          <w:p w14:paraId="4E344EEC"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4.71</w:t>
            </w:r>
          </w:p>
        </w:tc>
        <w:tc>
          <w:tcPr>
            <w:tcW w:w="793" w:type="dxa"/>
            <w:noWrap/>
            <w:hideMark/>
          </w:tcPr>
          <w:p w14:paraId="47C49524" w14:textId="38B3257C"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6.1</w:t>
            </w:r>
            <w:r w:rsidR="00580472">
              <w:rPr>
                <w:rFonts w:eastAsia="Times New Roman" w:cs="Arial"/>
                <w:color w:val="000000"/>
                <w:sz w:val="18"/>
                <w:lang w:eastAsia="en-AU"/>
              </w:rPr>
              <w:t>0</w:t>
            </w:r>
          </w:p>
        </w:tc>
        <w:tc>
          <w:tcPr>
            <w:tcW w:w="1038" w:type="dxa"/>
            <w:noWrap/>
            <w:hideMark/>
          </w:tcPr>
          <w:p w14:paraId="5B9A650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4.79</w:t>
            </w:r>
          </w:p>
        </w:tc>
      </w:tr>
      <w:tr w:rsidR="00ED30C0" w:rsidRPr="007B627D" w14:paraId="6DD99327" w14:textId="77777777" w:rsidTr="00D67A4E">
        <w:trPr>
          <w:trHeight w:val="525"/>
        </w:trPr>
        <w:tc>
          <w:tcPr>
            <w:tcW w:w="1472" w:type="dxa"/>
            <w:noWrap/>
            <w:hideMark/>
          </w:tcPr>
          <w:p w14:paraId="2CE37BF4" w14:textId="77777777"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Non-resident parent (50%)</w:t>
            </w:r>
          </w:p>
        </w:tc>
        <w:tc>
          <w:tcPr>
            <w:tcW w:w="704" w:type="dxa"/>
            <w:noWrap/>
            <w:hideMark/>
          </w:tcPr>
          <w:p w14:paraId="2E1700FB" w14:textId="48BE024A"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4.4</w:t>
            </w:r>
            <w:r w:rsidR="00580472">
              <w:rPr>
                <w:rFonts w:eastAsia="Times New Roman" w:cs="Arial"/>
                <w:color w:val="000000"/>
                <w:sz w:val="18"/>
                <w:lang w:eastAsia="en-AU"/>
              </w:rPr>
              <w:t>0</w:t>
            </w:r>
          </w:p>
        </w:tc>
        <w:tc>
          <w:tcPr>
            <w:tcW w:w="868" w:type="dxa"/>
            <w:noWrap/>
            <w:hideMark/>
          </w:tcPr>
          <w:p w14:paraId="438D5FA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5.15</w:t>
            </w:r>
          </w:p>
        </w:tc>
        <w:tc>
          <w:tcPr>
            <w:tcW w:w="760" w:type="dxa"/>
            <w:noWrap/>
            <w:hideMark/>
          </w:tcPr>
          <w:p w14:paraId="219B1B3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5.56</w:t>
            </w:r>
          </w:p>
        </w:tc>
        <w:tc>
          <w:tcPr>
            <w:tcW w:w="752" w:type="dxa"/>
            <w:noWrap/>
            <w:hideMark/>
          </w:tcPr>
          <w:p w14:paraId="566F60B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4.36</w:t>
            </w:r>
          </w:p>
        </w:tc>
        <w:tc>
          <w:tcPr>
            <w:tcW w:w="704" w:type="dxa"/>
            <w:noWrap/>
            <w:hideMark/>
          </w:tcPr>
          <w:p w14:paraId="09DD7F7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4.36</w:t>
            </w:r>
          </w:p>
        </w:tc>
        <w:tc>
          <w:tcPr>
            <w:tcW w:w="704" w:type="dxa"/>
            <w:noWrap/>
            <w:hideMark/>
          </w:tcPr>
          <w:p w14:paraId="116F697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5.68</w:t>
            </w:r>
          </w:p>
        </w:tc>
        <w:tc>
          <w:tcPr>
            <w:tcW w:w="704" w:type="dxa"/>
            <w:noWrap/>
            <w:hideMark/>
          </w:tcPr>
          <w:p w14:paraId="7A2E02B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4.76</w:t>
            </w:r>
          </w:p>
        </w:tc>
        <w:tc>
          <w:tcPr>
            <w:tcW w:w="793" w:type="dxa"/>
            <w:noWrap/>
            <w:hideMark/>
          </w:tcPr>
          <w:p w14:paraId="522C57A4"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6.16</w:t>
            </w:r>
          </w:p>
        </w:tc>
        <w:tc>
          <w:tcPr>
            <w:tcW w:w="1038" w:type="dxa"/>
            <w:noWrap/>
            <w:hideMark/>
          </w:tcPr>
          <w:p w14:paraId="0A2B0AF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4.84</w:t>
            </w:r>
          </w:p>
        </w:tc>
      </w:tr>
      <w:tr w:rsidR="00ED30C0" w:rsidRPr="007B627D" w14:paraId="7985B5AF" w14:textId="77777777" w:rsidTr="00D67A4E">
        <w:trPr>
          <w:trHeight w:val="525"/>
        </w:trPr>
        <w:tc>
          <w:tcPr>
            <w:tcW w:w="1472" w:type="dxa"/>
            <w:noWrap/>
            <w:hideMark/>
          </w:tcPr>
          <w:p w14:paraId="1B04382C" w14:textId="5BC9F12B" w:rsidR="007B627D" w:rsidRPr="007B627D" w:rsidRDefault="007B627D" w:rsidP="007B627D">
            <w:pPr>
              <w:suppressAutoHyphens w:val="0"/>
              <w:spacing w:before="0" w:line="240" w:lineRule="auto"/>
              <w:jc w:val="left"/>
              <w:rPr>
                <w:rFonts w:eastAsia="Times New Roman" w:cs="Arial"/>
                <w:color w:val="000000"/>
                <w:szCs w:val="20"/>
                <w:lang w:eastAsia="en-AU"/>
              </w:rPr>
            </w:pPr>
            <w:r w:rsidRPr="007B627D">
              <w:rPr>
                <w:rFonts w:eastAsia="Times New Roman" w:cs="Arial"/>
                <w:color w:val="000000"/>
                <w:szCs w:val="20"/>
                <w:lang w:eastAsia="en-AU"/>
              </w:rPr>
              <w:t>Total (50%50%)</w:t>
            </w:r>
          </w:p>
        </w:tc>
        <w:tc>
          <w:tcPr>
            <w:tcW w:w="704" w:type="dxa"/>
            <w:noWrap/>
            <w:hideMark/>
          </w:tcPr>
          <w:p w14:paraId="0BEBA496"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8.76</w:t>
            </w:r>
          </w:p>
        </w:tc>
        <w:tc>
          <w:tcPr>
            <w:tcW w:w="868" w:type="dxa"/>
            <w:noWrap/>
            <w:hideMark/>
          </w:tcPr>
          <w:p w14:paraId="6A15D599"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10.23</w:t>
            </w:r>
          </w:p>
        </w:tc>
        <w:tc>
          <w:tcPr>
            <w:tcW w:w="760" w:type="dxa"/>
            <w:noWrap/>
            <w:hideMark/>
          </w:tcPr>
          <w:p w14:paraId="62B036E1"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11.08</w:t>
            </w:r>
          </w:p>
        </w:tc>
        <w:tc>
          <w:tcPr>
            <w:tcW w:w="752" w:type="dxa"/>
            <w:noWrap/>
            <w:hideMark/>
          </w:tcPr>
          <w:p w14:paraId="1D364FF3"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8.67</w:t>
            </w:r>
          </w:p>
        </w:tc>
        <w:tc>
          <w:tcPr>
            <w:tcW w:w="704" w:type="dxa"/>
            <w:noWrap/>
            <w:hideMark/>
          </w:tcPr>
          <w:p w14:paraId="47A5DA92"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8.68</w:t>
            </w:r>
          </w:p>
        </w:tc>
        <w:tc>
          <w:tcPr>
            <w:tcW w:w="704" w:type="dxa"/>
            <w:noWrap/>
            <w:hideMark/>
          </w:tcPr>
          <w:p w14:paraId="40BEDCD8"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11.31</w:t>
            </w:r>
          </w:p>
        </w:tc>
        <w:tc>
          <w:tcPr>
            <w:tcW w:w="704" w:type="dxa"/>
            <w:noWrap/>
            <w:hideMark/>
          </w:tcPr>
          <w:p w14:paraId="752B2115"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9.47</w:t>
            </w:r>
          </w:p>
        </w:tc>
        <w:tc>
          <w:tcPr>
            <w:tcW w:w="793" w:type="dxa"/>
            <w:noWrap/>
            <w:hideMark/>
          </w:tcPr>
          <w:p w14:paraId="12A121EF"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12.25</w:t>
            </w:r>
          </w:p>
        </w:tc>
        <w:tc>
          <w:tcPr>
            <w:tcW w:w="1038" w:type="dxa"/>
            <w:noWrap/>
            <w:hideMark/>
          </w:tcPr>
          <w:p w14:paraId="4A9F98AD" w14:textId="77777777" w:rsidR="007B627D" w:rsidRPr="00EE2AAA" w:rsidRDefault="007B627D" w:rsidP="007B627D">
            <w:pPr>
              <w:suppressAutoHyphens w:val="0"/>
              <w:spacing w:before="0" w:line="240" w:lineRule="auto"/>
              <w:jc w:val="right"/>
              <w:rPr>
                <w:rFonts w:eastAsia="Times New Roman" w:cs="Arial"/>
                <w:color w:val="000000"/>
                <w:sz w:val="18"/>
                <w:lang w:eastAsia="en-AU"/>
              </w:rPr>
            </w:pPr>
            <w:r w:rsidRPr="00EE2AAA">
              <w:rPr>
                <w:rFonts w:eastAsia="Times New Roman" w:cs="Arial"/>
                <w:color w:val="000000"/>
                <w:sz w:val="18"/>
                <w:szCs w:val="24"/>
                <w:lang w:eastAsia="en-AU"/>
              </w:rPr>
              <w:t>9.64</w:t>
            </w:r>
          </w:p>
        </w:tc>
      </w:tr>
    </w:tbl>
    <w:p w14:paraId="205C4101" w14:textId="49A64B89" w:rsidR="005955FE" w:rsidRDefault="005955FE" w:rsidP="00D67A4E">
      <w:pPr>
        <w:pStyle w:val="FigureNotes"/>
      </w:pPr>
    </w:p>
    <w:p w14:paraId="4A68E86B" w14:textId="055BABC0" w:rsidR="005955FE" w:rsidRDefault="0061545B" w:rsidP="00C52C2F">
      <w:pPr>
        <w:pStyle w:val="FigureNotes"/>
        <w:keepNext w:val="0"/>
      </w:pPr>
      <w:r>
        <w:t>Source: Henman, 2005</w:t>
      </w:r>
      <w:r w:rsidR="000B53DD">
        <w:t>,</w:t>
      </w:r>
      <w:r w:rsidR="000B53DD" w:rsidRPr="000B53DD">
        <w:t xml:space="preserve"> </w:t>
      </w:r>
      <w:r w:rsidR="00D132D0">
        <w:t xml:space="preserve">p.15, </w:t>
      </w:r>
      <w:r w:rsidR="000B53DD">
        <w:t>Table 6</w:t>
      </w:r>
      <w:r w:rsidR="00D132D0">
        <w:t>.</w:t>
      </w:r>
    </w:p>
    <w:p w14:paraId="25EE7258" w14:textId="5775D88E" w:rsidR="00CB797F" w:rsidRPr="00A05717" w:rsidRDefault="00CB797F" w:rsidP="00CB797F">
      <w:pPr>
        <w:pStyle w:val="FigureCaption"/>
        <w:rPr>
          <w:bCs/>
          <w:i/>
          <w:iCs/>
          <w:color w:val="E7005E"/>
          <w:lang w:val="en-AU"/>
        </w:rPr>
      </w:pPr>
      <w:r w:rsidRPr="00A05717">
        <w:rPr>
          <w:color w:val="E7005E"/>
        </w:rPr>
        <w:lastRenderedPageBreak/>
        <w:t xml:space="preserve">Table </w:t>
      </w:r>
      <w:r w:rsidR="00D60238" w:rsidRPr="00A05717">
        <w:rPr>
          <w:color w:val="E7005E"/>
        </w:rPr>
        <w:t>10</w:t>
      </w:r>
      <w:r w:rsidRPr="00A05717">
        <w:rPr>
          <w:color w:val="E7005E"/>
        </w:rPr>
        <w:t xml:space="preserve">: </w:t>
      </w:r>
      <w:r w:rsidR="004A2E92" w:rsidRPr="00A05717">
        <w:rPr>
          <w:bCs/>
          <w:color w:val="E7005E"/>
          <w:lang w:val="en-AU"/>
        </w:rPr>
        <w:t xml:space="preserve">Estimates of </w:t>
      </w:r>
      <w:r w:rsidRPr="00A05717">
        <w:rPr>
          <w:bCs/>
          <w:color w:val="E7005E"/>
          <w:lang w:val="en-AU"/>
        </w:rPr>
        <w:t xml:space="preserve">additional expenses of non-resident single parents relative to single people, based on the two </w:t>
      </w:r>
      <w:r w:rsidR="004A2E92" w:rsidRPr="00A05717">
        <w:rPr>
          <w:bCs/>
          <w:color w:val="E7005E"/>
          <w:lang w:val="en-AU"/>
        </w:rPr>
        <w:t xml:space="preserve">expenditure </w:t>
      </w:r>
      <w:r w:rsidRPr="00A05717">
        <w:rPr>
          <w:bCs/>
          <w:color w:val="E7005E"/>
          <w:lang w:val="en-AU"/>
        </w:rPr>
        <w:t xml:space="preserve">methods </w:t>
      </w:r>
      <w:r w:rsidR="004A2E92" w:rsidRPr="00A05717">
        <w:rPr>
          <w:bCs/>
          <w:color w:val="E7005E"/>
          <w:lang w:val="en-AU"/>
        </w:rPr>
        <w:t>used</w:t>
      </w:r>
      <w:r w:rsidRPr="00A05717">
        <w:rPr>
          <w:bCs/>
          <w:color w:val="E7005E"/>
          <w:lang w:val="en-AU"/>
        </w:rPr>
        <w:t xml:space="preserve">, by </w:t>
      </w:r>
      <w:r w:rsidR="00C85B7C" w:rsidRPr="00A05717">
        <w:rPr>
          <w:color w:val="E7005E"/>
        </w:rPr>
        <w:t xml:space="preserve">Martin and </w:t>
      </w:r>
      <w:proofErr w:type="spellStart"/>
      <w:r w:rsidR="00C85B7C" w:rsidRPr="00A05717">
        <w:rPr>
          <w:color w:val="E7005E"/>
        </w:rPr>
        <w:t>Périvier</w:t>
      </w:r>
      <w:proofErr w:type="spellEnd"/>
      <w:r w:rsidR="00C85B7C" w:rsidRPr="00A05717">
        <w:rPr>
          <w:color w:val="E7005E"/>
        </w:rPr>
        <w:t xml:space="preserve"> </w:t>
      </w:r>
      <w:r w:rsidRPr="00A05717">
        <w:rPr>
          <w:bCs/>
          <w:color w:val="E7005E"/>
          <w:lang w:val="en-AU"/>
        </w:rPr>
        <w:t>(2018)</w:t>
      </w:r>
    </w:p>
    <w:tbl>
      <w:tblPr>
        <w:tblW w:w="8647" w:type="dxa"/>
        <w:tblLayout w:type="fixed"/>
        <w:tblLook w:val="04A0" w:firstRow="1" w:lastRow="0" w:firstColumn="1" w:lastColumn="0" w:noHBand="0" w:noVBand="1"/>
      </w:tblPr>
      <w:tblGrid>
        <w:gridCol w:w="2750"/>
        <w:gridCol w:w="1361"/>
        <w:gridCol w:w="142"/>
        <w:gridCol w:w="1276"/>
        <w:gridCol w:w="283"/>
        <w:gridCol w:w="1134"/>
        <w:gridCol w:w="1701"/>
      </w:tblGrid>
      <w:tr w:rsidR="00F9639F" w:rsidRPr="00914D58" w14:paraId="248373AD" w14:textId="77777777" w:rsidTr="00D67A4E">
        <w:trPr>
          <w:trHeight w:val="1139"/>
        </w:trPr>
        <w:tc>
          <w:tcPr>
            <w:tcW w:w="2750" w:type="dxa"/>
            <w:tcBorders>
              <w:top w:val="nil"/>
              <w:left w:val="nil"/>
              <w:bottom w:val="single" w:sz="8" w:space="0" w:color="DDDDDD"/>
              <w:right w:val="nil"/>
            </w:tcBorders>
            <w:shd w:val="clear" w:color="auto" w:fill="62136D" w:themeFill="accent2"/>
            <w:vAlign w:val="bottom"/>
            <w:hideMark/>
          </w:tcPr>
          <w:p w14:paraId="3FFB503D" w14:textId="77777777" w:rsidR="00F9639F" w:rsidRPr="00D67A4E" w:rsidRDefault="00F9639F"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 </w:t>
            </w:r>
          </w:p>
        </w:tc>
        <w:tc>
          <w:tcPr>
            <w:tcW w:w="2779" w:type="dxa"/>
            <w:gridSpan w:val="3"/>
            <w:tcBorders>
              <w:top w:val="nil"/>
              <w:left w:val="nil"/>
              <w:bottom w:val="single" w:sz="8" w:space="0" w:color="DDDDDD"/>
              <w:right w:val="nil"/>
            </w:tcBorders>
            <w:shd w:val="clear" w:color="auto" w:fill="62136D" w:themeFill="accent2"/>
            <w:vAlign w:val="center"/>
            <w:hideMark/>
          </w:tcPr>
          <w:p w14:paraId="6B94688A" w14:textId="77777777" w:rsidR="00F9639F" w:rsidRDefault="00F9639F"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Estimation by multilinear regression of consumption expenditure</w:t>
            </w:r>
          </w:p>
          <w:p w14:paraId="2741F786" w14:textId="3656642C" w:rsidR="004E6643" w:rsidRPr="00D67A4E" w:rsidRDefault="004E6643" w:rsidP="00F9639F">
            <w:pPr>
              <w:suppressAutoHyphens w:val="0"/>
              <w:spacing w:before="0" w:line="240" w:lineRule="auto"/>
              <w:jc w:val="center"/>
              <w:rPr>
                <w:rFonts w:eastAsia="Times New Roman" w:cs="Arial"/>
                <w:b/>
                <w:bCs/>
                <w:color w:val="FFFFFF" w:themeColor="background1"/>
                <w:szCs w:val="20"/>
                <w:lang w:eastAsia="en-AU"/>
              </w:rPr>
            </w:pPr>
            <w:r>
              <w:rPr>
                <w:rFonts w:eastAsia="Times New Roman" w:cs="Arial"/>
                <w:b/>
                <w:bCs/>
                <w:color w:val="FFFFFF" w:themeColor="background1"/>
                <w:szCs w:val="20"/>
                <w:lang w:eastAsia="en-AU"/>
              </w:rPr>
              <w:t>(Euros per year)</w:t>
            </w:r>
          </w:p>
        </w:tc>
        <w:tc>
          <w:tcPr>
            <w:tcW w:w="3118" w:type="dxa"/>
            <w:gridSpan w:val="3"/>
            <w:tcBorders>
              <w:top w:val="nil"/>
              <w:left w:val="nil"/>
              <w:bottom w:val="single" w:sz="8" w:space="0" w:color="DDDDDD"/>
              <w:right w:val="nil"/>
            </w:tcBorders>
            <w:shd w:val="clear" w:color="auto" w:fill="62136D" w:themeFill="accent2"/>
            <w:vAlign w:val="center"/>
            <w:hideMark/>
          </w:tcPr>
          <w:p w14:paraId="3FED49EF" w14:textId="77777777" w:rsidR="004E6643" w:rsidRDefault="00F9639F" w:rsidP="004E6643">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Estimation by matching of differences in expenditure by consumption item</w:t>
            </w:r>
          </w:p>
          <w:p w14:paraId="28C18E79" w14:textId="0D3A3656" w:rsidR="00F9639F" w:rsidRPr="00D67A4E" w:rsidRDefault="004E6643" w:rsidP="004E6643">
            <w:pPr>
              <w:suppressAutoHyphens w:val="0"/>
              <w:spacing w:before="0" w:line="240" w:lineRule="auto"/>
              <w:jc w:val="center"/>
              <w:rPr>
                <w:rFonts w:eastAsia="Times New Roman" w:cs="Arial"/>
                <w:b/>
                <w:bCs/>
                <w:color w:val="FFFFFF" w:themeColor="background1"/>
                <w:szCs w:val="20"/>
                <w:lang w:eastAsia="en-AU"/>
              </w:rPr>
            </w:pPr>
            <w:r>
              <w:rPr>
                <w:rFonts w:eastAsia="Times New Roman" w:cs="Arial"/>
                <w:b/>
                <w:bCs/>
                <w:color w:val="FFFFFF" w:themeColor="background1"/>
                <w:szCs w:val="20"/>
                <w:lang w:eastAsia="en-AU"/>
              </w:rPr>
              <w:t>(Euros per year)</w:t>
            </w:r>
          </w:p>
        </w:tc>
      </w:tr>
      <w:tr w:rsidR="00981C90" w:rsidRPr="00981C90" w14:paraId="2884114B" w14:textId="77777777" w:rsidTr="00981C90">
        <w:trPr>
          <w:trHeight w:val="1013"/>
        </w:trPr>
        <w:tc>
          <w:tcPr>
            <w:tcW w:w="2750" w:type="dxa"/>
            <w:tcBorders>
              <w:top w:val="nil"/>
              <w:left w:val="nil"/>
              <w:bottom w:val="single" w:sz="8" w:space="0" w:color="DDDDDD"/>
              <w:right w:val="nil"/>
            </w:tcBorders>
            <w:shd w:val="clear" w:color="auto" w:fill="62136D" w:themeFill="accent2"/>
            <w:vAlign w:val="center"/>
            <w:hideMark/>
          </w:tcPr>
          <w:p w14:paraId="61F984C5" w14:textId="77777777" w:rsidR="00F9639F" w:rsidRPr="00D67A4E" w:rsidRDefault="00F9639F"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Consumption item</w:t>
            </w:r>
          </w:p>
        </w:tc>
        <w:tc>
          <w:tcPr>
            <w:tcW w:w="1503" w:type="dxa"/>
            <w:gridSpan w:val="2"/>
            <w:tcBorders>
              <w:top w:val="nil"/>
              <w:left w:val="nil"/>
              <w:bottom w:val="single" w:sz="8" w:space="0" w:color="DDDDDD"/>
              <w:right w:val="nil"/>
            </w:tcBorders>
            <w:shd w:val="clear" w:color="auto" w:fill="62136D" w:themeFill="accent2"/>
            <w:vAlign w:val="center"/>
            <w:hideMark/>
          </w:tcPr>
          <w:p w14:paraId="3C675A00" w14:textId="3D580A8B" w:rsidR="00F9639F" w:rsidRPr="00D67A4E" w:rsidRDefault="00F369B9"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Mean</w:t>
            </w:r>
          </w:p>
        </w:tc>
        <w:tc>
          <w:tcPr>
            <w:tcW w:w="1276" w:type="dxa"/>
            <w:tcBorders>
              <w:top w:val="nil"/>
              <w:left w:val="nil"/>
              <w:bottom w:val="single" w:sz="8" w:space="0" w:color="DDDDDD"/>
              <w:right w:val="nil"/>
            </w:tcBorders>
            <w:shd w:val="clear" w:color="auto" w:fill="62136D" w:themeFill="accent2"/>
            <w:vAlign w:val="center"/>
            <w:hideMark/>
          </w:tcPr>
          <w:p w14:paraId="63F48312" w14:textId="77777777" w:rsidR="00F9639F" w:rsidRPr="00D67A4E" w:rsidRDefault="00F9639F"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95% confidence interval</w:t>
            </w:r>
          </w:p>
        </w:tc>
        <w:tc>
          <w:tcPr>
            <w:tcW w:w="1417" w:type="dxa"/>
            <w:gridSpan w:val="2"/>
            <w:tcBorders>
              <w:top w:val="nil"/>
              <w:left w:val="nil"/>
              <w:bottom w:val="single" w:sz="8" w:space="0" w:color="DDDDDD"/>
              <w:right w:val="nil"/>
            </w:tcBorders>
            <w:shd w:val="clear" w:color="auto" w:fill="62136D" w:themeFill="accent2"/>
            <w:vAlign w:val="center"/>
            <w:hideMark/>
          </w:tcPr>
          <w:p w14:paraId="365537E9" w14:textId="6FB4F51A" w:rsidR="00F9639F" w:rsidRPr="00D67A4E" w:rsidRDefault="00354F42"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Mean</w:t>
            </w:r>
          </w:p>
        </w:tc>
        <w:tc>
          <w:tcPr>
            <w:tcW w:w="1701" w:type="dxa"/>
            <w:tcBorders>
              <w:top w:val="nil"/>
              <w:left w:val="nil"/>
              <w:bottom w:val="single" w:sz="8" w:space="0" w:color="DDDDDD"/>
              <w:right w:val="nil"/>
            </w:tcBorders>
            <w:shd w:val="clear" w:color="auto" w:fill="62136D" w:themeFill="accent2"/>
            <w:vAlign w:val="center"/>
            <w:hideMark/>
          </w:tcPr>
          <w:p w14:paraId="7E4EAE79" w14:textId="77777777" w:rsidR="00F9639F" w:rsidRPr="00D67A4E" w:rsidRDefault="00F9639F" w:rsidP="00F9639F">
            <w:pPr>
              <w:suppressAutoHyphens w:val="0"/>
              <w:spacing w:before="0" w:line="240" w:lineRule="auto"/>
              <w:jc w:val="center"/>
              <w:rPr>
                <w:rFonts w:eastAsia="Times New Roman" w:cs="Arial"/>
                <w:b/>
                <w:bCs/>
                <w:color w:val="FFFFFF" w:themeColor="background1"/>
                <w:szCs w:val="20"/>
                <w:lang w:eastAsia="en-AU"/>
              </w:rPr>
            </w:pPr>
            <w:r w:rsidRPr="00D67A4E">
              <w:rPr>
                <w:rFonts w:eastAsia="Times New Roman" w:cs="Arial"/>
                <w:b/>
                <w:bCs/>
                <w:color w:val="FFFFFF" w:themeColor="background1"/>
                <w:szCs w:val="20"/>
                <w:lang w:eastAsia="en-AU"/>
              </w:rPr>
              <w:t>95% confidence interval</w:t>
            </w:r>
          </w:p>
        </w:tc>
      </w:tr>
      <w:tr w:rsidR="00F9639F" w:rsidRPr="00914D58" w14:paraId="56FD13F0" w14:textId="77777777" w:rsidTr="00D67A4E">
        <w:trPr>
          <w:trHeight w:val="514"/>
        </w:trPr>
        <w:tc>
          <w:tcPr>
            <w:tcW w:w="2750" w:type="dxa"/>
            <w:tcBorders>
              <w:top w:val="nil"/>
              <w:left w:val="nil"/>
              <w:bottom w:val="single" w:sz="8" w:space="0" w:color="DDDDDD"/>
              <w:right w:val="nil"/>
            </w:tcBorders>
            <w:vAlign w:val="center"/>
            <w:hideMark/>
          </w:tcPr>
          <w:p w14:paraId="261B8C21"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Food</w:t>
            </w:r>
          </w:p>
        </w:tc>
        <w:tc>
          <w:tcPr>
            <w:tcW w:w="1361" w:type="dxa"/>
            <w:tcBorders>
              <w:top w:val="nil"/>
              <w:left w:val="nil"/>
              <w:bottom w:val="single" w:sz="8" w:space="0" w:color="DDDDDD"/>
              <w:right w:val="nil"/>
            </w:tcBorders>
            <w:vAlign w:val="center"/>
            <w:hideMark/>
          </w:tcPr>
          <w:p w14:paraId="09DB9ADE"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468*</w:t>
            </w:r>
          </w:p>
        </w:tc>
        <w:tc>
          <w:tcPr>
            <w:tcW w:w="1701" w:type="dxa"/>
            <w:gridSpan w:val="3"/>
            <w:tcBorders>
              <w:top w:val="nil"/>
              <w:left w:val="nil"/>
              <w:bottom w:val="single" w:sz="8" w:space="0" w:color="DDDDDD"/>
              <w:right w:val="nil"/>
            </w:tcBorders>
            <w:vAlign w:val="center"/>
            <w:hideMark/>
          </w:tcPr>
          <w:p w14:paraId="48D0F810"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970, 34]</w:t>
            </w:r>
          </w:p>
        </w:tc>
        <w:tc>
          <w:tcPr>
            <w:tcW w:w="1134" w:type="dxa"/>
            <w:tcBorders>
              <w:top w:val="nil"/>
              <w:left w:val="nil"/>
              <w:bottom w:val="single" w:sz="8" w:space="0" w:color="DDDDDD"/>
              <w:right w:val="nil"/>
            </w:tcBorders>
            <w:vAlign w:val="center"/>
            <w:hideMark/>
          </w:tcPr>
          <w:p w14:paraId="13C9473F"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- 703*</w:t>
            </w:r>
          </w:p>
        </w:tc>
        <w:tc>
          <w:tcPr>
            <w:tcW w:w="1701" w:type="dxa"/>
            <w:tcBorders>
              <w:top w:val="nil"/>
              <w:left w:val="nil"/>
              <w:bottom w:val="single" w:sz="8" w:space="0" w:color="DDDDDD"/>
              <w:right w:val="nil"/>
            </w:tcBorders>
            <w:vAlign w:val="center"/>
            <w:hideMark/>
          </w:tcPr>
          <w:p w14:paraId="2BBEEFAA"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1,549, 143]</w:t>
            </w:r>
          </w:p>
        </w:tc>
      </w:tr>
      <w:tr w:rsidR="00F9639F" w:rsidRPr="00914D58" w14:paraId="1C3636BB" w14:textId="77777777" w:rsidTr="00D67A4E">
        <w:trPr>
          <w:trHeight w:val="514"/>
        </w:trPr>
        <w:tc>
          <w:tcPr>
            <w:tcW w:w="2750" w:type="dxa"/>
            <w:tcBorders>
              <w:top w:val="nil"/>
              <w:left w:val="nil"/>
              <w:bottom w:val="single" w:sz="8" w:space="0" w:color="DDDDDD"/>
              <w:right w:val="nil"/>
            </w:tcBorders>
            <w:vAlign w:val="center"/>
            <w:hideMark/>
          </w:tcPr>
          <w:p w14:paraId="45F2CD75"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Drinks, tobacco, alcohol</w:t>
            </w:r>
          </w:p>
        </w:tc>
        <w:tc>
          <w:tcPr>
            <w:tcW w:w="1361" w:type="dxa"/>
            <w:tcBorders>
              <w:top w:val="nil"/>
              <w:left w:val="nil"/>
              <w:bottom w:val="single" w:sz="8" w:space="0" w:color="DDDDDD"/>
              <w:right w:val="nil"/>
            </w:tcBorders>
            <w:vAlign w:val="center"/>
            <w:hideMark/>
          </w:tcPr>
          <w:p w14:paraId="0EC0D13B"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133**</w:t>
            </w:r>
          </w:p>
        </w:tc>
        <w:tc>
          <w:tcPr>
            <w:tcW w:w="1701" w:type="dxa"/>
            <w:gridSpan w:val="3"/>
            <w:tcBorders>
              <w:top w:val="nil"/>
              <w:left w:val="nil"/>
              <w:bottom w:val="single" w:sz="8" w:space="0" w:color="DDDDDD"/>
              <w:right w:val="nil"/>
            </w:tcBorders>
            <w:vAlign w:val="center"/>
            <w:hideMark/>
          </w:tcPr>
          <w:p w14:paraId="1627821A"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380, 114]</w:t>
            </w:r>
          </w:p>
        </w:tc>
        <w:tc>
          <w:tcPr>
            <w:tcW w:w="1134" w:type="dxa"/>
            <w:tcBorders>
              <w:top w:val="nil"/>
              <w:left w:val="nil"/>
              <w:bottom w:val="single" w:sz="8" w:space="0" w:color="DDDDDD"/>
              <w:right w:val="nil"/>
            </w:tcBorders>
            <w:vAlign w:val="center"/>
            <w:hideMark/>
          </w:tcPr>
          <w:p w14:paraId="04B6E5BB"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344</w:t>
            </w:r>
          </w:p>
        </w:tc>
        <w:tc>
          <w:tcPr>
            <w:tcW w:w="1701" w:type="dxa"/>
            <w:tcBorders>
              <w:top w:val="nil"/>
              <w:left w:val="nil"/>
              <w:bottom w:val="single" w:sz="8" w:space="0" w:color="DDDDDD"/>
              <w:right w:val="nil"/>
            </w:tcBorders>
            <w:vAlign w:val="center"/>
            <w:hideMark/>
          </w:tcPr>
          <w:p w14:paraId="7797F8F1"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842, 154]</w:t>
            </w:r>
          </w:p>
        </w:tc>
      </w:tr>
      <w:tr w:rsidR="00F9639F" w:rsidRPr="00914D58" w14:paraId="606443FD" w14:textId="77777777" w:rsidTr="00D67A4E">
        <w:trPr>
          <w:trHeight w:val="514"/>
        </w:trPr>
        <w:tc>
          <w:tcPr>
            <w:tcW w:w="2750" w:type="dxa"/>
            <w:tcBorders>
              <w:top w:val="nil"/>
              <w:left w:val="nil"/>
              <w:bottom w:val="single" w:sz="8" w:space="0" w:color="DDDDDD"/>
              <w:right w:val="nil"/>
            </w:tcBorders>
            <w:vAlign w:val="center"/>
            <w:hideMark/>
          </w:tcPr>
          <w:p w14:paraId="66DE5D1A"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Clothing</w:t>
            </w:r>
          </w:p>
        </w:tc>
        <w:tc>
          <w:tcPr>
            <w:tcW w:w="1361" w:type="dxa"/>
            <w:tcBorders>
              <w:top w:val="nil"/>
              <w:left w:val="nil"/>
              <w:bottom w:val="single" w:sz="8" w:space="0" w:color="DDDDDD"/>
              <w:right w:val="nil"/>
            </w:tcBorders>
            <w:vAlign w:val="center"/>
            <w:hideMark/>
          </w:tcPr>
          <w:p w14:paraId="7BA69EF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+554*</w:t>
            </w:r>
          </w:p>
        </w:tc>
        <w:tc>
          <w:tcPr>
            <w:tcW w:w="1701" w:type="dxa"/>
            <w:gridSpan w:val="3"/>
            <w:tcBorders>
              <w:top w:val="nil"/>
              <w:left w:val="nil"/>
              <w:bottom w:val="single" w:sz="8" w:space="0" w:color="DDDDDD"/>
              <w:right w:val="nil"/>
            </w:tcBorders>
            <w:vAlign w:val="center"/>
            <w:hideMark/>
          </w:tcPr>
          <w:p w14:paraId="422E2301"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123, 1,231]</w:t>
            </w:r>
          </w:p>
        </w:tc>
        <w:tc>
          <w:tcPr>
            <w:tcW w:w="1134" w:type="dxa"/>
            <w:tcBorders>
              <w:top w:val="nil"/>
              <w:left w:val="nil"/>
              <w:bottom w:val="single" w:sz="8" w:space="0" w:color="DDDDDD"/>
              <w:right w:val="nil"/>
            </w:tcBorders>
            <w:vAlign w:val="center"/>
            <w:hideMark/>
          </w:tcPr>
          <w:p w14:paraId="7F01C822"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511</w:t>
            </w:r>
          </w:p>
        </w:tc>
        <w:tc>
          <w:tcPr>
            <w:tcW w:w="1701" w:type="dxa"/>
            <w:tcBorders>
              <w:top w:val="nil"/>
              <w:left w:val="nil"/>
              <w:bottom w:val="single" w:sz="8" w:space="0" w:color="DDDDDD"/>
              <w:right w:val="nil"/>
            </w:tcBorders>
            <w:vAlign w:val="center"/>
            <w:hideMark/>
          </w:tcPr>
          <w:p w14:paraId="0267BA57"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230, 1,253]</w:t>
            </w:r>
          </w:p>
        </w:tc>
      </w:tr>
      <w:tr w:rsidR="00F9639F" w:rsidRPr="00914D58" w14:paraId="1AC14A24" w14:textId="77777777" w:rsidTr="00D67A4E">
        <w:trPr>
          <w:trHeight w:val="514"/>
        </w:trPr>
        <w:tc>
          <w:tcPr>
            <w:tcW w:w="2750" w:type="dxa"/>
            <w:tcBorders>
              <w:top w:val="nil"/>
              <w:left w:val="nil"/>
              <w:bottom w:val="single" w:sz="8" w:space="0" w:color="DDDDDD"/>
              <w:right w:val="nil"/>
            </w:tcBorders>
            <w:vAlign w:val="center"/>
            <w:hideMark/>
          </w:tcPr>
          <w:p w14:paraId="01913D73"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Housing, water, gas, electricity</w:t>
            </w:r>
          </w:p>
        </w:tc>
        <w:tc>
          <w:tcPr>
            <w:tcW w:w="1361" w:type="dxa"/>
            <w:tcBorders>
              <w:top w:val="nil"/>
              <w:left w:val="nil"/>
              <w:bottom w:val="single" w:sz="8" w:space="0" w:color="DDDDDD"/>
              <w:right w:val="nil"/>
            </w:tcBorders>
            <w:vAlign w:val="center"/>
            <w:hideMark/>
          </w:tcPr>
          <w:p w14:paraId="3BEF048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+787*</w:t>
            </w:r>
          </w:p>
        </w:tc>
        <w:tc>
          <w:tcPr>
            <w:tcW w:w="1701" w:type="dxa"/>
            <w:gridSpan w:val="3"/>
            <w:tcBorders>
              <w:top w:val="nil"/>
              <w:left w:val="nil"/>
              <w:bottom w:val="single" w:sz="8" w:space="0" w:color="DDDDDD"/>
              <w:right w:val="nil"/>
            </w:tcBorders>
            <w:vAlign w:val="center"/>
            <w:hideMark/>
          </w:tcPr>
          <w:p w14:paraId="5B8E494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76, 1 651]</w:t>
            </w:r>
          </w:p>
        </w:tc>
        <w:tc>
          <w:tcPr>
            <w:tcW w:w="1134" w:type="dxa"/>
            <w:tcBorders>
              <w:top w:val="nil"/>
              <w:left w:val="nil"/>
              <w:bottom w:val="single" w:sz="8" w:space="0" w:color="DDDDDD"/>
              <w:right w:val="nil"/>
            </w:tcBorders>
            <w:vAlign w:val="center"/>
            <w:hideMark/>
          </w:tcPr>
          <w:p w14:paraId="7C9ED720"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+972*</w:t>
            </w:r>
          </w:p>
        </w:tc>
        <w:tc>
          <w:tcPr>
            <w:tcW w:w="1701" w:type="dxa"/>
            <w:tcBorders>
              <w:top w:val="nil"/>
              <w:left w:val="nil"/>
              <w:bottom w:val="single" w:sz="8" w:space="0" w:color="DDDDDD"/>
              <w:right w:val="nil"/>
            </w:tcBorders>
            <w:vAlign w:val="center"/>
            <w:hideMark/>
          </w:tcPr>
          <w:p w14:paraId="74AFE3C1"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64, 2006]</w:t>
            </w:r>
          </w:p>
        </w:tc>
      </w:tr>
      <w:tr w:rsidR="00F9639F" w:rsidRPr="00914D58" w14:paraId="4BA69A2A" w14:textId="77777777" w:rsidTr="00D67A4E">
        <w:trPr>
          <w:trHeight w:val="514"/>
        </w:trPr>
        <w:tc>
          <w:tcPr>
            <w:tcW w:w="2750" w:type="dxa"/>
            <w:tcBorders>
              <w:top w:val="nil"/>
              <w:left w:val="nil"/>
              <w:bottom w:val="single" w:sz="8" w:space="0" w:color="DDDDDD"/>
              <w:right w:val="nil"/>
            </w:tcBorders>
            <w:vAlign w:val="center"/>
            <w:hideMark/>
          </w:tcPr>
          <w:p w14:paraId="044617A1"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Furniture and household items</w:t>
            </w:r>
          </w:p>
        </w:tc>
        <w:tc>
          <w:tcPr>
            <w:tcW w:w="1361" w:type="dxa"/>
            <w:tcBorders>
              <w:top w:val="nil"/>
              <w:left w:val="nil"/>
              <w:bottom w:val="single" w:sz="8" w:space="0" w:color="DDDDDD"/>
              <w:right w:val="nil"/>
            </w:tcBorders>
            <w:vAlign w:val="center"/>
            <w:hideMark/>
          </w:tcPr>
          <w:p w14:paraId="10053915"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212</w:t>
            </w:r>
          </w:p>
        </w:tc>
        <w:tc>
          <w:tcPr>
            <w:tcW w:w="1701" w:type="dxa"/>
            <w:gridSpan w:val="3"/>
            <w:tcBorders>
              <w:top w:val="nil"/>
              <w:left w:val="nil"/>
              <w:bottom w:val="single" w:sz="8" w:space="0" w:color="DDDDDD"/>
              <w:right w:val="nil"/>
            </w:tcBorders>
            <w:vAlign w:val="center"/>
            <w:hideMark/>
          </w:tcPr>
          <w:p w14:paraId="336B99F2"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561, 984]</w:t>
            </w:r>
          </w:p>
        </w:tc>
        <w:tc>
          <w:tcPr>
            <w:tcW w:w="1134" w:type="dxa"/>
            <w:tcBorders>
              <w:top w:val="nil"/>
              <w:left w:val="nil"/>
              <w:bottom w:val="single" w:sz="8" w:space="0" w:color="DDDDDD"/>
              <w:right w:val="nil"/>
            </w:tcBorders>
            <w:vAlign w:val="center"/>
            <w:hideMark/>
          </w:tcPr>
          <w:p w14:paraId="41FD9F0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+ 605*</w:t>
            </w:r>
          </w:p>
        </w:tc>
        <w:tc>
          <w:tcPr>
            <w:tcW w:w="1701" w:type="dxa"/>
            <w:tcBorders>
              <w:top w:val="nil"/>
              <w:left w:val="nil"/>
              <w:bottom w:val="single" w:sz="8" w:space="0" w:color="DDDDDD"/>
              <w:right w:val="nil"/>
            </w:tcBorders>
            <w:vAlign w:val="center"/>
            <w:hideMark/>
          </w:tcPr>
          <w:p w14:paraId="39CB69C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120, 1,330]</w:t>
            </w:r>
          </w:p>
        </w:tc>
      </w:tr>
      <w:tr w:rsidR="00F9639F" w:rsidRPr="00914D58" w14:paraId="7A13F30C" w14:textId="77777777" w:rsidTr="00D67A4E">
        <w:trPr>
          <w:trHeight w:val="514"/>
        </w:trPr>
        <w:tc>
          <w:tcPr>
            <w:tcW w:w="2750" w:type="dxa"/>
            <w:tcBorders>
              <w:top w:val="nil"/>
              <w:left w:val="nil"/>
              <w:bottom w:val="single" w:sz="8" w:space="0" w:color="DDDDDD"/>
              <w:right w:val="nil"/>
            </w:tcBorders>
            <w:vAlign w:val="center"/>
            <w:hideMark/>
          </w:tcPr>
          <w:p w14:paraId="51751C0B"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Health</w:t>
            </w:r>
          </w:p>
        </w:tc>
        <w:tc>
          <w:tcPr>
            <w:tcW w:w="1361" w:type="dxa"/>
            <w:tcBorders>
              <w:top w:val="nil"/>
              <w:left w:val="nil"/>
              <w:bottom w:val="single" w:sz="8" w:space="0" w:color="DDDDDD"/>
              <w:right w:val="nil"/>
            </w:tcBorders>
            <w:vAlign w:val="center"/>
            <w:hideMark/>
          </w:tcPr>
          <w:p w14:paraId="14C1A33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21</w:t>
            </w:r>
          </w:p>
        </w:tc>
        <w:tc>
          <w:tcPr>
            <w:tcW w:w="1701" w:type="dxa"/>
            <w:gridSpan w:val="3"/>
            <w:tcBorders>
              <w:top w:val="nil"/>
              <w:left w:val="nil"/>
              <w:bottom w:val="single" w:sz="8" w:space="0" w:color="DDDDDD"/>
              <w:right w:val="nil"/>
            </w:tcBorders>
            <w:vAlign w:val="center"/>
            <w:hideMark/>
          </w:tcPr>
          <w:p w14:paraId="639F714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338, 295]</w:t>
            </w:r>
          </w:p>
        </w:tc>
        <w:tc>
          <w:tcPr>
            <w:tcW w:w="1134" w:type="dxa"/>
            <w:tcBorders>
              <w:top w:val="nil"/>
              <w:left w:val="nil"/>
              <w:bottom w:val="single" w:sz="8" w:space="0" w:color="DDDDDD"/>
              <w:right w:val="nil"/>
            </w:tcBorders>
            <w:vAlign w:val="center"/>
            <w:hideMark/>
          </w:tcPr>
          <w:p w14:paraId="76C9E478"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76</w:t>
            </w:r>
          </w:p>
        </w:tc>
        <w:tc>
          <w:tcPr>
            <w:tcW w:w="1701" w:type="dxa"/>
            <w:tcBorders>
              <w:top w:val="nil"/>
              <w:left w:val="nil"/>
              <w:bottom w:val="single" w:sz="8" w:space="0" w:color="DDDDDD"/>
              <w:right w:val="nil"/>
            </w:tcBorders>
            <w:vAlign w:val="center"/>
            <w:hideMark/>
          </w:tcPr>
          <w:p w14:paraId="3A4EBF76"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63, 415]</w:t>
            </w:r>
          </w:p>
        </w:tc>
      </w:tr>
      <w:tr w:rsidR="00F9639F" w:rsidRPr="00914D58" w14:paraId="17FA7846" w14:textId="77777777" w:rsidTr="00D67A4E">
        <w:trPr>
          <w:trHeight w:val="514"/>
        </w:trPr>
        <w:tc>
          <w:tcPr>
            <w:tcW w:w="2750" w:type="dxa"/>
            <w:tcBorders>
              <w:top w:val="nil"/>
              <w:left w:val="nil"/>
              <w:bottom w:val="single" w:sz="8" w:space="0" w:color="DDDDDD"/>
              <w:right w:val="nil"/>
            </w:tcBorders>
            <w:vAlign w:val="center"/>
            <w:hideMark/>
          </w:tcPr>
          <w:p w14:paraId="6A6003C0"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Transportation</w:t>
            </w:r>
          </w:p>
        </w:tc>
        <w:tc>
          <w:tcPr>
            <w:tcW w:w="1361" w:type="dxa"/>
            <w:tcBorders>
              <w:top w:val="nil"/>
              <w:left w:val="nil"/>
              <w:bottom w:val="single" w:sz="8" w:space="0" w:color="DDDDDD"/>
              <w:right w:val="nil"/>
            </w:tcBorders>
            <w:vAlign w:val="center"/>
            <w:hideMark/>
          </w:tcPr>
          <w:p w14:paraId="007CC847"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+ 2,883*</w:t>
            </w:r>
          </w:p>
        </w:tc>
        <w:tc>
          <w:tcPr>
            <w:tcW w:w="1701" w:type="dxa"/>
            <w:gridSpan w:val="3"/>
            <w:tcBorders>
              <w:top w:val="nil"/>
              <w:left w:val="nil"/>
              <w:bottom w:val="single" w:sz="8" w:space="0" w:color="DDDDDD"/>
              <w:right w:val="nil"/>
            </w:tcBorders>
            <w:vAlign w:val="center"/>
            <w:hideMark/>
          </w:tcPr>
          <w:p w14:paraId="4E1BF202"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[–54.5790]</w:t>
            </w:r>
          </w:p>
        </w:tc>
        <w:tc>
          <w:tcPr>
            <w:tcW w:w="1134" w:type="dxa"/>
            <w:tcBorders>
              <w:top w:val="nil"/>
              <w:left w:val="nil"/>
              <w:bottom w:val="single" w:sz="8" w:space="0" w:color="DDDDDD"/>
              <w:right w:val="nil"/>
            </w:tcBorders>
            <w:vAlign w:val="center"/>
            <w:hideMark/>
          </w:tcPr>
          <w:p w14:paraId="212002A2"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2,208</w:t>
            </w:r>
          </w:p>
        </w:tc>
        <w:tc>
          <w:tcPr>
            <w:tcW w:w="1701" w:type="dxa"/>
            <w:tcBorders>
              <w:top w:val="nil"/>
              <w:left w:val="nil"/>
              <w:bottom w:val="single" w:sz="8" w:space="0" w:color="DDDDDD"/>
              <w:right w:val="nil"/>
            </w:tcBorders>
            <w:vAlign w:val="center"/>
            <w:hideMark/>
          </w:tcPr>
          <w:p w14:paraId="6411BFDD"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1200, 5616]</w:t>
            </w:r>
          </w:p>
        </w:tc>
      </w:tr>
      <w:tr w:rsidR="00F9639F" w:rsidRPr="00914D58" w14:paraId="52108AEF" w14:textId="77777777" w:rsidTr="00D67A4E">
        <w:trPr>
          <w:trHeight w:val="514"/>
        </w:trPr>
        <w:tc>
          <w:tcPr>
            <w:tcW w:w="2750" w:type="dxa"/>
            <w:tcBorders>
              <w:top w:val="nil"/>
              <w:left w:val="nil"/>
              <w:bottom w:val="single" w:sz="8" w:space="0" w:color="DDDDDD"/>
              <w:right w:val="nil"/>
            </w:tcBorders>
            <w:vAlign w:val="center"/>
            <w:hideMark/>
          </w:tcPr>
          <w:p w14:paraId="7EE4D9FC"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Communication</w:t>
            </w:r>
          </w:p>
        </w:tc>
        <w:tc>
          <w:tcPr>
            <w:tcW w:w="1361" w:type="dxa"/>
            <w:tcBorders>
              <w:top w:val="nil"/>
              <w:left w:val="nil"/>
              <w:bottom w:val="single" w:sz="8" w:space="0" w:color="DDDDDD"/>
              <w:right w:val="nil"/>
            </w:tcBorders>
            <w:vAlign w:val="center"/>
            <w:hideMark/>
          </w:tcPr>
          <w:p w14:paraId="2C8BA078"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95</w:t>
            </w:r>
          </w:p>
        </w:tc>
        <w:tc>
          <w:tcPr>
            <w:tcW w:w="1701" w:type="dxa"/>
            <w:gridSpan w:val="3"/>
            <w:tcBorders>
              <w:top w:val="nil"/>
              <w:left w:val="nil"/>
              <w:bottom w:val="single" w:sz="8" w:space="0" w:color="DDDDDD"/>
              <w:right w:val="nil"/>
            </w:tcBorders>
            <w:vAlign w:val="center"/>
            <w:hideMark/>
          </w:tcPr>
          <w:p w14:paraId="0397E241"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30, 219]</w:t>
            </w:r>
          </w:p>
        </w:tc>
        <w:tc>
          <w:tcPr>
            <w:tcW w:w="1134" w:type="dxa"/>
            <w:tcBorders>
              <w:top w:val="nil"/>
              <w:left w:val="nil"/>
              <w:bottom w:val="single" w:sz="8" w:space="0" w:color="DDDDDD"/>
              <w:right w:val="nil"/>
            </w:tcBorders>
            <w:vAlign w:val="center"/>
            <w:hideMark/>
          </w:tcPr>
          <w:p w14:paraId="74CF961A"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52</w:t>
            </w:r>
          </w:p>
        </w:tc>
        <w:tc>
          <w:tcPr>
            <w:tcW w:w="1701" w:type="dxa"/>
            <w:tcBorders>
              <w:top w:val="nil"/>
              <w:left w:val="nil"/>
              <w:bottom w:val="single" w:sz="8" w:space="0" w:color="DDDDDD"/>
              <w:right w:val="nil"/>
            </w:tcBorders>
            <w:vAlign w:val="center"/>
            <w:hideMark/>
          </w:tcPr>
          <w:p w14:paraId="5ABE5004"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120, 224]</w:t>
            </w:r>
          </w:p>
        </w:tc>
      </w:tr>
      <w:tr w:rsidR="00F9639F" w:rsidRPr="00914D58" w14:paraId="1E585A54" w14:textId="77777777" w:rsidTr="00D67A4E">
        <w:trPr>
          <w:trHeight w:val="514"/>
        </w:trPr>
        <w:tc>
          <w:tcPr>
            <w:tcW w:w="2750" w:type="dxa"/>
            <w:tcBorders>
              <w:top w:val="nil"/>
              <w:left w:val="nil"/>
              <w:bottom w:val="single" w:sz="8" w:space="0" w:color="DDDDDD"/>
              <w:right w:val="nil"/>
            </w:tcBorders>
            <w:vAlign w:val="center"/>
            <w:hideMark/>
          </w:tcPr>
          <w:p w14:paraId="5FAED8BA"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Leisure and culture</w:t>
            </w:r>
          </w:p>
        </w:tc>
        <w:tc>
          <w:tcPr>
            <w:tcW w:w="1361" w:type="dxa"/>
            <w:tcBorders>
              <w:top w:val="nil"/>
              <w:left w:val="nil"/>
              <w:bottom w:val="single" w:sz="8" w:space="0" w:color="DDDDDD"/>
              <w:right w:val="nil"/>
            </w:tcBorders>
            <w:vAlign w:val="center"/>
            <w:hideMark/>
          </w:tcPr>
          <w:p w14:paraId="51BD329C"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+ 2,495**</w:t>
            </w:r>
          </w:p>
        </w:tc>
        <w:tc>
          <w:tcPr>
            <w:tcW w:w="1701" w:type="dxa"/>
            <w:gridSpan w:val="3"/>
            <w:tcBorders>
              <w:top w:val="nil"/>
              <w:left w:val="nil"/>
              <w:bottom w:val="single" w:sz="8" w:space="0" w:color="DDDDDD"/>
              <w:right w:val="nil"/>
            </w:tcBorders>
            <w:vAlign w:val="center"/>
            <w:hideMark/>
          </w:tcPr>
          <w:p w14:paraId="624B58BF"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[60, 4,429]</w:t>
            </w:r>
          </w:p>
        </w:tc>
        <w:tc>
          <w:tcPr>
            <w:tcW w:w="1134" w:type="dxa"/>
            <w:tcBorders>
              <w:top w:val="nil"/>
              <w:left w:val="nil"/>
              <w:bottom w:val="single" w:sz="8" w:space="0" w:color="DDDDDD"/>
              <w:right w:val="nil"/>
            </w:tcBorders>
            <w:vAlign w:val="center"/>
            <w:hideMark/>
          </w:tcPr>
          <w:p w14:paraId="7F987B90"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+ 2,033*</w:t>
            </w:r>
          </w:p>
        </w:tc>
        <w:tc>
          <w:tcPr>
            <w:tcW w:w="1701" w:type="dxa"/>
            <w:tcBorders>
              <w:top w:val="nil"/>
              <w:left w:val="nil"/>
              <w:bottom w:val="single" w:sz="8" w:space="0" w:color="DDDDDD"/>
              <w:right w:val="nil"/>
            </w:tcBorders>
            <w:vAlign w:val="center"/>
            <w:hideMark/>
          </w:tcPr>
          <w:p w14:paraId="17C93DE6"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852, 4 917]</w:t>
            </w:r>
          </w:p>
        </w:tc>
      </w:tr>
      <w:tr w:rsidR="00F9639F" w:rsidRPr="00914D58" w14:paraId="51B0CA00" w14:textId="77777777" w:rsidTr="00D67A4E">
        <w:trPr>
          <w:trHeight w:val="514"/>
        </w:trPr>
        <w:tc>
          <w:tcPr>
            <w:tcW w:w="2750" w:type="dxa"/>
            <w:tcBorders>
              <w:top w:val="nil"/>
              <w:left w:val="nil"/>
              <w:bottom w:val="single" w:sz="8" w:space="0" w:color="DDDDDD"/>
              <w:right w:val="nil"/>
            </w:tcBorders>
            <w:vAlign w:val="center"/>
            <w:hideMark/>
          </w:tcPr>
          <w:p w14:paraId="3E8DFDB7"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Education</w:t>
            </w:r>
          </w:p>
        </w:tc>
        <w:tc>
          <w:tcPr>
            <w:tcW w:w="1361" w:type="dxa"/>
            <w:tcBorders>
              <w:top w:val="nil"/>
              <w:left w:val="nil"/>
              <w:bottom w:val="single" w:sz="8" w:space="0" w:color="DDDDDD"/>
              <w:right w:val="nil"/>
            </w:tcBorders>
            <w:vAlign w:val="center"/>
            <w:hideMark/>
          </w:tcPr>
          <w:p w14:paraId="684B2DF8"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17</w:t>
            </w:r>
          </w:p>
        </w:tc>
        <w:tc>
          <w:tcPr>
            <w:tcW w:w="1701" w:type="dxa"/>
            <w:gridSpan w:val="3"/>
            <w:tcBorders>
              <w:top w:val="nil"/>
              <w:left w:val="nil"/>
              <w:bottom w:val="single" w:sz="8" w:space="0" w:color="DDDDDD"/>
              <w:right w:val="nil"/>
            </w:tcBorders>
            <w:vAlign w:val="center"/>
            <w:hideMark/>
          </w:tcPr>
          <w:p w14:paraId="272F70CA"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19, 54]</w:t>
            </w:r>
          </w:p>
        </w:tc>
        <w:tc>
          <w:tcPr>
            <w:tcW w:w="1134" w:type="dxa"/>
            <w:tcBorders>
              <w:top w:val="nil"/>
              <w:left w:val="nil"/>
              <w:bottom w:val="single" w:sz="8" w:space="0" w:color="DDDDDD"/>
              <w:right w:val="nil"/>
            </w:tcBorders>
            <w:vAlign w:val="center"/>
            <w:hideMark/>
          </w:tcPr>
          <w:p w14:paraId="6206CC3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28</w:t>
            </w:r>
          </w:p>
        </w:tc>
        <w:tc>
          <w:tcPr>
            <w:tcW w:w="1701" w:type="dxa"/>
            <w:tcBorders>
              <w:top w:val="nil"/>
              <w:left w:val="nil"/>
              <w:bottom w:val="single" w:sz="8" w:space="0" w:color="DDDDDD"/>
              <w:right w:val="nil"/>
            </w:tcBorders>
            <w:vAlign w:val="center"/>
            <w:hideMark/>
          </w:tcPr>
          <w:p w14:paraId="39D5948D"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61, 117]</w:t>
            </w:r>
          </w:p>
        </w:tc>
      </w:tr>
      <w:tr w:rsidR="00F9639F" w:rsidRPr="00914D58" w14:paraId="7678475B" w14:textId="77777777" w:rsidTr="00D67A4E">
        <w:trPr>
          <w:trHeight w:val="514"/>
        </w:trPr>
        <w:tc>
          <w:tcPr>
            <w:tcW w:w="2750" w:type="dxa"/>
            <w:tcBorders>
              <w:top w:val="nil"/>
              <w:left w:val="nil"/>
              <w:bottom w:val="single" w:sz="8" w:space="0" w:color="DDDDDD"/>
              <w:right w:val="nil"/>
            </w:tcBorders>
            <w:vAlign w:val="center"/>
            <w:hideMark/>
          </w:tcPr>
          <w:p w14:paraId="0642479B"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Restaurants and hotels</w:t>
            </w:r>
          </w:p>
        </w:tc>
        <w:tc>
          <w:tcPr>
            <w:tcW w:w="1361" w:type="dxa"/>
            <w:tcBorders>
              <w:top w:val="nil"/>
              <w:left w:val="nil"/>
              <w:bottom w:val="single" w:sz="8" w:space="0" w:color="DDDDDD"/>
              <w:right w:val="nil"/>
            </w:tcBorders>
            <w:vAlign w:val="center"/>
            <w:hideMark/>
          </w:tcPr>
          <w:p w14:paraId="37C1C47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479</w:t>
            </w:r>
          </w:p>
        </w:tc>
        <w:tc>
          <w:tcPr>
            <w:tcW w:w="1701" w:type="dxa"/>
            <w:gridSpan w:val="3"/>
            <w:tcBorders>
              <w:top w:val="nil"/>
              <w:left w:val="nil"/>
              <w:bottom w:val="single" w:sz="8" w:space="0" w:color="DDDDDD"/>
              <w:right w:val="nil"/>
            </w:tcBorders>
            <w:vAlign w:val="center"/>
            <w:hideMark/>
          </w:tcPr>
          <w:p w14:paraId="1F9B3485"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175, 1 134]</w:t>
            </w:r>
          </w:p>
        </w:tc>
        <w:tc>
          <w:tcPr>
            <w:tcW w:w="1134" w:type="dxa"/>
            <w:tcBorders>
              <w:top w:val="nil"/>
              <w:left w:val="nil"/>
              <w:bottom w:val="single" w:sz="8" w:space="0" w:color="DDDDDD"/>
              <w:right w:val="nil"/>
            </w:tcBorders>
            <w:vAlign w:val="center"/>
            <w:hideMark/>
          </w:tcPr>
          <w:p w14:paraId="203A8EA3"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+ 383*</w:t>
            </w:r>
          </w:p>
        </w:tc>
        <w:tc>
          <w:tcPr>
            <w:tcW w:w="1701" w:type="dxa"/>
            <w:tcBorders>
              <w:top w:val="nil"/>
              <w:left w:val="nil"/>
              <w:bottom w:val="single" w:sz="8" w:space="0" w:color="DDDDDD"/>
              <w:right w:val="nil"/>
            </w:tcBorders>
            <w:vAlign w:val="center"/>
            <w:hideMark/>
          </w:tcPr>
          <w:p w14:paraId="017EBF2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610, 1,377]</w:t>
            </w:r>
          </w:p>
        </w:tc>
      </w:tr>
      <w:tr w:rsidR="00F9639F" w:rsidRPr="00914D58" w14:paraId="672EFC43" w14:textId="77777777" w:rsidTr="00D67A4E">
        <w:trPr>
          <w:trHeight w:val="514"/>
        </w:trPr>
        <w:tc>
          <w:tcPr>
            <w:tcW w:w="2750" w:type="dxa"/>
            <w:tcBorders>
              <w:top w:val="nil"/>
              <w:left w:val="nil"/>
              <w:bottom w:val="single" w:sz="8" w:space="0" w:color="DDDDDD"/>
              <w:right w:val="nil"/>
            </w:tcBorders>
            <w:vAlign w:val="center"/>
            <w:hideMark/>
          </w:tcPr>
          <w:p w14:paraId="7F56687D"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Miscellaneous</w:t>
            </w:r>
          </w:p>
        </w:tc>
        <w:tc>
          <w:tcPr>
            <w:tcW w:w="1361" w:type="dxa"/>
            <w:tcBorders>
              <w:top w:val="nil"/>
              <w:left w:val="nil"/>
              <w:bottom w:val="single" w:sz="8" w:space="0" w:color="DDDDDD"/>
              <w:right w:val="nil"/>
            </w:tcBorders>
            <w:vAlign w:val="center"/>
            <w:hideMark/>
          </w:tcPr>
          <w:p w14:paraId="30F38783"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+946*</w:t>
            </w:r>
          </w:p>
        </w:tc>
        <w:tc>
          <w:tcPr>
            <w:tcW w:w="1701" w:type="dxa"/>
            <w:gridSpan w:val="3"/>
            <w:tcBorders>
              <w:top w:val="nil"/>
              <w:left w:val="nil"/>
              <w:bottom w:val="single" w:sz="8" w:space="0" w:color="DDDDDD"/>
              <w:right w:val="nil"/>
            </w:tcBorders>
            <w:vAlign w:val="center"/>
            <w:hideMark/>
          </w:tcPr>
          <w:p w14:paraId="09A26910"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234, 2 127]</w:t>
            </w:r>
          </w:p>
        </w:tc>
        <w:tc>
          <w:tcPr>
            <w:tcW w:w="1134" w:type="dxa"/>
            <w:tcBorders>
              <w:top w:val="nil"/>
              <w:left w:val="nil"/>
              <w:bottom w:val="single" w:sz="8" w:space="0" w:color="DDDDDD"/>
              <w:right w:val="nil"/>
            </w:tcBorders>
            <w:vAlign w:val="center"/>
            <w:hideMark/>
          </w:tcPr>
          <w:p w14:paraId="36A52E54"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+ 1,102*</w:t>
            </w:r>
          </w:p>
        </w:tc>
        <w:tc>
          <w:tcPr>
            <w:tcW w:w="1701" w:type="dxa"/>
            <w:tcBorders>
              <w:top w:val="nil"/>
              <w:left w:val="nil"/>
              <w:bottom w:val="single" w:sz="8" w:space="0" w:color="DDDDDD"/>
              <w:right w:val="nil"/>
            </w:tcBorders>
            <w:vAlign w:val="center"/>
            <w:hideMark/>
          </w:tcPr>
          <w:p w14:paraId="79EF2A19"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194, 2 399]</w:t>
            </w:r>
          </w:p>
        </w:tc>
      </w:tr>
      <w:tr w:rsidR="00F9639F" w:rsidRPr="00914D58" w14:paraId="10F42E07" w14:textId="77777777" w:rsidTr="00D67A4E">
        <w:trPr>
          <w:trHeight w:val="499"/>
        </w:trPr>
        <w:tc>
          <w:tcPr>
            <w:tcW w:w="2750" w:type="dxa"/>
            <w:tcBorders>
              <w:top w:val="nil"/>
              <w:left w:val="nil"/>
              <w:bottom w:val="nil"/>
              <w:right w:val="nil"/>
            </w:tcBorders>
            <w:vAlign w:val="center"/>
            <w:hideMark/>
          </w:tcPr>
          <w:p w14:paraId="109087DC" w14:textId="77777777" w:rsidR="00F9639F" w:rsidRPr="00914D58" w:rsidRDefault="00F9639F" w:rsidP="00F9639F">
            <w:pPr>
              <w:suppressAutoHyphens w:val="0"/>
              <w:spacing w:before="0" w:line="240" w:lineRule="auto"/>
              <w:jc w:val="left"/>
              <w:rPr>
                <w:rFonts w:eastAsia="Times New Roman" w:cs="Arial"/>
                <w:color w:val="000000"/>
                <w:szCs w:val="20"/>
                <w:lang w:eastAsia="en-AU"/>
              </w:rPr>
            </w:pPr>
            <w:r w:rsidRPr="00914D58">
              <w:rPr>
                <w:rFonts w:eastAsia="Times New Roman" w:cs="Arial"/>
                <w:color w:val="000000"/>
                <w:szCs w:val="20"/>
                <w:lang w:eastAsia="en-AU"/>
              </w:rPr>
              <w:t>Total consumer spending</w:t>
            </w:r>
          </w:p>
        </w:tc>
        <w:tc>
          <w:tcPr>
            <w:tcW w:w="1361" w:type="dxa"/>
            <w:tcBorders>
              <w:top w:val="nil"/>
              <w:left w:val="nil"/>
              <w:bottom w:val="nil"/>
              <w:right w:val="nil"/>
            </w:tcBorders>
            <w:vAlign w:val="center"/>
            <w:hideMark/>
          </w:tcPr>
          <w:p w14:paraId="13B8BD85"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+7,846***</w:t>
            </w:r>
          </w:p>
        </w:tc>
        <w:tc>
          <w:tcPr>
            <w:tcW w:w="1701" w:type="dxa"/>
            <w:gridSpan w:val="3"/>
            <w:tcBorders>
              <w:top w:val="nil"/>
              <w:left w:val="nil"/>
              <w:bottom w:val="nil"/>
              <w:right w:val="nil"/>
            </w:tcBorders>
            <w:vAlign w:val="center"/>
            <w:hideMark/>
          </w:tcPr>
          <w:p w14:paraId="314B4C71"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[2286, 13728]</w:t>
            </w:r>
          </w:p>
        </w:tc>
        <w:tc>
          <w:tcPr>
            <w:tcW w:w="1134" w:type="dxa"/>
            <w:tcBorders>
              <w:top w:val="nil"/>
              <w:left w:val="nil"/>
              <w:bottom w:val="nil"/>
              <w:right w:val="nil"/>
            </w:tcBorders>
            <w:vAlign w:val="center"/>
            <w:hideMark/>
          </w:tcPr>
          <w:p w14:paraId="30C05C93"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+ 6,924***</w:t>
            </w:r>
          </w:p>
        </w:tc>
        <w:tc>
          <w:tcPr>
            <w:tcW w:w="1701" w:type="dxa"/>
            <w:tcBorders>
              <w:top w:val="nil"/>
              <w:left w:val="nil"/>
              <w:bottom w:val="nil"/>
              <w:right w:val="nil"/>
            </w:tcBorders>
            <w:vAlign w:val="center"/>
            <w:hideMark/>
          </w:tcPr>
          <w:p w14:paraId="5EAC3EDB" w14:textId="77777777" w:rsidR="00F9639F" w:rsidRPr="00914D58" w:rsidRDefault="00F9639F" w:rsidP="00F9639F">
            <w:pPr>
              <w:suppressAutoHyphens w:val="0"/>
              <w:spacing w:before="0" w:line="240" w:lineRule="auto"/>
              <w:jc w:val="right"/>
              <w:rPr>
                <w:rFonts w:eastAsia="Times New Roman" w:cs="Arial"/>
                <w:color w:val="000000"/>
                <w:szCs w:val="20"/>
                <w:lang w:eastAsia="en-AU"/>
              </w:rPr>
            </w:pPr>
            <w:r w:rsidRPr="00914D58">
              <w:rPr>
                <w:rFonts w:eastAsia="Times New Roman" w:cs="Arial"/>
                <w:color w:val="000000"/>
                <w:szCs w:val="20"/>
                <w:lang w:eastAsia="en-AU"/>
              </w:rPr>
              <w:t>[198, 13,650]</w:t>
            </w:r>
          </w:p>
        </w:tc>
      </w:tr>
    </w:tbl>
    <w:p w14:paraId="659ABA1C" w14:textId="2C4FA665" w:rsidR="00F82E3F" w:rsidRPr="00CB797F" w:rsidRDefault="00520257" w:rsidP="00D67A4E">
      <w:pPr>
        <w:pStyle w:val="FigureNotes"/>
      </w:pPr>
      <w:r>
        <w:t xml:space="preserve">Source: </w:t>
      </w:r>
      <w:r w:rsidR="00C85B7C" w:rsidRPr="00C35B0D">
        <w:t>Martin and Périvier</w:t>
      </w:r>
      <w:r w:rsidR="00C85B7C">
        <w:t>, 2018</w:t>
      </w:r>
      <w:r w:rsidR="00BB3648">
        <w:t>, p.329</w:t>
      </w:r>
      <w:r w:rsidR="005531AF">
        <w:t>, Table 7.</w:t>
      </w:r>
    </w:p>
    <w:sectPr w:rsidR="00F82E3F" w:rsidRPr="00CB797F" w:rsidSect="00A8670B">
      <w:headerReference w:type="first" r:id="rId15"/>
      <w:pgSz w:w="11901" w:h="16840"/>
      <w:pgMar w:top="1418" w:right="1701" w:bottom="1418" w:left="1701" w:header="680" w:footer="68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8F974" w14:textId="77777777" w:rsidR="00616CE2" w:rsidRDefault="00616CE2" w:rsidP="008C3543">
      <w:pPr>
        <w:spacing w:before="0" w:line="240" w:lineRule="auto"/>
      </w:pPr>
      <w:r>
        <w:separator/>
      </w:r>
    </w:p>
  </w:endnote>
  <w:endnote w:type="continuationSeparator" w:id="0">
    <w:p w14:paraId="4D95E8AF" w14:textId="77777777" w:rsidR="00616CE2" w:rsidRDefault="00616CE2" w:rsidP="008C3543">
      <w:pPr>
        <w:spacing w:before="0" w:line="240" w:lineRule="auto"/>
      </w:pPr>
      <w:r>
        <w:continuationSeparator/>
      </w:r>
    </w:p>
  </w:endnote>
  <w:endnote w:type="continuationNotice" w:id="1">
    <w:p w14:paraId="7501B8D5" w14:textId="77777777" w:rsidR="00616CE2" w:rsidRDefault="00616CE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4871" w14:textId="77777777" w:rsidR="00994670" w:rsidRPr="00526EC6" w:rsidRDefault="002D76CD" w:rsidP="00526EC6">
    <w:pPr>
      <w:pStyle w:val="Footer"/>
    </w:pPr>
    <w:r>
      <w:t>Australian Institute of Family Studies</w:t>
    </w:r>
    <w:r w:rsidR="00994670" w:rsidRPr="00526EC6">
      <w:tab/>
    </w:r>
    <w:r w:rsidR="00994670" w:rsidRPr="00526EC6">
      <w:rPr>
        <w:rStyle w:val="PageNumber"/>
      </w:rPr>
      <w:fldChar w:fldCharType="begin"/>
    </w:r>
    <w:r w:rsidR="00994670" w:rsidRPr="00526EC6">
      <w:rPr>
        <w:rStyle w:val="PageNumber"/>
      </w:rPr>
      <w:instrText xml:space="preserve"> PAGE </w:instrText>
    </w:r>
    <w:r w:rsidR="00994670" w:rsidRPr="00526EC6">
      <w:rPr>
        <w:rStyle w:val="PageNumber"/>
      </w:rPr>
      <w:fldChar w:fldCharType="separate"/>
    </w:r>
    <w:r w:rsidR="006426E0">
      <w:rPr>
        <w:rStyle w:val="PageNumber"/>
        <w:noProof/>
      </w:rPr>
      <w:t>3</w:t>
    </w:r>
    <w:r w:rsidR="00994670" w:rsidRPr="00526EC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6715E" w14:textId="77777777" w:rsidR="00616CE2" w:rsidRDefault="00616CE2" w:rsidP="008C3543">
      <w:pPr>
        <w:spacing w:before="0" w:line="240" w:lineRule="auto"/>
      </w:pPr>
      <w:r>
        <w:separator/>
      </w:r>
    </w:p>
  </w:footnote>
  <w:footnote w:type="continuationSeparator" w:id="0">
    <w:p w14:paraId="498467D8" w14:textId="77777777" w:rsidR="00616CE2" w:rsidRDefault="00616CE2" w:rsidP="008C3543">
      <w:pPr>
        <w:spacing w:before="0" w:line="240" w:lineRule="auto"/>
      </w:pPr>
      <w:r>
        <w:continuationSeparator/>
      </w:r>
    </w:p>
  </w:footnote>
  <w:footnote w:type="continuationNotice" w:id="1">
    <w:p w14:paraId="015D5051" w14:textId="77777777" w:rsidR="00616CE2" w:rsidRDefault="00616CE2">
      <w:pPr>
        <w:spacing w:before="0" w:line="240" w:lineRule="auto"/>
      </w:pPr>
    </w:p>
  </w:footnote>
  <w:footnote w:id="2">
    <w:p w14:paraId="685E0476" w14:textId="5D5E385C" w:rsidR="0010792F" w:rsidRDefault="0010792F">
      <w:pPr>
        <w:pStyle w:val="FootnoteText"/>
      </w:pPr>
      <w:r>
        <w:rPr>
          <w:rStyle w:val="FootnoteReference"/>
        </w:rPr>
        <w:footnoteRef/>
      </w:r>
      <w:r>
        <w:t xml:space="preserve"> </w:t>
      </w:r>
      <w:r w:rsidR="00EE7FC6">
        <w:t xml:space="preserve">In this report we have used the term “shared care” to include any arrangements in which the care and costs of children are shared between separated parents.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EB8A" w14:textId="496DCD51" w:rsidR="00994670" w:rsidRPr="00DB5477" w:rsidRDefault="00CC4D0F" w:rsidP="00526EC6">
    <w:pPr>
      <w:pStyle w:val="Header"/>
    </w:pPr>
    <w:r w:rsidRPr="00DB5477">
      <w:rPr>
        <w:lang w:val="en-GB" w:eastAsia="en-GB"/>
      </w:rPr>
      <w:drawing>
        <wp:anchor distT="0" distB="0" distL="114300" distR="114300" simplePos="0" relativeHeight="251678722" behindDoc="1" locked="0" layoutInCell="1" allowOverlap="1" wp14:anchorId="18A85D08" wp14:editId="0E05CAE2">
          <wp:simplePos x="0" y="0"/>
          <wp:positionH relativeFrom="column">
            <wp:posOffset>5586416</wp:posOffset>
          </wp:positionH>
          <wp:positionV relativeFrom="paragraph">
            <wp:posOffset>-1005224</wp:posOffset>
          </wp:positionV>
          <wp:extent cx="1237166" cy="1666604"/>
          <wp:effectExtent l="133350" t="19050" r="172720" b="29210"/>
          <wp:wrapNone/>
          <wp:docPr id="2021653721" name="Picture 2021653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rot="20700000" flipV="1">
                    <a:off x="0" y="0"/>
                    <a:ext cx="1237166" cy="1666604"/>
                  </a:xfrm>
                  <a:prstGeom prst="rect">
                    <a:avLst/>
                  </a:prstGeom>
                  <a:noFill/>
                  <a:ln>
                    <a:noFill/>
                  </a:ln>
                  <a:extLst>
                    <a:ext uri="{FAA26D3D-D897-4be2-8F04-BA451C77F1D7}">
                      <ma14:placeholderFlag xmlns:adec="http://schemas.microsoft.com/office/drawing/2017/decorativ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008F07D7">
      <w:fldChar w:fldCharType="begin"/>
    </w:r>
    <w:r w:rsidR="008F07D7">
      <w:instrText>STYLEREF  "</w:instrText>
    </w:r>
    <w:r w:rsidR="007A7FB3">
      <w:instrText>Heading 1</w:instrText>
    </w:r>
    <w:r w:rsidR="008F07D7">
      <w:instrText>"  \* MERGEFORMAT</w:instrText>
    </w:r>
    <w:r w:rsidR="008F07D7">
      <w:fldChar w:fldCharType="separate"/>
    </w:r>
    <w:r w:rsidR="009C557A" w:rsidRPr="009C557A">
      <w:rPr>
        <w:b/>
        <w:bCs/>
      </w:rPr>
      <w:t>Estimating the costs of children</w:t>
    </w:r>
    <w:r w:rsidR="008F07D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6058" w14:textId="77777777" w:rsidR="00994670" w:rsidRDefault="00994670" w:rsidP="00526EC6">
    <w:pPr>
      <w:pStyle w:val="Header"/>
    </w:pPr>
    <w:r>
      <w:rPr>
        <w:lang w:val="en-GB" w:eastAsia="en-GB"/>
      </w:rPr>
      <w:drawing>
        <wp:anchor distT="0" distB="0" distL="114300" distR="114300" simplePos="0" relativeHeight="251680770" behindDoc="1" locked="0" layoutInCell="1" allowOverlap="1" wp14:anchorId="0F4504D0" wp14:editId="5F56F168">
          <wp:simplePos x="0" y="0"/>
          <wp:positionH relativeFrom="margin">
            <wp:posOffset>729615</wp:posOffset>
          </wp:positionH>
          <wp:positionV relativeFrom="paragraph">
            <wp:posOffset>-851535</wp:posOffset>
          </wp:positionV>
          <wp:extent cx="3916908" cy="733880"/>
          <wp:effectExtent l="0" t="0" r="0" b="9525"/>
          <wp:wrapNone/>
          <wp:docPr id="486630068" name="Picture 486630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0068" name="Picture 486630068">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3916908" cy="7338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831D" w14:textId="0C9FB511" w:rsidR="00994670" w:rsidRDefault="00994670" w:rsidP="00526EC6">
    <w:pPr>
      <w:pStyle w:val="Header"/>
    </w:pPr>
    <w:r>
      <w:rPr>
        <w:lang w:val="en-GB" w:eastAsia="en-GB"/>
      </w:rPr>
      <w:drawing>
        <wp:anchor distT="0" distB="0" distL="114300" distR="114300" simplePos="0" relativeHeight="251682818" behindDoc="1" locked="0" layoutInCell="1" allowOverlap="1" wp14:anchorId="6D7B32ED" wp14:editId="34C2521D">
          <wp:simplePos x="0" y="0"/>
          <wp:positionH relativeFrom="column">
            <wp:posOffset>-1080135</wp:posOffset>
          </wp:positionH>
          <wp:positionV relativeFrom="paragraph">
            <wp:posOffset>-1080135</wp:posOffset>
          </wp:positionV>
          <wp:extent cx="7579360" cy="1148080"/>
          <wp:effectExtent l="0" t="0" r="2540" b="0"/>
          <wp:wrapNone/>
          <wp:docPr id="555809753" name="Picture 555809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09753" name="Picture 55580975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60" cy="11480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040E604"/>
    <w:lvl w:ilvl="0">
      <w:start w:val="1"/>
      <w:numFmt w:val="bullet"/>
      <w:pStyle w:val="ListBullet2"/>
      <w:lvlText w:val="–"/>
      <w:lvlJc w:val="left"/>
      <w:pPr>
        <w:tabs>
          <w:tab w:val="num" w:pos="851"/>
        </w:tabs>
        <w:ind w:left="851" w:hanging="426"/>
      </w:pPr>
      <w:rPr>
        <w:rFonts w:ascii="Times New Roman" w:hAnsi="Times New Roman" w:cs="Times New Roman" w:hint="default"/>
        <w:color w:val="62136D"/>
      </w:rPr>
    </w:lvl>
  </w:abstractNum>
  <w:abstractNum w:abstractNumId="1" w15:restartNumberingAfterBreak="0">
    <w:nsid w:val="FFFFFF89"/>
    <w:multiLevelType w:val="singleLevel"/>
    <w:tmpl w:val="282C6B0E"/>
    <w:lvl w:ilvl="0">
      <w:start w:val="1"/>
      <w:numFmt w:val="bullet"/>
      <w:pStyle w:val="ListBullet"/>
      <w:lvlText w:val=""/>
      <w:lvlJc w:val="left"/>
      <w:pPr>
        <w:tabs>
          <w:tab w:val="num" w:pos="425"/>
        </w:tabs>
        <w:ind w:left="425" w:hanging="425"/>
      </w:pPr>
      <w:rPr>
        <w:rFonts w:ascii="Wingdings" w:hAnsi="Wingdings" w:hint="default"/>
        <w:color w:val="62136D"/>
      </w:rPr>
    </w:lvl>
  </w:abstractNum>
  <w:abstractNum w:abstractNumId="2" w15:restartNumberingAfterBreak="0">
    <w:nsid w:val="012219CA"/>
    <w:multiLevelType w:val="hybridMultilevel"/>
    <w:tmpl w:val="BE903DF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7B696D"/>
    <w:multiLevelType w:val="multilevel"/>
    <w:tmpl w:val="AF5CD9F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2EF487B"/>
    <w:multiLevelType w:val="hybridMultilevel"/>
    <w:tmpl w:val="6F884B50"/>
    <w:lvl w:ilvl="0" w:tplc="3D4E595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172EDD"/>
    <w:multiLevelType w:val="hybridMultilevel"/>
    <w:tmpl w:val="2FAEA720"/>
    <w:lvl w:ilvl="0" w:tplc="F89290FE">
      <w:start w:val="1"/>
      <w:numFmt w:val="lowerLetter"/>
      <w:pStyle w:val="ListNumber2"/>
      <w:lvlText w:val="%1."/>
      <w:lvlJc w:val="left"/>
      <w:pPr>
        <w:tabs>
          <w:tab w:val="num" w:pos="851"/>
        </w:tabs>
        <w:ind w:left="851" w:hanging="426"/>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D43A49"/>
    <w:multiLevelType w:val="hybridMultilevel"/>
    <w:tmpl w:val="58345870"/>
    <w:lvl w:ilvl="0" w:tplc="53E00DDC">
      <w:start w:val="1"/>
      <w:numFmt w:val="upperLetter"/>
      <w:pStyle w:val="Heading1Part"/>
      <w:lvlText w:val="Part %1. "/>
      <w:lvlJc w:val="left"/>
      <w:pPr>
        <w:ind w:left="113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01F3E"/>
    <w:multiLevelType w:val="hybridMultilevel"/>
    <w:tmpl w:val="216C70EE"/>
    <w:lvl w:ilvl="0" w:tplc="E26A87F0">
      <w:start w:val="1"/>
      <w:numFmt w:val="lowerLetter"/>
      <w:pStyle w:val="TableNumber2"/>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8" w15:restartNumberingAfterBreak="0">
    <w:nsid w:val="104969A1"/>
    <w:multiLevelType w:val="hybridMultilevel"/>
    <w:tmpl w:val="01929EB4"/>
    <w:lvl w:ilvl="0" w:tplc="03E270C8">
      <w:start w:val="1"/>
      <w:numFmt w:val="decimal"/>
      <w:lvlText w:val="(%1)"/>
      <w:lvlJc w:val="left"/>
      <w:pPr>
        <w:tabs>
          <w:tab w:val="num" w:pos="360"/>
        </w:tabs>
        <w:ind w:left="360" w:hanging="360"/>
      </w:pPr>
    </w:lvl>
    <w:lvl w:ilvl="1" w:tplc="4A6EE88C" w:tentative="1">
      <w:start w:val="1"/>
      <w:numFmt w:val="decimal"/>
      <w:lvlText w:val="(%2)"/>
      <w:lvlJc w:val="left"/>
      <w:pPr>
        <w:tabs>
          <w:tab w:val="num" w:pos="1080"/>
        </w:tabs>
        <w:ind w:left="1080" w:hanging="360"/>
      </w:pPr>
    </w:lvl>
    <w:lvl w:ilvl="2" w:tplc="098C983E" w:tentative="1">
      <w:start w:val="1"/>
      <w:numFmt w:val="decimal"/>
      <w:lvlText w:val="(%3)"/>
      <w:lvlJc w:val="left"/>
      <w:pPr>
        <w:tabs>
          <w:tab w:val="num" w:pos="1800"/>
        </w:tabs>
        <w:ind w:left="1800" w:hanging="360"/>
      </w:pPr>
    </w:lvl>
    <w:lvl w:ilvl="3" w:tplc="298A0EB0" w:tentative="1">
      <w:start w:val="1"/>
      <w:numFmt w:val="decimal"/>
      <w:lvlText w:val="(%4)"/>
      <w:lvlJc w:val="left"/>
      <w:pPr>
        <w:tabs>
          <w:tab w:val="num" w:pos="2520"/>
        </w:tabs>
        <w:ind w:left="2520" w:hanging="360"/>
      </w:pPr>
    </w:lvl>
    <w:lvl w:ilvl="4" w:tplc="C80C017C" w:tentative="1">
      <w:start w:val="1"/>
      <w:numFmt w:val="decimal"/>
      <w:lvlText w:val="(%5)"/>
      <w:lvlJc w:val="left"/>
      <w:pPr>
        <w:tabs>
          <w:tab w:val="num" w:pos="3240"/>
        </w:tabs>
        <w:ind w:left="3240" w:hanging="360"/>
      </w:pPr>
    </w:lvl>
    <w:lvl w:ilvl="5" w:tplc="685ADF08" w:tentative="1">
      <w:start w:val="1"/>
      <w:numFmt w:val="decimal"/>
      <w:lvlText w:val="(%6)"/>
      <w:lvlJc w:val="left"/>
      <w:pPr>
        <w:tabs>
          <w:tab w:val="num" w:pos="3960"/>
        </w:tabs>
        <w:ind w:left="3960" w:hanging="360"/>
      </w:pPr>
    </w:lvl>
    <w:lvl w:ilvl="6" w:tplc="F28476E6" w:tentative="1">
      <w:start w:val="1"/>
      <w:numFmt w:val="decimal"/>
      <w:lvlText w:val="(%7)"/>
      <w:lvlJc w:val="left"/>
      <w:pPr>
        <w:tabs>
          <w:tab w:val="num" w:pos="4680"/>
        </w:tabs>
        <w:ind w:left="4680" w:hanging="360"/>
      </w:pPr>
    </w:lvl>
    <w:lvl w:ilvl="7" w:tplc="BBA8C036" w:tentative="1">
      <w:start w:val="1"/>
      <w:numFmt w:val="decimal"/>
      <w:lvlText w:val="(%8)"/>
      <w:lvlJc w:val="left"/>
      <w:pPr>
        <w:tabs>
          <w:tab w:val="num" w:pos="5400"/>
        </w:tabs>
        <w:ind w:left="5400" w:hanging="360"/>
      </w:pPr>
    </w:lvl>
    <w:lvl w:ilvl="8" w:tplc="63BECEAE" w:tentative="1">
      <w:start w:val="1"/>
      <w:numFmt w:val="decimal"/>
      <w:lvlText w:val="(%9)"/>
      <w:lvlJc w:val="left"/>
      <w:pPr>
        <w:tabs>
          <w:tab w:val="num" w:pos="6120"/>
        </w:tabs>
        <w:ind w:left="6120" w:hanging="360"/>
      </w:pPr>
    </w:lvl>
  </w:abstractNum>
  <w:abstractNum w:abstractNumId="9" w15:restartNumberingAfterBreak="0">
    <w:nsid w:val="196F7D4E"/>
    <w:multiLevelType w:val="hybridMultilevel"/>
    <w:tmpl w:val="9774EBB6"/>
    <w:lvl w:ilvl="0" w:tplc="381AB0F6">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ED552B"/>
    <w:multiLevelType w:val="hybridMultilevel"/>
    <w:tmpl w:val="4AA05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A93594"/>
    <w:multiLevelType w:val="hybridMultilevel"/>
    <w:tmpl w:val="DD36181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696808"/>
    <w:multiLevelType w:val="hybridMultilevel"/>
    <w:tmpl w:val="77686B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5687B"/>
    <w:multiLevelType w:val="multilevel"/>
    <w:tmpl w:val="990AA1EA"/>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7DE1AFA"/>
    <w:multiLevelType w:val="hybridMultilevel"/>
    <w:tmpl w:val="A4BC50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2F19FD"/>
    <w:multiLevelType w:val="hybridMultilevel"/>
    <w:tmpl w:val="D13A27F4"/>
    <w:lvl w:ilvl="0" w:tplc="00C4CF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9152C8"/>
    <w:multiLevelType w:val="multilevel"/>
    <w:tmpl w:val="0FC4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87482"/>
    <w:multiLevelType w:val="hybridMultilevel"/>
    <w:tmpl w:val="4B988F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4504B3"/>
    <w:multiLevelType w:val="hybridMultilevel"/>
    <w:tmpl w:val="41C22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0C470E"/>
    <w:multiLevelType w:val="hybridMultilevel"/>
    <w:tmpl w:val="B1860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9E6E83"/>
    <w:multiLevelType w:val="hybridMultilevel"/>
    <w:tmpl w:val="E0DCE402"/>
    <w:lvl w:ilvl="0" w:tplc="BE6A8310">
      <w:start w:val="1"/>
      <w:numFmt w:val="decimal"/>
      <w:pStyle w:val="ListNumber"/>
      <w:lvlText w:val="%1."/>
      <w:lvlJc w:val="left"/>
      <w:pPr>
        <w:tabs>
          <w:tab w:val="num" w:pos="425"/>
        </w:tabs>
        <w:ind w:left="425" w:hanging="425"/>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841FF"/>
    <w:multiLevelType w:val="multilevel"/>
    <w:tmpl w:val="97CC1A56"/>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EDC48CD"/>
    <w:multiLevelType w:val="hybridMultilevel"/>
    <w:tmpl w:val="A162D30E"/>
    <w:lvl w:ilvl="0" w:tplc="44027134">
      <w:start w:val="1"/>
      <w:numFmt w:val="bullet"/>
      <w:pStyle w:val="Tabl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EF5202"/>
    <w:multiLevelType w:val="hybridMultilevel"/>
    <w:tmpl w:val="6E9A78DA"/>
    <w:lvl w:ilvl="0" w:tplc="E9A637F2">
      <w:start w:val="1"/>
      <w:numFmt w:val="bullet"/>
      <w:pStyle w:val="TableBullet2"/>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434F780E"/>
    <w:multiLevelType w:val="hybridMultilevel"/>
    <w:tmpl w:val="EFF2B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FE6955"/>
    <w:multiLevelType w:val="hybridMultilevel"/>
    <w:tmpl w:val="61C431FE"/>
    <w:lvl w:ilvl="0" w:tplc="3D4E595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410B24"/>
    <w:multiLevelType w:val="multilevel"/>
    <w:tmpl w:val="03F416BE"/>
    <w:lvl w:ilvl="0">
      <w:start w:val="1"/>
      <w:numFmt w:val="decimal"/>
      <w:pStyle w:val="Heading1Outline"/>
      <w:lvlText w:val="%1."/>
      <w:lvlJc w:val="left"/>
      <w:pPr>
        <w:tabs>
          <w:tab w:val="num" w:pos="992"/>
        </w:tabs>
        <w:ind w:left="992" w:hanging="992"/>
      </w:pPr>
      <w:rPr>
        <w:rFonts w:hint="default"/>
      </w:rPr>
    </w:lvl>
    <w:lvl w:ilvl="1">
      <w:start w:val="1"/>
      <w:numFmt w:val="decimal"/>
      <w:pStyle w:val="Heading2Outline"/>
      <w:lvlText w:val="%1.%2."/>
      <w:lvlJc w:val="left"/>
      <w:pPr>
        <w:tabs>
          <w:tab w:val="num" w:pos="851"/>
        </w:tabs>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9E65A6"/>
    <w:multiLevelType w:val="hybridMultilevel"/>
    <w:tmpl w:val="05B8D412"/>
    <w:lvl w:ilvl="0" w:tplc="A622EC3A">
      <w:start w:val="1"/>
      <w:numFmt w:val="decimal"/>
      <w:lvlText w:val="%1."/>
      <w:lvlJc w:val="left"/>
      <w:pPr>
        <w:ind w:left="1080" w:hanging="720"/>
      </w:pPr>
      <w:rPr>
        <w:rFonts w:cs="Times New Roman" w:hint="default"/>
        <w:color w:val="2C2624"/>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AA3248"/>
    <w:multiLevelType w:val="hybridMultilevel"/>
    <w:tmpl w:val="119CD3C0"/>
    <w:lvl w:ilvl="0" w:tplc="E424FDC2">
      <w:start w:val="1"/>
      <w:numFmt w:val="bullet"/>
      <w:pStyle w:val="Box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F7279"/>
    <w:multiLevelType w:val="hybridMultilevel"/>
    <w:tmpl w:val="8378FFC0"/>
    <w:lvl w:ilvl="0" w:tplc="17F09F4C">
      <w:start w:val="1"/>
      <w:numFmt w:val="bullet"/>
      <w:pStyle w:val="CommentTextBullet"/>
      <w:lvlText w:val=""/>
      <w:lvlJc w:val="left"/>
      <w:pPr>
        <w:tabs>
          <w:tab w:val="num" w:pos="227"/>
        </w:tabs>
        <w:ind w:left="227" w:hanging="227"/>
      </w:pPr>
      <w:rPr>
        <w:rFonts w:ascii="Wingdings" w:hAnsi="Wingdings"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B1C35"/>
    <w:multiLevelType w:val="hybridMultilevel"/>
    <w:tmpl w:val="B4606D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5D7F85"/>
    <w:multiLevelType w:val="hybridMultilevel"/>
    <w:tmpl w:val="6EE2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4148F3"/>
    <w:multiLevelType w:val="hybridMultilevel"/>
    <w:tmpl w:val="628039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B17268"/>
    <w:multiLevelType w:val="hybridMultilevel"/>
    <w:tmpl w:val="B7F8461E"/>
    <w:lvl w:ilvl="0" w:tplc="62D2A4D8">
      <w:start w:val="1"/>
      <w:numFmt w:val="decimal"/>
      <w:lvlText w:val="%1."/>
      <w:lvlJc w:val="left"/>
      <w:pPr>
        <w:ind w:left="1020" w:hanging="360"/>
      </w:pPr>
    </w:lvl>
    <w:lvl w:ilvl="1" w:tplc="9BD0179A">
      <w:start w:val="1"/>
      <w:numFmt w:val="decimal"/>
      <w:lvlText w:val="%2."/>
      <w:lvlJc w:val="left"/>
      <w:pPr>
        <w:ind w:left="1020" w:hanging="360"/>
      </w:pPr>
    </w:lvl>
    <w:lvl w:ilvl="2" w:tplc="CC92A6EE">
      <w:start w:val="1"/>
      <w:numFmt w:val="decimal"/>
      <w:lvlText w:val="%3."/>
      <w:lvlJc w:val="left"/>
      <w:pPr>
        <w:ind w:left="1020" w:hanging="360"/>
      </w:pPr>
    </w:lvl>
    <w:lvl w:ilvl="3" w:tplc="940AA806">
      <w:start w:val="1"/>
      <w:numFmt w:val="decimal"/>
      <w:lvlText w:val="%4."/>
      <w:lvlJc w:val="left"/>
      <w:pPr>
        <w:ind w:left="1020" w:hanging="360"/>
      </w:pPr>
    </w:lvl>
    <w:lvl w:ilvl="4" w:tplc="96D639F6">
      <w:start w:val="1"/>
      <w:numFmt w:val="decimal"/>
      <w:lvlText w:val="%5."/>
      <w:lvlJc w:val="left"/>
      <w:pPr>
        <w:ind w:left="1020" w:hanging="360"/>
      </w:pPr>
    </w:lvl>
    <w:lvl w:ilvl="5" w:tplc="E3CEEE16">
      <w:start w:val="1"/>
      <w:numFmt w:val="decimal"/>
      <w:lvlText w:val="%6."/>
      <w:lvlJc w:val="left"/>
      <w:pPr>
        <w:ind w:left="1020" w:hanging="360"/>
      </w:pPr>
    </w:lvl>
    <w:lvl w:ilvl="6" w:tplc="6CE04160">
      <w:start w:val="1"/>
      <w:numFmt w:val="decimal"/>
      <w:lvlText w:val="%7."/>
      <w:lvlJc w:val="left"/>
      <w:pPr>
        <w:ind w:left="1020" w:hanging="360"/>
      </w:pPr>
    </w:lvl>
    <w:lvl w:ilvl="7" w:tplc="85F6C490">
      <w:start w:val="1"/>
      <w:numFmt w:val="decimal"/>
      <w:lvlText w:val="%8."/>
      <w:lvlJc w:val="left"/>
      <w:pPr>
        <w:ind w:left="1020" w:hanging="360"/>
      </w:pPr>
    </w:lvl>
    <w:lvl w:ilvl="8" w:tplc="3E8E37AA">
      <w:start w:val="1"/>
      <w:numFmt w:val="decimal"/>
      <w:lvlText w:val="%9."/>
      <w:lvlJc w:val="left"/>
      <w:pPr>
        <w:ind w:left="1020" w:hanging="360"/>
      </w:pPr>
    </w:lvl>
  </w:abstractNum>
  <w:abstractNum w:abstractNumId="34" w15:restartNumberingAfterBreak="0">
    <w:nsid w:val="5BA74F37"/>
    <w:multiLevelType w:val="hybridMultilevel"/>
    <w:tmpl w:val="77F0D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DC3A67"/>
    <w:multiLevelType w:val="hybridMultilevel"/>
    <w:tmpl w:val="6A50FEC2"/>
    <w:lvl w:ilvl="0" w:tplc="DE8078FE">
      <w:start w:val="1"/>
      <w:numFmt w:val="decimal"/>
      <w:lvlText w:val="(%1)"/>
      <w:lvlJc w:val="left"/>
      <w:pPr>
        <w:tabs>
          <w:tab w:val="num" w:pos="360"/>
        </w:tabs>
        <w:ind w:left="360" w:hanging="360"/>
      </w:pPr>
    </w:lvl>
    <w:lvl w:ilvl="1" w:tplc="43DE1FB4" w:tentative="1">
      <w:start w:val="1"/>
      <w:numFmt w:val="decimal"/>
      <w:lvlText w:val="(%2)"/>
      <w:lvlJc w:val="left"/>
      <w:pPr>
        <w:tabs>
          <w:tab w:val="num" w:pos="1080"/>
        </w:tabs>
        <w:ind w:left="1080" w:hanging="360"/>
      </w:pPr>
    </w:lvl>
    <w:lvl w:ilvl="2" w:tplc="BBAE8D7A" w:tentative="1">
      <w:start w:val="1"/>
      <w:numFmt w:val="decimal"/>
      <w:lvlText w:val="(%3)"/>
      <w:lvlJc w:val="left"/>
      <w:pPr>
        <w:tabs>
          <w:tab w:val="num" w:pos="1800"/>
        </w:tabs>
        <w:ind w:left="1800" w:hanging="360"/>
      </w:pPr>
    </w:lvl>
    <w:lvl w:ilvl="3" w:tplc="F68CDB20" w:tentative="1">
      <w:start w:val="1"/>
      <w:numFmt w:val="decimal"/>
      <w:lvlText w:val="(%4)"/>
      <w:lvlJc w:val="left"/>
      <w:pPr>
        <w:tabs>
          <w:tab w:val="num" w:pos="2520"/>
        </w:tabs>
        <w:ind w:left="2520" w:hanging="360"/>
      </w:pPr>
    </w:lvl>
    <w:lvl w:ilvl="4" w:tplc="D27EB0F0" w:tentative="1">
      <w:start w:val="1"/>
      <w:numFmt w:val="decimal"/>
      <w:lvlText w:val="(%5)"/>
      <w:lvlJc w:val="left"/>
      <w:pPr>
        <w:tabs>
          <w:tab w:val="num" w:pos="3240"/>
        </w:tabs>
        <w:ind w:left="3240" w:hanging="360"/>
      </w:pPr>
    </w:lvl>
    <w:lvl w:ilvl="5" w:tplc="62CA606A" w:tentative="1">
      <w:start w:val="1"/>
      <w:numFmt w:val="decimal"/>
      <w:lvlText w:val="(%6)"/>
      <w:lvlJc w:val="left"/>
      <w:pPr>
        <w:tabs>
          <w:tab w:val="num" w:pos="3960"/>
        </w:tabs>
        <w:ind w:left="3960" w:hanging="360"/>
      </w:pPr>
    </w:lvl>
    <w:lvl w:ilvl="6" w:tplc="4CD60624" w:tentative="1">
      <w:start w:val="1"/>
      <w:numFmt w:val="decimal"/>
      <w:lvlText w:val="(%7)"/>
      <w:lvlJc w:val="left"/>
      <w:pPr>
        <w:tabs>
          <w:tab w:val="num" w:pos="4680"/>
        </w:tabs>
        <w:ind w:left="4680" w:hanging="360"/>
      </w:pPr>
    </w:lvl>
    <w:lvl w:ilvl="7" w:tplc="DD2EDA36" w:tentative="1">
      <w:start w:val="1"/>
      <w:numFmt w:val="decimal"/>
      <w:lvlText w:val="(%8)"/>
      <w:lvlJc w:val="left"/>
      <w:pPr>
        <w:tabs>
          <w:tab w:val="num" w:pos="5400"/>
        </w:tabs>
        <w:ind w:left="5400" w:hanging="360"/>
      </w:pPr>
    </w:lvl>
    <w:lvl w:ilvl="8" w:tplc="F4CE479C" w:tentative="1">
      <w:start w:val="1"/>
      <w:numFmt w:val="decimal"/>
      <w:lvlText w:val="(%9)"/>
      <w:lvlJc w:val="left"/>
      <w:pPr>
        <w:tabs>
          <w:tab w:val="num" w:pos="6120"/>
        </w:tabs>
        <w:ind w:left="6120" w:hanging="360"/>
      </w:pPr>
    </w:lvl>
  </w:abstractNum>
  <w:abstractNum w:abstractNumId="36" w15:restartNumberingAfterBreak="0">
    <w:nsid w:val="5FB72E6E"/>
    <w:multiLevelType w:val="hybridMultilevel"/>
    <w:tmpl w:val="90745F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F669E6"/>
    <w:multiLevelType w:val="hybridMultilevel"/>
    <w:tmpl w:val="B8F8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A7297A"/>
    <w:multiLevelType w:val="hybridMultilevel"/>
    <w:tmpl w:val="CC0A1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D46213"/>
    <w:multiLevelType w:val="hybridMultilevel"/>
    <w:tmpl w:val="78EC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FE7746"/>
    <w:multiLevelType w:val="hybridMultilevel"/>
    <w:tmpl w:val="236C3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174EB1"/>
    <w:multiLevelType w:val="hybridMultilevel"/>
    <w:tmpl w:val="E8FC9F34"/>
    <w:lvl w:ilvl="0" w:tplc="3F224BDC">
      <w:start w:val="1"/>
      <w:numFmt w:val="decimal"/>
      <w:pStyle w:val="Box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CD281F"/>
    <w:multiLevelType w:val="hybridMultilevel"/>
    <w:tmpl w:val="D71ABD86"/>
    <w:lvl w:ilvl="0" w:tplc="5D168C2E">
      <w:start w:val="1"/>
      <w:numFmt w:val="decimal"/>
      <w:lvlText w:val="%1."/>
      <w:lvlJc w:val="left"/>
      <w:pPr>
        <w:ind w:left="1020" w:hanging="360"/>
      </w:pPr>
    </w:lvl>
    <w:lvl w:ilvl="1" w:tplc="404ACBBA">
      <w:start w:val="1"/>
      <w:numFmt w:val="decimal"/>
      <w:lvlText w:val="%2."/>
      <w:lvlJc w:val="left"/>
      <w:pPr>
        <w:ind w:left="1020" w:hanging="360"/>
      </w:pPr>
    </w:lvl>
    <w:lvl w:ilvl="2" w:tplc="45180572">
      <w:start w:val="1"/>
      <w:numFmt w:val="decimal"/>
      <w:lvlText w:val="%3."/>
      <w:lvlJc w:val="left"/>
      <w:pPr>
        <w:ind w:left="1020" w:hanging="360"/>
      </w:pPr>
    </w:lvl>
    <w:lvl w:ilvl="3" w:tplc="51BE4DC2">
      <w:start w:val="1"/>
      <w:numFmt w:val="decimal"/>
      <w:lvlText w:val="%4."/>
      <w:lvlJc w:val="left"/>
      <w:pPr>
        <w:ind w:left="1020" w:hanging="360"/>
      </w:pPr>
    </w:lvl>
    <w:lvl w:ilvl="4" w:tplc="91609554">
      <w:start w:val="1"/>
      <w:numFmt w:val="decimal"/>
      <w:lvlText w:val="%5."/>
      <w:lvlJc w:val="left"/>
      <w:pPr>
        <w:ind w:left="1020" w:hanging="360"/>
      </w:pPr>
    </w:lvl>
    <w:lvl w:ilvl="5" w:tplc="1E74BDE6">
      <w:start w:val="1"/>
      <w:numFmt w:val="decimal"/>
      <w:lvlText w:val="%6."/>
      <w:lvlJc w:val="left"/>
      <w:pPr>
        <w:ind w:left="1020" w:hanging="360"/>
      </w:pPr>
    </w:lvl>
    <w:lvl w:ilvl="6" w:tplc="989039AE">
      <w:start w:val="1"/>
      <w:numFmt w:val="decimal"/>
      <w:lvlText w:val="%7."/>
      <w:lvlJc w:val="left"/>
      <w:pPr>
        <w:ind w:left="1020" w:hanging="360"/>
      </w:pPr>
    </w:lvl>
    <w:lvl w:ilvl="7" w:tplc="24869D1A">
      <w:start w:val="1"/>
      <w:numFmt w:val="decimal"/>
      <w:lvlText w:val="%8."/>
      <w:lvlJc w:val="left"/>
      <w:pPr>
        <w:ind w:left="1020" w:hanging="360"/>
      </w:pPr>
    </w:lvl>
    <w:lvl w:ilvl="8" w:tplc="5D888BF2">
      <w:start w:val="1"/>
      <w:numFmt w:val="decimal"/>
      <w:lvlText w:val="%9."/>
      <w:lvlJc w:val="left"/>
      <w:pPr>
        <w:ind w:left="1020" w:hanging="360"/>
      </w:pPr>
    </w:lvl>
  </w:abstractNum>
  <w:abstractNum w:abstractNumId="43" w15:restartNumberingAfterBreak="0">
    <w:nsid w:val="71F33A72"/>
    <w:multiLevelType w:val="multilevel"/>
    <w:tmpl w:val="C12C60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90210A8"/>
    <w:multiLevelType w:val="hybridMultilevel"/>
    <w:tmpl w:val="599C2540"/>
    <w:lvl w:ilvl="0" w:tplc="3E70C1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B92AD5"/>
    <w:multiLevelType w:val="hybridMultilevel"/>
    <w:tmpl w:val="D1AC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BD0FAA"/>
    <w:multiLevelType w:val="hybridMultilevel"/>
    <w:tmpl w:val="42DAF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C6619B"/>
    <w:multiLevelType w:val="multilevel"/>
    <w:tmpl w:val="AB5C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702236">
    <w:abstractNumId w:val="1"/>
  </w:num>
  <w:num w:numId="2" w16cid:durableId="373698794">
    <w:abstractNumId w:val="0"/>
  </w:num>
  <w:num w:numId="3" w16cid:durableId="833036711">
    <w:abstractNumId w:val="5"/>
  </w:num>
  <w:num w:numId="4" w16cid:durableId="1823695744">
    <w:abstractNumId w:val="20"/>
  </w:num>
  <w:num w:numId="5" w16cid:durableId="1540242156">
    <w:abstractNumId w:val="26"/>
  </w:num>
  <w:num w:numId="6" w16cid:durableId="355423101">
    <w:abstractNumId w:val="29"/>
  </w:num>
  <w:num w:numId="7" w16cid:durableId="483133014">
    <w:abstractNumId w:val="6"/>
  </w:num>
  <w:num w:numId="8" w16cid:durableId="781342220">
    <w:abstractNumId w:val="28"/>
  </w:num>
  <w:num w:numId="9" w16cid:durableId="787546795">
    <w:abstractNumId w:val="41"/>
  </w:num>
  <w:num w:numId="10" w16cid:durableId="2042199520">
    <w:abstractNumId w:val="9"/>
  </w:num>
  <w:num w:numId="11" w16cid:durableId="2136293903">
    <w:abstractNumId w:val="22"/>
  </w:num>
  <w:num w:numId="12" w16cid:durableId="1400322482">
    <w:abstractNumId w:val="23"/>
  </w:num>
  <w:num w:numId="13" w16cid:durableId="1243442548">
    <w:abstractNumId w:val="7"/>
  </w:num>
  <w:num w:numId="14" w16cid:durableId="1127579232">
    <w:abstractNumId w:val="21"/>
  </w:num>
  <w:num w:numId="15" w16cid:durableId="1188830352">
    <w:abstractNumId w:val="37"/>
  </w:num>
  <w:num w:numId="16" w16cid:durableId="1333484693">
    <w:abstractNumId w:val="43"/>
  </w:num>
  <w:num w:numId="17" w16cid:durableId="685252905">
    <w:abstractNumId w:val="19"/>
  </w:num>
  <w:num w:numId="18" w16cid:durableId="747658298">
    <w:abstractNumId w:val="11"/>
  </w:num>
  <w:num w:numId="19" w16cid:durableId="916521844">
    <w:abstractNumId w:val="8"/>
  </w:num>
  <w:num w:numId="20" w16cid:durableId="1085223523">
    <w:abstractNumId w:val="35"/>
  </w:num>
  <w:num w:numId="21" w16cid:durableId="377050232">
    <w:abstractNumId w:val="30"/>
  </w:num>
  <w:num w:numId="22" w16cid:durableId="333385061">
    <w:abstractNumId w:val="46"/>
  </w:num>
  <w:num w:numId="23" w16cid:durableId="268898460">
    <w:abstractNumId w:val="38"/>
  </w:num>
  <w:num w:numId="24" w16cid:durableId="1215195186">
    <w:abstractNumId w:val="47"/>
  </w:num>
  <w:num w:numId="25" w16cid:durableId="1372534671">
    <w:abstractNumId w:val="17"/>
  </w:num>
  <w:num w:numId="26" w16cid:durableId="433942690">
    <w:abstractNumId w:val="36"/>
  </w:num>
  <w:num w:numId="27" w16cid:durableId="1057511082">
    <w:abstractNumId w:val="45"/>
  </w:num>
  <w:num w:numId="28" w16cid:durableId="1429502229">
    <w:abstractNumId w:val="40"/>
  </w:num>
  <w:num w:numId="29" w16cid:durableId="959871630">
    <w:abstractNumId w:val="34"/>
  </w:num>
  <w:num w:numId="30" w16cid:durableId="2000578946">
    <w:abstractNumId w:val="39"/>
  </w:num>
  <w:num w:numId="31" w16cid:durableId="10038902">
    <w:abstractNumId w:val="44"/>
  </w:num>
  <w:num w:numId="32" w16cid:durableId="997423611">
    <w:abstractNumId w:val="13"/>
  </w:num>
  <w:num w:numId="33" w16cid:durableId="769853159">
    <w:abstractNumId w:val="14"/>
  </w:num>
  <w:num w:numId="34" w16cid:durableId="2010517207">
    <w:abstractNumId w:val="33"/>
  </w:num>
  <w:num w:numId="35" w16cid:durableId="810711836">
    <w:abstractNumId w:val="42"/>
  </w:num>
  <w:num w:numId="36" w16cid:durableId="414475084">
    <w:abstractNumId w:val="3"/>
  </w:num>
  <w:num w:numId="37" w16cid:durableId="746851215">
    <w:abstractNumId w:val="10"/>
  </w:num>
  <w:num w:numId="38" w16cid:durableId="993604714">
    <w:abstractNumId w:val="15"/>
  </w:num>
  <w:num w:numId="39" w16cid:durableId="1354770311">
    <w:abstractNumId w:val="25"/>
  </w:num>
  <w:num w:numId="40" w16cid:durableId="1233811253">
    <w:abstractNumId w:val="4"/>
  </w:num>
  <w:num w:numId="41" w16cid:durableId="1859267276">
    <w:abstractNumId w:val="32"/>
  </w:num>
  <w:num w:numId="42" w16cid:durableId="1126001819">
    <w:abstractNumId w:val="31"/>
  </w:num>
  <w:num w:numId="43" w16cid:durableId="70398934">
    <w:abstractNumId w:val="2"/>
  </w:num>
  <w:num w:numId="44" w16cid:durableId="173418426">
    <w:abstractNumId w:val="16"/>
  </w:num>
  <w:num w:numId="45" w16cid:durableId="1055354555">
    <w:abstractNumId w:val="27"/>
  </w:num>
  <w:num w:numId="46" w16cid:durableId="1337147141">
    <w:abstractNumId w:val="18"/>
  </w:num>
  <w:num w:numId="47" w16cid:durableId="1550873135">
    <w:abstractNumId w:val="24"/>
  </w:num>
  <w:num w:numId="48" w16cid:durableId="140059455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AU" w:vendorID="64" w:dllVersion="0" w:nlCheck="1" w:checkStyle="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sp9wvrnavvrjersfopex2qvav9tva0dder&quot;&gt;Objective 2&lt;record-ids&gt;&lt;item&gt;3&lt;/item&gt;&lt;item&gt;16&lt;/item&gt;&lt;item&gt;36&lt;/item&gt;&lt;item&gt;43&lt;/item&gt;&lt;item&gt;57&lt;/item&gt;&lt;item&gt;117&lt;/item&gt;&lt;item&gt;209&lt;/item&gt;&lt;item&gt;255&lt;/item&gt;&lt;item&gt;265&lt;/item&gt;&lt;item&gt;379&lt;/item&gt;&lt;item&gt;383&lt;/item&gt;&lt;item&gt;384&lt;/item&gt;&lt;item&gt;386&lt;/item&gt;&lt;item&gt;387&lt;/item&gt;&lt;/record-ids&gt;&lt;/item&gt;&lt;/Libraries&gt;"/>
  </w:docVars>
  <w:rsids>
    <w:rsidRoot w:val="00B1011C"/>
    <w:rsid w:val="000001F9"/>
    <w:rsid w:val="00000301"/>
    <w:rsid w:val="00000443"/>
    <w:rsid w:val="000005D2"/>
    <w:rsid w:val="00000D3B"/>
    <w:rsid w:val="0000104E"/>
    <w:rsid w:val="00001222"/>
    <w:rsid w:val="00001236"/>
    <w:rsid w:val="00001693"/>
    <w:rsid w:val="000017E3"/>
    <w:rsid w:val="00001917"/>
    <w:rsid w:val="0000194F"/>
    <w:rsid w:val="00001CDE"/>
    <w:rsid w:val="00001E5E"/>
    <w:rsid w:val="00002220"/>
    <w:rsid w:val="000022E6"/>
    <w:rsid w:val="0000236B"/>
    <w:rsid w:val="000023E8"/>
    <w:rsid w:val="000027DF"/>
    <w:rsid w:val="00002D35"/>
    <w:rsid w:val="00002D42"/>
    <w:rsid w:val="00002DB0"/>
    <w:rsid w:val="00002DCB"/>
    <w:rsid w:val="00002EBC"/>
    <w:rsid w:val="00002FA8"/>
    <w:rsid w:val="00003165"/>
    <w:rsid w:val="000031E6"/>
    <w:rsid w:val="0000324F"/>
    <w:rsid w:val="000036BC"/>
    <w:rsid w:val="0000372D"/>
    <w:rsid w:val="00003AC5"/>
    <w:rsid w:val="00003B95"/>
    <w:rsid w:val="00003EF4"/>
    <w:rsid w:val="00004674"/>
    <w:rsid w:val="00004E67"/>
    <w:rsid w:val="0000502C"/>
    <w:rsid w:val="0000514D"/>
    <w:rsid w:val="000051F8"/>
    <w:rsid w:val="0000539D"/>
    <w:rsid w:val="00005537"/>
    <w:rsid w:val="00005D1C"/>
    <w:rsid w:val="000062A4"/>
    <w:rsid w:val="0000648B"/>
    <w:rsid w:val="00006619"/>
    <w:rsid w:val="00006838"/>
    <w:rsid w:val="00006E23"/>
    <w:rsid w:val="0000755C"/>
    <w:rsid w:val="000075BF"/>
    <w:rsid w:val="000079E7"/>
    <w:rsid w:val="00007B6B"/>
    <w:rsid w:val="00007B8D"/>
    <w:rsid w:val="00007BC1"/>
    <w:rsid w:val="00007C6F"/>
    <w:rsid w:val="0001029C"/>
    <w:rsid w:val="000103E5"/>
    <w:rsid w:val="00010527"/>
    <w:rsid w:val="00010A35"/>
    <w:rsid w:val="00010F3A"/>
    <w:rsid w:val="00011184"/>
    <w:rsid w:val="000113E3"/>
    <w:rsid w:val="000114B3"/>
    <w:rsid w:val="000115FD"/>
    <w:rsid w:val="00011692"/>
    <w:rsid w:val="000116F8"/>
    <w:rsid w:val="000119B8"/>
    <w:rsid w:val="0001200E"/>
    <w:rsid w:val="00012193"/>
    <w:rsid w:val="0001230F"/>
    <w:rsid w:val="0001249D"/>
    <w:rsid w:val="000125B8"/>
    <w:rsid w:val="00012613"/>
    <w:rsid w:val="00012C32"/>
    <w:rsid w:val="00012D39"/>
    <w:rsid w:val="00012E9D"/>
    <w:rsid w:val="00012EB1"/>
    <w:rsid w:val="00012FB9"/>
    <w:rsid w:val="0001375A"/>
    <w:rsid w:val="000137C0"/>
    <w:rsid w:val="000137FC"/>
    <w:rsid w:val="0001396E"/>
    <w:rsid w:val="00013A8B"/>
    <w:rsid w:val="00013AB1"/>
    <w:rsid w:val="00013B40"/>
    <w:rsid w:val="00013BCF"/>
    <w:rsid w:val="00013C63"/>
    <w:rsid w:val="00013CB4"/>
    <w:rsid w:val="00013D01"/>
    <w:rsid w:val="00013D2C"/>
    <w:rsid w:val="00013E2C"/>
    <w:rsid w:val="00013EAA"/>
    <w:rsid w:val="00014191"/>
    <w:rsid w:val="0001450C"/>
    <w:rsid w:val="000145BC"/>
    <w:rsid w:val="0001477F"/>
    <w:rsid w:val="000147FC"/>
    <w:rsid w:val="00014DD5"/>
    <w:rsid w:val="00014F0D"/>
    <w:rsid w:val="000154B8"/>
    <w:rsid w:val="000155AA"/>
    <w:rsid w:val="000156C4"/>
    <w:rsid w:val="0001580B"/>
    <w:rsid w:val="000158BD"/>
    <w:rsid w:val="000158D0"/>
    <w:rsid w:val="00015AA8"/>
    <w:rsid w:val="00015C54"/>
    <w:rsid w:val="00015EB2"/>
    <w:rsid w:val="000162B6"/>
    <w:rsid w:val="00016306"/>
    <w:rsid w:val="000164E3"/>
    <w:rsid w:val="00016747"/>
    <w:rsid w:val="0001674E"/>
    <w:rsid w:val="00016930"/>
    <w:rsid w:val="00016A7D"/>
    <w:rsid w:val="00016BCA"/>
    <w:rsid w:val="00016C00"/>
    <w:rsid w:val="00016E7A"/>
    <w:rsid w:val="00017057"/>
    <w:rsid w:val="0001747C"/>
    <w:rsid w:val="00017481"/>
    <w:rsid w:val="00017546"/>
    <w:rsid w:val="000175B1"/>
    <w:rsid w:val="000177F8"/>
    <w:rsid w:val="00017A7B"/>
    <w:rsid w:val="00017BB1"/>
    <w:rsid w:val="00017EFC"/>
    <w:rsid w:val="00017F50"/>
    <w:rsid w:val="00017FE1"/>
    <w:rsid w:val="00020240"/>
    <w:rsid w:val="0002053A"/>
    <w:rsid w:val="00020688"/>
    <w:rsid w:val="0002095F"/>
    <w:rsid w:val="0002098B"/>
    <w:rsid w:val="000209B7"/>
    <w:rsid w:val="00020CD6"/>
    <w:rsid w:val="00020FBA"/>
    <w:rsid w:val="000211C7"/>
    <w:rsid w:val="00021323"/>
    <w:rsid w:val="0002197B"/>
    <w:rsid w:val="00021AEE"/>
    <w:rsid w:val="00021D6A"/>
    <w:rsid w:val="00021D90"/>
    <w:rsid w:val="00021DFA"/>
    <w:rsid w:val="00021F13"/>
    <w:rsid w:val="000222C5"/>
    <w:rsid w:val="0002243E"/>
    <w:rsid w:val="00022518"/>
    <w:rsid w:val="000225A5"/>
    <w:rsid w:val="0002278D"/>
    <w:rsid w:val="000228F2"/>
    <w:rsid w:val="00022EDE"/>
    <w:rsid w:val="00023405"/>
    <w:rsid w:val="000234E3"/>
    <w:rsid w:val="00023587"/>
    <w:rsid w:val="00023C07"/>
    <w:rsid w:val="00023D62"/>
    <w:rsid w:val="0002431F"/>
    <w:rsid w:val="00024514"/>
    <w:rsid w:val="0002495D"/>
    <w:rsid w:val="00024B04"/>
    <w:rsid w:val="00024C07"/>
    <w:rsid w:val="00024C9F"/>
    <w:rsid w:val="00024F41"/>
    <w:rsid w:val="0002521C"/>
    <w:rsid w:val="000255B4"/>
    <w:rsid w:val="00025755"/>
    <w:rsid w:val="0002577C"/>
    <w:rsid w:val="00025B91"/>
    <w:rsid w:val="00025B9A"/>
    <w:rsid w:val="00025D2A"/>
    <w:rsid w:val="00025D43"/>
    <w:rsid w:val="00025F24"/>
    <w:rsid w:val="000260E7"/>
    <w:rsid w:val="0002614B"/>
    <w:rsid w:val="0002624B"/>
    <w:rsid w:val="000262B3"/>
    <w:rsid w:val="0002646A"/>
    <w:rsid w:val="00026522"/>
    <w:rsid w:val="000266AE"/>
    <w:rsid w:val="00026859"/>
    <w:rsid w:val="00026982"/>
    <w:rsid w:val="000269DB"/>
    <w:rsid w:val="00026A1C"/>
    <w:rsid w:val="00026B77"/>
    <w:rsid w:val="00026F6A"/>
    <w:rsid w:val="0002727A"/>
    <w:rsid w:val="00027547"/>
    <w:rsid w:val="000277CA"/>
    <w:rsid w:val="00027840"/>
    <w:rsid w:val="00027928"/>
    <w:rsid w:val="0002798D"/>
    <w:rsid w:val="000279D9"/>
    <w:rsid w:val="00027B71"/>
    <w:rsid w:val="00027CD6"/>
    <w:rsid w:val="000300BB"/>
    <w:rsid w:val="000307E4"/>
    <w:rsid w:val="00030814"/>
    <w:rsid w:val="00030889"/>
    <w:rsid w:val="00030A99"/>
    <w:rsid w:val="00030CAD"/>
    <w:rsid w:val="00030EFA"/>
    <w:rsid w:val="00030F25"/>
    <w:rsid w:val="00030F31"/>
    <w:rsid w:val="00030FB4"/>
    <w:rsid w:val="0003140B"/>
    <w:rsid w:val="00031584"/>
    <w:rsid w:val="000320ED"/>
    <w:rsid w:val="00032796"/>
    <w:rsid w:val="000327AA"/>
    <w:rsid w:val="00032DEE"/>
    <w:rsid w:val="00033469"/>
    <w:rsid w:val="000334C9"/>
    <w:rsid w:val="00033541"/>
    <w:rsid w:val="0003375D"/>
    <w:rsid w:val="00033F88"/>
    <w:rsid w:val="00034106"/>
    <w:rsid w:val="000344DA"/>
    <w:rsid w:val="00034647"/>
    <w:rsid w:val="00034D9A"/>
    <w:rsid w:val="00034E63"/>
    <w:rsid w:val="0003504A"/>
    <w:rsid w:val="00035168"/>
    <w:rsid w:val="0003524B"/>
    <w:rsid w:val="000355F3"/>
    <w:rsid w:val="000357D7"/>
    <w:rsid w:val="00035917"/>
    <w:rsid w:val="00035C7B"/>
    <w:rsid w:val="00035F41"/>
    <w:rsid w:val="00036143"/>
    <w:rsid w:val="0003615A"/>
    <w:rsid w:val="000361B9"/>
    <w:rsid w:val="000362F0"/>
    <w:rsid w:val="00036410"/>
    <w:rsid w:val="00036497"/>
    <w:rsid w:val="00036687"/>
    <w:rsid w:val="000366BF"/>
    <w:rsid w:val="00036DE9"/>
    <w:rsid w:val="00036F88"/>
    <w:rsid w:val="000375D9"/>
    <w:rsid w:val="00037CD0"/>
    <w:rsid w:val="000401D2"/>
    <w:rsid w:val="00040209"/>
    <w:rsid w:val="000402D3"/>
    <w:rsid w:val="00040532"/>
    <w:rsid w:val="000405C3"/>
    <w:rsid w:val="00040625"/>
    <w:rsid w:val="000409DF"/>
    <w:rsid w:val="00040A2B"/>
    <w:rsid w:val="00040AF6"/>
    <w:rsid w:val="00041170"/>
    <w:rsid w:val="00041268"/>
    <w:rsid w:val="00041493"/>
    <w:rsid w:val="00041761"/>
    <w:rsid w:val="00041CE4"/>
    <w:rsid w:val="00041F5D"/>
    <w:rsid w:val="00042285"/>
    <w:rsid w:val="00042D8B"/>
    <w:rsid w:val="00042DD8"/>
    <w:rsid w:val="00042E35"/>
    <w:rsid w:val="00042EB0"/>
    <w:rsid w:val="00042F19"/>
    <w:rsid w:val="00042F97"/>
    <w:rsid w:val="00043089"/>
    <w:rsid w:val="00043175"/>
    <w:rsid w:val="00043195"/>
    <w:rsid w:val="00043279"/>
    <w:rsid w:val="00043625"/>
    <w:rsid w:val="0004362F"/>
    <w:rsid w:val="000436BD"/>
    <w:rsid w:val="00043709"/>
    <w:rsid w:val="00043912"/>
    <w:rsid w:val="00043DDD"/>
    <w:rsid w:val="00043FDB"/>
    <w:rsid w:val="000441EE"/>
    <w:rsid w:val="0004429C"/>
    <w:rsid w:val="000442A6"/>
    <w:rsid w:val="00044609"/>
    <w:rsid w:val="00044655"/>
    <w:rsid w:val="000446A8"/>
    <w:rsid w:val="000446F4"/>
    <w:rsid w:val="000446FC"/>
    <w:rsid w:val="00044728"/>
    <w:rsid w:val="000448DB"/>
    <w:rsid w:val="000448F9"/>
    <w:rsid w:val="00044D34"/>
    <w:rsid w:val="00044F45"/>
    <w:rsid w:val="00045048"/>
    <w:rsid w:val="000450FE"/>
    <w:rsid w:val="000451B8"/>
    <w:rsid w:val="000453AE"/>
    <w:rsid w:val="0004556F"/>
    <w:rsid w:val="00045753"/>
    <w:rsid w:val="00045936"/>
    <w:rsid w:val="000459EC"/>
    <w:rsid w:val="00045A0D"/>
    <w:rsid w:val="00045CA4"/>
    <w:rsid w:val="00045CE4"/>
    <w:rsid w:val="00045E63"/>
    <w:rsid w:val="00045F55"/>
    <w:rsid w:val="0004615E"/>
    <w:rsid w:val="000461E8"/>
    <w:rsid w:val="0004660A"/>
    <w:rsid w:val="000466E1"/>
    <w:rsid w:val="00046C54"/>
    <w:rsid w:val="00046C87"/>
    <w:rsid w:val="00046E2C"/>
    <w:rsid w:val="00046F90"/>
    <w:rsid w:val="00047310"/>
    <w:rsid w:val="0004734A"/>
    <w:rsid w:val="00047451"/>
    <w:rsid w:val="00047597"/>
    <w:rsid w:val="00047D22"/>
    <w:rsid w:val="00047F81"/>
    <w:rsid w:val="000503F4"/>
    <w:rsid w:val="0005064E"/>
    <w:rsid w:val="00050890"/>
    <w:rsid w:val="00050AD2"/>
    <w:rsid w:val="00050D07"/>
    <w:rsid w:val="00050F6B"/>
    <w:rsid w:val="00050F99"/>
    <w:rsid w:val="0005142A"/>
    <w:rsid w:val="000517CE"/>
    <w:rsid w:val="00051837"/>
    <w:rsid w:val="00051CAF"/>
    <w:rsid w:val="00051E68"/>
    <w:rsid w:val="0005213E"/>
    <w:rsid w:val="000522E2"/>
    <w:rsid w:val="000525D8"/>
    <w:rsid w:val="00052699"/>
    <w:rsid w:val="00052773"/>
    <w:rsid w:val="0005277E"/>
    <w:rsid w:val="0005292F"/>
    <w:rsid w:val="00052985"/>
    <w:rsid w:val="0005298D"/>
    <w:rsid w:val="00052A3E"/>
    <w:rsid w:val="00052A88"/>
    <w:rsid w:val="00052AFA"/>
    <w:rsid w:val="00052CF1"/>
    <w:rsid w:val="00052D96"/>
    <w:rsid w:val="00052E10"/>
    <w:rsid w:val="00052F0A"/>
    <w:rsid w:val="00052F97"/>
    <w:rsid w:val="00053230"/>
    <w:rsid w:val="0005370A"/>
    <w:rsid w:val="00053791"/>
    <w:rsid w:val="00053AC2"/>
    <w:rsid w:val="00053ADA"/>
    <w:rsid w:val="00053BCA"/>
    <w:rsid w:val="00053BE1"/>
    <w:rsid w:val="00053C18"/>
    <w:rsid w:val="00053CDE"/>
    <w:rsid w:val="00053CFD"/>
    <w:rsid w:val="00053F4B"/>
    <w:rsid w:val="000544F5"/>
    <w:rsid w:val="0005466E"/>
    <w:rsid w:val="000546B5"/>
    <w:rsid w:val="000546F4"/>
    <w:rsid w:val="0005490C"/>
    <w:rsid w:val="00054C55"/>
    <w:rsid w:val="00054C6A"/>
    <w:rsid w:val="00054C6E"/>
    <w:rsid w:val="00054CC9"/>
    <w:rsid w:val="00054D0D"/>
    <w:rsid w:val="000550BC"/>
    <w:rsid w:val="000550FE"/>
    <w:rsid w:val="000551BC"/>
    <w:rsid w:val="000552DE"/>
    <w:rsid w:val="00055349"/>
    <w:rsid w:val="0005556F"/>
    <w:rsid w:val="00055758"/>
    <w:rsid w:val="0005658D"/>
    <w:rsid w:val="000566FD"/>
    <w:rsid w:val="0005677D"/>
    <w:rsid w:val="000568BE"/>
    <w:rsid w:val="000568F4"/>
    <w:rsid w:val="00056A36"/>
    <w:rsid w:val="00056B6C"/>
    <w:rsid w:val="00056FA0"/>
    <w:rsid w:val="00057168"/>
    <w:rsid w:val="00057213"/>
    <w:rsid w:val="00057313"/>
    <w:rsid w:val="00057405"/>
    <w:rsid w:val="000574D4"/>
    <w:rsid w:val="000576F4"/>
    <w:rsid w:val="00057CF3"/>
    <w:rsid w:val="00057D0D"/>
    <w:rsid w:val="00060014"/>
    <w:rsid w:val="00060101"/>
    <w:rsid w:val="00060157"/>
    <w:rsid w:val="00060477"/>
    <w:rsid w:val="000604B5"/>
    <w:rsid w:val="00060A5C"/>
    <w:rsid w:val="00060B7E"/>
    <w:rsid w:val="00060D13"/>
    <w:rsid w:val="00060D38"/>
    <w:rsid w:val="00060D65"/>
    <w:rsid w:val="00060D99"/>
    <w:rsid w:val="00060FFA"/>
    <w:rsid w:val="0006109E"/>
    <w:rsid w:val="000611E0"/>
    <w:rsid w:val="00061256"/>
    <w:rsid w:val="00061600"/>
    <w:rsid w:val="00061677"/>
    <w:rsid w:val="000616D9"/>
    <w:rsid w:val="0006183F"/>
    <w:rsid w:val="00061D88"/>
    <w:rsid w:val="00062371"/>
    <w:rsid w:val="00062418"/>
    <w:rsid w:val="00062BD0"/>
    <w:rsid w:val="00063749"/>
    <w:rsid w:val="00063841"/>
    <w:rsid w:val="00063ABC"/>
    <w:rsid w:val="00063AC7"/>
    <w:rsid w:val="00063B15"/>
    <w:rsid w:val="00063C0C"/>
    <w:rsid w:val="00063C81"/>
    <w:rsid w:val="00063CE4"/>
    <w:rsid w:val="00063FAE"/>
    <w:rsid w:val="000643E8"/>
    <w:rsid w:val="0006454C"/>
    <w:rsid w:val="00064783"/>
    <w:rsid w:val="000647DD"/>
    <w:rsid w:val="00064C46"/>
    <w:rsid w:val="00064CAF"/>
    <w:rsid w:val="00064D62"/>
    <w:rsid w:val="0006521D"/>
    <w:rsid w:val="0006528C"/>
    <w:rsid w:val="0006542F"/>
    <w:rsid w:val="00065485"/>
    <w:rsid w:val="0006569C"/>
    <w:rsid w:val="0006585B"/>
    <w:rsid w:val="00065A32"/>
    <w:rsid w:val="00065C0B"/>
    <w:rsid w:val="00065E5A"/>
    <w:rsid w:val="00066084"/>
    <w:rsid w:val="000663F4"/>
    <w:rsid w:val="00066490"/>
    <w:rsid w:val="00066557"/>
    <w:rsid w:val="00066674"/>
    <w:rsid w:val="00066912"/>
    <w:rsid w:val="000669B3"/>
    <w:rsid w:val="00066C27"/>
    <w:rsid w:val="00066D5D"/>
    <w:rsid w:val="00066D8A"/>
    <w:rsid w:val="00066ECC"/>
    <w:rsid w:val="00067088"/>
    <w:rsid w:val="00067167"/>
    <w:rsid w:val="00067294"/>
    <w:rsid w:val="0006736D"/>
    <w:rsid w:val="00067399"/>
    <w:rsid w:val="00067B6A"/>
    <w:rsid w:val="00067BC2"/>
    <w:rsid w:val="00067BF9"/>
    <w:rsid w:val="00067E80"/>
    <w:rsid w:val="00070057"/>
    <w:rsid w:val="0007021C"/>
    <w:rsid w:val="0007030B"/>
    <w:rsid w:val="0007035C"/>
    <w:rsid w:val="000703A3"/>
    <w:rsid w:val="00070829"/>
    <w:rsid w:val="00070ADF"/>
    <w:rsid w:val="00070AE0"/>
    <w:rsid w:val="00070C86"/>
    <w:rsid w:val="00070CA2"/>
    <w:rsid w:val="00070EAC"/>
    <w:rsid w:val="00070F95"/>
    <w:rsid w:val="0007105A"/>
    <w:rsid w:val="0007174A"/>
    <w:rsid w:val="0007198B"/>
    <w:rsid w:val="00071C6C"/>
    <w:rsid w:val="0007218C"/>
    <w:rsid w:val="000723AC"/>
    <w:rsid w:val="000723B8"/>
    <w:rsid w:val="000724C8"/>
    <w:rsid w:val="0007260D"/>
    <w:rsid w:val="00072A6E"/>
    <w:rsid w:val="00072B11"/>
    <w:rsid w:val="00072C74"/>
    <w:rsid w:val="00072D17"/>
    <w:rsid w:val="00072E13"/>
    <w:rsid w:val="00073664"/>
    <w:rsid w:val="00073941"/>
    <w:rsid w:val="00073EAF"/>
    <w:rsid w:val="00073F3B"/>
    <w:rsid w:val="00074233"/>
    <w:rsid w:val="0007440A"/>
    <w:rsid w:val="0007472B"/>
    <w:rsid w:val="0007485F"/>
    <w:rsid w:val="00074929"/>
    <w:rsid w:val="0007492D"/>
    <w:rsid w:val="00074944"/>
    <w:rsid w:val="00074B43"/>
    <w:rsid w:val="00074C4A"/>
    <w:rsid w:val="00074F89"/>
    <w:rsid w:val="00075036"/>
    <w:rsid w:val="00075645"/>
    <w:rsid w:val="000759F1"/>
    <w:rsid w:val="00075BA0"/>
    <w:rsid w:val="00075F13"/>
    <w:rsid w:val="00075F4E"/>
    <w:rsid w:val="00076845"/>
    <w:rsid w:val="00076B63"/>
    <w:rsid w:val="00076D05"/>
    <w:rsid w:val="00076E02"/>
    <w:rsid w:val="000772E3"/>
    <w:rsid w:val="000773E2"/>
    <w:rsid w:val="00077A95"/>
    <w:rsid w:val="00077EE1"/>
    <w:rsid w:val="00080060"/>
    <w:rsid w:val="0008032D"/>
    <w:rsid w:val="000803E9"/>
    <w:rsid w:val="00080801"/>
    <w:rsid w:val="0008080D"/>
    <w:rsid w:val="00080DE1"/>
    <w:rsid w:val="00081001"/>
    <w:rsid w:val="000810A2"/>
    <w:rsid w:val="000810A8"/>
    <w:rsid w:val="000811D2"/>
    <w:rsid w:val="000812ED"/>
    <w:rsid w:val="000813C5"/>
    <w:rsid w:val="000815D3"/>
    <w:rsid w:val="000816EB"/>
    <w:rsid w:val="00081B1D"/>
    <w:rsid w:val="00081B70"/>
    <w:rsid w:val="000820E0"/>
    <w:rsid w:val="0008212D"/>
    <w:rsid w:val="000824B2"/>
    <w:rsid w:val="00082895"/>
    <w:rsid w:val="00082CC3"/>
    <w:rsid w:val="0008304E"/>
    <w:rsid w:val="00083190"/>
    <w:rsid w:val="00083304"/>
    <w:rsid w:val="0008390F"/>
    <w:rsid w:val="00083947"/>
    <w:rsid w:val="000839E2"/>
    <w:rsid w:val="00083B77"/>
    <w:rsid w:val="00083B90"/>
    <w:rsid w:val="00083BF2"/>
    <w:rsid w:val="00083D58"/>
    <w:rsid w:val="0008476F"/>
    <w:rsid w:val="000848FF"/>
    <w:rsid w:val="00084AFF"/>
    <w:rsid w:val="00084BE0"/>
    <w:rsid w:val="00084C13"/>
    <w:rsid w:val="0008513E"/>
    <w:rsid w:val="00085232"/>
    <w:rsid w:val="00085613"/>
    <w:rsid w:val="0008563A"/>
    <w:rsid w:val="0008580E"/>
    <w:rsid w:val="00085E08"/>
    <w:rsid w:val="00086196"/>
    <w:rsid w:val="0008623F"/>
    <w:rsid w:val="0008644A"/>
    <w:rsid w:val="000864C2"/>
    <w:rsid w:val="00086BF9"/>
    <w:rsid w:val="00086DDD"/>
    <w:rsid w:val="00086DFB"/>
    <w:rsid w:val="000870A6"/>
    <w:rsid w:val="00087218"/>
    <w:rsid w:val="00087286"/>
    <w:rsid w:val="000873CE"/>
    <w:rsid w:val="000873D9"/>
    <w:rsid w:val="00087763"/>
    <w:rsid w:val="000878AC"/>
    <w:rsid w:val="00087CC2"/>
    <w:rsid w:val="0009047D"/>
    <w:rsid w:val="00090B48"/>
    <w:rsid w:val="00090CBC"/>
    <w:rsid w:val="00090D70"/>
    <w:rsid w:val="00090E25"/>
    <w:rsid w:val="00091088"/>
    <w:rsid w:val="0009124E"/>
    <w:rsid w:val="0009149C"/>
    <w:rsid w:val="00091892"/>
    <w:rsid w:val="00091BFD"/>
    <w:rsid w:val="00091E2D"/>
    <w:rsid w:val="00092329"/>
    <w:rsid w:val="00092724"/>
    <w:rsid w:val="00092BE9"/>
    <w:rsid w:val="00092C35"/>
    <w:rsid w:val="00093EBD"/>
    <w:rsid w:val="0009413E"/>
    <w:rsid w:val="00094320"/>
    <w:rsid w:val="00094866"/>
    <w:rsid w:val="00094A06"/>
    <w:rsid w:val="00094BB2"/>
    <w:rsid w:val="000952A2"/>
    <w:rsid w:val="000952A8"/>
    <w:rsid w:val="0009570C"/>
    <w:rsid w:val="00095718"/>
    <w:rsid w:val="00095872"/>
    <w:rsid w:val="00095A48"/>
    <w:rsid w:val="00095B10"/>
    <w:rsid w:val="00095C09"/>
    <w:rsid w:val="00095C46"/>
    <w:rsid w:val="00095F0D"/>
    <w:rsid w:val="0009617E"/>
    <w:rsid w:val="000962F3"/>
    <w:rsid w:val="000963D2"/>
    <w:rsid w:val="000963EA"/>
    <w:rsid w:val="0009661D"/>
    <w:rsid w:val="0009666F"/>
    <w:rsid w:val="000968AF"/>
    <w:rsid w:val="000969A2"/>
    <w:rsid w:val="000969D6"/>
    <w:rsid w:val="000969FD"/>
    <w:rsid w:val="00096A02"/>
    <w:rsid w:val="00096E16"/>
    <w:rsid w:val="00096ECB"/>
    <w:rsid w:val="00096F11"/>
    <w:rsid w:val="000970B6"/>
    <w:rsid w:val="000970BD"/>
    <w:rsid w:val="0009716D"/>
    <w:rsid w:val="000975EE"/>
    <w:rsid w:val="00097964"/>
    <w:rsid w:val="00097B8A"/>
    <w:rsid w:val="00097BE8"/>
    <w:rsid w:val="00097BFD"/>
    <w:rsid w:val="00097E88"/>
    <w:rsid w:val="00097F82"/>
    <w:rsid w:val="00097FEF"/>
    <w:rsid w:val="000A0229"/>
    <w:rsid w:val="000A0504"/>
    <w:rsid w:val="000A0818"/>
    <w:rsid w:val="000A0B7D"/>
    <w:rsid w:val="000A0B81"/>
    <w:rsid w:val="000A0DB7"/>
    <w:rsid w:val="000A0EDD"/>
    <w:rsid w:val="000A12CB"/>
    <w:rsid w:val="000A1671"/>
    <w:rsid w:val="000A167B"/>
    <w:rsid w:val="000A175E"/>
    <w:rsid w:val="000A1AD5"/>
    <w:rsid w:val="000A1B1D"/>
    <w:rsid w:val="000A1F46"/>
    <w:rsid w:val="000A21FB"/>
    <w:rsid w:val="000A2257"/>
    <w:rsid w:val="000A26B2"/>
    <w:rsid w:val="000A2739"/>
    <w:rsid w:val="000A2780"/>
    <w:rsid w:val="000A33E2"/>
    <w:rsid w:val="000A3465"/>
    <w:rsid w:val="000A3589"/>
    <w:rsid w:val="000A3596"/>
    <w:rsid w:val="000A3813"/>
    <w:rsid w:val="000A3A3F"/>
    <w:rsid w:val="000A3CA9"/>
    <w:rsid w:val="000A3D6B"/>
    <w:rsid w:val="000A3F41"/>
    <w:rsid w:val="000A4138"/>
    <w:rsid w:val="000A459A"/>
    <w:rsid w:val="000A489D"/>
    <w:rsid w:val="000A4A0B"/>
    <w:rsid w:val="000A4D09"/>
    <w:rsid w:val="000A4E22"/>
    <w:rsid w:val="000A51B1"/>
    <w:rsid w:val="000A5685"/>
    <w:rsid w:val="000A58CF"/>
    <w:rsid w:val="000A60E5"/>
    <w:rsid w:val="000A6194"/>
    <w:rsid w:val="000A62F5"/>
    <w:rsid w:val="000A62F8"/>
    <w:rsid w:val="000A6439"/>
    <w:rsid w:val="000A6AAC"/>
    <w:rsid w:val="000A6ADF"/>
    <w:rsid w:val="000A6BE4"/>
    <w:rsid w:val="000A6C05"/>
    <w:rsid w:val="000A7072"/>
    <w:rsid w:val="000A70AA"/>
    <w:rsid w:val="000A7538"/>
    <w:rsid w:val="000A75B2"/>
    <w:rsid w:val="000A773D"/>
    <w:rsid w:val="000B0A02"/>
    <w:rsid w:val="000B0A50"/>
    <w:rsid w:val="000B0A55"/>
    <w:rsid w:val="000B0A9F"/>
    <w:rsid w:val="000B0BE3"/>
    <w:rsid w:val="000B0C43"/>
    <w:rsid w:val="000B0C50"/>
    <w:rsid w:val="000B0DAF"/>
    <w:rsid w:val="000B10CA"/>
    <w:rsid w:val="000B1B55"/>
    <w:rsid w:val="000B1D19"/>
    <w:rsid w:val="000B1D26"/>
    <w:rsid w:val="000B2700"/>
    <w:rsid w:val="000B2ACA"/>
    <w:rsid w:val="000B2B4E"/>
    <w:rsid w:val="000B2DC2"/>
    <w:rsid w:val="000B34F1"/>
    <w:rsid w:val="000B3671"/>
    <w:rsid w:val="000B3B5D"/>
    <w:rsid w:val="000B3C49"/>
    <w:rsid w:val="000B3DB3"/>
    <w:rsid w:val="000B3F5E"/>
    <w:rsid w:val="000B4076"/>
    <w:rsid w:val="000B4158"/>
    <w:rsid w:val="000B47AF"/>
    <w:rsid w:val="000B4AA4"/>
    <w:rsid w:val="000B4AD1"/>
    <w:rsid w:val="000B4B25"/>
    <w:rsid w:val="000B4B4F"/>
    <w:rsid w:val="000B4BC9"/>
    <w:rsid w:val="000B4DBB"/>
    <w:rsid w:val="000B5106"/>
    <w:rsid w:val="000B516C"/>
    <w:rsid w:val="000B53DD"/>
    <w:rsid w:val="000B5646"/>
    <w:rsid w:val="000B5A22"/>
    <w:rsid w:val="000B5A53"/>
    <w:rsid w:val="000B5AFA"/>
    <w:rsid w:val="000B5B0E"/>
    <w:rsid w:val="000B5BAF"/>
    <w:rsid w:val="000B5FA9"/>
    <w:rsid w:val="000B611E"/>
    <w:rsid w:val="000B65BE"/>
    <w:rsid w:val="000B66A8"/>
    <w:rsid w:val="000B67C6"/>
    <w:rsid w:val="000B6962"/>
    <w:rsid w:val="000B6A07"/>
    <w:rsid w:val="000B6C2B"/>
    <w:rsid w:val="000B6F53"/>
    <w:rsid w:val="000B7292"/>
    <w:rsid w:val="000B73EE"/>
    <w:rsid w:val="000B73FD"/>
    <w:rsid w:val="000B7B10"/>
    <w:rsid w:val="000B7CCF"/>
    <w:rsid w:val="000B7F73"/>
    <w:rsid w:val="000C0095"/>
    <w:rsid w:val="000C016C"/>
    <w:rsid w:val="000C0552"/>
    <w:rsid w:val="000C0997"/>
    <w:rsid w:val="000C0AA4"/>
    <w:rsid w:val="000C0CEF"/>
    <w:rsid w:val="000C0D2D"/>
    <w:rsid w:val="000C0F42"/>
    <w:rsid w:val="000C1B32"/>
    <w:rsid w:val="000C1D51"/>
    <w:rsid w:val="000C23BB"/>
    <w:rsid w:val="000C27AD"/>
    <w:rsid w:val="000C2AE8"/>
    <w:rsid w:val="000C2C67"/>
    <w:rsid w:val="000C2DE5"/>
    <w:rsid w:val="000C2E28"/>
    <w:rsid w:val="000C323C"/>
    <w:rsid w:val="000C3325"/>
    <w:rsid w:val="000C3878"/>
    <w:rsid w:val="000C39A9"/>
    <w:rsid w:val="000C3C00"/>
    <w:rsid w:val="000C4547"/>
    <w:rsid w:val="000C45B0"/>
    <w:rsid w:val="000C468B"/>
    <w:rsid w:val="000C4A89"/>
    <w:rsid w:val="000C4BA9"/>
    <w:rsid w:val="000C4DCF"/>
    <w:rsid w:val="000C4ED8"/>
    <w:rsid w:val="000C5447"/>
    <w:rsid w:val="000C57A1"/>
    <w:rsid w:val="000C5AED"/>
    <w:rsid w:val="000C5F68"/>
    <w:rsid w:val="000C5F9F"/>
    <w:rsid w:val="000C61C6"/>
    <w:rsid w:val="000C6447"/>
    <w:rsid w:val="000C6BBF"/>
    <w:rsid w:val="000C6C2F"/>
    <w:rsid w:val="000C6E84"/>
    <w:rsid w:val="000C6F21"/>
    <w:rsid w:val="000C7788"/>
    <w:rsid w:val="000C79F4"/>
    <w:rsid w:val="000D0203"/>
    <w:rsid w:val="000D0221"/>
    <w:rsid w:val="000D0833"/>
    <w:rsid w:val="000D0C83"/>
    <w:rsid w:val="000D0E99"/>
    <w:rsid w:val="000D0F1C"/>
    <w:rsid w:val="000D142C"/>
    <w:rsid w:val="000D1BD5"/>
    <w:rsid w:val="000D1E32"/>
    <w:rsid w:val="000D2651"/>
    <w:rsid w:val="000D2727"/>
    <w:rsid w:val="000D2E42"/>
    <w:rsid w:val="000D2E5E"/>
    <w:rsid w:val="000D3012"/>
    <w:rsid w:val="000D314B"/>
    <w:rsid w:val="000D358F"/>
    <w:rsid w:val="000D38B8"/>
    <w:rsid w:val="000D38FA"/>
    <w:rsid w:val="000D3A6F"/>
    <w:rsid w:val="000D3E1E"/>
    <w:rsid w:val="000D3F15"/>
    <w:rsid w:val="000D4369"/>
    <w:rsid w:val="000D43D0"/>
    <w:rsid w:val="000D46A6"/>
    <w:rsid w:val="000D4A63"/>
    <w:rsid w:val="000D4D5F"/>
    <w:rsid w:val="000D4F7E"/>
    <w:rsid w:val="000D4FCF"/>
    <w:rsid w:val="000D531F"/>
    <w:rsid w:val="000D533C"/>
    <w:rsid w:val="000D53C6"/>
    <w:rsid w:val="000D53F7"/>
    <w:rsid w:val="000D5410"/>
    <w:rsid w:val="000D58EC"/>
    <w:rsid w:val="000D5A95"/>
    <w:rsid w:val="000D6072"/>
    <w:rsid w:val="000D61F1"/>
    <w:rsid w:val="000D6201"/>
    <w:rsid w:val="000D63D8"/>
    <w:rsid w:val="000D6428"/>
    <w:rsid w:val="000D68CA"/>
    <w:rsid w:val="000D6A80"/>
    <w:rsid w:val="000D6D7A"/>
    <w:rsid w:val="000D6E1C"/>
    <w:rsid w:val="000D6F0D"/>
    <w:rsid w:val="000D6F40"/>
    <w:rsid w:val="000D7648"/>
    <w:rsid w:val="000D77ED"/>
    <w:rsid w:val="000D7D95"/>
    <w:rsid w:val="000E0085"/>
    <w:rsid w:val="000E02FA"/>
    <w:rsid w:val="000E07BD"/>
    <w:rsid w:val="000E080E"/>
    <w:rsid w:val="000E10F1"/>
    <w:rsid w:val="000E1100"/>
    <w:rsid w:val="000E12FD"/>
    <w:rsid w:val="000E134A"/>
    <w:rsid w:val="000E1525"/>
    <w:rsid w:val="000E1B16"/>
    <w:rsid w:val="000E222B"/>
    <w:rsid w:val="000E239E"/>
    <w:rsid w:val="000E24AF"/>
    <w:rsid w:val="000E2633"/>
    <w:rsid w:val="000E2814"/>
    <w:rsid w:val="000E2A1E"/>
    <w:rsid w:val="000E2A50"/>
    <w:rsid w:val="000E2BC4"/>
    <w:rsid w:val="000E2F9F"/>
    <w:rsid w:val="000E3067"/>
    <w:rsid w:val="000E3776"/>
    <w:rsid w:val="000E3A08"/>
    <w:rsid w:val="000E3B75"/>
    <w:rsid w:val="000E4068"/>
    <w:rsid w:val="000E414D"/>
    <w:rsid w:val="000E43E4"/>
    <w:rsid w:val="000E46A5"/>
    <w:rsid w:val="000E489E"/>
    <w:rsid w:val="000E48BB"/>
    <w:rsid w:val="000E4904"/>
    <w:rsid w:val="000E4941"/>
    <w:rsid w:val="000E4993"/>
    <w:rsid w:val="000E4A31"/>
    <w:rsid w:val="000E4BEE"/>
    <w:rsid w:val="000E4DE0"/>
    <w:rsid w:val="000E4EC2"/>
    <w:rsid w:val="000E4F3E"/>
    <w:rsid w:val="000E5446"/>
    <w:rsid w:val="000E547D"/>
    <w:rsid w:val="000E55D3"/>
    <w:rsid w:val="000E5836"/>
    <w:rsid w:val="000E58C3"/>
    <w:rsid w:val="000E58E1"/>
    <w:rsid w:val="000E5AA0"/>
    <w:rsid w:val="000E5B63"/>
    <w:rsid w:val="000E5D99"/>
    <w:rsid w:val="000E5F2D"/>
    <w:rsid w:val="000E6265"/>
    <w:rsid w:val="000E62F4"/>
    <w:rsid w:val="000E693F"/>
    <w:rsid w:val="000E6D39"/>
    <w:rsid w:val="000E72DE"/>
    <w:rsid w:val="000E7316"/>
    <w:rsid w:val="000E784C"/>
    <w:rsid w:val="000E7CAE"/>
    <w:rsid w:val="000E7EA3"/>
    <w:rsid w:val="000F008E"/>
    <w:rsid w:val="000F0287"/>
    <w:rsid w:val="000F029F"/>
    <w:rsid w:val="000F0414"/>
    <w:rsid w:val="000F0462"/>
    <w:rsid w:val="000F04C0"/>
    <w:rsid w:val="000F0648"/>
    <w:rsid w:val="000F0788"/>
    <w:rsid w:val="000F0841"/>
    <w:rsid w:val="000F0C3C"/>
    <w:rsid w:val="000F0E5B"/>
    <w:rsid w:val="000F0FDF"/>
    <w:rsid w:val="000F1305"/>
    <w:rsid w:val="000F14A6"/>
    <w:rsid w:val="000F1D47"/>
    <w:rsid w:val="000F23C2"/>
    <w:rsid w:val="000F25BA"/>
    <w:rsid w:val="000F2ADA"/>
    <w:rsid w:val="000F2BD6"/>
    <w:rsid w:val="000F2C31"/>
    <w:rsid w:val="000F2E69"/>
    <w:rsid w:val="000F3125"/>
    <w:rsid w:val="000F33E7"/>
    <w:rsid w:val="000F3751"/>
    <w:rsid w:val="000F3DEC"/>
    <w:rsid w:val="000F40D6"/>
    <w:rsid w:val="000F43A6"/>
    <w:rsid w:val="000F4516"/>
    <w:rsid w:val="000F4605"/>
    <w:rsid w:val="000F4B9E"/>
    <w:rsid w:val="000F52CA"/>
    <w:rsid w:val="000F5383"/>
    <w:rsid w:val="000F5535"/>
    <w:rsid w:val="000F594B"/>
    <w:rsid w:val="000F5C17"/>
    <w:rsid w:val="000F5DCA"/>
    <w:rsid w:val="000F5E2B"/>
    <w:rsid w:val="000F5EC7"/>
    <w:rsid w:val="000F63C7"/>
    <w:rsid w:val="000F6702"/>
    <w:rsid w:val="000F6A1D"/>
    <w:rsid w:val="000F6AA2"/>
    <w:rsid w:val="000F6BC3"/>
    <w:rsid w:val="000F6D31"/>
    <w:rsid w:val="000F6D64"/>
    <w:rsid w:val="000F6E96"/>
    <w:rsid w:val="000F707E"/>
    <w:rsid w:val="000F7173"/>
    <w:rsid w:val="000F72A3"/>
    <w:rsid w:val="000F73D7"/>
    <w:rsid w:val="000F7615"/>
    <w:rsid w:val="000F773B"/>
    <w:rsid w:val="000F7866"/>
    <w:rsid w:val="000F78CC"/>
    <w:rsid w:val="000F7A6E"/>
    <w:rsid w:val="000F7D09"/>
    <w:rsid w:val="001006B9"/>
    <w:rsid w:val="00100759"/>
    <w:rsid w:val="00100E3F"/>
    <w:rsid w:val="001014C7"/>
    <w:rsid w:val="00101529"/>
    <w:rsid w:val="001016E2"/>
    <w:rsid w:val="00101EDC"/>
    <w:rsid w:val="001020BB"/>
    <w:rsid w:val="00102323"/>
    <w:rsid w:val="00102361"/>
    <w:rsid w:val="00102465"/>
    <w:rsid w:val="0010260C"/>
    <w:rsid w:val="001026C4"/>
    <w:rsid w:val="00102A8E"/>
    <w:rsid w:val="00102AA8"/>
    <w:rsid w:val="00102FB7"/>
    <w:rsid w:val="0010319B"/>
    <w:rsid w:val="00103232"/>
    <w:rsid w:val="0010332B"/>
    <w:rsid w:val="0010364E"/>
    <w:rsid w:val="0010399D"/>
    <w:rsid w:val="00103A5C"/>
    <w:rsid w:val="00103A78"/>
    <w:rsid w:val="00103C20"/>
    <w:rsid w:val="00103CA6"/>
    <w:rsid w:val="00104331"/>
    <w:rsid w:val="001047C5"/>
    <w:rsid w:val="001047E0"/>
    <w:rsid w:val="00104898"/>
    <w:rsid w:val="00104909"/>
    <w:rsid w:val="00104E6A"/>
    <w:rsid w:val="00104E79"/>
    <w:rsid w:val="00105307"/>
    <w:rsid w:val="00105327"/>
    <w:rsid w:val="0010532D"/>
    <w:rsid w:val="00105439"/>
    <w:rsid w:val="001055EE"/>
    <w:rsid w:val="00105863"/>
    <w:rsid w:val="00105952"/>
    <w:rsid w:val="0010595B"/>
    <w:rsid w:val="00105A3E"/>
    <w:rsid w:val="00105D66"/>
    <w:rsid w:val="00106072"/>
    <w:rsid w:val="00106164"/>
    <w:rsid w:val="001064B9"/>
    <w:rsid w:val="001069CC"/>
    <w:rsid w:val="00106C83"/>
    <w:rsid w:val="00106E41"/>
    <w:rsid w:val="00106ED2"/>
    <w:rsid w:val="00106F39"/>
    <w:rsid w:val="001071C7"/>
    <w:rsid w:val="0010772C"/>
    <w:rsid w:val="0010792F"/>
    <w:rsid w:val="00107A53"/>
    <w:rsid w:val="00107BD9"/>
    <w:rsid w:val="00110785"/>
    <w:rsid w:val="00110859"/>
    <w:rsid w:val="001109E6"/>
    <w:rsid w:val="00110BF4"/>
    <w:rsid w:val="00110C4F"/>
    <w:rsid w:val="00110C73"/>
    <w:rsid w:val="00110D2A"/>
    <w:rsid w:val="00110EEB"/>
    <w:rsid w:val="00110FED"/>
    <w:rsid w:val="001118F7"/>
    <w:rsid w:val="001119C9"/>
    <w:rsid w:val="00111AAD"/>
    <w:rsid w:val="00112299"/>
    <w:rsid w:val="0011277C"/>
    <w:rsid w:val="00112C60"/>
    <w:rsid w:val="00113054"/>
    <w:rsid w:val="001130BC"/>
    <w:rsid w:val="00113BE9"/>
    <w:rsid w:val="00113D8C"/>
    <w:rsid w:val="00113FAB"/>
    <w:rsid w:val="00114047"/>
    <w:rsid w:val="0011427E"/>
    <w:rsid w:val="00114A5A"/>
    <w:rsid w:val="00114C18"/>
    <w:rsid w:val="001153DF"/>
    <w:rsid w:val="0011556E"/>
    <w:rsid w:val="0011571C"/>
    <w:rsid w:val="00115C3F"/>
    <w:rsid w:val="00115D12"/>
    <w:rsid w:val="00115E1B"/>
    <w:rsid w:val="00115E6B"/>
    <w:rsid w:val="00116066"/>
    <w:rsid w:val="001160C2"/>
    <w:rsid w:val="00116110"/>
    <w:rsid w:val="00116247"/>
    <w:rsid w:val="00116505"/>
    <w:rsid w:val="001165CF"/>
    <w:rsid w:val="0011665D"/>
    <w:rsid w:val="00116708"/>
    <w:rsid w:val="00116F23"/>
    <w:rsid w:val="00117398"/>
    <w:rsid w:val="0011754D"/>
    <w:rsid w:val="00117BA0"/>
    <w:rsid w:val="00117C45"/>
    <w:rsid w:val="00120470"/>
    <w:rsid w:val="001209A1"/>
    <w:rsid w:val="001209EC"/>
    <w:rsid w:val="00120C35"/>
    <w:rsid w:val="00120D66"/>
    <w:rsid w:val="001210B5"/>
    <w:rsid w:val="001211FC"/>
    <w:rsid w:val="0012175F"/>
    <w:rsid w:val="00121807"/>
    <w:rsid w:val="00121828"/>
    <w:rsid w:val="00121C57"/>
    <w:rsid w:val="00121C7C"/>
    <w:rsid w:val="00122090"/>
    <w:rsid w:val="001220E2"/>
    <w:rsid w:val="001223AF"/>
    <w:rsid w:val="0012270F"/>
    <w:rsid w:val="0012284C"/>
    <w:rsid w:val="001228F7"/>
    <w:rsid w:val="001229CF"/>
    <w:rsid w:val="00122B26"/>
    <w:rsid w:val="00122CCF"/>
    <w:rsid w:val="00122D79"/>
    <w:rsid w:val="001232F8"/>
    <w:rsid w:val="00123532"/>
    <w:rsid w:val="00123691"/>
    <w:rsid w:val="00123696"/>
    <w:rsid w:val="00123BD1"/>
    <w:rsid w:val="00124501"/>
    <w:rsid w:val="0012452C"/>
    <w:rsid w:val="00124593"/>
    <w:rsid w:val="00124D33"/>
    <w:rsid w:val="00125136"/>
    <w:rsid w:val="00125159"/>
    <w:rsid w:val="001257D0"/>
    <w:rsid w:val="00125A4C"/>
    <w:rsid w:val="00125E55"/>
    <w:rsid w:val="00126287"/>
    <w:rsid w:val="00127056"/>
    <w:rsid w:val="00127398"/>
    <w:rsid w:val="0012742C"/>
    <w:rsid w:val="00127619"/>
    <w:rsid w:val="001276E6"/>
    <w:rsid w:val="00127974"/>
    <w:rsid w:val="00127BBD"/>
    <w:rsid w:val="00127CE8"/>
    <w:rsid w:val="00127DA4"/>
    <w:rsid w:val="00127ED6"/>
    <w:rsid w:val="00130058"/>
    <w:rsid w:val="00130268"/>
    <w:rsid w:val="0013030B"/>
    <w:rsid w:val="00130544"/>
    <w:rsid w:val="00130A19"/>
    <w:rsid w:val="00130D27"/>
    <w:rsid w:val="00130E77"/>
    <w:rsid w:val="0013104D"/>
    <w:rsid w:val="0013140E"/>
    <w:rsid w:val="001314A7"/>
    <w:rsid w:val="00131731"/>
    <w:rsid w:val="001317D4"/>
    <w:rsid w:val="001318C2"/>
    <w:rsid w:val="001319A7"/>
    <w:rsid w:val="00131D6F"/>
    <w:rsid w:val="0013259F"/>
    <w:rsid w:val="001325F9"/>
    <w:rsid w:val="00132704"/>
    <w:rsid w:val="0013296F"/>
    <w:rsid w:val="00132B6B"/>
    <w:rsid w:val="00132C4F"/>
    <w:rsid w:val="00132D84"/>
    <w:rsid w:val="0013322F"/>
    <w:rsid w:val="00133760"/>
    <w:rsid w:val="001337E0"/>
    <w:rsid w:val="00133A08"/>
    <w:rsid w:val="00133B58"/>
    <w:rsid w:val="00134192"/>
    <w:rsid w:val="00134209"/>
    <w:rsid w:val="00134428"/>
    <w:rsid w:val="0013446C"/>
    <w:rsid w:val="001344E5"/>
    <w:rsid w:val="001349E6"/>
    <w:rsid w:val="00134EFF"/>
    <w:rsid w:val="0013519D"/>
    <w:rsid w:val="001352A3"/>
    <w:rsid w:val="001353D7"/>
    <w:rsid w:val="0013552B"/>
    <w:rsid w:val="001358E4"/>
    <w:rsid w:val="00135AA0"/>
    <w:rsid w:val="00135AAA"/>
    <w:rsid w:val="00135D47"/>
    <w:rsid w:val="00135EBE"/>
    <w:rsid w:val="00136010"/>
    <w:rsid w:val="0013609D"/>
    <w:rsid w:val="00136142"/>
    <w:rsid w:val="00136262"/>
    <w:rsid w:val="001365F8"/>
    <w:rsid w:val="001368E7"/>
    <w:rsid w:val="001371E0"/>
    <w:rsid w:val="00137217"/>
    <w:rsid w:val="001372F8"/>
    <w:rsid w:val="00137407"/>
    <w:rsid w:val="001375C7"/>
    <w:rsid w:val="0013791A"/>
    <w:rsid w:val="00137BC5"/>
    <w:rsid w:val="00137CEF"/>
    <w:rsid w:val="00137D4E"/>
    <w:rsid w:val="00140166"/>
    <w:rsid w:val="00140167"/>
    <w:rsid w:val="001402E2"/>
    <w:rsid w:val="00140354"/>
    <w:rsid w:val="0014041E"/>
    <w:rsid w:val="001405BB"/>
    <w:rsid w:val="001406DA"/>
    <w:rsid w:val="0014071E"/>
    <w:rsid w:val="00140781"/>
    <w:rsid w:val="001408F8"/>
    <w:rsid w:val="00140C41"/>
    <w:rsid w:val="00140D55"/>
    <w:rsid w:val="001413D9"/>
    <w:rsid w:val="001415CB"/>
    <w:rsid w:val="001417B9"/>
    <w:rsid w:val="00141852"/>
    <w:rsid w:val="001419A2"/>
    <w:rsid w:val="00141B12"/>
    <w:rsid w:val="00141C31"/>
    <w:rsid w:val="00141C77"/>
    <w:rsid w:val="00141CB1"/>
    <w:rsid w:val="00142485"/>
    <w:rsid w:val="00142507"/>
    <w:rsid w:val="001426F6"/>
    <w:rsid w:val="0014283F"/>
    <w:rsid w:val="00142C05"/>
    <w:rsid w:val="00142C6A"/>
    <w:rsid w:val="0014311E"/>
    <w:rsid w:val="001431E1"/>
    <w:rsid w:val="0014329B"/>
    <w:rsid w:val="00143619"/>
    <w:rsid w:val="001436F0"/>
    <w:rsid w:val="001437AF"/>
    <w:rsid w:val="00143AE3"/>
    <w:rsid w:val="00143B42"/>
    <w:rsid w:val="001443E3"/>
    <w:rsid w:val="0014474B"/>
    <w:rsid w:val="00144B22"/>
    <w:rsid w:val="00144B6B"/>
    <w:rsid w:val="00144C45"/>
    <w:rsid w:val="00144EDE"/>
    <w:rsid w:val="001450BB"/>
    <w:rsid w:val="00145183"/>
    <w:rsid w:val="00145459"/>
    <w:rsid w:val="001458B5"/>
    <w:rsid w:val="001458BD"/>
    <w:rsid w:val="00145FBE"/>
    <w:rsid w:val="0014636E"/>
    <w:rsid w:val="0014698C"/>
    <w:rsid w:val="001472D1"/>
    <w:rsid w:val="00147416"/>
    <w:rsid w:val="001478F0"/>
    <w:rsid w:val="00150184"/>
    <w:rsid w:val="00150227"/>
    <w:rsid w:val="00150609"/>
    <w:rsid w:val="001508A7"/>
    <w:rsid w:val="001509A6"/>
    <w:rsid w:val="00150B6C"/>
    <w:rsid w:val="00150BA7"/>
    <w:rsid w:val="00151013"/>
    <w:rsid w:val="00151044"/>
    <w:rsid w:val="00151490"/>
    <w:rsid w:val="00151B19"/>
    <w:rsid w:val="00151EB0"/>
    <w:rsid w:val="00151F67"/>
    <w:rsid w:val="00151FD5"/>
    <w:rsid w:val="00152001"/>
    <w:rsid w:val="00152390"/>
    <w:rsid w:val="00152427"/>
    <w:rsid w:val="00152498"/>
    <w:rsid w:val="001528BA"/>
    <w:rsid w:val="00152CE4"/>
    <w:rsid w:val="00152DB7"/>
    <w:rsid w:val="0015315F"/>
    <w:rsid w:val="00153820"/>
    <w:rsid w:val="00153F91"/>
    <w:rsid w:val="00154069"/>
    <w:rsid w:val="0015412E"/>
    <w:rsid w:val="00154145"/>
    <w:rsid w:val="001543D0"/>
    <w:rsid w:val="00154996"/>
    <w:rsid w:val="00154B61"/>
    <w:rsid w:val="00155064"/>
    <w:rsid w:val="0015522A"/>
    <w:rsid w:val="00155741"/>
    <w:rsid w:val="00155A93"/>
    <w:rsid w:val="00155CC3"/>
    <w:rsid w:val="00155D12"/>
    <w:rsid w:val="0015606F"/>
    <w:rsid w:val="0015613E"/>
    <w:rsid w:val="0015622C"/>
    <w:rsid w:val="0015623B"/>
    <w:rsid w:val="00156354"/>
    <w:rsid w:val="001563A3"/>
    <w:rsid w:val="001564B9"/>
    <w:rsid w:val="0015659F"/>
    <w:rsid w:val="00156D62"/>
    <w:rsid w:val="00156E72"/>
    <w:rsid w:val="00156F4D"/>
    <w:rsid w:val="00157F5A"/>
    <w:rsid w:val="00157FC3"/>
    <w:rsid w:val="001602C1"/>
    <w:rsid w:val="001604A5"/>
    <w:rsid w:val="00160846"/>
    <w:rsid w:val="0016124A"/>
    <w:rsid w:val="0016125C"/>
    <w:rsid w:val="00161530"/>
    <w:rsid w:val="001615C0"/>
    <w:rsid w:val="00161B83"/>
    <w:rsid w:val="00161BD0"/>
    <w:rsid w:val="00161C22"/>
    <w:rsid w:val="00161F80"/>
    <w:rsid w:val="00162053"/>
    <w:rsid w:val="001620C8"/>
    <w:rsid w:val="001622ED"/>
    <w:rsid w:val="001624B7"/>
    <w:rsid w:val="0016283F"/>
    <w:rsid w:val="001629C9"/>
    <w:rsid w:val="00162E72"/>
    <w:rsid w:val="00162F4A"/>
    <w:rsid w:val="0016325B"/>
    <w:rsid w:val="001633EF"/>
    <w:rsid w:val="001634A0"/>
    <w:rsid w:val="001635BE"/>
    <w:rsid w:val="00163777"/>
    <w:rsid w:val="00163B75"/>
    <w:rsid w:val="00163BFB"/>
    <w:rsid w:val="00163CD2"/>
    <w:rsid w:val="00163D54"/>
    <w:rsid w:val="00164055"/>
    <w:rsid w:val="0016407E"/>
    <w:rsid w:val="0016408F"/>
    <w:rsid w:val="001640D1"/>
    <w:rsid w:val="0016462B"/>
    <w:rsid w:val="001647E9"/>
    <w:rsid w:val="0016484B"/>
    <w:rsid w:val="00164977"/>
    <w:rsid w:val="00164AC2"/>
    <w:rsid w:val="0016523E"/>
    <w:rsid w:val="001655D5"/>
    <w:rsid w:val="001655E3"/>
    <w:rsid w:val="001658E8"/>
    <w:rsid w:val="001658F7"/>
    <w:rsid w:val="0016592B"/>
    <w:rsid w:val="00165A8C"/>
    <w:rsid w:val="00165B8F"/>
    <w:rsid w:val="00165D52"/>
    <w:rsid w:val="00165E31"/>
    <w:rsid w:val="00165E6B"/>
    <w:rsid w:val="001660DA"/>
    <w:rsid w:val="001663C9"/>
    <w:rsid w:val="001664CE"/>
    <w:rsid w:val="0016650A"/>
    <w:rsid w:val="0016660B"/>
    <w:rsid w:val="0016674B"/>
    <w:rsid w:val="0016676A"/>
    <w:rsid w:val="001668F5"/>
    <w:rsid w:val="00166980"/>
    <w:rsid w:val="00166E58"/>
    <w:rsid w:val="00166E64"/>
    <w:rsid w:val="00167042"/>
    <w:rsid w:val="0016747E"/>
    <w:rsid w:val="001675C5"/>
    <w:rsid w:val="001676F1"/>
    <w:rsid w:val="001677F9"/>
    <w:rsid w:val="001679A6"/>
    <w:rsid w:val="00167BC3"/>
    <w:rsid w:val="00167BF6"/>
    <w:rsid w:val="00167EDB"/>
    <w:rsid w:val="001702DD"/>
    <w:rsid w:val="00170387"/>
    <w:rsid w:val="001705EC"/>
    <w:rsid w:val="001706A9"/>
    <w:rsid w:val="001708F1"/>
    <w:rsid w:val="00170997"/>
    <w:rsid w:val="00170C07"/>
    <w:rsid w:val="00170C30"/>
    <w:rsid w:val="00170CCF"/>
    <w:rsid w:val="001710A3"/>
    <w:rsid w:val="001710A9"/>
    <w:rsid w:val="00171156"/>
    <w:rsid w:val="00171619"/>
    <w:rsid w:val="00171654"/>
    <w:rsid w:val="001719B3"/>
    <w:rsid w:val="00171B12"/>
    <w:rsid w:val="00171CC9"/>
    <w:rsid w:val="00171F2E"/>
    <w:rsid w:val="0017200B"/>
    <w:rsid w:val="001721B4"/>
    <w:rsid w:val="001721D0"/>
    <w:rsid w:val="001723CB"/>
    <w:rsid w:val="001724C1"/>
    <w:rsid w:val="001725CA"/>
    <w:rsid w:val="00172821"/>
    <w:rsid w:val="00172ABA"/>
    <w:rsid w:val="00172C89"/>
    <w:rsid w:val="00172D2B"/>
    <w:rsid w:val="00173189"/>
    <w:rsid w:val="0017328D"/>
    <w:rsid w:val="001733A7"/>
    <w:rsid w:val="00173453"/>
    <w:rsid w:val="00173481"/>
    <w:rsid w:val="00173517"/>
    <w:rsid w:val="00173717"/>
    <w:rsid w:val="001737BC"/>
    <w:rsid w:val="001739BA"/>
    <w:rsid w:val="00173A39"/>
    <w:rsid w:val="00173BD5"/>
    <w:rsid w:val="00174824"/>
    <w:rsid w:val="00174833"/>
    <w:rsid w:val="00174AF2"/>
    <w:rsid w:val="00174BDC"/>
    <w:rsid w:val="00174BF7"/>
    <w:rsid w:val="00174C27"/>
    <w:rsid w:val="00174D01"/>
    <w:rsid w:val="00174DCC"/>
    <w:rsid w:val="001756A0"/>
    <w:rsid w:val="001756C0"/>
    <w:rsid w:val="00175A4A"/>
    <w:rsid w:val="00175C4D"/>
    <w:rsid w:val="00176532"/>
    <w:rsid w:val="001769D3"/>
    <w:rsid w:val="00176A1D"/>
    <w:rsid w:val="00176DDE"/>
    <w:rsid w:val="00176E72"/>
    <w:rsid w:val="00176F3C"/>
    <w:rsid w:val="00176FE1"/>
    <w:rsid w:val="0017702E"/>
    <w:rsid w:val="0017724B"/>
    <w:rsid w:val="00177431"/>
    <w:rsid w:val="00177ACB"/>
    <w:rsid w:val="00177C7D"/>
    <w:rsid w:val="00177D8B"/>
    <w:rsid w:val="00177DBC"/>
    <w:rsid w:val="00180094"/>
    <w:rsid w:val="001801F5"/>
    <w:rsid w:val="00180248"/>
    <w:rsid w:val="001802B6"/>
    <w:rsid w:val="00180330"/>
    <w:rsid w:val="0018046E"/>
    <w:rsid w:val="00180490"/>
    <w:rsid w:val="0018078D"/>
    <w:rsid w:val="00180841"/>
    <w:rsid w:val="00180989"/>
    <w:rsid w:val="00180AB7"/>
    <w:rsid w:val="00180B83"/>
    <w:rsid w:val="00180BF3"/>
    <w:rsid w:val="00180C11"/>
    <w:rsid w:val="00180D82"/>
    <w:rsid w:val="001812F9"/>
    <w:rsid w:val="001813D1"/>
    <w:rsid w:val="00181407"/>
    <w:rsid w:val="00181424"/>
    <w:rsid w:val="00181592"/>
    <w:rsid w:val="00181DAF"/>
    <w:rsid w:val="00182003"/>
    <w:rsid w:val="0018229D"/>
    <w:rsid w:val="00182415"/>
    <w:rsid w:val="0018280A"/>
    <w:rsid w:val="00182855"/>
    <w:rsid w:val="00182859"/>
    <w:rsid w:val="00182B4D"/>
    <w:rsid w:val="00182F73"/>
    <w:rsid w:val="00182FC9"/>
    <w:rsid w:val="001830F9"/>
    <w:rsid w:val="0018327A"/>
    <w:rsid w:val="00183325"/>
    <w:rsid w:val="001833C5"/>
    <w:rsid w:val="0018343E"/>
    <w:rsid w:val="001834DF"/>
    <w:rsid w:val="00183973"/>
    <w:rsid w:val="00183C3F"/>
    <w:rsid w:val="00183D56"/>
    <w:rsid w:val="00183E18"/>
    <w:rsid w:val="00183EC5"/>
    <w:rsid w:val="00184177"/>
    <w:rsid w:val="0018420F"/>
    <w:rsid w:val="001843AB"/>
    <w:rsid w:val="0018489D"/>
    <w:rsid w:val="001849CE"/>
    <w:rsid w:val="00184B40"/>
    <w:rsid w:val="00185017"/>
    <w:rsid w:val="0018510F"/>
    <w:rsid w:val="001853C1"/>
    <w:rsid w:val="001858E8"/>
    <w:rsid w:val="00185A75"/>
    <w:rsid w:val="00185E31"/>
    <w:rsid w:val="00186520"/>
    <w:rsid w:val="0018659F"/>
    <w:rsid w:val="001865CD"/>
    <w:rsid w:val="0018671C"/>
    <w:rsid w:val="00186AFA"/>
    <w:rsid w:val="00186B8E"/>
    <w:rsid w:val="001871A6"/>
    <w:rsid w:val="00187363"/>
    <w:rsid w:val="001873B0"/>
    <w:rsid w:val="0018761E"/>
    <w:rsid w:val="00187670"/>
    <w:rsid w:val="00187901"/>
    <w:rsid w:val="00187BBF"/>
    <w:rsid w:val="00187BF6"/>
    <w:rsid w:val="00187EC5"/>
    <w:rsid w:val="00187EDB"/>
    <w:rsid w:val="00187EE5"/>
    <w:rsid w:val="00187F61"/>
    <w:rsid w:val="0019044D"/>
    <w:rsid w:val="001904C3"/>
    <w:rsid w:val="00190728"/>
    <w:rsid w:val="00190776"/>
    <w:rsid w:val="0019097E"/>
    <w:rsid w:val="00190A25"/>
    <w:rsid w:val="00190EB8"/>
    <w:rsid w:val="00191533"/>
    <w:rsid w:val="001915CE"/>
    <w:rsid w:val="001917CA"/>
    <w:rsid w:val="0019181D"/>
    <w:rsid w:val="00191F91"/>
    <w:rsid w:val="00192031"/>
    <w:rsid w:val="00192357"/>
    <w:rsid w:val="0019279F"/>
    <w:rsid w:val="00192B7A"/>
    <w:rsid w:val="001931AC"/>
    <w:rsid w:val="001933A0"/>
    <w:rsid w:val="0019346C"/>
    <w:rsid w:val="0019393D"/>
    <w:rsid w:val="001939F5"/>
    <w:rsid w:val="00193AF9"/>
    <w:rsid w:val="00193B3B"/>
    <w:rsid w:val="00193C70"/>
    <w:rsid w:val="00193F38"/>
    <w:rsid w:val="00194216"/>
    <w:rsid w:val="0019446D"/>
    <w:rsid w:val="00194BD9"/>
    <w:rsid w:val="00194F1F"/>
    <w:rsid w:val="00195014"/>
    <w:rsid w:val="00195ADD"/>
    <w:rsid w:val="00195C6C"/>
    <w:rsid w:val="00195DC7"/>
    <w:rsid w:val="00195E3D"/>
    <w:rsid w:val="00195E55"/>
    <w:rsid w:val="00195EE6"/>
    <w:rsid w:val="00195F22"/>
    <w:rsid w:val="001962A3"/>
    <w:rsid w:val="00196374"/>
    <w:rsid w:val="00196391"/>
    <w:rsid w:val="0019648C"/>
    <w:rsid w:val="00196497"/>
    <w:rsid w:val="00196541"/>
    <w:rsid w:val="00196967"/>
    <w:rsid w:val="00196991"/>
    <w:rsid w:val="00196D6B"/>
    <w:rsid w:val="001970E1"/>
    <w:rsid w:val="0019740F"/>
    <w:rsid w:val="0019765C"/>
    <w:rsid w:val="001976A3"/>
    <w:rsid w:val="001976AD"/>
    <w:rsid w:val="001976BF"/>
    <w:rsid w:val="001978FC"/>
    <w:rsid w:val="00197A41"/>
    <w:rsid w:val="00197AEF"/>
    <w:rsid w:val="00197C02"/>
    <w:rsid w:val="001A0051"/>
    <w:rsid w:val="001A0257"/>
    <w:rsid w:val="001A033A"/>
    <w:rsid w:val="001A0778"/>
    <w:rsid w:val="001A092F"/>
    <w:rsid w:val="001A0A08"/>
    <w:rsid w:val="001A0D6D"/>
    <w:rsid w:val="001A143B"/>
    <w:rsid w:val="001A182E"/>
    <w:rsid w:val="001A19B9"/>
    <w:rsid w:val="001A1A54"/>
    <w:rsid w:val="001A1CA5"/>
    <w:rsid w:val="001A1D89"/>
    <w:rsid w:val="001A1DFD"/>
    <w:rsid w:val="001A20B8"/>
    <w:rsid w:val="001A2117"/>
    <w:rsid w:val="001A25C6"/>
    <w:rsid w:val="001A2816"/>
    <w:rsid w:val="001A2A21"/>
    <w:rsid w:val="001A2A67"/>
    <w:rsid w:val="001A3052"/>
    <w:rsid w:val="001A31BE"/>
    <w:rsid w:val="001A35D7"/>
    <w:rsid w:val="001A3621"/>
    <w:rsid w:val="001A3B1C"/>
    <w:rsid w:val="001A3C98"/>
    <w:rsid w:val="001A3F09"/>
    <w:rsid w:val="001A3F88"/>
    <w:rsid w:val="001A4045"/>
    <w:rsid w:val="001A4211"/>
    <w:rsid w:val="001A42CD"/>
    <w:rsid w:val="001A436D"/>
    <w:rsid w:val="001A4497"/>
    <w:rsid w:val="001A47E4"/>
    <w:rsid w:val="001A49DE"/>
    <w:rsid w:val="001A4A39"/>
    <w:rsid w:val="001A4B30"/>
    <w:rsid w:val="001A4C64"/>
    <w:rsid w:val="001A4C7F"/>
    <w:rsid w:val="001A4D69"/>
    <w:rsid w:val="001A4F06"/>
    <w:rsid w:val="001A4F6C"/>
    <w:rsid w:val="001A51B6"/>
    <w:rsid w:val="001A5391"/>
    <w:rsid w:val="001A54BE"/>
    <w:rsid w:val="001A5A38"/>
    <w:rsid w:val="001A5E28"/>
    <w:rsid w:val="001A6184"/>
    <w:rsid w:val="001A61BB"/>
    <w:rsid w:val="001A639A"/>
    <w:rsid w:val="001A6482"/>
    <w:rsid w:val="001A66E7"/>
    <w:rsid w:val="001A6819"/>
    <w:rsid w:val="001A68B8"/>
    <w:rsid w:val="001A6AD5"/>
    <w:rsid w:val="001A6C28"/>
    <w:rsid w:val="001A6FFF"/>
    <w:rsid w:val="001A702E"/>
    <w:rsid w:val="001A7150"/>
    <w:rsid w:val="001A719D"/>
    <w:rsid w:val="001A7894"/>
    <w:rsid w:val="001A78BC"/>
    <w:rsid w:val="001A7EB9"/>
    <w:rsid w:val="001A7FB2"/>
    <w:rsid w:val="001B00FF"/>
    <w:rsid w:val="001B0274"/>
    <w:rsid w:val="001B0328"/>
    <w:rsid w:val="001B0A10"/>
    <w:rsid w:val="001B0B3D"/>
    <w:rsid w:val="001B0ED5"/>
    <w:rsid w:val="001B10B9"/>
    <w:rsid w:val="001B10EC"/>
    <w:rsid w:val="001B11A7"/>
    <w:rsid w:val="001B1243"/>
    <w:rsid w:val="001B12F4"/>
    <w:rsid w:val="001B1355"/>
    <w:rsid w:val="001B173B"/>
    <w:rsid w:val="001B19D9"/>
    <w:rsid w:val="001B1C8A"/>
    <w:rsid w:val="001B236E"/>
    <w:rsid w:val="001B2441"/>
    <w:rsid w:val="001B2B25"/>
    <w:rsid w:val="001B2DB9"/>
    <w:rsid w:val="001B2F20"/>
    <w:rsid w:val="001B3003"/>
    <w:rsid w:val="001B3076"/>
    <w:rsid w:val="001B332F"/>
    <w:rsid w:val="001B37D9"/>
    <w:rsid w:val="001B3F4F"/>
    <w:rsid w:val="001B48E1"/>
    <w:rsid w:val="001B4A70"/>
    <w:rsid w:val="001B4B1A"/>
    <w:rsid w:val="001B4C29"/>
    <w:rsid w:val="001B4DAC"/>
    <w:rsid w:val="001B51DF"/>
    <w:rsid w:val="001B591E"/>
    <w:rsid w:val="001B5C23"/>
    <w:rsid w:val="001B6126"/>
    <w:rsid w:val="001B614B"/>
    <w:rsid w:val="001B6352"/>
    <w:rsid w:val="001B6BBE"/>
    <w:rsid w:val="001B6DAB"/>
    <w:rsid w:val="001B7409"/>
    <w:rsid w:val="001B74A6"/>
    <w:rsid w:val="001B7684"/>
    <w:rsid w:val="001B775F"/>
    <w:rsid w:val="001B78C5"/>
    <w:rsid w:val="001B7A0F"/>
    <w:rsid w:val="001B7A50"/>
    <w:rsid w:val="001B7AC2"/>
    <w:rsid w:val="001B7CE7"/>
    <w:rsid w:val="001B7FED"/>
    <w:rsid w:val="001C0277"/>
    <w:rsid w:val="001C04F5"/>
    <w:rsid w:val="001C062A"/>
    <w:rsid w:val="001C0662"/>
    <w:rsid w:val="001C06F6"/>
    <w:rsid w:val="001C09B6"/>
    <w:rsid w:val="001C0B60"/>
    <w:rsid w:val="001C0E06"/>
    <w:rsid w:val="001C102B"/>
    <w:rsid w:val="001C137F"/>
    <w:rsid w:val="001C153C"/>
    <w:rsid w:val="001C181F"/>
    <w:rsid w:val="001C18DB"/>
    <w:rsid w:val="001C1A4D"/>
    <w:rsid w:val="001C1F43"/>
    <w:rsid w:val="001C1FA1"/>
    <w:rsid w:val="001C2216"/>
    <w:rsid w:val="001C248F"/>
    <w:rsid w:val="001C27B6"/>
    <w:rsid w:val="001C28F8"/>
    <w:rsid w:val="001C2A38"/>
    <w:rsid w:val="001C2CEF"/>
    <w:rsid w:val="001C2E76"/>
    <w:rsid w:val="001C3088"/>
    <w:rsid w:val="001C3271"/>
    <w:rsid w:val="001C375E"/>
    <w:rsid w:val="001C43C3"/>
    <w:rsid w:val="001C4C86"/>
    <w:rsid w:val="001C54B3"/>
    <w:rsid w:val="001C54F4"/>
    <w:rsid w:val="001C5DF0"/>
    <w:rsid w:val="001C6102"/>
    <w:rsid w:val="001C6213"/>
    <w:rsid w:val="001C67FF"/>
    <w:rsid w:val="001C68C5"/>
    <w:rsid w:val="001C6980"/>
    <w:rsid w:val="001C6A8F"/>
    <w:rsid w:val="001C7064"/>
    <w:rsid w:val="001C7382"/>
    <w:rsid w:val="001C76E6"/>
    <w:rsid w:val="001C780F"/>
    <w:rsid w:val="001C78A8"/>
    <w:rsid w:val="001C7A5F"/>
    <w:rsid w:val="001C7F73"/>
    <w:rsid w:val="001C7FDE"/>
    <w:rsid w:val="001D0380"/>
    <w:rsid w:val="001D041B"/>
    <w:rsid w:val="001D052A"/>
    <w:rsid w:val="001D0580"/>
    <w:rsid w:val="001D0858"/>
    <w:rsid w:val="001D086B"/>
    <w:rsid w:val="001D0929"/>
    <w:rsid w:val="001D0E3A"/>
    <w:rsid w:val="001D1073"/>
    <w:rsid w:val="001D176F"/>
    <w:rsid w:val="001D18D2"/>
    <w:rsid w:val="001D1BFA"/>
    <w:rsid w:val="001D1FD5"/>
    <w:rsid w:val="001D20FD"/>
    <w:rsid w:val="001D2641"/>
    <w:rsid w:val="001D2A73"/>
    <w:rsid w:val="001D2ABB"/>
    <w:rsid w:val="001D2B1C"/>
    <w:rsid w:val="001D2C04"/>
    <w:rsid w:val="001D3866"/>
    <w:rsid w:val="001D3B31"/>
    <w:rsid w:val="001D3B86"/>
    <w:rsid w:val="001D4008"/>
    <w:rsid w:val="001D43E3"/>
    <w:rsid w:val="001D45E8"/>
    <w:rsid w:val="001D4A02"/>
    <w:rsid w:val="001D4C21"/>
    <w:rsid w:val="001D4F5D"/>
    <w:rsid w:val="001D5078"/>
    <w:rsid w:val="001D51C9"/>
    <w:rsid w:val="001D529B"/>
    <w:rsid w:val="001D564F"/>
    <w:rsid w:val="001D565E"/>
    <w:rsid w:val="001D5D3B"/>
    <w:rsid w:val="001D625C"/>
    <w:rsid w:val="001D68C2"/>
    <w:rsid w:val="001D692A"/>
    <w:rsid w:val="001D6A72"/>
    <w:rsid w:val="001D6ADF"/>
    <w:rsid w:val="001D6B01"/>
    <w:rsid w:val="001D6CF4"/>
    <w:rsid w:val="001D6CF8"/>
    <w:rsid w:val="001D6D5C"/>
    <w:rsid w:val="001D6E51"/>
    <w:rsid w:val="001D756B"/>
    <w:rsid w:val="001D7651"/>
    <w:rsid w:val="001D7833"/>
    <w:rsid w:val="001D7A57"/>
    <w:rsid w:val="001D7B88"/>
    <w:rsid w:val="001D7D88"/>
    <w:rsid w:val="001D7DD4"/>
    <w:rsid w:val="001D7EA4"/>
    <w:rsid w:val="001D7FA5"/>
    <w:rsid w:val="001E020D"/>
    <w:rsid w:val="001E0367"/>
    <w:rsid w:val="001E036D"/>
    <w:rsid w:val="001E0419"/>
    <w:rsid w:val="001E04E6"/>
    <w:rsid w:val="001E0500"/>
    <w:rsid w:val="001E05D8"/>
    <w:rsid w:val="001E0BAA"/>
    <w:rsid w:val="001E0C1B"/>
    <w:rsid w:val="001E0F71"/>
    <w:rsid w:val="001E1268"/>
    <w:rsid w:val="001E1292"/>
    <w:rsid w:val="001E136F"/>
    <w:rsid w:val="001E1AEB"/>
    <w:rsid w:val="001E1F83"/>
    <w:rsid w:val="001E2194"/>
    <w:rsid w:val="001E2697"/>
    <w:rsid w:val="001E2740"/>
    <w:rsid w:val="001E281F"/>
    <w:rsid w:val="001E2B28"/>
    <w:rsid w:val="001E2D3A"/>
    <w:rsid w:val="001E2D66"/>
    <w:rsid w:val="001E2D8A"/>
    <w:rsid w:val="001E378B"/>
    <w:rsid w:val="001E38EF"/>
    <w:rsid w:val="001E39C9"/>
    <w:rsid w:val="001E3E74"/>
    <w:rsid w:val="001E45BA"/>
    <w:rsid w:val="001E47FE"/>
    <w:rsid w:val="001E4B21"/>
    <w:rsid w:val="001E4F4C"/>
    <w:rsid w:val="001E4F63"/>
    <w:rsid w:val="001E51BF"/>
    <w:rsid w:val="001E54B4"/>
    <w:rsid w:val="001E5512"/>
    <w:rsid w:val="001E556A"/>
    <w:rsid w:val="001E55BB"/>
    <w:rsid w:val="001E56CD"/>
    <w:rsid w:val="001E6216"/>
    <w:rsid w:val="001E6456"/>
    <w:rsid w:val="001E646A"/>
    <w:rsid w:val="001E648A"/>
    <w:rsid w:val="001E6946"/>
    <w:rsid w:val="001E6D3E"/>
    <w:rsid w:val="001E71D0"/>
    <w:rsid w:val="001E7308"/>
    <w:rsid w:val="001E7B04"/>
    <w:rsid w:val="001E7B05"/>
    <w:rsid w:val="001E7E3E"/>
    <w:rsid w:val="001E7FE3"/>
    <w:rsid w:val="001F0062"/>
    <w:rsid w:val="001F038D"/>
    <w:rsid w:val="001F057F"/>
    <w:rsid w:val="001F0B12"/>
    <w:rsid w:val="001F0B5D"/>
    <w:rsid w:val="001F0BF2"/>
    <w:rsid w:val="001F0D65"/>
    <w:rsid w:val="001F0DCD"/>
    <w:rsid w:val="001F0E6D"/>
    <w:rsid w:val="001F1604"/>
    <w:rsid w:val="001F1695"/>
    <w:rsid w:val="001F171E"/>
    <w:rsid w:val="001F1B27"/>
    <w:rsid w:val="001F1FF8"/>
    <w:rsid w:val="001F2101"/>
    <w:rsid w:val="001F21C1"/>
    <w:rsid w:val="001F24E1"/>
    <w:rsid w:val="001F25E1"/>
    <w:rsid w:val="001F271D"/>
    <w:rsid w:val="001F2A76"/>
    <w:rsid w:val="001F2B67"/>
    <w:rsid w:val="001F2BA0"/>
    <w:rsid w:val="001F2BBA"/>
    <w:rsid w:val="001F2F7B"/>
    <w:rsid w:val="001F2FB1"/>
    <w:rsid w:val="001F3120"/>
    <w:rsid w:val="001F327E"/>
    <w:rsid w:val="001F348F"/>
    <w:rsid w:val="001F3789"/>
    <w:rsid w:val="001F3C47"/>
    <w:rsid w:val="001F3D6C"/>
    <w:rsid w:val="001F4870"/>
    <w:rsid w:val="001F49B4"/>
    <w:rsid w:val="001F4A55"/>
    <w:rsid w:val="001F4C1E"/>
    <w:rsid w:val="001F501E"/>
    <w:rsid w:val="001F52C0"/>
    <w:rsid w:val="001F53A9"/>
    <w:rsid w:val="001F5756"/>
    <w:rsid w:val="001F5899"/>
    <w:rsid w:val="001F5BA7"/>
    <w:rsid w:val="001F6642"/>
    <w:rsid w:val="001F685C"/>
    <w:rsid w:val="001F6C6F"/>
    <w:rsid w:val="001F7266"/>
    <w:rsid w:val="001F7590"/>
    <w:rsid w:val="001F7794"/>
    <w:rsid w:val="001F7881"/>
    <w:rsid w:val="001F7954"/>
    <w:rsid w:val="001F7A65"/>
    <w:rsid w:val="001F7A7D"/>
    <w:rsid w:val="001F7C5C"/>
    <w:rsid w:val="001F7CE2"/>
    <w:rsid w:val="001F7D46"/>
    <w:rsid w:val="001F7E05"/>
    <w:rsid w:val="001F7FDC"/>
    <w:rsid w:val="002000BE"/>
    <w:rsid w:val="00200219"/>
    <w:rsid w:val="00200377"/>
    <w:rsid w:val="00200587"/>
    <w:rsid w:val="002005DB"/>
    <w:rsid w:val="00200861"/>
    <w:rsid w:val="00200BD2"/>
    <w:rsid w:val="00200C7B"/>
    <w:rsid w:val="00200E21"/>
    <w:rsid w:val="00200ECE"/>
    <w:rsid w:val="00200F48"/>
    <w:rsid w:val="00201263"/>
    <w:rsid w:val="00201331"/>
    <w:rsid w:val="002015FA"/>
    <w:rsid w:val="002017FD"/>
    <w:rsid w:val="00201B7C"/>
    <w:rsid w:val="00201E08"/>
    <w:rsid w:val="00202207"/>
    <w:rsid w:val="00202275"/>
    <w:rsid w:val="00202C64"/>
    <w:rsid w:val="00202DB1"/>
    <w:rsid w:val="002030DF"/>
    <w:rsid w:val="00203519"/>
    <w:rsid w:val="00203608"/>
    <w:rsid w:val="00203680"/>
    <w:rsid w:val="00203C00"/>
    <w:rsid w:val="00203D3A"/>
    <w:rsid w:val="002043A6"/>
    <w:rsid w:val="00204573"/>
    <w:rsid w:val="00204578"/>
    <w:rsid w:val="0020466B"/>
    <w:rsid w:val="0020488D"/>
    <w:rsid w:val="00204A21"/>
    <w:rsid w:val="00204B5C"/>
    <w:rsid w:val="00204E39"/>
    <w:rsid w:val="00204FAB"/>
    <w:rsid w:val="002053A4"/>
    <w:rsid w:val="002055BB"/>
    <w:rsid w:val="002055C5"/>
    <w:rsid w:val="00205F64"/>
    <w:rsid w:val="0020633A"/>
    <w:rsid w:val="002063F8"/>
    <w:rsid w:val="00206470"/>
    <w:rsid w:val="0020671D"/>
    <w:rsid w:val="0020692B"/>
    <w:rsid w:val="00206B84"/>
    <w:rsid w:val="00206DAB"/>
    <w:rsid w:val="00206DF6"/>
    <w:rsid w:val="00206EBC"/>
    <w:rsid w:val="00207302"/>
    <w:rsid w:val="00207380"/>
    <w:rsid w:val="00207A7F"/>
    <w:rsid w:val="00207AB1"/>
    <w:rsid w:val="00207CBD"/>
    <w:rsid w:val="00210015"/>
    <w:rsid w:val="002100BC"/>
    <w:rsid w:val="00210409"/>
    <w:rsid w:val="00210597"/>
    <w:rsid w:val="00210687"/>
    <w:rsid w:val="00210A3B"/>
    <w:rsid w:val="00210B98"/>
    <w:rsid w:val="00210CB7"/>
    <w:rsid w:val="0021103C"/>
    <w:rsid w:val="00211137"/>
    <w:rsid w:val="00211276"/>
    <w:rsid w:val="0021148C"/>
    <w:rsid w:val="00211565"/>
    <w:rsid w:val="00211A4E"/>
    <w:rsid w:val="00211B76"/>
    <w:rsid w:val="00211BF6"/>
    <w:rsid w:val="0021205F"/>
    <w:rsid w:val="002121F1"/>
    <w:rsid w:val="00212530"/>
    <w:rsid w:val="0021259D"/>
    <w:rsid w:val="0021263B"/>
    <w:rsid w:val="00212DD3"/>
    <w:rsid w:val="00212E26"/>
    <w:rsid w:val="00212E88"/>
    <w:rsid w:val="00213086"/>
    <w:rsid w:val="002131D9"/>
    <w:rsid w:val="00213670"/>
    <w:rsid w:val="00213832"/>
    <w:rsid w:val="00213C12"/>
    <w:rsid w:val="00213DEC"/>
    <w:rsid w:val="00213FE5"/>
    <w:rsid w:val="002143E5"/>
    <w:rsid w:val="00214401"/>
    <w:rsid w:val="00214546"/>
    <w:rsid w:val="002148B6"/>
    <w:rsid w:val="00214B81"/>
    <w:rsid w:val="00214F2B"/>
    <w:rsid w:val="002150E8"/>
    <w:rsid w:val="0021568E"/>
    <w:rsid w:val="00215D85"/>
    <w:rsid w:val="00215E1E"/>
    <w:rsid w:val="0021607D"/>
    <w:rsid w:val="002161A1"/>
    <w:rsid w:val="00216489"/>
    <w:rsid w:val="0021663B"/>
    <w:rsid w:val="0021683B"/>
    <w:rsid w:val="00216C51"/>
    <w:rsid w:val="00216C55"/>
    <w:rsid w:val="00217627"/>
    <w:rsid w:val="00217DF6"/>
    <w:rsid w:val="00217F82"/>
    <w:rsid w:val="00220019"/>
    <w:rsid w:val="00220108"/>
    <w:rsid w:val="002207CB"/>
    <w:rsid w:val="00220A05"/>
    <w:rsid w:val="00220B52"/>
    <w:rsid w:val="00220DC7"/>
    <w:rsid w:val="00221420"/>
    <w:rsid w:val="00221646"/>
    <w:rsid w:val="0022169F"/>
    <w:rsid w:val="00221C6B"/>
    <w:rsid w:val="00221C8E"/>
    <w:rsid w:val="00221DB4"/>
    <w:rsid w:val="0022211D"/>
    <w:rsid w:val="00222139"/>
    <w:rsid w:val="002222F0"/>
    <w:rsid w:val="0022231D"/>
    <w:rsid w:val="00222602"/>
    <w:rsid w:val="00222664"/>
    <w:rsid w:val="00222AB9"/>
    <w:rsid w:val="00222B27"/>
    <w:rsid w:val="00222BC6"/>
    <w:rsid w:val="00222E30"/>
    <w:rsid w:val="00222E69"/>
    <w:rsid w:val="00222E74"/>
    <w:rsid w:val="00222F24"/>
    <w:rsid w:val="00223088"/>
    <w:rsid w:val="0022324B"/>
    <w:rsid w:val="0022348E"/>
    <w:rsid w:val="00223CE7"/>
    <w:rsid w:val="00223D56"/>
    <w:rsid w:val="00223F53"/>
    <w:rsid w:val="002240B6"/>
    <w:rsid w:val="00224161"/>
    <w:rsid w:val="0022437C"/>
    <w:rsid w:val="002244F4"/>
    <w:rsid w:val="00224575"/>
    <w:rsid w:val="00224A8F"/>
    <w:rsid w:val="0022502E"/>
    <w:rsid w:val="00225199"/>
    <w:rsid w:val="0022560D"/>
    <w:rsid w:val="0022564A"/>
    <w:rsid w:val="00225A5B"/>
    <w:rsid w:val="00225AAF"/>
    <w:rsid w:val="00225DC2"/>
    <w:rsid w:val="00226250"/>
    <w:rsid w:val="00226915"/>
    <w:rsid w:val="00226BAA"/>
    <w:rsid w:val="00226FA1"/>
    <w:rsid w:val="0022713D"/>
    <w:rsid w:val="0022721F"/>
    <w:rsid w:val="00227635"/>
    <w:rsid w:val="00227892"/>
    <w:rsid w:val="00227CBC"/>
    <w:rsid w:val="00227F78"/>
    <w:rsid w:val="00230205"/>
    <w:rsid w:val="00230534"/>
    <w:rsid w:val="00230548"/>
    <w:rsid w:val="002306E7"/>
    <w:rsid w:val="002308D9"/>
    <w:rsid w:val="00230A3D"/>
    <w:rsid w:val="00230BC4"/>
    <w:rsid w:val="00230C72"/>
    <w:rsid w:val="00230D7C"/>
    <w:rsid w:val="00230D95"/>
    <w:rsid w:val="00230F71"/>
    <w:rsid w:val="002313A9"/>
    <w:rsid w:val="002317C0"/>
    <w:rsid w:val="0023181C"/>
    <w:rsid w:val="00231BCC"/>
    <w:rsid w:val="00231FF6"/>
    <w:rsid w:val="002320AC"/>
    <w:rsid w:val="00232241"/>
    <w:rsid w:val="00232265"/>
    <w:rsid w:val="002328C4"/>
    <w:rsid w:val="00232C52"/>
    <w:rsid w:val="00232FA0"/>
    <w:rsid w:val="002331AE"/>
    <w:rsid w:val="00233335"/>
    <w:rsid w:val="002334E9"/>
    <w:rsid w:val="00233577"/>
    <w:rsid w:val="00233D90"/>
    <w:rsid w:val="00234024"/>
    <w:rsid w:val="002344F0"/>
    <w:rsid w:val="00234500"/>
    <w:rsid w:val="0023479B"/>
    <w:rsid w:val="00234981"/>
    <w:rsid w:val="00234AE8"/>
    <w:rsid w:val="00234B0C"/>
    <w:rsid w:val="00234E42"/>
    <w:rsid w:val="00235325"/>
    <w:rsid w:val="00235658"/>
    <w:rsid w:val="00235833"/>
    <w:rsid w:val="00235DBE"/>
    <w:rsid w:val="00235E5E"/>
    <w:rsid w:val="00235ED0"/>
    <w:rsid w:val="00235F9B"/>
    <w:rsid w:val="0023606D"/>
    <w:rsid w:val="0023618C"/>
    <w:rsid w:val="0023620B"/>
    <w:rsid w:val="0023644D"/>
    <w:rsid w:val="002366D6"/>
    <w:rsid w:val="0023681E"/>
    <w:rsid w:val="0023690E"/>
    <w:rsid w:val="00236EE3"/>
    <w:rsid w:val="00236FB2"/>
    <w:rsid w:val="00237177"/>
    <w:rsid w:val="002371DE"/>
    <w:rsid w:val="00237472"/>
    <w:rsid w:val="00237B10"/>
    <w:rsid w:val="00237C89"/>
    <w:rsid w:val="00237CBE"/>
    <w:rsid w:val="00237DA1"/>
    <w:rsid w:val="00237E4D"/>
    <w:rsid w:val="00237EFF"/>
    <w:rsid w:val="00237F3D"/>
    <w:rsid w:val="00237F6B"/>
    <w:rsid w:val="00240694"/>
    <w:rsid w:val="00240E88"/>
    <w:rsid w:val="00240EE2"/>
    <w:rsid w:val="00241106"/>
    <w:rsid w:val="00241504"/>
    <w:rsid w:val="002417A1"/>
    <w:rsid w:val="002417FB"/>
    <w:rsid w:val="00241B84"/>
    <w:rsid w:val="00241BD2"/>
    <w:rsid w:val="00241BF2"/>
    <w:rsid w:val="00241E15"/>
    <w:rsid w:val="00241ED5"/>
    <w:rsid w:val="00241ED6"/>
    <w:rsid w:val="00241F89"/>
    <w:rsid w:val="0024203D"/>
    <w:rsid w:val="002421AA"/>
    <w:rsid w:val="002421CD"/>
    <w:rsid w:val="002426A9"/>
    <w:rsid w:val="00242722"/>
    <w:rsid w:val="002428E9"/>
    <w:rsid w:val="00242B91"/>
    <w:rsid w:val="00242C04"/>
    <w:rsid w:val="00242CD7"/>
    <w:rsid w:val="00242D33"/>
    <w:rsid w:val="00242E30"/>
    <w:rsid w:val="002430BA"/>
    <w:rsid w:val="0024343B"/>
    <w:rsid w:val="00243719"/>
    <w:rsid w:val="00243726"/>
    <w:rsid w:val="0024381D"/>
    <w:rsid w:val="00243C0B"/>
    <w:rsid w:val="002441C4"/>
    <w:rsid w:val="00244A2A"/>
    <w:rsid w:val="00244B66"/>
    <w:rsid w:val="00244C35"/>
    <w:rsid w:val="00244D14"/>
    <w:rsid w:val="00244EB0"/>
    <w:rsid w:val="00245646"/>
    <w:rsid w:val="002456E3"/>
    <w:rsid w:val="0024595F"/>
    <w:rsid w:val="00245AF6"/>
    <w:rsid w:val="00245B52"/>
    <w:rsid w:val="00245BF1"/>
    <w:rsid w:val="00245C75"/>
    <w:rsid w:val="00245D1F"/>
    <w:rsid w:val="00245E1E"/>
    <w:rsid w:val="002460CD"/>
    <w:rsid w:val="00246187"/>
    <w:rsid w:val="00246421"/>
    <w:rsid w:val="002467BC"/>
    <w:rsid w:val="002469F4"/>
    <w:rsid w:val="00246BF5"/>
    <w:rsid w:val="00246E5F"/>
    <w:rsid w:val="0024705B"/>
    <w:rsid w:val="00247311"/>
    <w:rsid w:val="00247481"/>
    <w:rsid w:val="002474C7"/>
    <w:rsid w:val="002477E4"/>
    <w:rsid w:val="002478F7"/>
    <w:rsid w:val="00247A19"/>
    <w:rsid w:val="0025001B"/>
    <w:rsid w:val="002503FF"/>
    <w:rsid w:val="002504B9"/>
    <w:rsid w:val="002508B8"/>
    <w:rsid w:val="00250B1C"/>
    <w:rsid w:val="00250D36"/>
    <w:rsid w:val="002511F7"/>
    <w:rsid w:val="002514FB"/>
    <w:rsid w:val="002515ED"/>
    <w:rsid w:val="0025192A"/>
    <w:rsid w:val="00252337"/>
    <w:rsid w:val="002524A2"/>
    <w:rsid w:val="002526B3"/>
    <w:rsid w:val="002527C7"/>
    <w:rsid w:val="002528C1"/>
    <w:rsid w:val="00252905"/>
    <w:rsid w:val="0025290C"/>
    <w:rsid w:val="00252B11"/>
    <w:rsid w:val="00252D9D"/>
    <w:rsid w:val="002530A9"/>
    <w:rsid w:val="0025310B"/>
    <w:rsid w:val="00253246"/>
    <w:rsid w:val="002532A1"/>
    <w:rsid w:val="002532D1"/>
    <w:rsid w:val="0025354A"/>
    <w:rsid w:val="002535A0"/>
    <w:rsid w:val="00253665"/>
    <w:rsid w:val="00253743"/>
    <w:rsid w:val="00253C32"/>
    <w:rsid w:val="0025416F"/>
    <w:rsid w:val="00254353"/>
    <w:rsid w:val="002544D6"/>
    <w:rsid w:val="0025492E"/>
    <w:rsid w:val="00254936"/>
    <w:rsid w:val="002549EF"/>
    <w:rsid w:val="00254D44"/>
    <w:rsid w:val="00254F98"/>
    <w:rsid w:val="00255214"/>
    <w:rsid w:val="00255249"/>
    <w:rsid w:val="00255328"/>
    <w:rsid w:val="00255387"/>
    <w:rsid w:val="002553B7"/>
    <w:rsid w:val="002553D7"/>
    <w:rsid w:val="0025542F"/>
    <w:rsid w:val="0025544D"/>
    <w:rsid w:val="00255614"/>
    <w:rsid w:val="00255716"/>
    <w:rsid w:val="00255792"/>
    <w:rsid w:val="0025579E"/>
    <w:rsid w:val="002557B4"/>
    <w:rsid w:val="00255829"/>
    <w:rsid w:val="00255A28"/>
    <w:rsid w:val="00255DC2"/>
    <w:rsid w:val="00255F00"/>
    <w:rsid w:val="0025624C"/>
    <w:rsid w:val="002567D3"/>
    <w:rsid w:val="002569B0"/>
    <w:rsid w:val="00256A29"/>
    <w:rsid w:val="00256AE8"/>
    <w:rsid w:val="00256B4A"/>
    <w:rsid w:val="00256D0E"/>
    <w:rsid w:val="00256FA1"/>
    <w:rsid w:val="0025717F"/>
    <w:rsid w:val="002571DC"/>
    <w:rsid w:val="0025740A"/>
    <w:rsid w:val="002574A1"/>
    <w:rsid w:val="00257689"/>
    <w:rsid w:val="00257EB5"/>
    <w:rsid w:val="002600C7"/>
    <w:rsid w:val="002602AE"/>
    <w:rsid w:val="00260522"/>
    <w:rsid w:val="0026067A"/>
    <w:rsid w:val="00260928"/>
    <w:rsid w:val="00260F8E"/>
    <w:rsid w:val="0026101F"/>
    <w:rsid w:val="002610AA"/>
    <w:rsid w:val="00261175"/>
    <w:rsid w:val="00261246"/>
    <w:rsid w:val="0026136E"/>
    <w:rsid w:val="002615B2"/>
    <w:rsid w:val="002616FF"/>
    <w:rsid w:val="00261786"/>
    <w:rsid w:val="00261B64"/>
    <w:rsid w:val="00261B9A"/>
    <w:rsid w:val="00261CA2"/>
    <w:rsid w:val="00261E3B"/>
    <w:rsid w:val="002620FA"/>
    <w:rsid w:val="002621BC"/>
    <w:rsid w:val="00262440"/>
    <w:rsid w:val="00262572"/>
    <w:rsid w:val="0026269B"/>
    <w:rsid w:val="0026289C"/>
    <w:rsid w:val="002628D4"/>
    <w:rsid w:val="00262AAF"/>
    <w:rsid w:val="00262CAE"/>
    <w:rsid w:val="00263099"/>
    <w:rsid w:val="0026346E"/>
    <w:rsid w:val="002634DA"/>
    <w:rsid w:val="0026364A"/>
    <w:rsid w:val="00263781"/>
    <w:rsid w:val="0026397B"/>
    <w:rsid w:val="00263C23"/>
    <w:rsid w:val="00263D7D"/>
    <w:rsid w:val="00263DB4"/>
    <w:rsid w:val="00263E6B"/>
    <w:rsid w:val="00264563"/>
    <w:rsid w:val="00264D8B"/>
    <w:rsid w:val="00264F38"/>
    <w:rsid w:val="00265423"/>
    <w:rsid w:val="002656F4"/>
    <w:rsid w:val="00265734"/>
    <w:rsid w:val="00265BF7"/>
    <w:rsid w:val="00265C43"/>
    <w:rsid w:val="00265CD6"/>
    <w:rsid w:val="00265DCB"/>
    <w:rsid w:val="0026606F"/>
    <w:rsid w:val="002662DA"/>
    <w:rsid w:val="0026638F"/>
    <w:rsid w:val="0026647B"/>
    <w:rsid w:val="002664CA"/>
    <w:rsid w:val="00266769"/>
    <w:rsid w:val="0026690B"/>
    <w:rsid w:val="00266AE0"/>
    <w:rsid w:val="00266B7A"/>
    <w:rsid w:val="00266D2C"/>
    <w:rsid w:val="002672B5"/>
    <w:rsid w:val="00267440"/>
    <w:rsid w:val="00267454"/>
    <w:rsid w:val="00267566"/>
    <w:rsid w:val="00267BF0"/>
    <w:rsid w:val="00267D5F"/>
    <w:rsid w:val="00270219"/>
    <w:rsid w:val="002702F0"/>
    <w:rsid w:val="00270403"/>
    <w:rsid w:val="002707BB"/>
    <w:rsid w:val="00270917"/>
    <w:rsid w:val="00270A17"/>
    <w:rsid w:val="00270C9B"/>
    <w:rsid w:val="00270E4B"/>
    <w:rsid w:val="0027118C"/>
    <w:rsid w:val="0027143D"/>
    <w:rsid w:val="0027158D"/>
    <w:rsid w:val="0027188E"/>
    <w:rsid w:val="002719E0"/>
    <w:rsid w:val="00271A2A"/>
    <w:rsid w:val="00271A80"/>
    <w:rsid w:val="00271CDF"/>
    <w:rsid w:val="00271EAC"/>
    <w:rsid w:val="00271F7D"/>
    <w:rsid w:val="002721A5"/>
    <w:rsid w:val="00272779"/>
    <w:rsid w:val="00272A41"/>
    <w:rsid w:val="0027310F"/>
    <w:rsid w:val="002738EA"/>
    <w:rsid w:val="00273AA6"/>
    <w:rsid w:val="00273FAF"/>
    <w:rsid w:val="00274328"/>
    <w:rsid w:val="00274388"/>
    <w:rsid w:val="0027469E"/>
    <w:rsid w:val="00274822"/>
    <w:rsid w:val="00274C36"/>
    <w:rsid w:val="00274CB8"/>
    <w:rsid w:val="00274DF9"/>
    <w:rsid w:val="002751AB"/>
    <w:rsid w:val="002751E8"/>
    <w:rsid w:val="0027549C"/>
    <w:rsid w:val="00275542"/>
    <w:rsid w:val="0027558E"/>
    <w:rsid w:val="0027567A"/>
    <w:rsid w:val="00275FF2"/>
    <w:rsid w:val="00276504"/>
    <w:rsid w:val="00276518"/>
    <w:rsid w:val="00276BED"/>
    <w:rsid w:val="00276DFB"/>
    <w:rsid w:val="00276E17"/>
    <w:rsid w:val="00276EE8"/>
    <w:rsid w:val="0027722B"/>
    <w:rsid w:val="0027748F"/>
    <w:rsid w:val="002776F4"/>
    <w:rsid w:val="00277B4F"/>
    <w:rsid w:val="00277C51"/>
    <w:rsid w:val="00277F08"/>
    <w:rsid w:val="002805D2"/>
    <w:rsid w:val="00280886"/>
    <w:rsid w:val="00280B56"/>
    <w:rsid w:val="00280E01"/>
    <w:rsid w:val="002810FA"/>
    <w:rsid w:val="00281579"/>
    <w:rsid w:val="00281DFE"/>
    <w:rsid w:val="002821C5"/>
    <w:rsid w:val="00282467"/>
    <w:rsid w:val="00282558"/>
    <w:rsid w:val="00282819"/>
    <w:rsid w:val="00282AC7"/>
    <w:rsid w:val="0028391E"/>
    <w:rsid w:val="00283CA5"/>
    <w:rsid w:val="00283DB7"/>
    <w:rsid w:val="00283DBD"/>
    <w:rsid w:val="00283E33"/>
    <w:rsid w:val="00283F69"/>
    <w:rsid w:val="002843A3"/>
    <w:rsid w:val="002845EA"/>
    <w:rsid w:val="00284EA8"/>
    <w:rsid w:val="002850C9"/>
    <w:rsid w:val="0028516E"/>
    <w:rsid w:val="00285392"/>
    <w:rsid w:val="0028549E"/>
    <w:rsid w:val="002855BC"/>
    <w:rsid w:val="00285693"/>
    <w:rsid w:val="00285773"/>
    <w:rsid w:val="002857D6"/>
    <w:rsid w:val="0028597C"/>
    <w:rsid w:val="00285A8C"/>
    <w:rsid w:val="0028602E"/>
    <w:rsid w:val="0028662E"/>
    <w:rsid w:val="00286683"/>
    <w:rsid w:val="0028697F"/>
    <w:rsid w:val="00286C63"/>
    <w:rsid w:val="00286C88"/>
    <w:rsid w:val="00286E7E"/>
    <w:rsid w:val="00286FD5"/>
    <w:rsid w:val="0028743B"/>
    <w:rsid w:val="0028758F"/>
    <w:rsid w:val="002877B2"/>
    <w:rsid w:val="002879B9"/>
    <w:rsid w:val="00287AFC"/>
    <w:rsid w:val="00287B1F"/>
    <w:rsid w:val="00287B56"/>
    <w:rsid w:val="00287BCD"/>
    <w:rsid w:val="00287FBE"/>
    <w:rsid w:val="0029027D"/>
    <w:rsid w:val="002904FB"/>
    <w:rsid w:val="0029061E"/>
    <w:rsid w:val="0029072B"/>
    <w:rsid w:val="00290B0F"/>
    <w:rsid w:val="00290F93"/>
    <w:rsid w:val="002914A7"/>
    <w:rsid w:val="002914C0"/>
    <w:rsid w:val="002914C8"/>
    <w:rsid w:val="00291575"/>
    <w:rsid w:val="002915F5"/>
    <w:rsid w:val="002918C2"/>
    <w:rsid w:val="00291D65"/>
    <w:rsid w:val="00292084"/>
    <w:rsid w:val="002921ED"/>
    <w:rsid w:val="00292277"/>
    <w:rsid w:val="00292408"/>
    <w:rsid w:val="002924F6"/>
    <w:rsid w:val="00292C19"/>
    <w:rsid w:val="00292C8A"/>
    <w:rsid w:val="00292D8E"/>
    <w:rsid w:val="00292D99"/>
    <w:rsid w:val="00293365"/>
    <w:rsid w:val="00293433"/>
    <w:rsid w:val="0029364F"/>
    <w:rsid w:val="0029373C"/>
    <w:rsid w:val="00293771"/>
    <w:rsid w:val="00293780"/>
    <w:rsid w:val="00293881"/>
    <w:rsid w:val="002938AA"/>
    <w:rsid w:val="002938ED"/>
    <w:rsid w:val="0029398B"/>
    <w:rsid w:val="00293BD9"/>
    <w:rsid w:val="00294879"/>
    <w:rsid w:val="002948B2"/>
    <w:rsid w:val="00294949"/>
    <w:rsid w:val="00294B4D"/>
    <w:rsid w:val="0029587D"/>
    <w:rsid w:val="00295A9D"/>
    <w:rsid w:val="00296161"/>
    <w:rsid w:val="0029628F"/>
    <w:rsid w:val="002964BD"/>
    <w:rsid w:val="00296BB7"/>
    <w:rsid w:val="00296E4D"/>
    <w:rsid w:val="00296EFC"/>
    <w:rsid w:val="00296FE8"/>
    <w:rsid w:val="0029735D"/>
    <w:rsid w:val="0029776F"/>
    <w:rsid w:val="00297829"/>
    <w:rsid w:val="00297CF3"/>
    <w:rsid w:val="00297E1B"/>
    <w:rsid w:val="00297F11"/>
    <w:rsid w:val="00297FC2"/>
    <w:rsid w:val="002A0053"/>
    <w:rsid w:val="002A021A"/>
    <w:rsid w:val="002A0448"/>
    <w:rsid w:val="002A0567"/>
    <w:rsid w:val="002A068E"/>
    <w:rsid w:val="002A06C7"/>
    <w:rsid w:val="002A0F96"/>
    <w:rsid w:val="002A1160"/>
    <w:rsid w:val="002A12A3"/>
    <w:rsid w:val="002A140C"/>
    <w:rsid w:val="002A1710"/>
    <w:rsid w:val="002A17CB"/>
    <w:rsid w:val="002A1849"/>
    <w:rsid w:val="002A19EC"/>
    <w:rsid w:val="002A1AEE"/>
    <w:rsid w:val="002A1BD1"/>
    <w:rsid w:val="002A1C44"/>
    <w:rsid w:val="002A204D"/>
    <w:rsid w:val="002A2062"/>
    <w:rsid w:val="002A215B"/>
    <w:rsid w:val="002A2589"/>
    <w:rsid w:val="002A270E"/>
    <w:rsid w:val="002A2864"/>
    <w:rsid w:val="002A2A6F"/>
    <w:rsid w:val="002A2C6C"/>
    <w:rsid w:val="002A2D50"/>
    <w:rsid w:val="002A2DF1"/>
    <w:rsid w:val="002A2EF5"/>
    <w:rsid w:val="002A2EFC"/>
    <w:rsid w:val="002A2FB8"/>
    <w:rsid w:val="002A30B9"/>
    <w:rsid w:val="002A3117"/>
    <w:rsid w:val="002A348C"/>
    <w:rsid w:val="002A3561"/>
    <w:rsid w:val="002A35AB"/>
    <w:rsid w:val="002A394B"/>
    <w:rsid w:val="002A3E4D"/>
    <w:rsid w:val="002A4866"/>
    <w:rsid w:val="002A48E4"/>
    <w:rsid w:val="002A4E93"/>
    <w:rsid w:val="002A510E"/>
    <w:rsid w:val="002A5496"/>
    <w:rsid w:val="002A56A6"/>
    <w:rsid w:val="002A57BD"/>
    <w:rsid w:val="002A59F8"/>
    <w:rsid w:val="002A5C20"/>
    <w:rsid w:val="002A5D57"/>
    <w:rsid w:val="002A5E34"/>
    <w:rsid w:val="002A5E71"/>
    <w:rsid w:val="002A5FBF"/>
    <w:rsid w:val="002A6122"/>
    <w:rsid w:val="002A626F"/>
    <w:rsid w:val="002A6314"/>
    <w:rsid w:val="002A64C5"/>
    <w:rsid w:val="002A65A0"/>
    <w:rsid w:val="002A6CF2"/>
    <w:rsid w:val="002A6F6D"/>
    <w:rsid w:val="002A7127"/>
    <w:rsid w:val="002A73FB"/>
    <w:rsid w:val="002A7440"/>
    <w:rsid w:val="002A74A7"/>
    <w:rsid w:val="002A7532"/>
    <w:rsid w:val="002A7720"/>
    <w:rsid w:val="002A781C"/>
    <w:rsid w:val="002A7CCE"/>
    <w:rsid w:val="002A7CE7"/>
    <w:rsid w:val="002A7DAD"/>
    <w:rsid w:val="002A7E89"/>
    <w:rsid w:val="002B0124"/>
    <w:rsid w:val="002B0157"/>
    <w:rsid w:val="002B05F5"/>
    <w:rsid w:val="002B0773"/>
    <w:rsid w:val="002B077A"/>
    <w:rsid w:val="002B0780"/>
    <w:rsid w:val="002B0BAB"/>
    <w:rsid w:val="002B0D60"/>
    <w:rsid w:val="002B0ECD"/>
    <w:rsid w:val="002B0F3F"/>
    <w:rsid w:val="002B103C"/>
    <w:rsid w:val="002B1111"/>
    <w:rsid w:val="002B1112"/>
    <w:rsid w:val="002B14BE"/>
    <w:rsid w:val="002B1568"/>
    <w:rsid w:val="002B2158"/>
    <w:rsid w:val="002B23A1"/>
    <w:rsid w:val="002B27AA"/>
    <w:rsid w:val="002B2BE1"/>
    <w:rsid w:val="002B2CDC"/>
    <w:rsid w:val="002B2D12"/>
    <w:rsid w:val="002B31EA"/>
    <w:rsid w:val="002B320F"/>
    <w:rsid w:val="002B32C6"/>
    <w:rsid w:val="002B33F4"/>
    <w:rsid w:val="002B3428"/>
    <w:rsid w:val="002B3575"/>
    <w:rsid w:val="002B37D1"/>
    <w:rsid w:val="002B37E1"/>
    <w:rsid w:val="002B3D72"/>
    <w:rsid w:val="002B3E58"/>
    <w:rsid w:val="002B41CB"/>
    <w:rsid w:val="002B4473"/>
    <w:rsid w:val="002B44DF"/>
    <w:rsid w:val="002B44FD"/>
    <w:rsid w:val="002B46CB"/>
    <w:rsid w:val="002B490B"/>
    <w:rsid w:val="002B540C"/>
    <w:rsid w:val="002B60D7"/>
    <w:rsid w:val="002B63CB"/>
    <w:rsid w:val="002B6699"/>
    <w:rsid w:val="002B6795"/>
    <w:rsid w:val="002B6869"/>
    <w:rsid w:val="002B6D3A"/>
    <w:rsid w:val="002B727A"/>
    <w:rsid w:val="002B7346"/>
    <w:rsid w:val="002B75D4"/>
    <w:rsid w:val="002B7A44"/>
    <w:rsid w:val="002C069C"/>
    <w:rsid w:val="002C0B35"/>
    <w:rsid w:val="002C0F7B"/>
    <w:rsid w:val="002C0FD2"/>
    <w:rsid w:val="002C10AA"/>
    <w:rsid w:val="002C1603"/>
    <w:rsid w:val="002C16E7"/>
    <w:rsid w:val="002C17CD"/>
    <w:rsid w:val="002C18C8"/>
    <w:rsid w:val="002C18E1"/>
    <w:rsid w:val="002C1978"/>
    <w:rsid w:val="002C199E"/>
    <w:rsid w:val="002C1BEC"/>
    <w:rsid w:val="002C1D74"/>
    <w:rsid w:val="002C1EDB"/>
    <w:rsid w:val="002C1EE2"/>
    <w:rsid w:val="002C204E"/>
    <w:rsid w:val="002C20CA"/>
    <w:rsid w:val="002C24E9"/>
    <w:rsid w:val="002C261D"/>
    <w:rsid w:val="002C282E"/>
    <w:rsid w:val="002C293F"/>
    <w:rsid w:val="002C2CCD"/>
    <w:rsid w:val="002C2FAC"/>
    <w:rsid w:val="002C320A"/>
    <w:rsid w:val="002C3228"/>
    <w:rsid w:val="002C32AE"/>
    <w:rsid w:val="002C3447"/>
    <w:rsid w:val="002C34D8"/>
    <w:rsid w:val="002C3985"/>
    <w:rsid w:val="002C3A7D"/>
    <w:rsid w:val="002C471F"/>
    <w:rsid w:val="002C4805"/>
    <w:rsid w:val="002C4834"/>
    <w:rsid w:val="002C4A66"/>
    <w:rsid w:val="002C4B3A"/>
    <w:rsid w:val="002C4D36"/>
    <w:rsid w:val="002C4FB4"/>
    <w:rsid w:val="002C50A7"/>
    <w:rsid w:val="002C5205"/>
    <w:rsid w:val="002C5B01"/>
    <w:rsid w:val="002C5BE1"/>
    <w:rsid w:val="002C618E"/>
    <w:rsid w:val="002C61E4"/>
    <w:rsid w:val="002C66E4"/>
    <w:rsid w:val="002C6865"/>
    <w:rsid w:val="002C695C"/>
    <w:rsid w:val="002C6A4D"/>
    <w:rsid w:val="002C6E0E"/>
    <w:rsid w:val="002C6EAC"/>
    <w:rsid w:val="002C7368"/>
    <w:rsid w:val="002C7706"/>
    <w:rsid w:val="002C78F8"/>
    <w:rsid w:val="002C7966"/>
    <w:rsid w:val="002C7CDA"/>
    <w:rsid w:val="002D0316"/>
    <w:rsid w:val="002D076F"/>
    <w:rsid w:val="002D082C"/>
    <w:rsid w:val="002D0999"/>
    <w:rsid w:val="002D0C04"/>
    <w:rsid w:val="002D0C7A"/>
    <w:rsid w:val="002D0FAB"/>
    <w:rsid w:val="002D1060"/>
    <w:rsid w:val="002D1786"/>
    <w:rsid w:val="002D18C8"/>
    <w:rsid w:val="002D1C34"/>
    <w:rsid w:val="002D1DD3"/>
    <w:rsid w:val="002D1EB5"/>
    <w:rsid w:val="002D1F88"/>
    <w:rsid w:val="002D21FD"/>
    <w:rsid w:val="002D2918"/>
    <w:rsid w:val="002D2AAC"/>
    <w:rsid w:val="002D2C43"/>
    <w:rsid w:val="002D2C84"/>
    <w:rsid w:val="002D2D67"/>
    <w:rsid w:val="002D31B1"/>
    <w:rsid w:val="002D32E9"/>
    <w:rsid w:val="002D36C3"/>
    <w:rsid w:val="002D38BF"/>
    <w:rsid w:val="002D397E"/>
    <w:rsid w:val="002D3A28"/>
    <w:rsid w:val="002D3DD2"/>
    <w:rsid w:val="002D3E15"/>
    <w:rsid w:val="002D3E80"/>
    <w:rsid w:val="002D3FD6"/>
    <w:rsid w:val="002D48E3"/>
    <w:rsid w:val="002D4B01"/>
    <w:rsid w:val="002D4B3A"/>
    <w:rsid w:val="002D4B89"/>
    <w:rsid w:val="002D4D6A"/>
    <w:rsid w:val="002D51C9"/>
    <w:rsid w:val="002D5236"/>
    <w:rsid w:val="002D535F"/>
    <w:rsid w:val="002D54A3"/>
    <w:rsid w:val="002D54DD"/>
    <w:rsid w:val="002D5A03"/>
    <w:rsid w:val="002D5AA8"/>
    <w:rsid w:val="002D5BB9"/>
    <w:rsid w:val="002D5D42"/>
    <w:rsid w:val="002D62D3"/>
    <w:rsid w:val="002D638E"/>
    <w:rsid w:val="002D677B"/>
    <w:rsid w:val="002D6C79"/>
    <w:rsid w:val="002D6E75"/>
    <w:rsid w:val="002D6E92"/>
    <w:rsid w:val="002D7465"/>
    <w:rsid w:val="002D74FE"/>
    <w:rsid w:val="002D76CD"/>
    <w:rsid w:val="002D7E42"/>
    <w:rsid w:val="002E01C9"/>
    <w:rsid w:val="002E0632"/>
    <w:rsid w:val="002E0899"/>
    <w:rsid w:val="002E0A50"/>
    <w:rsid w:val="002E0B49"/>
    <w:rsid w:val="002E0E5D"/>
    <w:rsid w:val="002E0E97"/>
    <w:rsid w:val="002E0F5E"/>
    <w:rsid w:val="002E148D"/>
    <w:rsid w:val="002E14E8"/>
    <w:rsid w:val="002E1A37"/>
    <w:rsid w:val="002E1C98"/>
    <w:rsid w:val="002E1D35"/>
    <w:rsid w:val="002E1D66"/>
    <w:rsid w:val="002E1E02"/>
    <w:rsid w:val="002E218D"/>
    <w:rsid w:val="002E2526"/>
    <w:rsid w:val="002E2685"/>
    <w:rsid w:val="002E28AE"/>
    <w:rsid w:val="002E2C51"/>
    <w:rsid w:val="002E2CEE"/>
    <w:rsid w:val="002E2CF4"/>
    <w:rsid w:val="002E2F18"/>
    <w:rsid w:val="002E2F31"/>
    <w:rsid w:val="002E3174"/>
    <w:rsid w:val="002E33F7"/>
    <w:rsid w:val="002E357E"/>
    <w:rsid w:val="002E3621"/>
    <w:rsid w:val="002E3881"/>
    <w:rsid w:val="002E3CAB"/>
    <w:rsid w:val="002E3D48"/>
    <w:rsid w:val="002E41D3"/>
    <w:rsid w:val="002E43E6"/>
    <w:rsid w:val="002E44C0"/>
    <w:rsid w:val="002E45E1"/>
    <w:rsid w:val="002E495B"/>
    <w:rsid w:val="002E4B10"/>
    <w:rsid w:val="002E4C9E"/>
    <w:rsid w:val="002E4E26"/>
    <w:rsid w:val="002E5234"/>
    <w:rsid w:val="002E53EA"/>
    <w:rsid w:val="002E5709"/>
    <w:rsid w:val="002E605C"/>
    <w:rsid w:val="002E653B"/>
    <w:rsid w:val="002E66EA"/>
    <w:rsid w:val="002E6B8B"/>
    <w:rsid w:val="002E6C2C"/>
    <w:rsid w:val="002E721C"/>
    <w:rsid w:val="002E72A8"/>
    <w:rsid w:val="002E7439"/>
    <w:rsid w:val="002E7499"/>
    <w:rsid w:val="002E7564"/>
    <w:rsid w:val="002E77B4"/>
    <w:rsid w:val="002E7AB8"/>
    <w:rsid w:val="002E7C50"/>
    <w:rsid w:val="002E7CC9"/>
    <w:rsid w:val="002E7D0A"/>
    <w:rsid w:val="002E7DE1"/>
    <w:rsid w:val="002E7E18"/>
    <w:rsid w:val="002F0275"/>
    <w:rsid w:val="002F046D"/>
    <w:rsid w:val="002F06B6"/>
    <w:rsid w:val="002F0822"/>
    <w:rsid w:val="002F09D6"/>
    <w:rsid w:val="002F0C3E"/>
    <w:rsid w:val="002F0CEA"/>
    <w:rsid w:val="002F0D63"/>
    <w:rsid w:val="002F1066"/>
    <w:rsid w:val="002F12B7"/>
    <w:rsid w:val="002F18C2"/>
    <w:rsid w:val="002F1991"/>
    <w:rsid w:val="002F19D9"/>
    <w:rsid w:val="002F1A9B"/>
    <w:rsid w:val="002F1BE3"/>
    <w:rsid w:val="002F1F38"/>
    <w:rsid w:val="002F2035"/>
    <w:rsid w:val="002F2593"/>
    <w:rsid w:val="002F26D6"/>
    <w:rsid w:val="002F2893"/>
    <w:rsid w:val="002F2CAA"/>
    <w:rsid w:val="002F2CD6"/>
    <w:rsid w:val="002F2F05"/>
    <w:rsid w:val="002F3070"/>
    <w:rsid w:val="002F30B8"/>
    <w:rsid w:val="002F32D3"/>
    <w:rsid w:val="002F337B"/>
    <w:rsid w:val="002F37FC"/>
    <w:rsid w:val="002F39E6"/>
    <w:rsid w:val="002F3E4F"/>
    <w:rsid w:val="002F4045"/>
    <w:rsid w:val="002F40F5"/>
    <w:rsid w:val="002F4213"/>
    <w:rsid w:val="002F454A"/>
    <w:rsid w:val="002F4A70"/>
    <w:rsid w:val="002F4E61"/>
    <w:rsid w:val="002F4F71"/>
    <w:rsid w:val="002F51C3"/>
    <w:rsid w:val="002F5643"/>
    <w:rsid w:val="002F56A4"/>
    <w:rsid w:val="002F5A14"/>
    <w:rsid w:val="002F5E04"/>
    <w:rsid w:val="002F618C"/>
    <w:rsid w:val="002F6682"/>
    <w:rsid w:val="002F66FA"/>
    <w:rsid w:val="002F691A"/>
    <w:rsid w:val="002F6A2B"/>
    <w:rsid w:val="002F6DF0"/>
    <w:rsid w:val="002F6FF2"/>
    <w:rsid w:val="002F701C"/>
    <w:rsid w:val="002F7500"/>
    <w:rsid w:val="002F774A"/>
    <w:rsid w:val="002F781A"/>
    <w:rsid w:val="002F7E9C"/>
    <w:rsid w:val="002F7ECB"/>
    <w:rsid w:val="00300AD6"/>
    <w:rsid w:val="00300FB1"/>
    <w:rsid w:val="0030103F"/>
    <w:rsid w:val="00301601"/>
    <w:rsid w:val="00301915"/>
    <w:rsid w:val="00301B52"/>
    <w:rsid w:val="00301EA4"/>
    <w:rsid w:val="00302193"/>
    <w:rsid w:val="00302210"/>
    <w:rsid w:val="003024DA"/>
    <w:rsid w:val="00302AEA"/>
    <w:rsid w:val="00302B32"/>
    <w:rsid w:val="00302DED"/>
    <w:rsid w:val="00302E97"/>
    <w:rsid w:val="0030301E"/>
    <w:rsid w:val="003032E6"/>
    <w:rsid w:val="0030355F"/>
    <w:rsid w:val="003035AD"/>
    <w:rsid w:val="003035BE"/>
    <w:rsid w:val="0030369F"/>
    <w:rsid w:val="00303993"/>
    <w:rsid w:val="00303A9B"/>
    <w:rsid w:val="00303DA6"/>
    <w:rsid w:val="00304005"/>
    <w:rsid w:val="00304341"/>
    <w:rsid w:val="00304491"/>
    <w:rsid w:val="00304765"/>
    <w:rsid w:val="00304815"/>
    <w:rsid w:val="00304B77"/>
    <w:rsid w:val="00304DEB"/>
    <w:rsid w:val="00305396"/>
    <w:rsid w:val="0030566B"/>
    <w:rsid w:val="00305A42"/>
    <w:rsid w:val="00305A6E"/>
    <w:rsid w:val="00305DD7"/>
    <w:rsid w:val="00305DFA"/>
    <w:rsid w:val="0030603C"/>
    <w:rsid w:val="003066AB"/>
    <w:rsid w:val="0030686A"/>
    <w:rsid w:val="00306B65"/>
    <w:rsid w:val="00306D98"/>
    <w:rsid w:val="0030702C"/>
    <w:rsid w:val="003076FE"/>
    <w:rsid w:val="00307878"/>
    <w:rsid w:val="00307B65"/>
    <w:rsid w:val="00307C9E"/>
    <w:rsid w:val="00307CBF"/>
    <w:rsid w:val="00307D8F"/>
    <w:rsid w:val="00307E54"/>
    <w:rsid w:val="00307E93"/>
    <w:rsid w:val="003101C6"/>
    <w:rsid w:val="003101E0"/>
    <w:rsid w:val="00310314"/>
    <w:rsid w:val="00310530"/>
    <w:rsid w:val="0031093C"/>
    <w:rsid w:val="00310DA7"/>
    <w:rsid w:val="00310EE1"/>
    <w:rsid w:val="00311150"/>
    <w:rsid w:val="00311415"/>
    <w:rsid w:val="0031187E"/>
    <w:rsid w:val="00311989"/>
    <w:rsid w:val="003119C4"/>
    <w:rsid w:val="00311C57"/>
    <w:rsid w:val="00311D54"/>
    <w:rsid w:val="00312303"/>
    <w:rsid w:val="0031242F"/>
    <w:rsid w:val="003126DE"/>
    <w:rsid w:val="0031290C"/>
    <w:rsid w:val="0031290D"/>
    <w:rsid w:val="00312A2A"/>
    <w:rsid w:val="00312BB4"/>
    <w:rsid w:val="00312C7E"/>
    <w:rsid w:val="00312E34"/>
    <w:rsid w:val="00312ED5"/>
    <w:rsid w:val="0031315B"/>
    <w:rsid w:val="003137AD"/>
    <w:rsid w:val="00314416"/>
    <w:rsid w:val="003148D6"/>
    <w:rsid w:val="0031508B"/>
    <w:rsid w:val="0031538A"/>
    <w:rsid w:val="0031547D"/>
    <w:rsid w:val="00315552"/>
    <w:rsid w:val="003157A3"/>
    <w:rsid w:val="003157D6"/>
    <w:rsid w:val="00315A06"/>
    <w:rsid w:val="00315C41"/>
    <w:rsid w:val="0031621F"/>
    <w:rsid w:val="003165AB"/>
    <w:rsid w:val="00316B00"/>
    <w:rsid w:val="00316D00"/>
    <w:rsid w:val="00316E24"/>
    <w:rsid w:val="00316E7D"/>
    <w:rsid w:val="00317109"/>
    <w:rsid w:val="0031748E"/>
    <w:rsid w:val="00317A6E"/>
    <w:rsid w:val="00317C8F"/>
    <w:rsid w:val="00317D64"/>
    <w:rsid w:val="00317E80"/>
    <w:rsid w:val="00317EC4"/>
    <w:rsid w:val="00317F0A"/>
    <w:rsid w:val="00320606"/>
    <w:rsid w:val="003207CC"/>
    <w:rsid w:val="00320AD9"/>
    <w:rsid w:val="00320B5A"/>
    <w:rsid w:val="00320ED1"/>
    <w:rsid w:val="003210AE"/>
    <w:rsid w:val="003213E3"/>
    <w:rsid w:val="00321400"/>
    <w:rsid w:val="003216DF"/>
    <w:rsid w:val="00321A4A"/>
    <w:rsid w:val="00321BE6"/>
    <w:rsid w:val="00321BF1"/>
    <w:rsid w:val="003220DB"/>
    <w:rsid w:val="00322467"/>
    <w:rsid w:val="00322621"/>
    <w:rsid w:val="00322ACE"/>
    <w:rsid w:val="00322DFC"/>
    <w:rsid w:val="00322FD3"/>
    <w:rsid w:val="003231E0"/>
    <w:rsid w:val="0032322B"/>
    <w:rsid w:val="0032348D"/>
    <w:rsid w:val="003234B6"/>
    <w:rsid w:val="00323586"/>
    <w:rsid w:val="00323896"/>
    <w:rsid w:val="00323A55"/>
    <w:rsid w:val="00323BBF"/>
    <w:rsid w:val="00323EA4"/>
    <w:rsid w:val="00323EA9"/>
    <w:rsid w:val="00323F01"/>
    <w:rsid w:val="003240BD"/>
    <w:rsid w:val="00324347"/>
    <w:rsid w:val="00324513"/>
    <w:rsid w:val="0032459C"/>
    <w:rsid w:val="00324919"/>
    <w:rsid w:val="00324932"/>
    <w:rsid w:val="00324B20"/>
    <w:rsid w:val="00325043"/>
    <w:rsid w:val="00325218"/>
    <w:rsid w:val="003252D8"/>
    <w:rsid w:val="00325346"/>
    <w:rsid w:val="00325612"/>
    <w:rsid w:val="0032565F"/>
    <w:rsid w:val="00325A2F"/>
    <w:rsid w:val="00325D1E"/>
    <w:rsid w:val="00325FE9"/>
    <w:rsid w:val="0032624C"/>
    <w:rsid w:val="0032682F"/>
    <w:rsid w:val="00326D07"/>
    <w:rsid w:val="0032709F"/>
    <w:rsid w:val="0032716B"/>
    <w:rsid w:val="00327181"/>
    <w:rsid w:val="003272C7"/>
    <w:rsid w:val="003273B6"/>
    <w:rsid w:val="003275FD"/>
    <w:rsid w:val="00327958"/>
    <w:rsid w:val="00327C66"/>
    <w:rsid w:val="00327FDB"/>
    <w:rsid w:val="00330028"/>
    <w:rsid w:val="003300CD"/>
    <w:rsid w:val="003303CC"/>
    <w:rsid w:val="00330739"/>
    <w:rsid w:val="003307B8"/>
    <w:rsid w:val="00330C99"/>
    <w:rsid w:val="00330ED8"/>
    <w:rsid w:val="00331058"/>
    <w:rsid w:val="00331113"/>
    <w:rsid w:val="00331122"/>
    <w:rsid w:val="0033114C"/>
    <w:rsid w:val="00331207"/>
    <w:rsid w:val="00331694"/>
    <w:rsid w:val="003319F4"/>
    <w:rsid w:val="00331B6B"/>
    <w:rsid w:val="00331BFD"/>
    <w:rsid w:val="00332084"/>
    <w:rsid w:val="003320E7"/>
    <w:rsid w:val="00332114"/>
    <w:rsid w:val="003321D9"/>
    <w:rsid w:val="003325D7"/>
    <w:rsid w:val="003329C5"/>
    <w:rsid w:val="003329E5"/>
    <w:rsid w:val="00332A4E"/>
    <w:rsid w:val="00332B4E"/>
    <w:rsid w:val="00332C5A"/>
    <w:rsid w:val="00332C81"/>
    <w:rsid w:val="00332CAE"/>
    <w:rsid w:val="00332DD8"/>
    <w:rsid w:val="00332EE8"/>
    <w:rsid w:val="00333043"/>
    <w:rsid w:val="003330D6"/>
    <w:rsid w:val="0033336C"/>
    <w:rsid w:val="0033347C"/>
    <w:rsid w:val="003334C3"/>
    <w:rsid w:val="00333C2E"/>
    <w:rsid w:val="00333CAE"/>
    <w:rsid w:val="00333CDA"/>
    <w:rsid w:val="00333CED"/>
    <w:rsid w:val="00333CFC"/>
    <w:rsid w:val="003341A2"/>
    <w:rsid w:val="0033489D"/>
    <w:rsid w:val="0033493D"/>
    <w:rsid w:val="00334D62"/>
    <w:rsid w:val="00334E41"/>
    <w:rsid w:val="003351F3"/>
    <w:rsid w:val="00335256"/>
    <w:rsid w:val="003354FC"/>
    <w:rsid w:val="00335518"/>
    <w:rsid w:val="003358A4"/>
    <w:rsid w:val="00335B73"/>
    <w:rsid w:val="00335C6D"/>
    <w:rsid w:val="003362DB"/>
    <w:rsid w:val="003364B9"/>
    <w:rsid w:val="0033675C"/>
    <w:rsid w:val="003368D2"/>
    <w:rsid w:val="003368F5"/>
    <w:rsid w:val="00336A47"/>
    <w:rsid w:val="00336D2C"/>
    <w:rsid w:val="00336E0C"/>
    <w:rsid w:val="00336E19"/>
    <w:rsid w:val="00337217"/>
    <w:rsid w:val="003373B9"/>
    <w:rsid w:val="003373C7"/>
    <w:rsid w:val="00337AE9"/>
    <w:rsid w:val="00337C0C"/>
    <w:rsid w:val="00337D2E"/>
    <w:rsid w:val="0034017F"/>
    <w:rsid w:val="003401A5"/>
    <w:rsid w:val="0034032B"/>
    <w:rsid w:val="0034046F"/>
    <w:rsid w:val="00340479"/>
    <w:rsid w:val="00340884"/>
    <w:rsid w:val="00340E92"/>
    <w:rsid w:val="00340F17"/>
    <w:rsid w:val="00341278"/>
    <w:rsid w:val="003412D7"/>
    <w:rsid w:val="003413EB"/>
    <w:rsid w:val="00341D81"/>
    <w:rsid w:val="00341EF6"/>
    <w:rsid w:val="003420BB"/>
    <w:rsid w:val="003421FB"/>
    <w:rsid w:val="0034234E"/>
    <w:rsid w:val="003426AB"/>
    <w:rsid w:val="00342922"/>
    <w:rsid w:val="00342977"/>
    <w:rsid w:val="003429E9"/>
    <w:rsid w:val="00342A68"/>
    <w:rsid w:val="00342B3D"/>
    <w:rsid w:val="00342EE3"/>
    <w:rsid w:val="00342FDF"/>
    <w:rsid w:val="003433A4"/>
    <w:rsid w:val="003433D9"/>
    <w:rsid w:val="003433F1"/>
    <w:rsid w:val="00343960"/>
    <w:rsid w:val="003440C9"/>
    <w:rsid w:val="003441FF"/>
    <w:rsid w:val="00344386"/>
    <w:rsid w:val="0034461E"/>
    <w:rsid w:val="00344629"/>
    <w:rsid w:val="00344B7A"/>
    <w:rsid w:val="00344DB2"/>
    <w:rsid w:val="00344E88"/>
    <w:rsid w:val="0034508E"/>
    <w:rsid w:val="00345305"/>
    <w:rsid w:val="00345662"/>
    <w:rsid w:val="003457E2"/>
    <w:rsid w:val="00345FDA"/>
    <w:rsid w:val="0034605F"/>
    <w:rsid w:val="003464EB"/>
    <w:rsid w:val="00346604"/>
    <w:rsid w:val="00346859"/>
    <w:rsid w:val="00346A97"/>
    <w:rsid w:val="003471C6"/>
    <w:rsid w:val="0034723E"/>
    <w:rsid w:val="00347A04"/>
    <w:rsid w:val="00347B79"/>
    <w:rsid w:val="00347B83"/>
    <w:rsid w:val="003501BD"/>
    <w:rsid w:val="0035024C"/>
    <w:rsid w:val="003505D5"/>
    <w:rsid w:val="00350769"/>
    <w:rsid w:val="00350C61"/>
    <w:rsid w:val="00350D70"/>
    <w:rsid w:val="00351209"/>
    <w:rsid w:val="003512AF"/>
    <w:rsid w:val="00351625"/>
    <w:rsid w:val="00351796"/>
    <w:rsid w:val="00351874"/>
    <w:rsid w:val="003518E8"/>
    <w:rsid w:val="0035198E"/>
    <w:rsid w:val="00351A5B"/>
    <w:rsid w:val="00351AC5"/>
    <w:rsid w:val="00351ED3"/>
    <w:rsid w:val="0035227B"/>
    <w:rsid w:val="00352506"/>
    <w:rsid w:val="003526A4"/>
    <w:rsid w:val="00352887"/>
    <w:rsid w:val="0035288F"/>
    <w:rsid w:val="00352952"/>
    <w:rsid w:val="003530C6"/>
    <w:rsid w:val="00353338"/>
    <w:rsid w:val="0035346F"/>
    <w:rsid w:val="00353530"/>
    <w:rsid w:val="00353669"/>
    <w:rsid w:val="00353C3C"/>
    <w:rsid w:val="00353D73"/>
    <w:rsid w:val="00353F4C"/>
    <w:rsid w:val="0035411D"/>
    <w:rsid w:val="003542B5"/>
    <w:rsid w:val="0035494F"/>
    <w:rsid w:val="00354B6F"/>
    <w:rsid w:val="00354C0E"/>
    <w:rsid w:val="00354DE5"/>
    <w:rsid w:val="00354E4E"/>
    <w:rsid w:val="00354F42"/>
    <w:rsid w:val="003552C6"/>
    <w:rsid w:val="003552D3"/>
    <w:rsid w:val="003554A3"/>
    <w:rsid w:val="003555A2"/>
    <w:rsid w:val="0035579C"/>
    <w:rsid w:val="0035584D"/>
    <w:rsid w:val="00355872"/>
    <w:rsid w:val="00355BB7"/>
    <w:rsid w:val="00355E94"/>
    <w:rsid w:val="00355E9B"/>
    <w:rsid w:val="0035660A"/>
    <w:rsid w:val="0035665C"/>
    <w:rsid w:val="003568D1"/>
    <w:rsid w:val="00356925"/>
    <w:rsid w:val="00356A18"/>
    <w:rsid w:val="00356A30"/>
    <w:rsid w:val="00356D04"/>
    <w:rsid w:val="00356D41"/>
    <w:rsid w:val="00356E71"/>
    <w:rsid w:val="0035708C"/>
    <w:rsid w:val="003571BF"/>
    <w:rsid w:val="0035738A"/>
    <w:rsid w:val="0035744E"/>
    <w:rsid w:val="0035745D"/>
    <w:rsid w:val="0035780B"/>
    <w:rsid w:val="00357B7D"/>
    <w:rsid w:val="00357DC6"/>
    <w:rsid w:val="00357F07"/>
    <w:rsid w:val="00360037"/>
    <w:rsid w:val="0036058E"/>
    <w:rsid w:val="00360702"/>
    <w:rsid w:val="0036071A"/>
    <w:rsid w:val="00360800"/>
    <w:rsid w:val="00360AC2"/>
    <w:rsid w:val="00360B13"/>
    <w:rsid w:val="00360B3B"/>
    <w:rsid w:val="00360CE3"/>
    <w:rsid w:val="00360D7D"/>
    <w:rsid w:val="00360F53"/>
    <w:rsid w:val="00360F81"/>
    <w:rsid w:val="00360FB3"/>
    <w:rsid w:val="00361324"/>
    <w:rsid w:val="0036133B"/>
    <w:rsid w:val="00361498"/>
    <w:rsid w:val="0036180C"/>
    <w:rsid w:val="00361CF2"/>
    <w:rsid w:val="00361EE7"/>
    <w:rsid w:val="003620BB"/>
    <w:rsid w:val="00362336"/>
    <w:rsid w:val="003625F8"/>
    <w:rsid w:val="00362696"/>
    <w:rsid w:val="00362918"/>
    <w:rsid w:val="00362A1D"/>
    <w:rsid w:val="00362AE1"/>
    <w:rsid w:val="00362BA1"/>
    <w:rsid w:val="00362CC5"/>
    <w:rsid w:val="00362DFF"/>
    <w:rsid w:val="003634F9"/>
    <w:rsid w:val="0036363F"/>
    <w:rsid w:val="003639FC"/>
    <w:rsid w:val="00363B42"/>
    <w:rsid w:val="00364298"/>
    <w:rsid w:val="00364372"/>
    <w:rsid w:val="003643A0"/>
    <w:rsid w:val="00364B15"/>
    <w:rsid w:val="00364B77"/>
    <w:rsid w:val="00364D0C"/>
    <w:rsid w:val="003656F9"/>
    <w:rsid w:val="003657A0"/>
    <w:rsid w:val="0036587D"/>
    <w:rsid w:val="003658CD"/>
    <w:rsid w:val="00365B72"/>
    <w:rsid w:val="00365E19"/>
    <w:rsid w:val="00365F5D"/>
    <w:rsid w:val="00365FAC"/>
    <w:rsid w:val="00366014"/>
    <w:rsid w:val="003660E1"/>
    <w:rsid w:val="00366235"/>
    <w:rsid w:val="003663F1"/>
    <w:rsid w:val="00366480"/>
    <w:rsid w:val="00366518"/>
    <w:rsid w:val="00366617"/>
    <w:rsid w:val="0036699D"/>
    <w:rsid w:val="00366BD2"/>
    <w:rsid w:val="00366D35"/>
    <w:rsid w:val="00366D55"/>
    <w:rsid w:val="00366DE1"/>
    <w:rsid w:val="00366F70"/>
    <w:rsid w:val="00366FE8"/>
    <w:rsid w:val="003674F6"/>
    <w:rsid w:val="0036762F"/>
    <w:rsid w:val="003676DA"/>
    <w:rsid w:val="003678F9"/>
    <w:rsid w:val="00367A54"/>
    <w:rsid w:val="00367CEF"/>
    <w:rsid w:val="0037014C"/>
    <w:rsid w:val="00370A29"/>
    <w:rsid w:val="00370AB8"/>
    <w:rsid w:val="00370AF3"/>
    <w:rsid w:val="00370C21"/>
    <w:rsid w:val="00370CE4"/>
    <w:rsid w:val="00370D22"/>
    <w:rsid w:val="00371474"/>
    <w:rsid w:val="0037179E"/>
    <w:rsid w:val="003717A1"/>
    <w:rsid w:val="00371A4A"/>
    <w:rsid w:val="00371A99"/>
    <w:rsid w:val="00371BC4"/>
    <w:rsid w:val="003723CB"/>
    <w:rsid w:val="003725A7"/>
    <w:rsid w:val="00372982"/>
    <w:rsid w:val="00372CA6"/>
    <w:rsid w:val="00372EC2"/>
    <w:rsid w:val="00372EDA"/>
    <w:rsid w:val="00373141"/>
    <w:rsid w:val="003733C1"/>
    <w:rsid w:val="00373699"/>
    <w:rsid w:val="00373740"/>
    <w:rsid w:val="00373A12"/>
    <w:rsid w:val="00373A68"/>
    <w:rsid w:val="00373CD9"/>
    <w:rsid w:val="00374452"/>
    <w:rsid w:val="003744AB"/>
    <w:rsid w:val="00374691"/>
    <w:rsid w:val="00374A29"/>
    <w:rsid w:val="00374D2C"/>
    <w:rsid w:val="0037501B"/>
    <w:rsid w:val="00375318"/>
    <w:rsid w:val="00375595"/>
    <w:rsid w:val="00375745"/>
    <w:rsid w:val="0037583D"/>
    <w:rsid w:val="00375B96"/>
    <w:rsid w:val="00375CE2"/>
    <w:rsid w:val="00375D94"/>
    <w:rsid w:val="00375DB7"/>
    <w:rsid w:val="00376010"/>
    <w:rsid w:val="003761B4"/>
    <w:rsid w:val="003761CD"/>
    <w:rsid w:val="00376403"/>
    <w:rsid w:val="0037660A"/>
    <w:rsid w:val="00376680"/>
    <w:rsid w:val="003767B6"/>
    <w:rsid w:val="0037684B"/>
    <w:rsid w:val="003769EB"/>
    <w:rsid w:val="00376C4A"/>
    <w:rsid w:val="00377233"/>
    <w:rsid w:val="0037736B"/>
    <w:rsid w:val="0037764F"/>
    <w:rsid w:val="00377D7A"/>
    <w:rsid w:val="00377E42"/>
    <w:rsid w:val="003801F3"/>
    <w:rsid w:val="00380782"/>
    <w:rsid w:val="00380946"/>
    <w:rsid w:val="00380C04"/>
    <w:rsid w:val="00380CFD"/>
    <w:rsid w:val="00380EF4"/>
    <w:rsid w:val="0038121A"/>
    <w:rsid w:val="003814FB"/>
    <w:rsid w:val="0038153D"/>
    <w:rsid w:val="00381B76"/>
    <w:rsid w:val="00382087"/>
    <w:rsid w:val="00382327"/>
    <w:rsid w:val="0038238E"/>
    <w:rsid w:val="0038298A"/>
    <w:rsid w:val="00383187"/>
    <w:rsid w:val="00383266"/>
    <w:rsid w:val="0038373D"/>
    <w:rsid w:val="003837E4"/>
    <w:rsid w:val="00383A2E"/>
    <w:rsid w:val="00384162"/>
    <w:rsid w:val="003841FB"/>
    <w:rsid w:val="0038420C"/>
    <w:rsid w:val="003843D2"/>
    <w:rsid w:val="00384A86"/>
    <w:rsid w:val="00384B75"/>
    <w:rsid w:val="00384D49"/>
    <w:rsid w:val="00384FC2"/>
    <w:rsid w:val="00385038"/>
    <w:rsid w:val="003850DB"/>
    <w:rsid w:val="003854EB"/>
    <w:rsid w:val="00385629"/>
    <w:rsid w:val="003858C6"/>
    <w:rsid w:val="003859A3"/>
    <w:rsid w:val="00385B00"/>
    <w:rsid w:val="00385D1F"/>
    <w:rsid w:val="0038638A"/>
    <w:rsid w:val="003865FA"/>
    <w:rsid w:val="003869EE"/>
    <w:rsid w:val="00386B18"/>
    <w:rsid w:val="00386EB9"/>
    <w:rsid w:val="00386F01"/>
    <w:rsid w:val="00387367"/>
    <w:rsid w:val="00387637"/>
    <w:rsid w:val="00387AA2"/>
    <w:rsid w:val="00387B39"/>
    <w:rsid w:val="00387D22"/>
    <w:rsid w:val="00387E4B"/>
    <w:rsid w:val="003901EC"/>
    <w:rsid w:val="0039038B"/>
    <w:rsid w:val="00390593"/>
    <w:rsid w:val="003905DC"/>
    <w:rsid w:val="003906CB"/>
    <w:rsid w:val="003906F4"/>
    <w:rsid w:val="0039094A"/>
    <w:rsid w:val="00390C9A"/>
    <w:rsid w:val="00390DED"/>
    <w:rsid w:val="00390F9C"/>
    <w:rsid w:val="00391361"/>
    <w:rsid w:val="0039164E"/>
    <w:rsid w:val="003918C8"/>
    <w:rsid w:val="00391AB2"/>
    <w:rsid w:val="00391C52"/>
    <w:rsid w:val="00391CE7"/>
    <w:rsid w:val="00392439"/>
    <w:rsid w:val="003925F9"/>
    <w:rsid w:val="003928DE"/>
    <w:rsid w:val="00392D72"/>
    <w:rsid w:val="003930AB"/>
    <w:rsid w:val="003932D8"/>
    <w:rsid w:val="0039330E"/>
    <w:rsid w:val="003936CF"/>
    <w:rsid w:val="00393C94"/>
    <w:rsid w:val="00393D3C"/>
    <w:rsid w:val="00393D89"/>
    <w:rsid w:val="00393E4F"/>
    <w:rsid w:val="00394167"/>
    <w:rsid w:val="0039425E"/>
    <w:rsid w:val="0039479E"/>
    <w:rsid w:val="00394AF0"/>
    <w:rsid w:val="00394BEE"/>
    <w:rsid w:val="00394F00"/>
    <w:rsid w:val="00395025"/>
    <w:rsid w:val="00395523"/>
    <w:rsid w:val="00395579"/>
    <w:rsid w:val="003958CE"/>
    <w:rsid w:val="003958DE"/>
    <w:rsid w:val="00395AB6"/>
    <w:rsid w:val="0039631E"/>
    <w:rsid w:val="0039644D"/>
    <w:rsid w:val="003964E4"/>
    <w:rsid w:val="003965AC"/>
    <w:rsid w:val="0039676E"/>
    <w:rsid w:val="003967DA"/>
    <w:rsid w:val="003968D0"/>
    <w:rsid w:val="00396918"/>
    <w:rsid w:val="00396A10"/>
    <w:rsid w:val="00396CDA"/>
    <w:rsid w:val="00397183"/>
    <w:rsid w:val="003974F0"/>
    <w:rsid w:val="003976DD"/>
    <w:rsid w:val="0039772A"/>
    <w:rsid w:val="0039785C"/>
    <w:rsid w:val="00397A24"/>
    <w:rsid w:val="00397F19"/>
    <w:rsid w:val="003A03C3"/>
    <w:rsid w:val="003A0572"/>
    <w:rsid w:val="003A06FF"/>
    <w:rsid w:val="003A0A55"/>
    <w:rsid w:val="003A0C98"/>
    <w:rsid w:val="003A10FC"/>
    <w:rsid w:val="003A1127"/>
    <w:rsid w:val="003A1223"/>
    <w:rsid w:val="003A179F"/>
    <w:rsid w:val="003A17E5"/>
    <w:rsid w:val="003A1B95"/>
    <w:rsid w:val="003A1BDC"/>
    <w:rsid w:val="003A1E9D"/>
    <w:rsid w:val="003A2058"/>
    <w:rsid w:val="003A2204"/>
    <w:rsid w:val="003A2345"/>
    <w:rsid w:val="003A2381"/>
    <w:rsid w:val="003A23DA"/>
    <w:rsid w:val="003A2415"/>
    <w:rsid w:val="003A2471"/>
    <w:rsid w:val="003A266A"/>
    <w:rsid w:val="003A27FA"/>
    <w:rsid w:val="003A2A5B"/>
    <w:rsid w:val="003A2CAC"/>
    <w:rsid w:val="003A2E93"/>
    <w:rsid w:val="003A2E97"/>
    <w:rsid w:val="003A2FE4"/>
    <w:rsid w:val="003A32CE"/>
    <w:rsid w:val="003A33CC"/>
    <w:rsid w:val="003A3909"/>
    <w:rsid w:val="003A3A42"/>
    <w:rsid w:val="003A3A4B"/>
    <w:rsid w:val="003A3B1A"/>
    <w:rsid w:val="003A3F00"/>
    <w:rsid w:val="003A4033"/>
    <w:rsid w:val="003A49BB"/>
    <w:rsid w:val="003A4AD8"/>
    <w:rsid w:val="003A4BCF"/>
    <w:rsid w:val="003A4C04"/>
    <w:rsid w:val="003A4CAB"/>
    <w:rsid w:val="003A4CE6"/>
    <w:rsid w:val="003A4E0D"/>
    <w:rsid w:val="003A4E25"/>
    <w:rsid w:val="003A5008"/>
    <w:rsid w:val="003A5131"/>
    <w:rsid w:val="003A5167"/>
    <w:rsid w:val="003A517B"/>
    <w:rsid w:val="003A52A8"/>
    <w:rsid w:val="003A56CD"/>
    <w:rsid w:val="003A56DC"/>
    <w:rsid w:val="003A5833"/>
    <w:rsid w:val="003A5AD4"/>
    <w:rsid w:val="003A5B2E"/>
    <w:rsid w:val="003A5C97"/>
    <w:rsid w:val="003A5EDF"/>
    <w:rsid w:val="003A6035"/>
    <w:rsid w:val="003A61D5"/>
    <w:rsid w:val="003A67E4"/>
    <w:rsid w:val="003A6C1E"/>
    <w:rsid w:val="003A6D67"/>
    <w:rsid w:val="003A6DE4"/>
    <w:rsid w:val="003A73ED"/>
    <w:rsid w:val="003A7581"/>
    <w:rsid w:val="003A7C21"/>
    <w:rsid w:val="003A7CA0"/>
    <w:rsid w:val="003A7D5D"/>
    <w:rsid w:val="003A7D9A"/>
    <w:rsid w:val="003B0199"/>
    <w:rsid w:val="003B0221"/>
    <w:rsid w:val="003B0693"/>
    <w:rsid w:val="003B0C27"/>
    <w:rsid w:val="003B0C89"/>
    <w:rsid w:val="003B0ECD"/>
    <w:rsid w:val="003B1035"/>
    <w:rsid w:val="003B12F6"/>
    <w:rsid w:val="003B13C1"/>
    <w:rsid w:val="003B13D0"/>
    <w:rsid w:val="003B140E"/>
    <w:rsid w:val="003B14A3"/>
    <w:rsid w:val="003B1A3E"/>
    <w:rsid w:val="003B1A4A"/>
    <w:rsid w:val="003B1D34"/>
    <w:rsid w:val="003B2101"/>
    <w:rsid w:val="003B2376"/>
    <w:rsid w:val="003B2908"/>
    <w:rsid w:val="003B2914"/>
    <w:rsid w:val="003B29BC"/>
    <w:rsid w:val="003B2AB7"/>
    <w:rsid w:val="003B2E6F"/>
    <w:rsid w:val="003B32C1"/>
    <w:rsid w:val="003B3365"/>
    <w:rsid w:val="003B33CE"/>
    <w:rsid w:val="003B3430"/>
    <w:rsid w:val="003B3722"/>
    <w:rsid w:val="003B37FA"/>
    <w:rsid w:val="003B3AED"/>
    <w:rsid w:val="003B3D7F"/>
    <w:rsid w:val="003B40F8"/>
    <w:rsid w:val="003B4713"/>
    <w:rsid w:val="003B47CD"/>
    <w:rsid w:val="003B4856"/>
    <w:rsid w:val="003B4BC9"/>
    <w:rsid w:val="003B4CBB"/>
    <w:rsid w:val="003B4D15"/>
    <w:rsid w:val="003B50BA"/>
    <w:rsid w:val="003B51C0"/>
    <w:rsid w:val="003B53F0"/>
    <w:rsid w:val="003B55F3"/>
    <w:rsid w:val="003B5801"/>
    <w:rsid w:val="003B5B80"/>
    <w:rsid w:val="003B602F"/>
    <w:rsid w:val="003B6119"/>
    <w:rsid w:val="003B641B"/>
    <w:rsid w:val="003B6679"/>
    <w:rsid w:val="003B678B"/>
    <w:rsid w:val="003B679E"/>
    <w:rsid w:val="003B685B"/>
    <w:rsid w:val="003B694B"/>
    <w:rsid w:val="003B6A44"/>
    <w:rsid w:val="003B6E7F"/>
    <w:rsid w:val="003B6F7A"/>
    <w:rsid w:val="003B6FB1"/>
    <w:rsid w:val="003B7158"/>
    <w:rsid w:val="003B762E"/>
    <w:rsid w:val="003B7AD4"/>
    <w:rsid w:val="003B7C10"/>
    <w:rsid w:val="003B7CB8"/>
    <w:rsid w:val="003B7DBE"/>
    <w:rsid w:val="003C014A"/>
    <w:rsid w:val="003C0692"/>
    <w:rsid w:val="003C072A"/>
    <w:rsid w:val="003C072C"/>
    <w:rsid w:val="003C0881"/>
    <w:rsid w:val="003C0DC2"/>
    <w:rsid w:val="003C1393"/>
    <w:rsid w:val="003C1450"/>
    <w:rsid w:val="003C1B5D"/>
    <w:rsid w:val="003C1EF7"/>
    <w:rsid w:val="003C1F6D"/>
    <w:rsid w:val="003C278C"/>
    <w:rsid w:val="003C2879"/>
    <w:rsid w:val="003C29A9"/>
    <w:rsid w:val="003C29CB"/>
    <w:rsid w:val="003C2A1D"/>
    <w:rsid w:val="003C2CFA"/>
    <w:rsid w:val="003C2F29"/>
    <w:rsid w:val="003C2F9B"/>
    <w:rsid w:val="003C3181"/>
    <w:rsid w:val="003C3190"/>
    <w:rsid w:val="003C32C4"/>
    <w:rsid w:val="003C3845"/>
    <w:rsid w:val="003C3929"/>
    <w:rsid w:val="003C39A1"/>
    <w:rsid w:val="003C3B3A"/>
    <w:rsid w:val="003C3B78"/>
    <w:rsid w:val="003C3CA4"/>
    <w:rsid w:val="003C3F55"/>
    <w:rsid w:val="003C403A"/>
    <w:rsid w:val="003C4129"/>
    <w:rsid w:val="003C4185"/>
    <w:rsid w:val="003C45F4"/>
    <w:rsid w:val="003C4970"/>
    <w:rsid w:val="003C4B46"/>
    <w:rsid w:val="003C5868"/>
    <w:rsid w:val="003C58E0"/>
    <w:rsid w:val="003C5A3B"/>
    <w:rsid w:val="003C5BD5"/>
    <w:rsid w:val="003C5D0A"/>
    <w:rsid w:val="003C5D5A"/>
    <w:rsid w:val="003C6067"/>
    <w:rsid w:val="003C6144"/>
    <w:rsid w:val="003C6192"/>
    <w:rsid w:val="003C6348"/>
    <w:rsid w:val="003C6CF9"/>
    <w:rsid w:val="003C6F05"/>
    <w:rsid w:val="003C6F74"/>
    <w:rsid w:val="003C7041"/>
    <w:rsid w:val="003C71DD"/>
    <w:rsid w:val="003C7462"/>
    <w:rsid w:val="003C76CD"/>
    <w:rsid w:val="003C7BD1"/>
    <w:rsid w:val="003C7C8E"/>
    <w:rsid w:val="003C7D3B"/>
    <w:rsid w:val="003D006F"/>
    <w:rsid w:val="003D069D"/>
    <w:rsid w:val="003D0936"/>
    <w:rsid w:val="003D09C2"/>
    <w:rsid w:val="003D0DC4"/>
    <w:rsid w:val="003D10A3"/>
    <w:rsid w:val="003D131E"/>
    <w:rsid w:val="003D150A"/>
    <w:rsid w:val="003D1737"/>
    <w:rsid w:val="003D1746"/>
    <w:rsid w:val="003D1C37"/>
    <w:rsid w:val="003D1E4D"/>
    <w:rsid w:val="003D1ED3"/>
    <w:rsid w:val="003D2012"/>
    <w:rsid w:val="003D2088"/>
    <w:rsid w:val="003D213E"/>
    <w:rsid w:val="003D2370"/>
    <w:rsid w:val="003D2501"/>
    <w:rsid w:val="003D25A3"/>
    <w:rsid w:val="003D2680"/>
    <w:rsid w:val="003D2686"/>
    <w:rsid w:val="003D26DC"/>
    <w:rsid w:val="003D26EB"/>
    <w:rsid w:val="003D2C96"/>
    <w:rsid w:val="003D2D3E"/>
    <w:rsid w:val="003D342B"/>
    <w:rsid w:val="003D3774"/>
    <w:rsid w:val="003D37F1"/>
    <w:rsid w:val="003D3C70"/>
    <w:rsid w:val="003D3EA3"/>
    <w:rsid w:val="003D3F65"/>
    <w:rsid w:val="003D4448"/>
    <w:rsid w:val="003D4CDE"/>
    <w:rsid w:val="003D4CF9"/>
    <w:rsid w:val="003D4F7A"/>
    <w:rsid w:val="003D5156"/>
    <w:rsid w:val="003D5324"/>
    <w:rsid w:val="003D565E"/>
    <w:rsid w:val="003D567B"/>
    <w:rsid w:val="003D56CE"/>
    <w:rsid w:val="003D5CD8"/>
    <w:rsid w:val="003D5DC9"/>
    <w:rsid w:val="003D5FE5"/>
    <w:rsid w:val="003D629E"/>
    <w:rsid w:val="003D63DF"/>
    <w:rsid w:val="003D6492"/>
    <w:rsid w:val="003D650A"/>
    <w:rsid w:val="003D65DF"/>
    <w:rsid w:val="003D7277"/>
    <w:rsid w:val="003D7294"/>
    <w:rsid w:val="003D75B5"/>
    <w:rsid w:val="003D7631"/>
    <w:rsid w:val="003D78A2"/>
    <w:rsid w:val="003D7CB0"/>
    <w:rsid w:val="003E0077"/>
    <w:rsid w:val="003E0247"/>
    <w:rsid w:val="003E03BA"/>
    <w:rsid w:val="003E0427"/>
    <w:rsid w:val="003E0673"/>
    <w:rsid w:val="003E071A"/>
    <w:rsid w:val="003E07C9"/>
    <w:rsid w:val="003E0927"/>
    <w:rsid w:val="003E0A8B"/>
    <w:rsid w:val="003E145E"/>
    <w:rsid w:val="003E17BD"/>
    <w:rsid w:val="003E1B59"/>
    <w:rsid w:val="003E1C52"/>
    <w:rsid w:val="003E1CB7"/>
    <w:rsid w:val="003E1DBE"/>
    <w:rsid w:val="003E2305"/>
    <w:rsid w:val="003E2361"/>
    <w:rsid w:val="003E280D"/>
    <w:rsid w:val="003E2AD1"/>
    <w:rsid w:val="003E2AD4"/>
    <w:rsid w:val="003E30B5"/>
    <w:rsid w:val="003E30C2"/>
    <w:rsid w:val="003E3215"/>
    <w:rsid w:val="003E351A"/>
    <w:rsid w:val="003E35EF"/>
    <w:rsid w:val="003E37F0"/>
    <w:rsid w:val="003E37FD"/>
    <w:rsid w:val="003E3805"/>
    <w:rsid w:val="003E39C3"/>
    <w:rsid w:val="003E3A10"/>
    <w:rsid w:val="003E3C31"/>
    <w:rsid w:val="003E3DBB"/>
    <w:rsid w:val="003E3F88"/>
    <w:rsid w:val="003E41A7"/>
    <w:rsid w:val="003E42D6"/>
    <w:rsid w:val="003E451A"/>
    <w:rsid w:val="003E467D"/>
    <w:rsid w:val="003E46CB"/>
    <w:rsid w:val="003E4859"/>
    <w:rsid w:val="003E48CB"/>
    <w:rsid w:val="003E4D16"/>
    <w:rsid w:val="003E5077"/>
    <w:rsid w:val="003E5186"/>
    <w:rsid w:val="003E5240"/>
    <w:rsid w:val="003E52F2"/>
    <w:rsid w:val="003E5300"/>
    <w:rsid w:val="003E5362"/>
    <w:rsid w:val="003E5369"/>
    <w:rsid w:val="003E5E7B"/>
    <w:rsid w:val="003E6064"/>
    <w:rsid w:val="003E6219"/>
    <w:rsid w:val="003E6302"/>
    <w:rsid w:val="003E64C9"/>
    <w:rsid w:val="003E64D4"/>
    <w:rsid w:val="003E6857"/>
    <w:rsid w:val="003E6AAB"/>
    <w:rsid w:val="003E6C92"/>
    <w:rsid w:val="003E6E2B"/>
    <w:rsid w:val="003E6EF6"/>
    <w:rsid w:val="003E700F"/>
    <w:rsid w:val="003E7133"/>
    <w:rsid w:val="003E73FA"/>
    <w:rsid w:val="003E75F8"/>
    <w:rsid w:val="003E7B8D"/>
    <w:rsid w:val="003E7E9E"/>
    <w:rsid w:val="003F05EC"/>
    <w:rsid w:val="003F073E"/>
    <w:rsid w:val="003F0AC6"/>
    <w:rsid w:val="003F0AFD"/>
    <w:rsid w:val="003F0C01"/>
    <w:rsid w:val="003F0D2B"/>
    <w:rsid w:val="003F1222"/>
    <w:rsid w:val="003F13CD"/>
    <w:rsid w:val="003F1406"/>
    <w:rsid w:val="003F153D"/>
    <w:rsid w:val="003F25F3"/>
    <w:rsid w:val="003F27B7"/>
    <w:rsid w:val="003F2830"/>
    <w:rsid w:val="003F2843"/>
    <w:rsid w:val="003F287B"/>
    <w:rsid w:val="003F2903"/>
    <w:rsid w:val="003F293C"/>
    <w:rsid w:val="003F2A7C"/>
    <w:rsid w:val="003F2B84"/>
    <w:rsid w:val="003F2E5D"/>
    <w:rsid w:val="003F32B1"/>
    <w:rsid w:val="003F3CED"/>
    <w:rsid w:val="003F44E7"/>
    <w:rsid w:val="003F44EA"/>
    <w:rsid w:val="003F451C"/>
    <w:rsid w:val="003F4731"/>
    <w:rsid w:val="003F47EF"/>
    <w:rsid w:val="003F489E"/>
    <w:rsid w:val="003F4EDF"/>
    <w:rsid w:val="003F51FE"/>
    <w:rsid w:val="003F5469"/>
    <w:rsid w:val="003F5575"/>
    <w:rsid w:val="003F5AC0"/>
    <w:rsid w:val="003F5B37"/>
    <w:rsid w:val="003F601E"/>
    <w:rsid w:val="003F6219"/>
    <w:rsid w:val="003F708B"/>
    <w:rsid w:val="003F713B"/>
    <w:rsid w:val="003F7177"/>
    <w:rsid w:val="003F737F"/>
    <w:rsid w:val="003F7423"/>
    <w:rsid w:val="003F7478"/>
    <w:rsid w:val="003F765E"/>
    <w:rsid w:val="003F7977"/>
    <w:rsid w:val="003F7A44"/>
    <w:rsid w:val="003F7AE6"/>
    <w:rsid w:val="003F7C07"/>
    <w:rsid w:val="003F7C9F"/>
    <w:rsid w:val="003F7EAE"/>
    <w:rsid w:val="00400495"/>
    <w:rsid w:val="00400623"/>
    <w:rsid w:val="004007D2"/>
    <w:rsid w:val="00400CAC"/>
    <w:rsid w:val="00400F29"/>
    <w:rsid w:val="00400F6E"/>
    <w:rsid w:val="00401125"/>
    <w:rsid w:val="00401260"/>
    <w:rsid w:val="0040126F"/>
    <w:rsid w:val="00401334"/>
    <w:rsid w:val="00401806"/>
    <w:rsid w:val="004019FC"/>
    <w:rsid w:val="00401B8B"/>
    <w:rsid w:val="00401FDB"/>
    <w:rsid w:val="004020EC"/>
    <w:rsid w:val="0040265B"/>
    <w:rsid w:val="004026FA"/>
    <w:rsid w:val="00402B09"/>
    <w:rsid w:val="00402B9A"/>
    <w:rsid w:val="00402DEC"/>
    <w:rsid w:val="00403248"/>
    <w:rsid w:val="0040324C"/>
    <w:rsid w:val="0040328C"/>
    <w:rsid w:val="00404080"/>
    <w:rsid w:val="004040E9"/>
    <w:rsid w:val="00404352"/>
    <w:rsid w:val="00404516"/>
    <w:rsid w:val="00404687"/>
    <w:rsid w:val="004046E0"/>
    <w:rsid w:val="004047C5"/>
    <w:rsid w:val="00404C21"/>
    <w:rsid w:val="00404DF9"/>
    <w:rsid w:val="00404EB2"/>
    <w:rsid w:val="004055D3"/>
    <w:rsid w:val="0040584F"/>
    <w:rsid w:val="004058AD"/>
    <w:rsid w:val="004064B0"/>
    <w:rsid w:val="00406B97"/>
    <w:rsid w:val="00406E30"/>
    <w:rsid w:val="00407020"/>
    <w:rsid w:val="0040742F"/>
    <w:rsid w:val="00407FC6"/>
    <w:rsid w:val="004102EA"/>
    <w:rsid w:val="00410391"/>
    <w:rsid w:val="0041047B"/>
    <w:rsid w:val="00410620"/>
    <w:rsid w:val="00410922"/>
    <w:rsid w:val="00410971"/>
    <w:rsid w:val="00410EA0"/>
    <w:rsid w:val="0041123D"/>
    <w:rsid w:val="00411A33"/>
    <w:rsid w:val="00411D9B"/>
    <w:rsid w:val="00412629"/>
    <w:rsid w:val="004127BC"/>
    <w:rsid w:val="004130FD"/>
    <w:rsid w:val="004136A6"/>
    <w:rsid w:val="004136B5"/>
    <w:rsid w:val="00413861"/>
    <w:rsid w:val="00413C02"/>
    <w:rsid w:val="00413C66"/>
    <w:rsid w:val="004142EE"/>
    <w:rsid w:val="0041455E"/>
    <w:rsid w:val="0041459B"/>
    <w:rsid w:val="0041463F"/>
    <w:rsid w:val="00414658"/>
    <w:rsid w:val="004149AC"/>
    <w:rsid w:val="00414B14"/>
    <w:rsid w:val="00414F64"/>
    <w:rsid w:val="00414FCF"/>
    <w:rsid w:val="004150AB"/>
    <w:rsid w:val="0041528F"/>
    <w:rsid w:val="0041548D"/>
    <w:rsid w:val="004154C6"/>
    <w:rsid w:val="00415593"/>
    <w:rsid w:val="004156E1"/>
    <w:rsid w:val="00415989"/>
    <w:rsid w:val="00415DC3"/>
    <w:rsid w:val="0041624D"/>
    <w:rsid w:val="00416288"/>
    <w:rsid w:val="00416A69"/>
    <w:rsid w:val="00416F77"/>
    <w:rsid w:val="004172C7"/>
    <w:rsid w:val="004173B6"/>
    <w:rsid w:val="004174DB"/>
    <w:rsid w:val="00417811"/>
    <w:rsid w:val="004201C3"/>
    <w:rsid w:val="0042028A"/>
    <w:rsid w:val="0042028E"/>
    <w:rsid w:val="00420389"/>
    <w:rsid w:val="004206D3"/>
    <w:rsid w:val="0042085C"/>
    <w:rsid w:val="00420B7C"/>
    <w:rsid w:val="00420CD8"/>
    <w:rsid w:val="00420D2F"/>
    <w:rsid w:val="00420E8E"/>
    <w:rsid w:val="004212AB"/>
    <w:rsid w:val="004214C9"/>
    <w:rsid w:val="00421E03"/>
    <w:rsid w:val="00421E5E"/>
    <w:rsid w:val="0042260B"/>
    <w:rsid w:val="00422818"/>
    <w:rsid w:val="00422E22"/>
    <w:rsid w:val="00422E43"/>
    <w:rsid w:val="00422F54"/>
    <w:rsid w:val="0042325C"/>
    <w:rsid w:val="00423711"/>
    <w:rsid w:val="00423998"/>
    <w:rsid w:val="00423CC5"/>
    <w:rsid w:val="0042431A"/>
    <w:rsid w:val="0042432C"/>
    <w:rsid w:val="004248C1"/>
    <w:rsid w:val="00424AB0"/>
    <w:rsid w:val="00424ABE"/>
    <w:rsid w:val="00424B39"/>
    <w:rsid w:val="00424CC0"/>
    <w:rsid w:val="00424F15"/>
    <w:rsid w:val="00425073"/>
    <w:rsid w:val="004253E2"/>
    <w:rsid w:val="0042541F"/>
    <w:rsid w:val="004254E9"/>
    <w:rsid w:val="0042562A"/>
    <w:rsid w:val="004256BD"/>
    <w:rsid w:val="004256E2"/>
    <w:rsid w:val="004258D0"/>
    <w:rsid w:val="004258E6"/>
    <w:rsid w:val="004259D9"/>
    <w:rsid w:val="00425A22"/>
    <w:rsid w:val="00425ED3"/>
    <w:rsid w:val="00426049"/>
    <w:rsid w:val="00426116"/>
    <w:rsid w:val="00426547"/>
    <w:rsid w:val="00426613"/>
    <w:rsid w:val="00426FD7"/>
    <w:rsid w:val="00427069"/>
    <w:rsid w:val="004274C5"/>
    <w:rsid w:val="0042789B"/>
    <w:rsid w:val="004278FF"/>
    <w:rsid w:val="00427B72"/>
    <w:rsid w:val="00427C7F"/>
    <w:rsid w:val="00427DCE"/>
    <w:rsid w:val="00430030"/>
    <w:rsid w:val="004304BE"/>
    <w:rsid w:val="00430554"/>
    <w:rsid w:val="004307DC"/>
    <w:rsid w:val="00430C42"/>
    <w:rsid w:val="00430E54"/>
    <w:rsid w:val="00430F0E"/>
    <w:rsid w:val="0043126D"/>
    <w:rsid w:val="00431B7A"/>
    <w:rsid w:val="00431C08"/>
    <w:rsid w:val="00431CBC"/>
    <w:rsid w:val="00431DB2"/>
    <w:rsid w:val="004320C5"/>
    <w:rsid w:val="004321BD"/>
    <w:rsid w:val="004321C6"/>
    <w:rsid w:val="00432285"/>
    <w:rsid w:val="00432A94"/>
    <w:rsid w:val="00433035"/>
    <w:rsid w:val="0043337D"/>
    <w:rsid w:val="00433529"/>
    <w:rsid w:val="0043386B"/>
    <w:rsid w:val="004338B4"/>
    <w:rsid w:val="00433CB1"/>
    <w:rsid w:val="00433E87"/>
    <w:rsid w:val="00433FF4"/>
    <w:rsid w:val="00434338"/>
    <w:rsid w:val="0043466E"/>
    <w:rsid w:val="004346CF"/>
    <w:rsid w:val="0043486E"/>
    <w:rsid w:val="004348F7"/>
    <w:rsid w:val="00434B1D"/>
    <w:rsid w:val="00434D03"/>
    <w:rsid w:val="00434DF3"/>
    <w:rsid w:val="00434E20"/>
    <w:rsid w:val="00434F1E"/>
    <w:rsid w:val="004353AB"/>
    <w:rsid w:val="0043560D"/>
    <w:rsid w:val="00435A09"/>
    <w:rsid w:val="00435B2F"/>
    <w:rsid w:val="00435C30"/>
    <w:rsid w:val="00435EE4"/>
    <w:rsid w:val="004361D9"/>
    <w:rsid w:val="0043639F"/>
    <w:rsid w:val="00436480"/>
    <w:rsid w:val="004364D7"/>
    <w:rsid w:val="00436513"/>
    <w:rsid w:val="004365B7"/>
    <w:rsid w:val="0043674A"/>
    <w:rsid w:val="0043686B"/>
    <w:rsid w:val="00436DCC"/>
    <w:rsid w:val="00436DE8"/>
    <w:rsid w:val="00437106"/>
    <w:rsid w:val="004371F4"/>
    <w:rsid w:val="0043738C"/>
    <w:rsid w:val="004373EE"/>
    <w:rsid w:val="0043744D"/>
    <w:rsid w:val="004375B7"/>
    <w:rsid w:val="004376A7"/>
    <w:rsid w:val="00437811"/>
    <w:rsid w:val="004379B1"/>
    <w:rsid w:val="004379C4"/>
    <w:rsid w:val="00437A33"/>
    <w:rsid w:val="00437CBB"/>
    <w:rsid w:val="00437CEF"/>
    <w:rsid w:val="00437E24"/>
    <w:rsid w:val="00437E28"/>
    <w:rsid w:val="00437EC0"/>
    <w:rsid w:val="00437FF5"/>
    <w:rsid w:val="00440094"/>
    <w:rsid w:val="00440738"/>
    <w:rsid w:val="004407F5"/>
    <w:rsid w:val="004407FC"/>
    <w:rsid w:val="004408B2"/>
    <w:rsid w:val="00440953"/>
    <w:rsid w:val="00440D98"/>
    <w:rsid w:val="0044134D"/>
    <w:rsid w:val="00441515"/>
    <w:rsid w:val="004415C9"/>
    <w:rsid w:val="00441602"/>
    <w:rsid w:val="00441613"/>
    <w:rsid w:val="0044187B"/>
    <w:rsid w:val="00441CEB"/>
    <w:rsid w:val="00442140"/>
    <w:rsid w:val="00442245"/>
    <w:rsid w:val="00442250"/>
    <w:rsid w:val="004423E5"/>
    <w:rsid w:val="00442976"/>
    <w:rsid w:val="0044297E"/>
    <w:rsid w:val="004429F9"/>
    <w:rsid w:val="00442A04"/>
    <w:rsid w:val="00442E5A"/>
    <w:rsid w:val="00443251"/>
    <w:rsid w:val="00443581"/>
    <w:rsid w:val="00443656"/>
    <w:rsid w:val="004436AA"/>
    <w:rsid w:val="004437F6"/>
    <w:rsid w:val="004440AE"/>
    <w:rsid w:val="004440C2"/>
    <w:rsid w:val="004440D3"/>
    <w:rsid w:val="00444106"/>
    <w:rsid w:val="00444427"/>
    <w:rsid w:val="004447AC"/>
    <w:rsid w:val="004447F2"/>
    <w:rsid w:val="004451E4"/>
    <w:rsid w:val="0044525D"/>
    <w:rsid w:val="0044546B"/>
    <w:rsid w:val="004458ED"/>
    <w:rsid w:val="00445904"/>
    <w:rsid w:val="00445BEE"/>
    <w:rsid w:val="00445D9F"/>
    <w:rsid w:val="00445F05"/>
    <w:rsid w:val="0044612C"/>
    <w:rsid w:val="00446146"/>
    <w:rsid w:val="00446247"/>
    <w:rsid w:val="004464E9"/>
    <w:rsid w:val="0044675C"/>
    <w:rsid w:val="00446891"/>
    <w:rsid w:val="004469C8"/>
    <w:rsid w:val="00446C70"/>
    <w:rsid w:val="00446F61"/>
    <w:rsid w:val="00447292"/>
    <w:rsid w:val="0044736A"/>
    <w:rsid w:val="00447BD7"/>
    <w:rsid w:val="00447D8C"/>
    <w:rsid w:val="00447E77"/>
    <w:rsid w:val="00450040"/>
    <w:rsid w:val="00450045"/>
    <w:rsid w:val="004503DC"/>
    <w:rsid w:val="00450519"/>
    <w:rsid w:val="0045059A"/>
    <w:rsid w:val="00450A21"/>
    <w:rsid w:val="00450AD2"/>
    <w:rsid w:val="00450E80"/>
    <w:rsid w:val="004511C2"/>
    <w:rsid w:val="00451234"/>
    <w:rsid w:val="00451297"/>
    <w:rsid w:val="00451387"/>
    <w:rsid w:val="004515BE"/>
    <w:rsid w:val="00451634"/>
    <w:rsid w:val="00451AB9"/>
    <w:rsid w:val="00451B8F"/>
    <w:rsid w:val="00451D33"/>
    <w:rsid w:val="00451F67"/>
    <w:rsid w:val="00451F9D"/>
    <w:rsid w:val="004523D5"/>
    <w:rsid w:val="004523F7"/>
    <w:rsid w:val="00452416"/>
    <w:rsid w:val="00452710"/>
    <w:rsid w:val="004527F1"/>
    <w:rsid w:val="00452A02"/>
    <w:rsid w:val="00452E27"/>
    <w:rsid w:val="00452E92"/>
    <w:rsid w:val="00453368"/>
    <w:rsid w:val="004536A9"/>
    <w:rsid w:val="00453836"/>
    <w:rsid w:val="00454116"/>
    <w:rsid w:val="00454121"/>
    <w:rsid w:val="00454457"/>
    <w:rsid w:val="004549D5"/>
    <w:rsid w:val="00454ACB"/>
    <w:rsid w:val="00454C8E"/>
    <w:rsid w:val="00454CCA"/>
    <w:rsid w:val="00454EE9"/>
    <w:rsid w:val="00454F56"/>
    <w:rsid w:val="00455188"/>
    <w:rsid w:val="00455410"/>
    <w:rsid w:val="00455415"/>
    <w:rsid w:val="0045556A"/>
    <w:rsid w:val="004557F0"/>
    <w:rsid w:val="004558BE"/>
    <w:rsid w:val="00455D7C"/>
    <w:rsid w:val="00455E33"/>
    <w:rsid w:val="004560F2"/>
    <w:rsid w:val="004564F1"/>
    <w:rsid w:val="0045670F"/>
    <w:rsid w:val="0045681B"/>
    <w:rsid w:val="0045695E"/>
    <w:rsid w:val="00456E23"/>
    <w:rsid w:val="00456F66"/>
    <w:rsid w:val="00457B17"/>
    <w:rsid w:val="00457B41"/>
    <w:rsid w:val="00457BB9"/>
    <w:rsid w:val="00457E69"/>
    <w:rsid w:val="00457FE9"/>
    <w:rsid w:val="004601D5"/>
    <w:rsid w:val="004603ED"/>
    <w:rsid w:val="0046044F"/>
    <w:rsid w:val="0046051A"/>
    <w:rsid w:val="004606FF"/>
    <w:rsid w:val="00460809"/>
    <w:rsid w:val="0046120E"/>
    <w:rsid w:val="004614F2"/>
    <w:rsid w:val="0046151F"/>
    <w:rsid w:val="004619DE"/>
    <w:rsid w:val="00461EF6"/>
    <w:rsid w:val="00461F9B"/>
    <w:rsid w:val="00462146"/>
    <w:rsid w:val="00462546"/>
    <w:rsid w:val="00462793"/>
    <w:rsid w:val="004627D6"/>
    <w:rsid w:val="0046297A"/>
    <w:rsid w:val="00462C32"/>
    <w:rsid w:val="00462DDF"/>
    <w:rsid w:val="00462FE1"/>
    <w:rsid w:val="00463554"/>
    <w:rsid w:val="00463676"/>
    <w:rsid w:val="00463739"/>
    <w:rsid w:val="0046386C"/>
    <w:rsid w:val="00463A98"/>
    <w:rsid w:val="00463D40"/>
    <w:rsid w:val="00463E34"/>
    <w:rsid w:val="00463EEB"/>
    <w:rsid w:val="00464246"/>
    <w:rsid w:val="00464697"/>
    <w:rsid w:val="004646DA"/>
    <w:rsid w:val="00464916"/>
    <w:rsid w:val="00464ECB"/>
    <w:rsid w:val="00464FB3"/>
    <w:rsid w:val="00465219"/>
    <w:rsid w:val="004655CB"/>
    <w:rsid w:val="004659D3"/>
    <w:rsid w:val="004659E3"/>
    <w:rsid w:val="00465B44"/>
    <w:rsid w:val="00465CA1"/>
    <w:rsid w:val="004663B0"/>
    <w:rsid w:val="00466589"/>
    <w:rsid w:val="00466621"/>
    <w:rsid w:val="00466761"/>
    <w:rsid w:val="004667B1"/>
    <w:rsid w:val="004668EE"/>
    <w:rsid w:val="00466A7F"/>
    <w:rsid w:val="00466B45"/>
    <w:rsid w:val="00466BEF"/>
    <w:rsid w:val="004673FB"/>
    <w:rsid w:val="0046748E"/>
    <w:rsid w:val="004675AE"/>
    <w:rsid w:val="00470346"/>
    <w:rsid w:val="00470488"/>
    <w:rsid w:val="00470B22"/>
    <w:rsid w:val="00470BAA"/>
    <w:rsid w:val="00470CD9"/>
    <w:rsid w:val="00470CF8"/>
    <w:rsid w:val="00470EAA"/>
    <w:rsid w:val="00470FCA"/>
    <w:rsid w:val="004712FF"/>
    <w:rsid w:val="00471432"/>
    <w:rsid w:val="00471859"/>
    <w:rsid w:val="004719A2"/>
    <w:rsid w:val="00471A06"/>
    <w:rsid w:val="00471C1B"/>
    <w:rsid w:val="00472077"/>
    <w:rsid w:val="004720EC"/>
    <w:rsid w:val="0047217C"/>
    <w:rsid w:val="00472194"/>
    <w:rsid w:val="004726AB"/>
    <w:rsid w:val="00472761"/>
    <w:rsid w:val="00472B0B"/>
    <w:rsid w:val="00472CFE"/>
    <w:rsid w:val="00472E8D"/>
    <w:rsid w:val="00472F61"/>
    <w:rsid w:val="004731B8"/>
    <w:rsid w:val="00473371"/>
    <w:rsid w:val="00473435"/>
    <w:rsid w:val="00473C43"/>
    <w:rsid w:val="00473F4F"/>
    <w:rsid w:val="00473F65"/>
    <w:rsid w:val="00474164"/>
    <w:rsid w:val="0047420B"/>
    <w:rsid w:val="00474741"/>
    <w:rsid w:val="00474814"/>
    <w:rsid w:val="004748B8"/>
    <w:rsid w:val="00474B73"/>
    <w:rsid w:val="00474D5D"/>
    <w:rsid w:val="00474F0E"/>
    <w:rsid w:val="0047500A"/>
    <w:rsid w:val="00475066"/>
    <w:rsid w:val="004750A4"/>
    <w:rsid w:val="00475353"/>
    <w:rsid w:val="00475400"/>
    <w:rsid w:val="0047548D"/>
    <w:rsid w:val="0047591D"/>
    <w:rsid w:val="00475A45"/>
    <w:rsid w:val="00475CF1"/>
    <w:rsid w:val="00476003"/>
    <w:rsid w:val="00476158"/>
    <w:rsid w:val="004762F5"/>
    <w:rsid w:val="00476434"/>
    <w:rsid w:val="00476470"/>
    <w:rsid w:val="0047707D"/>
    <w:rsid w:val="0047726D"/>
    <w:rsid w:val="0047742B"/>
    <w:rsid w:val="0047755A"/>
    <w:rsid w:val="00477D72"/>
    <w:rsid w:val="00480024"/>
    <w:rsid w:val="00480223"/>
    <w:rsid w:val="004803DF"/>
    <w:rsid w:val="004805C0"/>
    <w:rsid w:val="00480B76"/>
    <w:rsid w:val="00480E57"/>
    <w:rsid w:val="00481189"/>
    <w:rsid w:val="004817F3"/>
    <w:rsid w:val="00481924"/>
    <w:rsid w:val="00481990"/>
    <w:rsid w:val="004819BF"/>
    <w:rsid w:val="00481F9B"/>
    <w:rsid w:val="004821C7"/>
    <w:rsid w:val="004821FF"/>
    <w:rsid w:val="0048261B"/>
    <w:rsid w:val="00482EA9"/>
    <w:rsid w:val="0048311B"/>
    <w:rsid w:val="00483225"/>
    <w:rsid w:val="00483497"/>
    <w:rsid w:val="0048370A"/>
    <w:rsid w:val="00483720"/>
    <w:rsid w:val="00483AD1"/>
    <w:rsid w:val="00483B4A"/>
    <w:rsid w:val="004840A7"/>
    <w:rsid w:val="00484768"/>
    <w:rsid w:val="00484792"/>
    <w:rsid w:val="004847F3"/>
    <w:rsid w:val="0048481B"/>
    <w:rsid w:val="00484893"/>
    <w:rsid w:val="00484B39"/>
    <w:rsid w:val="00484CA4"/>
    <w:rsid w:val="00484ED8"/>
    <w:rsid w:val="00484FB2"/>
    <w:rsid w:val="00485367"/>
    <w:rsid w:val="00485399"/>
    <w:rsid w:val="004859CD"/>
    <w:rsid w:val="00485ACC"/>
    <w:rsid w:val="00485C61"/>
    <w:rsid w:val="00485E91"/>
    <w:rsid w:val="0048654B"/>
    <w:rsid w:val="00486764"/>
    <w:rsid w:val="00486882"/>
    <w:rsid w:val="004869BD"/>
    <w:rsid w:val="00486BA3"/>
    <w:rsid w:val="00486E0D"/>
    <w:rsid w:val="004871BB"/>
    <w:rsid w:val="004876FF"/>
    <w:rsid w:val="0049000A"/>
    <w:rsid w:val="0049073F"/>
    <w:rsid w:val="004909C4"/>
    <w:rsid w:val="00490B3C"/>
    <w:rsid w:val="00490F74"/>
    <w:rsid w:val="00491085"/>
    <w:rsid w:val="004910B8"/>
    <w:rsid w:val="00491296"/>
    <w:rsid w:val="00491705"/>
    <w:rsid w:val="00491832"/>
    <w:rsid w:val="00491AC5"/>
    <w:rsid w:val="00491D76"/>
    <w:rsid w:val="004921A6"/>
    <w:rsid w:val="00492330"/>
    <w:rsid w:val="0049240D"/>
    <w:rsid w:val="00492554"/>
    <w:rsid w:val="004926F1"/>
    <w:rsid w:val="0049287F"/>
    <w:rsid w:val="00492895"/>
    <w:rsid w:val="004928A3"/>
    <w:rsid w:val="00492BF4"/>
    <w:rsid w:val="00492C18"/>
    <w:rsid w:val="00493125"/>
    <w:rsid w:val="0049329E"/>
    <w:rsid w:val="00493364"/>
    <w:rsid w:val="004933E4"/>
    <w:rsid w:val="0049354E"/>
    <w:rsid w:val="0049370D"/>
    <w:rsid w:val="00493DF2"/>
    <w:rsid w:val="00494286"/>
    <w:rsid w:val="00494581"/>
    <w:rsid w:val="00494946"/>
    <w:rsid w:val="004949C4"/>
    <w:rsid w:val="00494BA0"/>
    <w:rsid w:val="00494DD0"/>
    <w:rsid w:val="00494FF5"/>
    <w:rsid w:val="00495303"/>
    <w:rsid w:val="00495419"/>
    <w:rsid w:val="00495448"/>
    <w:rsid w:val="00495541"/>
    <w:rsid w:val="00496188"/>
    <w:rsid w:val="004961B9"/>
    <w:rsid w:val="004961DF"/>
    <w:rsid w:val="004961EE"/>
    <w:rsid w:val="004965FD"/>
    <w:rsid w:val="00496934"/>
    <w:rsid w:val="0049694E"/>
    <w:rsid w:val="00496E33"/>
    <w:rsid w:val="0049704A"/>
    <w:rsid w:val="00497200"/>
    <w:rsid w:val="004974C9"/>
    <w:rsid w:val="004976B8"/>
    <w:rsid w:val="004977E8"/>
    <w:rsid w:val="00497820"/>
    <w:rsid w:val="00497CF5"/>
    <w:rsid w:val="00497F80"/>
    <w:rsid w:val="004A0818"/>
    <w:rsid w:val="004A09BB"/>
    <w:rsid w:val="004A1076"/>
    <w:rsid w:val="004A1305"/>
    <w:rsid w:val="004A1495"/>
    <w:rsid w:val="004A1703"/>
    <w:rsid w:val="004A18CA"/>
    <w:rsid w:val="004A1A37"/>
    <w:rsid w:val="004A1BA2"/>
    <w:rsid w:val="004A1ECC"/>
    <w:rsid w:val="004A2437"/>
    <w:rsid w:val="004A2502"/>
    <w:rsid w:val="004A28A1"/>
    <w:rsid w:val="004A2945"/>
    <w:rsid w:val="004A2E8F"/>
    <w:rsid w:val="004A2E92"/>
    <w:rsid w:val="004A2E98"/>
    <w:rsid w:val="004A304A"/>
    <w:rsid w:val="004A306E"/>
    <w:rsid w:val="004A3378"/>
    <w:rsid w:val="004A3840"/>
    <w:rsid w:val="004A3B61"/>
    <w:rsid w:val="004A3C93"/>
    <w:rsid w:val="004A40C9"/>
    <w:rsid w:val="004A42A2"/>
    <w:rsid w:val="004A42CF"/>
    <w:rsid w:val="004A440B"/>
    <w:rsid w:val="004A443B"/>
    <w:rsid w:val="004A452F"/>
    <w:rsid w:val="004A470D"/>
    <w:rsid w:val="004A481B"/>
    <w:rsid w:val="004A4877"/>
    <w:rsid w:val="004A4ADF"/>
    <w:rsid w:val="004A4E47"/>
    <w:rsid w:val="004A5134"/>
    <w:rsid w:val="004A513F"/>
    <w:rsid w:val="004A5362"/>
    <w:rsid w:val="004A5412"/>
    <w:rsid w:val="004A57AC"/>
    <w:rsid w:val="004A57DD"/>
    <w:rsid w:val="004A6244"/>
    <w:rsid w:val="004A644E"/>
    <w:rsid w:val="004A65BD"/>
    <w:rsid w:val="004A6B55"/>
    <w:rsid w:val="004A6CE3"/>
    <w:rsid w:val="004A6D41"/>
    <w:rsid w:val="004A6E29"/>
    <w:rsid w:val="004A6EFB"/>
    <w:rsid w:val="004A7480"/>
    <w:rsid w:val="004A75D3"/>
    <w:rsid w:val="004A77A3"/>
    <w:rsid w:val="004A780C"/>
    <w:rsid w:val="004A7954"/>
    <w:rsid w:val="004A7A10"/>
    <w:rsid w:val="004B0043"/>
    <w:rsid w:val="004B00C5"/>
    <w:rsid w:val="004B01F4"/>
    <w:rsid w:val="004B04AB"/>
    <w:rsid w:val="004B088C"/>
    <w:rsid w:val="004B09B7"/>
    <w:rsid w:val="004B0C13"/>
    <w:rsid w:val="004B0D29"/>
    <w:rsid w:val="004B0F9C"/>
    <w:rsid w:val="004B1437"/>
    <w:rsid w:val="004B1674"/>
    <w:rsid w:val="004B1769"/>
    <w:rsid w:val="004B17ED"/>
    <w:rsid w:val="004B19D8"/>
    <w:rsid w:val="004B1E6B"/>
    <w:rsid w:val="004B1EF9"/>
    <w:rsid w:val="004B286F"/>
    <w:rsid w:val="004B28C1"/>
    <w:rsid w:val="004B2B1F"/>
    <w:rsid w:val="004B331F"/>
    <w:rsid w:val="004B35D4"/>
    <w:rsid w:val="004B3779"/>
    <w:rsid w:val="004B37C0"/>
    <w:rsid w:val="004B3B54"/>
    <w:rsid w:val="004B3BE6"/>
    <w:rsid w:val="004B40BB"/>
    <w:rsid w:val="004B41E8"/>
    <w:rsid w:val="004B44D3"/>
    <w:rsid w:val="004B4893"/>
    <w:rsid w:val="004B4C7F"/>
    <w:rsid w:val="004B4DA0"/>
    <w:rsid w:val="004B4DC7"/>
    <w:rsid w:val="004B4E88"/>
    <w:rsid w:val="004B50DE"/>
    <w:rsid w:val="004B5118"/>
    <w:rsid w:val="004B56C6"/>
    <w:rsid w:val="004B570D"/>
    <w:rsid w:val="004B5942"/>
    <w:rsid w:val="004B5E3F"/>
    <w:rsid w:val="004B5EDE"/>
    <w:rsid w:val="004B6066"/>
    <w:rsid w:val="004B6586"/>
    <w:rsid w:val="004B67C7"/>
    <w:rsid w:val="004B67DC"/>
    <w:rsid w:val="004B6A32"/>
    <w:rsid w:val="004B6C4A"/>
    <w:rsid w:val="004B6E7B"/>
    <w:rsid w:val="004B7124"/>
    <w:rsid w:val="004B72DD"/>
    <w:rsid w:val="004B7403"/>
    <w:rsid w:val="004B769A"/>
    <w:rsid w:val="004B778A"/>
    <w:rsid w:val="004B7C1D"/>
    <w:rsid w:val="004B7CCF"/>
    <w:rsid w:val="004B7F06"/>
    <w:rsid w:val="004B7F09"/>
    <w:rsid w:val="004B7F1B"/>
    <w:rsid w:val="004C0370"/>
    <w:rsid w:val="004C03A7"/>
    <w:rsid w:val="004C0A56"/>
    <w:rsid w:val="004C0B9F"/>
    <w:rsid w:val="004C109E"/>
    <w:rsid w:val="004C11BE"/>
    <w:rsid w:val="004C170E"/>
    <w:rsid w:val="004C17F7"/>
    <w:rsid w:val="004C1809"/>
    <w:rsid w:val="004C18FC"/>
    <w:rsid w:val="004C1B88"/>
    <w:rsid w:val="004C1CD6"/>
    <w:rsid w:val="004C2109"/>
    <w:rsid w:val="004C2141"/>
    <w:rsid w:val="004C2237"/>
    <w:rsid w:val="004C2273"/>
    <w:rsid w:val="004C239A"/>
    <w:rsid w:val="004C25F7"/>
    <w:rsid w:val="004C27A0"/>
    <w:rsid w:val="004C2B14"/>
    <w:rsid w:val="004C2D94"/>
    <w:rsid w:val="004C2FEF"/>
    <w:rsid w:val="004C3089"/>
    <w:rsid w:val="004C3401"/>
    <w:rsid w:val="004C3549"/>
    <w:rsid w:val="004C3850"/>
    <w:rsid w:val="004C3A7D"/>
    <w:rsid w:val="004C3AE4"/>
    <w:rsid w:val="004C3BB4"/>
    <w:rsid w:val="004C4130"/>
    <w:rsid w:val="004C42E6"/>
    <w:rsid w:val="004C44EB"/>
    <w:rsid w:val="004C470F"/>
    <w:rsid w:val="004C4B91"/>
    <w:rsid w:val="004C4F9E"/>
    <w:rsid w:val="004C50A4"/>
    <w:rsid w:val="004C557F"/>
    <w:rsid w:val="004C5C47"/>
    <w:rsid w:val="004C5C4A"/>
    <w:rsid w:val="004C5F24"/>
    <w:rsid w:val="004C5F84"/>
    <w:rsid w:val="004C603D"/>
    <w:rsid w:val="004C6113"/>
    <w:rsid w:val="004C61C6"/>
    <w:rsid w:val="004C63FD"/>
    <w:rsid w:val="004C6445"/>
    <w:rsid w:val="004C6447"/>
    <w:rsid w:val="004C644C"/>
    <w:rsid w:val="004C6768"/>
    <w:rsid w:val="004C6989"/>
    <w:rsid w:val="004C69FD"/>
    <w:rsid w:val="004C6A72"/>
    <w:rsid w:val="004C6B54"/>
    <w:rsid w:val="004C6BA2"/>
    <w:rsid w:val="004C6D5D"/>
    <w:rsid w:val="004C6DE0"/>
    <w:rsid w:val="004C6FB4"/>
    <w:rsid w:val="004C7212"/>
    <w:rsid w:val="004C752B"/>
    <w:rsid w:val="004C79E3"/>
    <w:rsid w:val="004C7A51"/>
    <w:rsid w:val="004C7AA8"/>
    <w:rsid w:val="004C7BEA"/>
    <w:rsid w:val="004D0071"/>
    <w:rsid w:val="004D00BC"/>
    <w:rsid w:val="004D0162"/>
    <w:rsid w:val="004D0389"/>
    <w:rsid w:val="004D038D"/>
    <w:rsid w:val="004D03D7"/>
    <w:rsid w:val="004D091F"/>
    <w:rsid w:val="004D0C8A"/>
    <w:rsid w:val="004D0ED3"/>
    <w:rsid w:val="004D10D3"/>
    <w:rsid w:val="004D12A2"/>
    <w:rsid w:val="004D1357"/>
    <w:rsid w:val="004D135E"/>
    <w:rsid w:val="004D1E0E"/>
    <w:rsid w:val="004D2049"/>
    <w:rsid w:val="004D220C"/>
    <w:rsid w:val="004D22CA"/>
    <w:rsid w:val="004D22DA"/>
    <w:rsid w:val="004D22DD"/>
    <w:rsid w:val="004D26DB"/>
    <w:rsid w:val="004D2968"/>
    <w:rsid w:val="004D29A5"/>
    <w:rsid w:val="004D2B2C"/>
    <w:rsid w:val="004D2C31"/>
    <w:rsid w:val="004D3471"/>
    <w:rsid w:val="004D34F6"/>
    <w:rsid w:val="004D3AD2"/>
    <w:rsid w:val="004D3B70"/>
    <w:rsid w:val="004D3B81"/>
    <w:rsid w:val="004D3F35"/>
    <w:rsid w:val="004D3FE5"/>
    <w:rsid w:val="004D4385"/>
    <w:rsid w:val="004D475B"/>
    <w:rsid w:val="004D4945"/>
    <w:rsid w:val="004D4CB0"/>
    <w:rsid w:val="004D4DB3"/>
    <w:rsid w:val="004D4EC1"/>
    <w:rsid w:val="004D52BE"/>
    <w:rsid w:val="004D533A"/>
    <w:rsid w:val="004D5449"/>
    <w:rsid w:val="004D54BA"/>
    <w:rsid w:val="004D5BE5"/>
    <w:rsid w:val="004D62E8"/>
    <w:rsid w:val="004D6443"/>
    <w:rsid w:val="004D644D"/>
    <w:rsid w:val="004D671F"/>
    <w:rsid w:val="004D675C"/>
    <w:rsid w:val="004D67E3"/>
    <w:rsid w:val="004D68CC"/>
    <w:rsid w:val="004D6947"/>
    <w:rsid w:val="004D6E3C"/>
    <w:rsid w:val="004D6F42"/>
    <w:rsid w:val="004D7077"/>
    <w:rsid w:val="004D71AE"/>
    <w:rsid w:val="004D72B5"/>
    <w:rsid w:val="004D7558"/>
    <w:rsid w:val="004D755A"/>
    <w:rsid w:val="004D7678"/>
    <w:rsid w:val="004D77AB"/>
    <w:rsid w:val="004D789F"/>
    <w:rsid w:val="004D7B53"/>
    <w:rsid w:val="004D7CBF"/>
    <w:rsid w:val="004D7FCD"/>
    <w:rsid w:val="004E002F"/>
    <w:rsid w:val="004E0154"/>
    <w:rsid w:val="004E06FC"/>
    <w:rsid w:val="004E0A7A"/>
    <w:rsid w:val="004E0A7F"/>
    <w:rsid w:val="004E0B89"/>
    <w:rsid w:val="004E0B98"/>
    <w:rsid w:val="004E1454"/>
    <w:rsid w:val="004E158F"/>
    <w:rsid w:val="004E1741"/>
    <w:rsid w:val="004E176A"/>
    <w:rsid w:val="004E1848"/>
    <w:rsid w:val="004E1BAE"/>
    <w:rsid w:val="004E1F20"/>
    <w:rsid w:val="004E227B"/>
    <w:rsid w:val="004E229A"/>
    <w:rsid w:val="004E22FE"/>
    <w:rsid w:val="004E2871"/>
    <w:rsid w:val="004E292F"/>
    <w:rsid w:val="004E29EF"/>
    <w:rsid w:val="004E29F0"/>
    <w:rsid w:val="004E2AA6"/>
    <w:rsid w:val="004E2B37"/>
    <w:rsid w:val="004E2C3B"/>
    <w:rsid w:val="004E2D25"/>
    <w:rsid w:val="004E319F"/>
    <w:rsid w:val="004E31F9"/>
    <w:rsid w:val="004E34FD"/>
    <w:rsid w:val="004E358F"/>
    <w:rsid w:val="004E36D1"/>
    <w:rsid w:val="004E3940"/>
    <w:rsid w:val="004E3B5B"/>
    <w:rsid w:val="004E401F"/>
    <w:rsid w:val="004E4240"/>
    <w:rsid w:val="004E484F"/>
    <w:rsid w:val="004E4A97"/>
    <w:rsid w:val="004E4AA0"/>
    <w:rsid w:val="004E4D04"/>
    <w:rsid w:val="004E4D05"/>
    <w:rsid w:val="004E4DF8"/>
    <w:rsid w:val="004E4FCE"/>
    <w:rsid w:val="004E508B"/>
    <w:rsid w:val="004E50E8"/>
    <w:rsid w:val="004E5152"/>
    <w:rsid w:val="004E55CB"/>
    <w:rsid w:val="004E5710"/>
    <w:rsid w:val="004E5963"/>
    <w:rsid w:val="004E5AD2"/>
    <w:rsid w:val="004E5B31"/>
    <w:rsid w:val="004E5B92"/>
    <w:rsid w:val="004E5C25"/>
    <w:rsid w:val="004E5C95"/>
    <w:rsid w:val="004E5E37"/>
    <w:rsid w:val="004E608A"/>
    <w:rsid w:val="004E60AC"/>
    <w:rsid w:val="004E6201"/>
    <w:rsid w:val="004E6390"/>
    <w:rsid w:val="004E65D7"/>
    <w:rsid w:val="004E6643"/>
    <w:rsid w:val="004E6936"/>
    <w:rsid w:val="004E69E6"/>
    <w:rsid w:val="004E6ABB"/>
    <w:rsid w:val="004E6B0F"/>
    <w:rsid w:val="004E6BFC"/>
    <w:rsid w:val="004E71E3"/>
    <w:rsid w:val="004E763E"/>
    <w:rsid w:val="004E76FE"/>
    <w:rsid w:val="004E7971"/>
    <w:rsid w:val="004E798F"/>
    <w:rsid w:val="004E7A26"/>
    <w:rsid w:val="004E7ECB"/>
    <w:rsid w:val="004F021A"/>
    <w:rsid w:val="004F0331"/>
    <w:rsid w:val="004F04CE"/>
    <w:rsid w:val="004F097D"/>
    <w:rsid w:val="004F0A13"/>
    <w:rsid w:val="004F0A4B"/>
    <w:rsid w:val="004F0A61"/>
    <w:rsid w:val="004F0EE3"/>
    <w:rsid w:val="004F149E"/>
    <w:rsid w:val="004F1EA9"/>
    <w:rsid w:val="004F1F88"/>
    <w:rsid w:val="004F2065"/>
    <w:rsid w:val="004F22C1"/>
    <w:rsid w:val="004F2845"/>
    <w:rsid w:val="004F2912"/>
    <w:rsid w:val="004F2C52"/>
    <w:rsid w:val="004F2E2C"/>
    <w:rsid w:val="004F300A"/>
    <w:rsid w:val="004F3249"/>
    <w:rsid w:val="004F3994"/>
    <w:rsid w:val="004F3C42"/>
    <w:rsid w:val="004F43BB"/>
    <w:rsid w:val="004F450F"/>
    <w:rsid w:val="004F4528"/>
    <w:rsid w:val="004F4791"/>
    <w:rsid w:val="004F4A8C"/>
    <w:rsid w:val="004F5034"/>
    <w:rsid w:val="004F5325"/>
    <w:rsid w:val="004F53D9"/>
    <w:rsid w:val="004F552E"/>
    <w:rsid w:val="004F5552"/>
    <w:rsid w:val="004F5794"/>
    <w:rsid w:val="004F5D99"/>
    <w:rsid w:val="004F605E"/>
    <w:rsid w:val="004F63A0"/>
    <w:rsid w:val="004F65C9"/>
    <w:rsid w:val="004F673D"/>
    <w:rsid w:val="004F6A30"/>
    <w:rsid w:val="004F6CDB"/>
    <w:rsid w:val="004F6D8B"/>
    <w:rsid w:val="004F6F07"/>
    <w:rsid w:val="004F7140"/>
    <w:rsid w:val="004F7153"/>
    <w:rsid w:val="004F71FC"/>
    <w:rsid w:val="004F7256"/>
    <w:rsid w:val="004F78C0"/>
    <w:rsid w:val="004F7A42"/>
    <w:rsid w:val="004F7BAB"/>
    <w:rsid w:val="004F7D9E"/>
    <w:rsid w:val="004F7F1F"/>
    <w:rsid w:val="00500215"/>
    <w:rsid w:val="005009F7"/>
    <w:rsid w:val="00500A5F"/>
    <w:rsid w:val="00500D9D"/>
    <w:rsid w:val="005013AA"/>
    <w:rsid w:val="0050168F"/>
    <w:rsid w:val="00501C22"/>
    <w:rsid w:val="00501C4F"/>
    <w:rsid w:val="00501CB6"/>
    <w:rsid w:val="00501D27"/>
    <w:rsid w:val="00501D63"/>
    <w:rsid w:val="00501D9E"/>
    <w:rsid w:val="00502160"/>
    <w:rsid w:val="005021EA"/>
    <w:rsid w:val="00502265"/>
    <w:rsid w:val="005022EE"/>
    <w:rsid w:val="00502722"/>
    <w:rsid w:val="00502870"/>
    <w:rsid w:val="00502AF9"/>
    <w:rsid w:val="00502CCD"/>
    <w:rsid w:val="00503226"/>
    <w:rsid w:val="0050325B"/>
    <w:rsid w:val="00503306"/>
    <w:rsid w:val="0050335F"/>
    <w:rsid w:val="00503458"/>
    <w:rsid w:val="00504296"/>
    <w:rsid w:val="0050442E"/>
    <w:rsid w:val="00504703"/>
    <w:rsid w:val="00504747"/>
    <w:rsid w:val="005048A2"/>
    <w:rsid w:val="00504DCB"/>
    <w:rsid w:val="00504EEF"/>
    <w:rsid w:val="005053D8"/>
    <w:rsid w:val="0050561D"/>
    <w:rsid w:val="00505A1E"/>
    <w:rsid w:val="00505A88"/>
    <w:rsid w:val="00505C56"/>
    <w:rsid w:val="00505D33"/>
    <w:rsid w:val="00505EDF"/>
    <w:rsid w:val="005060B3"/>
    <w:rsid w:val="0050631C"/>
    <w:rsid w:val="0050641D"/>
    <w:rsid w:val="00506644"/>
    <w:rsid w:val="00506691"/>
    <w:rsid w:val="005066C3"/>
    <w:rsid w:val="00506AC7"/>
    <w:rsid w:val="00506BBE"/>
    <w:rsid w:val="00506CD6"/>
    <w:rsid w:val="00506E66"/>
    <w:rsid w:val="005070A6"/>
    <w:rsid w:val="0050720A"/>
    <w:rsid w:val="0050734E"/>
    <w:rsid w:val="005074F4"/>
    <w:rsid w:val="005075C9"/>
    <w:rsid w:val="00507819"/>
    <w:rsid w:val="0050785F"/>
    <w:rsid w:val="00507921"/>
    <w:rsid w:val="00507F31"/>
    <w:rsid w:val="00507F5A"/>
    <w:rsid w:val="005102E8"/>
    <w:rsid w:val="00510502"/>
    <w:rsid w:val="005108D6"/>
    <w:rsid w:val="005109E0"/>
    <w:rsid w:val="00510A67"/>
    <w:rsid w:val="00510EA5"/>
    <w:rsid w:val="00511000"/>
    <w:rsid w:val="0051108C"/>
    <w:rsid w:val="00511280"/>
    <w:rsid w:val="00511501"/>
    <w:rsid w:val="00511682"/>
    <w:rsid w:val="00511970"/>
    <w:rsid w:val="00511D7A"/>
    <w:rsid w:val="00511DD4"/>
    <w:rsid w:val="00511E9C"/>
    <w:rsid w:val="00511FB0"/>
    <w:rsid w:val="00512194"/>
    <w:rsid w:val="00512267"/>
    <w:rsid w:val="0051263B"/>
    <w:rsid w:val="00512689"/>
    <w:rsid w:val="005127FB"/>
    <w:rsid w:val="00512835"/>
    <w:rsid w:val="0051286F"/>
    <w:rsid w:val="00513919"/>
    <w:rsid w:val="00513CAC"/>
    <w:rsid w:val="00514012"/>
    <w:rsid w:val="0051436E"/>
    <w:rsid w:val="005146D5"/>
    <w:rsid w:val="00514796"/>
    <w:rsid w:val="005148C0"/>
    <w:rsid w:val="00514DBE"/>
    <w:rsid w:val="005150E2"/>
    <w:rsid w:val="0051546B"/>
    <w:rsid w:val="005154AF"/>
    <w:rsid w:val="0051568A"/>
    <w:rsid w:val="00515785"/>
    <w:rsid w:val="005159F9"/>
    <w:rsid w:val="00515F8D"/>
    <w:rsid w:val="0051604B"/>
    <w:rsid w:val="005162E8"/>
    <w:rsid w:val="005162EF"/>
    <w:rsid w:val="00516391"/>
    <w:rsid w:val="0051688C"/>
    <w:rsid w:val="005169EE"/>
    <w:rsid w:val="00516D33"/>
    <w:rsid w:val="00517190"/>
    <w:rsid w:val="005172B9"/>
    <w:rsid w:val="00517A71"/>
    <w:rsid w:val="00517C24"/>
    <w:rsid w:val="00517CF8"/>
    <w:rsid w:val="005200E3"/>
    <w:rsid w:val="0052018E"/>
    <w:rsid w:val="00520257"/>
    <w:rsid w:val="0052034E"/>
    <w:rsid w:val="00520455"/>
    <w:rsid w:val="00520B9F"/>
    <w:rsid w:val="00520DAC"/>
    <w:rsid w:val="005211C8"/>
    <w:rsid w:val="005211D1"/>
    <w:rsid w:val="0052145C"/>
    <w:rsid w:val="00521657"/>
    <w:rsid w:val="00521DC2"/>
    <w:rsid w:val="00521E9E"/>
    <w:rsid w:val="00521FF2"/>
    <w:rsid w:val="0052208F"/>
    <w:rsid w:val="005223C3"/>
    <w:rsid w:val="00522506"/>
    <w:rsid w:val="00522801"/>
    <w:rsid w:val="00522916"/>
    <w:rsid w:val="00522A1A"/>
    <w:rsid w:val="00522ACA"/>
    <w:rsid w:val="00522CFC"/>
    <w:rsid w:val="00522E91"/>
    <w:rsid w:val="00522F77"/>
    <w:rsid w:val="005233DA"/>
    <w:rsid w:val="0052381C"/>
    <w:rsid w:val="00523A64"/>
    <w:rsid w:val="00523EF9"/>
    <w:rsid w:val="00523F42"/>
    <w:rsid w:val="00523F83"/>
    <w:rsid w:val="005240E3"/>
    <w:rsid w:val="00524142"/>
    <w:rsid w:val="00524E00"/>
    <w:rsid w:val="00525103"/>
    <w:rsid w:val="0052511E"/>
    <w:rsid w:val="005251D4"/>
    <w:rsid w:val="00525470"/>
    <w:rsid w:val="0052548C"/>
    <w:rsid w:val="00525509"/>
    <w:rsid w:val="0052594B"/>
    <w:rsid w:val="00525CB4"/>
    <w:rsid w:val="00525EF5"/>
    <w:rsid w:val="00525F5E"/>
    <w:rsid w:val="00526332"/>
    <w:rsid w:val="005264F8"/>
    <w:rsid w:val="005266BD"/>
    <w:rsid w:val="00526A19"/>
    <w:rsid w:val="00526CBC"/>
    <w:rsid w:val="00526D4E"/>
    <w:rsid w:val="00526EC6"/>
    <w:rsid w:val="00526EEB"/>
    <w:rsid w:val="00526FE3"/>
    <w:rsid w:val="00527256"/>
    <w:rsid w:val="00527428"/>
    <w:rsid w:val="00527643"/>
    <w:rsid w:val="00527ADB"/>
    <w:rsid w:val="00527ADF"/>
    <w:rsid w:val="00527D17"/>
    <w:rsid w:val="005302DA"/>
    <w:rsid w:val="0053035E"/>
    <w:rsid w:val="005309E2"/>
    <w:rsid w:val="00530B03"/>
    <w:rsid w:val="00530BF3"/>
    <w:rsid w:val="00530CB7"/>
    <w:rsid w:val="00530E6A"/>
    <w:rsid w:val="005310D7"/>
    <w:rsid w:val="0053194C"/>
    <w:rsid w:val="00531B7A"/>
    <w:rsid w:val="00531C28"/>
    <w:rsid w:val="00531E9F"/>
    <w:rsid w:val="00532361"/>
    <w:rsid w:val="0053245C"/>
    <w:rsid w:val="005326EC"/>
    <w:rsid w:val="00532A92"/>
    <w:rsid w:val="00532E54"/>
    <w:rsid w:val="00532EA9"/>
    <w:rsid w:val="0053306C"/>
    <w:rsid w:val="005333ED"/>
    <w:rsid w:val="0053364C"/>
    <w:rsid w:val="00533C77"/>
    <w:rsid w:val="00533F2C"/>
    <w:rsid w:val="005342D6"/>
    <w:rsid w:val="00534322"/>
    <w:rsid w:val="00534375"/>
    <w:rsid w:val="00534417"/>
    <w:rsid w:val="0053459E"/>
    <w:rsid w:val="005348C6"/>
    <w:rsid w:val="00534CD7"/>
    <w:rsid w:val="0053503C"/>
    <w:rsid w:val="005351F6"/>
    <w:rsid w:val="0053566C"/>
    <w:rsid w:val="005357C9"/>
    <w:rsid w:val="00535F1D"/>
    <w:rsid w:val="00536015"/>
    <w:rsid w:val="00536353"/>
    <w:rsid w:val="00536992"/>
    <w:rsid w:val="005369F3"/>
    <w:rsid w:val="00536A6A"/>
    <w:rsid w:val="00536B3F"/>
    <w:rsid w:val="00536B40"/>
    <w:rsid w:val="00536DED"/>
    <w:rsid w:val="00536FAA"/>
    <w:rsid w:val="005376D1"/>
    <w:rsid w:val="0053790B"/>
    <w:rsid w:val="00537B71"/>
    <w:rsid w:val="00537E8A"/>
    <w:rsid w:val="005402E0"/>
    <w:rsid w:val="005404CD"/>
    <w:rsid w:val="005405D9"/>
    <w:rsid w:val="00540667"/>
    <w:rsid w:val="00540CAA"/>
    <w:rsid w:val="00541012"/>
    <w:rsid w:val="00541316"/>
    <w:rsid w:val="00541385"/>
    <w:rsid w:val="00541967"/>
    <w:rsid w:val="00542349"/>
    <w:rsid w:val="005423B4"/>
    <w:rsid w:val="005428D5"/>
    <w:rsid w:val="005428DA"/>
    <w:rsid w:val="005428F9"/>
    <w:rsid w:val="00542E47"/>
    <w:rsid w:val="005432BE"/>
    <w:rsid w:val="005432CD"/>
    <w:rsid w:val="00543607"/>
    <w:rsid w:val="00543904"/>
    <w:rsid w:val="00543A44"/>
    <w:rsid w:val="00543B1C"/>
    <w:rsid w:val="00543B32"/>
    <w:rsid w:val="00543B72"/>
    <w:rsid w:val="00543B95"/>
    <w:rsid w:val="00543D69"/>
    <w:rsid w:val="00544050"/>
    <w:rsid w:val="0054473C"/>
    <w:rsid w:val="00544955"/>
    <w:rsid w:val="00544AE7"/>
    <w:rsid w:val="00544BE3"/>
    <w:rsid w:val="00544DD6"/>
    <w:rsid w:val="00544EB6"/>
    <w:rsid w:val="00544F3A"/>
    <w:rsid w:val="005452BA"/>
    <w:rsid w:val="00545404"/>
    <w:rsid w:val="0054579E"/>
    <w:rsid w:val="00545840"/>
    <w:rsid w:val="00545902"/>
    <w:rsid w:val="00545B9B"/>
    <w:rsid w:val="005460E0"/>
    <w:rsid w:val="00546464"/>
    <w:rsid w:val="00546504"/>
    <w:rsid w:val="005467CB"/>
    <w:rsid w:val="00546818"/>
    <w:rsid w:val="00546EE6"/>
    <w:rsid w:val="005470FD"/>
    <w:rsid w:val="0054754C"/>
    <w:rsid w:val="005476D8"/>
    <w:rsid w:val="005476F8"/>
    <w:rsid w:val="00547CFA"/>
    <w:rsid w:val="00550193"/>
    <w:rsid w:val="0055021B"/>
    <w:rsid w:val="0055029D"/>
    <w:rsid w:val="00550415"/>
    <w:rsid w:val="005504B6"/>
    <w:rsid w:val="0055086B"/>
    <w:rsid w:val="005509B5"/>
    <w:rsid w:val="00550F16"/>
    <w:rsid w:val="00550F45"/>
    <w:rsid w:val="00550F5A"/>
    <w:rsid w:val="005516C8"/>
    <w:rsid w:val="0055197C"/>
    <w:rsid w:val="00551B4F"/>
    <w:rsid w:val="00551B85"/>
    <w:rsid w:val="00551D5D"/>
    <w:rsid w:val="0055228C"/>
    <w:rsid w:val="005522AB"/>
    <w:rsid w:val="005523C9"/>
    <w:rsid w:val="005523E6"/>
    <w:rsid w:val="0055291C"/>
    <w:rsid w:val="0055292F"/>
    <w:rsid w:val="00552B40"/>
    <w:rsid w:val="00552EA7"/>
    <w:rsid w:val="00552F8A"/>
    <w:rsid w:val="0055307C"/>
    <w:rsid w:val="005531A3"/>
    <w:rsid w:val="005531AF"/>
    <w:rsid w:val="005535D3"/>
    <w:rsid w:val="00553C4D"/>
    <w:rsid w:val="005544D1"/>
    <w:rsid w:val="005545A4"/>
    <w:rsid w:val="005545FD"/>
    <w:rsid w:val="00554AE1"/>
    <w:rsid w:val="00554B3C"/>
    <w:rsid w:val="00555450"/>
    <w:rsid w:val="0055552E"/>
    <w:rsid w:val="0055580D"/>
    <w:rsid w:val="00555927"/>
    <w:rsid w:val="00555FCA"/>
    <w:rsid w:val="0055609A"/>
    <w:rsid w:val="0055644D"/>
    <w:rsid w:val="00556A06"/>
    <w:rsid w:val="00556D2A"/>
    <w:rsid w:val="00556EAD"/>
    <w:rsid w:val="005571DB"/>
    <w:rsid w:val="0055734F"/>
    <w:rsid w:val="00557363"/>
    <w:rsid w:val="0055744B"/>
    <w:rsid w:val="00557647"/>
    <w:rsid w:val="00557A0C"/>
    <w:rsid w:val="00557A8F"/>
    <w:rsid w:val="00557B4B"/>
    <w:rsid w:val="00557C6C"/>
    <w:rsid w:val="00557F12"/>
    <w:rsid w:val="005601B7"/>
    <w:rsid w:val="005601E0"/>
    <w:rsid w:val="00560473"/>
    <w:rsid w:val="00560771"/>
    <w:rsid w:val="00560835"/>
    <w:rsid w:val="005608D7"/>
    <w:rsid w:val="005609FE"/>
    <w:rsid w:val="005609FF"/>
    <w:rsid w:val="00560A8C"/>
    <w:rsid w:val="00560B4E"/>
    <w:rsid w:val="00560BDC"/>
    <w:rsid w:val="00561096"/>
    <w:rsid w:val="00561119"/>
    <w:rsid w:val="005613AE"/>
    <w:rsid w:val="005613BC"/>
    <w:rsid w:val="00561593"/>
    <w:rsid w:val="0056196B"/>
    <w:rsid w:val="00561B6F"/>
    <w:rsid w:val="00561E89"/>
    <w:rsid w:val="0056206E"/>
    <w:rsid w:val="0056268D"/>
    <w:rsid w:val="00562A60"/>
    <w:rsid w:val="00562EB3"/>
    <w:rsid w:val="00563101"/>
    <w:rsid w:val="00563531"/>
    <w:rsid w:val="0056372E"/>
    <w:rsid w:val="00563C63"/>
    <w:rsid w:val="00563DBE"/>
    <w:rsid w:val="00563E1D"/>
    <w:rsid w:val="005640D7"/>
    <w:rsid w:val="0056431A"/>
    <w:rsid w:val="005643DE"/>
    <w:rsid w:val="00564561"/>
    <w:rsid w:val="00564569"/>
    <w:rsid w:val="00564597"/>
    <w:rsid w:val="005646FC"/>
    <w:rsid w:val="005647F0"/>
    <w:rsid w:val="00564A07"/>
    <w:rsid w:val="00564CF3"/>
    <w:rsid w:val="00564E28"/>
    <w:rsid w:val="005651D9"/>
    <w:rsid w:val="0056537F"/>
    <w:rsid w:val="0056566B"/>
    <w:rsid w:val="005656A3"/>
    <w:rsid w:val="00565835"/>
    <w:rsid w:val="00566018"/>
    <w:rsid w:val="0056615D"/>
    <w:rsid w:val="00566227"/>
    <w:rsid w:val="005662DD"/>
    <w:rsid w:val="00566855"/>
    <w:rsid w:val="00566891"/>
    <w:rsid w:val="00566A80"/>
    <w:rsid w:val="00566A81"/>
    <w:rsid w:val="00566C16"/>
    <w:rsid w:val="005670AC"/>
    <w:rsid w:val="005671A0"/>
    <w:rsid w:val="005672E1"/>
    <w:rsid w:val="005675D6"/>
    <w:rsid w:val="0056760C"/>
    <w:rsid w:val="0056774E"/>
    <w:rsid w:val="005678E3"/>
    <w:rsid w:val="00567949"/>
    <w:rsid w:val="00567990"/>
    <w:rsid w:val="00567AB1"/>
    <w:rsid w:val="00567CC7"/>
    <w:rsid w:val="00567DAE"/>
    <w:rsid w:val="0057004E"/>
    <w:rsid w:val="0057024D"/>
    <w:rsid w:val="0057078B"/>
    <w:rsid w:val="005707FC"/>
    <w:rsid w:val="00570E48"/>
    <w:rsid w:val="00570E68"/>
    <w:rsid w:val="00570EF9"/>
    <w:rsid w:val="005717D1"/>
    <w:rsid w:val="00571976"/>
    <w:rsid w:val="00571B2B"/>
    <w:rsid w:val="00571D0F"/>
    <w:rsid w:val="00571F2C"/>
    <w:rsid w:val="00571FF4"/>
    <w:rsid w:val="00572596"/>
    <w:rsid w:val="0057292A"/>
    <w:rsid w:val="00572B40"/>
    <w:rsid w:val="00572B8B"/>
    <w:rsid w:val="00572C44"/>
    <w:rsid w:val="0057314D"/>
    <w:rsid w:val="00573231"/>
    <w:rsid w:val="0057361C"/>
    <w:rsid w:val="00573773"/>
    <w:rsid w:val="005738DB"/>
    <w:rsid w:val="00573C2D"/>
    <w:rsid w:val="00573CC3"/>
    <w:rsid w:val="00573E07"/>
    <w:rsid w:val="00574153"/>
    <w:rsid w:val="005746E1"/>
    <w:rsid w:val="005747AF"/>
    <w:rsid w:val="00574A18"/>
    <w:rsid w:val="005753BC"/>
    <w:rsid w:val="0057596E"/>
    <w:rsid w:val="00575994"/>
    <w:rsid w:val="005759BE"/>
    <w:rsid w:val="00575BC2"/>
    <w:rsid w:val="005760EE"/>
    <w:rsid w:val="0057612E"/>
    <w:rsid w:val="00576193"/>
    <w:rsid w:val="005762E1"/>
    <w:rsid w:val="00576562"/>
    <w:rsid w:val="0057668D"/>
    <w:rsid w:val="005767D5"/>
    <w:rsid w:val="0057698A"/>
    <w:rsid w:val="00576DB9"/>
    <w:rsid w:val="005773D8"/>
    <w:rsid w:val="00577621"/>
    <w:rsid w:val="00577634"/>
    <w:rsid w:val="0057797B"/>
    <w:rsid w:val="005779F2"/>
    <w:rsid w:val="00577B8D"/>
    <w:rsid w:val="005800B6"/>
    <w:rsid w:val="005802EE"/>
    <w:rsid w:val="00580365"/>
    <w:rsid w:val="005803A7"/>
    <w:rsid w:val="00580472"/>
    <w:rsid w:val="005805D2"/>
    <w:rsid w:val="005807BC"/>
    <w:rsid w:val="00580C0A"/>
    <w:rsid w:val="005813D7"/>
    <w:rsid w:val="00581475"/>
    <w:rsid w:val="00581489"/>
    <w:rsid w:val="005814C7"/>
    <w:rsid w:val="005814D7"/>
    <w:rsid w:val="005815AD"/>
    <w:rsid w:val="00581955"/>
    <w:rsid w:val="00581C45"/>
    <w:rsid w:val="00581F5E"/>
    <w:rsid w:val="00582025"/>
    <w:rsid w:val="00582091"/>
    <w:rsid w:val="005820EB"/>
    <w:rsid w:val="00582133"/>
    <w:rsid w:val="005821CC"/>
    <w:rsid w:val="0058224E"/>
    <w:rsid w:val="00582453"/>
    <w:rsid w:val="00582C59"/>
    <w:rsid w:val="00582D96"/>
    <w:rsid w:val="0058315E"/>
    <w:rsid w:val="00583512"/>
    <w:rsid w:val="00583522"/>
    <w:rsid w:val="00583F3D"/>
    <w:rsid w:val="005843C2"/>
    <w:rsid w:val="005847F4"/>
    <w:rsid w:val="00584D2F"/>
    <w:rsid w:val="00584E5D"/>
    <w:rsid w:val="00584E6E"/>
    <w:rsid w:val="00585364"/>
    <w:rsid w:val="0058539F"/>
    <w:rsid w:val="00585560"/>
    <w:rsid w:val="00585911"/>
    <w:rsid w:val="00585965"/>
    <w:rsid w:val="00585980"/>
    <w:rsid w:val="005859CF"/>
    <w:rsid w:val="00585CA2"/>
    <w:rsid w:val="00585EDD"/>
    <w:rsid w:val="00585FD9"/>
    <w:rsid w:val="00586079"/>
    <w:rsid w:val="00586299"/>
    <w:rsid w:val="005862AE"/>
    <w:rsid w:val="00586351"/>
    <w:rsid w:val="00586594"/>
    <w:rsid w:val="005865AA"/>
    <w:rsid w:val="00586A8B"/>
    <w:rsid w:val="00586D38"/>
    <w:rsid w:val="005874FB"/>
    <w:rsid w:val="00587600"/>
    <w:rsid w:val="005876B2"/>
    <w:rsid w:val="00587959"/>
    <w:rsid w:val="00587AA7"/>
    <w:rsid w:val="00587BFF"/>
    <w:rsid w:val="00587C9F"/>
    <w:rsid w:val="00587CB1"/>
    <w:rsid w:val="00587D65"/>
    <w:rsid w:val="00590240"/>
    <w:rsid w:val="00590681"/>
    <w:rsid w:val="0059096D"/>
    <w:rsid w:val="005909EE"/>
    <w:rsid w:val="00590A63"/>
    <w:rsid w:val="00590BAE"/>
    <w:rsid w:val="00590CDB"/>
    <w:rsid w:val="00590D5F"/>
    <w:rsid w:val="005914AC"/>
    <w:rsid w:val="00591B22"/>
    <w:rsid w:val="00591B7C"/>
    <w:rsid w:val="00591C2B"/>
    <w:rsid w:val="00591DC3"/>
    <w:rsid w:val="00591ECF"/>
    <w:rsid w:val="00592223"/>
    <w:rsid w:val="005923F9"/>
    <w:rsid w:val="005926CA"/>
    <w:rsid w:val="00592793"/>
    <w:rsid w:val="00592A80"/>
    <w:rsid w:val="00592CB0"/>
    <w:rsid w:val="00592EBA"/>
    <w:rsid w:val="00593639"/>
    <w:rsid w:val="00593D59"/>
    <w:rsid w:val="00593E5F"/>
    <w:rsid w:val="00594163"/>
    <w:rsid w:val="00594494"/>
    <w:rsid w:val="005945B7"/>
    <w:rsid w:val="00594602"/>
    <w:rsid w:val="00594628"/>
    <w:rsid w:val="005946D0"/>
    <w:rsid w:val="00594C1E"/>
    <w:rsid w:val="00594E2D"/>
    <w:rsid w:val="00594E9F"/>
    <w:rsid w:val="00594ECE"/>
    <w:rsid w:val="00594F76"/>
    <w:rsid w:val="0059504B"/>
    <w:rsid w:val="00595537"/>
    <w:rsid w:val="005955FE"/>
    <w:rsid w:val="0059565D"/>
    <w:rsid w:val="00595A60"/>
    <w:rsid w:val="00595FE9"/>
    <w:rsid w:val="00595FFC"/>
    <w:rsid w:val="005960D4"/>
    <w:rsid w:val="00596678"/>
    <w:rsid w:val="005969CF"/>
    <w:rsid w:val="00596B48"/>
    <w:rsid w:val="00596C59"/>
    <w:rsid w:val="00596D75"/>
    <w:rsid w:val="00596EDB"/>
    <w:rsid w:val="00597B2C"/>
    <w:rsid w:val="00597EAA"/>
    <w:rsid w:val="005A01A4"/>
    <w:rsid w:val="005A05E5"/>
    <w:rsid w:val="005A0771"/>
    <w:rsid w:val="005A0A91"/>
    <w:rsid w:val="005A0C4B"/>
    <w:rsid w:val="005A0D30"/>
    <w:rsid w:val="005A0F09"/>
    <w:rsid w:val="005A12AB"/>
    <w:rsid w:val="005A12DD"/>
    <w:rsid w:val="005A1441"/>
    <w:rsid w:val="005A179F"/>
    <w:rsid w:val="005A1CF2"/>
    <w:rsid w:val="005A1E04"/>
    <w:rsid w:val="005A1E0A"/>
    <w:rsid w:val="005A1F27"/>
    <w:rsid w:val="005A2225"/>
    <w:rsid w:val="005A226B"/>
    <w:rsid w:val="005A242F"/>
    <w:rsid w:val="005A27FC"/>
    <w:rsid w:val="005A28BC"/>
    <w:rsid w:val="005A29F3"/>
    <w:rsid w:val="005A2D23"/>
    <w:rsid w:val="005A3369"/>
    <w:rsid w:val="005A34AC"/>
    <w:rsid w:val="005A3A25"/>
    <w:rsid w:val="005A3A9C"/>
    <w:rsid w:val="005A3EE4"/>
    <w:rsid w:val="005A3FDD"/>
    <w:rsid w:val="005A40BB"/>
    <w:rsid w:val="005A45DD"/>
    <w:rsid w:val="005A495B"/>
    <w:rsid w:val="005A4A4D"/>
    <w:rsid w:val="005A4AD8"/>
    <w:rsid w:val="005A4B2F"/>
    <w:rsid w:val="005A5804"/>
    <w:rsid w:val="005A59F4"/>
    <w:rsid w:val="005A6206"/>
    <w:rsid w:val="005A6288"/>
    <w:rsid w:val="005A641A"/>
    <w:rsid w:val="005A6599"/>
    <w:rsid w:val="005A66D0"/>
    <w:rsid w:val="005A6D40"/>
    <w:rsid w:val="005A6E4D"/>
    <w:rsid w:val="005A6F55"/>
    <w:rsid w:val="005A710D"/>
    <w:rsid w:val="005A7BBE"/>
    <w:rsid w:val="005A7BF5"/>
    <w:rsid w:val="005B01EC"/>
    <w:rsid w:val="005B047D"/>
    <w:rsid w:val="005B0495"/>
    <w:rsid w:val="005B07E0"/>
    <w:rsid w:val="005B0FD3"/>
    <w:rsid w:val="005B1103"/>
    <w:rsid w:val="005B17F9"/>
    <w:rsid w:val="005B1B6B"/>
    <w:rsid w:val="005B1D26"/>
    <w:rsid w:val="005B1D4E"/>
    <w:rsid w:val="005B1EAE"/>
    <w:rsid w:val="005B247D"/>
    <w:rsid w:val="005B27EA"/>
    <w:rsid w:val="005B2EA8"/>
    <w:rsid w:val="005B327D"/>
    <w:rsid w:val="005B33C1"/>
    <w:rsid w:val="005B35B8"/>
    <w:rsid w:val="005B36A8"/>
    <w:rsid w:val="005B3813"/>
    <w:rsid w:val="005B39F1"/>
    <w:rsid w:val="005B3A81"/>
    <w:rsid w:val="005B3DD7"/>
    <w:rsid w:val="005B4530"/>
    <w:rsid w:val="005B45EE"/>
    <w:rsid w:val="005B491E"/>
    <w:rsid w:val="005B49D0"/>
    <w:rsid w:val="005B4C47"/>
    <w:rsid w:val="005B4FBE"/>
    <w:rsid w:val="005B5235"/>
    <w:rsid w:val="005B52AE"/>
    <w:rsid w:val="005B53A5"/>
    <w:rsid w:val="005B5B5E"/>
    <w:rsid w:val="005B5DBC"/>
    <w:rsid w:val="005B5EB5"/>
    <w:rsid w:val="005B601E"/>
    <w:rsid w:val="005B6182"/>
    <w:rsid w:val="005B643D"/>
    <w:rsid w:val="005B657E"/>
    <w:rsid w:val="005B675A"/>
    <w:rsid w:val="005B6777"/>
    <w:rsid w:val="005B6931"/>
    <w:rsid w:val="005B6B6E"/>
    <w:rsid w:val="005B6BF0"/>
    <w:rsid w:val="005B6C58"/>
    <w:rsid w:val="005B6C94"/>
    <w:rsid w:val="005B6CEA"/>
    <w:rsid w:val="005B6CEC"/>
    <w:rsid w:val="005B7316"/>
    <w:rsid w:val="005B7510"/>
    <w:rsid w:val="005B75DC"/>
    <w:rsid w:val="005B7C0C"/>
    <w:rsid w:val="005B7F1B"/>
    <w:rsid w:val="005B7FB5"/>
    <w:rsid w:val="005C048E"/>
    <w:rsid w:val="005C067E"/>
    <w:rsid w:val="005C07F1"/>
    <w:rsid w:val="005C0B71"/>
    <w:rsid w:val="005C0B9B"/>
    <w:rsid w:val="005C0D1F"/>
    <w:rsid w:val="005C0EDA"/>
    <w:rsid w:val="005C0EF9"/>
    <w:rsid w:val="005C1043"/>
    <w:rsid w:val="005C120B"/>
    <w:rsid w:val="005C1691"/>
    <w:rsid w:val="005C169B"/>
    <w:rsid w:val="005C193D"/>
    <w:rsid w:val="005C1B96"/>
    <w:rsid w:val="005C1BC1"/>
    <w:rsid w:val="005C2095"/>
    <w:rsid w:val="005C27D5"/>
    <w:rsid w:val="005C2ED1"/>
    <w:rsid w:val="005C2FB4"/>
    <w:rsid w:val="005C30BF"/>
    <w:rsid w:val="005C33FB"/>
    <w:rsid w:val="005C3434"/>
    <w:rsid w:val="005C37B7"/>
    <w:rsid w:val="005C41DB"/>
    <w:rsid w:val="005C4867"/>
    <w:rsid w:val="005C4896"/>
    <w:rsid w:val="005C4B98"/>
    <w:rsid w:val="005C4DA6"/>
    <w:rsid w:val="005C5060"/>
    <w:rsid w:val="005C508F"/>
    <w:rsid w:val="005C51B4"/>
    <w:rsid w:val="005C5588"/>
    <w:rsid w:val="005C55FA"/>
    <w:rsid w:val="005C574C"/>
    <w:rsid w:val="005C58E9"/>
    <w:rsid w:val="005C5BD0"/>
    <w:rsid w:val="005C6016"/>
    <w:rsid w:val="005C60AF"/>
    <w:rsid w:val="005C6272"/>
    <w:rsid w:val="005C63DC"/>
    <w:rsid w:val="005C6678"/>
    <w:rsid w:val="005C66A6"/>
    <w:rsid w:val="005C6910"/>
    <w:rsid w:val="005C6AE7"/>
    <w:rsid w:val="005C70C0"/>
    <w:rsid w:val="005C721C"/>
    <w:rsid w:val="005C72D8"/>
    <w:rsid w:val="005C766D"/>
    <w:rsid w:val="005C778A"/>
    <w:rsid w:val="005C7E16"/>
    <w:rsid w:val="005D008A"/>
    <w:rsid w:val="005D0483"/>
    <w:rsid w:val="005D065D"/>
    <w:rsid w:val="005D06BF"/>
    <w:rsid w:val="005D0819"/>
    <w:rsid w:val="005D08BC"/>
    <w:rsid w:val="005D0950"/>
    <w:rsid w:val="005D0B0E"/>
    <w:rsid w:val="005D0BF3"/>
    <w:rsid w:val="005D0BFF"/>
    <w:rsid w:val="005D0D1F"/>
    <w:rsid w:val="005D0DC0"/>
    <w:rsid w:val="005D0DF2"/>
    <w:rsid w:val="005D13C4"/>
    <w:rsid w:val="005D18E2"/>
    <w:rsid w:val="005D1A15"/>
    <w:rsid w:val="005D1AF5"/>
    <w:rsid w:val="005D21A2"/>
    <w:rsid w:val="005D239F"/>
    <w:rsid w:val="005D2603"/>
    <w:rsid w:val="005D27AC"/>
    <w:rsid w:val="005D27FF"/>
    <w:rsid w:val="005D28CB"/>
    <w:rsid w:val="005D2E7A"/>
    <w:rsid w:val="005D2F95"/>
    <w:rsid w:val="005D3008"/>
    <w:rsid w:val="005D3056"/>
    <w:rsid w:val="005D309B"/>
    <w:rsid w:val="005D3144"/>
    <w:rsid w:val="005D351E"/>
    <w:rsid w:val="005D3635"/>
    <w:rsid w:val="005D38CF"/>
    <w:rsid w:val="005D3931"/>
    <w:rsid w:val="005D3E3E"/>
    <w:rsid w:val="005D4154"/>
    <w:rsid w:val="005D4452"/>
    <w:rsid w:val="005D4738"/>
    <w:rsid w:val="005D4B0D"/>
    <w:rsid w:val="005D4CDB"/>
    <w:rsid w:val="005D4D6A"/>
    <w:rsid w:val="005D5414"/>
    <w:rsid w:val="005D5460"/>
    <w:rsid w:val="005D55F8"/>
    <w:rsid w:val="005D5956"/>
    <w:rsid w:val="005D5BB5"/>
    <w:rsid w:val="005D5CB0"/>
    <w:rsid w:val="005D5DB6"/>
    <w:rsid w:val="005D608E"/>
    <w:rsid w:val="005D61A4"/>
    <w:rsid w:val="005D6276"/>
    <w:rsid w:val="005D6453"/>
    <w:rsid w:val="005D6851"/>
    <w:rsid w:val="005D697F"/>
    <w:rsid w:val="005D725C"/>
    <w:rsid w:val="005D778B"/>
    <w:rsid w:val="005D7A4C"/>
    <w:rsid w:val="005D7C87"/>
    <w:rsid w:val="005D7D0E"/>
    <w:rsid w:val="005E0426"/>
    <w:rsid w:val="005E04B7"/>
    <w:rsid w:val="005E0AC4"/>
    <w:rsid w:val="005E0ACB"/>
    <w:rsid w:val="005E1120"/>
    <w:rsid w:val="005E1126"/>
    <w:rsid w:val="005E11C9"/>
    <w:rsid w:val="005E13A5"/>
    <w:rsid w:val="005E13FA"/>
    <w:rsid w:val="005E1446"/>
    <w:rsid w:val="005E189C"/>
    <w:rsid w:val="005E1A73"/>
    <w:rsid w:val="005E1B57"/>
    <w:rsid w:val="005E1F7C"/>
    <w:rsid w:val="005E23CB"/>
    <w:rsid w:val="005E260A"/>
    <w:rsid w:val="005E2ABF"/>
    <w:rsid w:val="005E2FA9"/>
    <w:rsid w:val="005E34E6"/>
    <w:rsid w:val="005E352F"/>
    <w:rsid w:val="005E3A2F"/>
    <w:rsid w:val="005E3F3C"/>
    <w:rsid w:val="005E40A0"/>
    <w:rsid w:val="005E48DB"/>
    <w:rsid w:val="005E4BC1"/>
    <w:rsid w:val="005E4D67"/>
    <w:rsid w:val="005E4E24"/>
    <w:rsid w:val="005E4ECD"/>
    <w:rsid w:val="005E504D"/>
    <w:rsid w:val="005E505C"/>
    <w:rsid w:val="005E530B"/>
    <w:rsid w:val="005E545F"/>
    <w:rsid w:val="005E58AB"/>
    <w:rsid w:val="005E5ADA"/>
    <w:rsid w:val="005E5C26"/>
    <w:rsid w:val="005E6156"/>
    <w:rsid w:val="005E61C5"/>
    <w:rsid w:val="005E61C9"/>
    <w:rsid w:val="005E6203"/>
    <w:rsid w:val="005E6308"/>
    <w:rsid w:val="005E63E7"/>
    <w:rsid w:val="005E663D"/>
    <w:rsid w:val="005E674F"/>
    <w:rsid w:val="005E68B4"/>
    <w:rsid w:val="005E696E"/>
    <w:rsid w:val="005E6A96"/>
    <w:rsid w:val="005E6AE2"/>
    <w:rsid w:val="005E70FC"/>
    <w:rsid w:val="005E732E"/>
    <w:rsid w:val="005E73C2"/>
    <w:rsid w:val="005E75D9"/>
    <w:rsid w:val="005E7BED"/>
    <w:rsid w:val="005E7EFD"/>
    <w:rsid w:val="005E7FEB"/>
    <w:rsid w:val="005F0130"/>
    <w:rsid w:val="005F02B7"/>
    <w:rsid w:val="005F02C4"/>
    <w:rsid w:val="005F0462"/>
    <w:rsid w:val="005F0815"/>
    <w:rsid w:val="005F086D"/>
    <w:rsid w:val="005F08DD"/>
    <w:rsid w:val="005F0B00"/>
    <w:rsid w:val="005F0B5E"/>
    <w:rsid w:val="005F0DD5"/>
    <w:rsid w:val="005F1356"/>
    <w:rsid w:val="005F147F"/>
    <w:rsid w:val="005F16D9"/>
    <w:rsid w:val="005F18E1"/>
    <w:rsid w:val="005F1A9C"/>
    <w:rsid w:val="005F1F5A"/>
    <w:rsid w:val="005F2423"/>
    <w:rsid w:val="005F25F6"/>
    <w:rsid w:val="005F295C"/>
    <w:rsid w:val="005F29A8"/>
    <w:rsid w:val="005F2DAF"/>
    <w:rsid w:val="005F3024"/>
    <w:rsid w:val="005F3265"/>
    <w:rsid w:val="005F3397"/>
    <w:rsid w:val="005F354D"/>
    <w:rsid w:val="005F37DE"/>
    <w:rsid w:val="005F391E"/>
    <w:rsid w:val="005F3AFE"/>
    <w:rsid w:val="005F3D72"/>
    <w:rsid w:val="005F3E3A"/>
    <w:rsid w:val="005F400D"/>
    <w:rsid w:val="005F4074"/>
    <w:rsid w:val="005F40EC"/>
    <w:rsid w:val="005F4169"/>
    <w:rsid w:val="005F4371"/>
    <w:rsid w:val="005F43AC"/>
    <w:rsid w:val="005F4642"/>
    <w:rsid w:val="005F46CB"/>
    <w:rsid w:val="005F474A"/>
    <w:rsid w:val="005F4D09"/>
    <w:rsid w:val="005F4FEA"/>
    <w:rsid w:val="005F5569"/>
    <w:rsid w:val="005F556D"/>
    <w:rsid w:val="005F5965"/>
    <w:rsid w:val="005F5A30"/>
    <w:rsid w:val="005F5A81"/>
    <w:rsid w:val="005F693B"/>
    <w:rsid w:val="005F6A92"/>
    <w:rsid w:val="005F6CBA"/>
    <w:rsid w:val="005F6CF9"/>
    <w:rsid w:val="005F7159"/>
    <w:rsid w:val="005F720E"/>
    <w:rsid w:val="005F76DC"/>
    <w:rsid w:val="005F7A6F"/>
    <w:rsid w:val="005F7CE1"/>
    <w:rsid w:val="005F7E73"/>
    <w:rsid w:val="0060007B"/>
    <w:rsid w:val="0060051F"/>
    <w:rsid w:val="00600673"/>
    <w:rsid w:val="00600699"/>
    <w:rsid w:val="0060090B"/>
    <w:rsid w:val="006013FB"/>
    <w:rsid w:val="00601472"/>
    <w:rsid w:val="0060157D"/>
    <w:rsid w:val="00601590"/>
    <w:rsid w:val="00601632"/>
    <w:rsid w:val="006017A3"/>
    <w:rsid w:val="00601B67"/>
    <w:rsid w:val="00601D65"/>
    <w:rsid w:val="0060215E"/>
    <w:rsid w:val="00602182"/>
    <w:rsid w:val="00602214"/>
    <w:rsid w:val="00602227"/>
    <w:rsid w:val="0060224E"/>
    <w:rsid w:val="00602652"/>
    <w:rsid w:val="006026F1"/>
    <w:rsid w:val="006028F6"/>
    <w:rsid w:val="00602B18"/>
    <w:rsid w:val="00602B69"/>
    <w:rsid w:val="00602D47"/>
    <w:rsid w:val="00602E71"/>
    <w:rsid w:val="00602F24"/>
    <w:rsid w:val="006030EA"/>
    <w:rsid w:val="006030EF"/>
    <w:rsid w:val="00603191"/>
    <w:rsid w:val="00603A54"/>
    <w:rsid w:val="00603CB0"/>
    <w:rsid w:val="00603ECC"/>
    <w:rsid w:val="006040C8"/>
    <w:rsid w:val="006041C7"/>
    <w:rsid w:val="00604269"/>
    <w:rsid w:val="006046BF"/>
    <w:rsid w:val="006046C9"/>
    <w:rsid w:val="00604CD2"/>
    <w:rsid w:val="00604DB5"/>
    <w:rsid w:val="006051C8"/>
    <w:rsid w:val="006051FE"/>
    <w:rsid w:val="00605672"/>
    <w:rsid w:val="0060662D"/>
    <w:rsid w:val="00606A5C"/>
    <w:rsid w:val="00606BBC"/>
    <w:rsid w:val="00606F17"/>
    <w:rsid w:val="00607116"/>
    <w:rsid w:val="006075CB"/>
    <w:rsid w:val="006075D5"/>
    <w:rsid w:val="0060761D"/>
    <w:rsid w:val="00607799"/>
    <w:rsid w:val="006077FF"/>
    <w:rsid w:val="00607B4E"/>
    <w:rsid w:val="00607DF0"/>
    <w:rsid w:val="00607DFE"/>
    <w:rsid w:val="006100D2"/>
    <w:rsid w:val="00610110"/>
    <w:rsid w:val="00610987"/>
    <w:rsid w:val="00610DD9"/>
    <w:rsid w:val="00610E2C"/>
    <w:rsid w:val="0061113D"/>
    <w:rsid w:val="006111D6"/>
    <w:rsid w:val="006118F2"/>
    <w:rsid w:val="0061193C"/>
    <w:rsid w:val="00611A88"/>
    <w:rsid w:val="006121FC"/>
    <w:rsid w:val="0061238A"/>
    <w:rsid w:val="006123DE"/>
    <w:rsid w:val="00612420"/>
    <w:rsid w:val="00612ED5"/>
    <w:rsid w:val="00612EF4"/>
    <w:rsid w:val="00612FFE"/>
    <w:rsid w:val="0061331E"/>
    <w:rsid w:val="006136E0"/>
    <w:rsid w:val="0061376F"/>
    <w:rsid w:val="00613AEE"/>
    <w:rsid w:val="00613C24"/>
    <w:rsid w:val="00613FAE"/>
    <w:rsid w:val="00614179"/>
    <w:rsid w:val="00614416"/>
    <w:rsid w:val="006145CD"/>
    <w:rsid w:val="006148D4"/>
    <w:rsid w:val="00614B42"/>
    <w:rsid w:val="00614B6B"/>
    <w:rsid w:val="00614D00"/>
    <w:rsid w:val="00614D97"/>
    <w:rsid w:val="00614F2B"/>
    <w:rsid w:val="0061511C"/>
    <w:rsid w:val="006151B8"/>
    <w:rsid w:val="006153B1"/>
    <w:rsid w:val="0061545B"/>
    <w:rsid w:val="00615572"/>
    <w:rsid w:val="006155CA"/>
    <w:rsid w:val="00615816"/>
    <w:rsid w:val="006159BE"/>
    <w:rsid w:val="00615EF7"/>
    <w:rsid w:val="006160B6"/>
    <w:rsid w:val="00616504"/>
    <w:rsid w:val="00616562"/>
    <w:rsid w:val="006166D2"/>
    <w:rsid w:val="006166D6"/>
    <w:rsid w:val="006167A8"/>
    <w:rsid w:val="0061684E"/>
    <w:rsid w:val="00616C23"/>
    <w:rsid w:val="00616CE2"/>
    <w:rsid w:val="00616DC4"/>
    <w:rsid w:val="006171E7"/>
    <w:rsid w:val="0061785D"/>
    <w:rsid w:val="006179A0"/>
    <w:rsid w:val="00617ADB"/>
    <w:rsid w:val="00617C37"/>
    <w:rsid w:val="00617C63"/>
    <w:rsid w:val="00617D76"/>
    <w:rsid w:val="0062046A"/>
    <w:rsid w:val="006204DF"/>
    <w:rsid w:val="0062056C"/>
    <w:rsid w:val="00620C54"/>
    <w:rsid w:val="00620D29"/>
    <w:rsid w:val="00621897"/>
    <w:rsid w:val="00621C72"/>
    <w:rsid w:val="00621D6E"/>
    <w:rsid w:val="00621DDC"/>
    <w:rsid w:val="00621F25"/>
    <w:rsid w:val="00621F71"/>
    <w:rsid w:val="006221B7"/>
    <w:rsid w:val="00622254"/>
    <w:rsid w:val="00622422"/>
    <w:rsid w:val="006225BB"/>
    <w:rsid w:val="0062261E"/>
    <w:rsid w:val="006227CF"/>
    <w:rsid w:val="006229D3"/>
    <w:rsid w:val="00622A3F"/>
    <w:rsid w:val="00622CF7"/>
    <w:rsid w:val="00622F30"/>
    <w:rsid w:val="0062331B"/>
    <w:rsid w:val="0062334E"/>
    <w:rsid w:val="006233C9"/>
    <w:rsid w:val="0062340F"/>
    <w:rsid w:val="0062359E"/>
    <w:rsid w:val="00623931"/>
    <w:rsid w:val="006239DC"/>
    <w:rsid w:val="00623B25"/>
    <w:rsid w:val="00623C10"/>
    <w:rsid w:val="00623D9F"/>
    <w:rsid w:val="006244BB"/>
    <w:rsid w:val="00624513"/>
    <w:rsid w:val="006245BC"/>
    <w:rsid w:val="006247B5"/>
    <w:rsid w:val="00624959"/>
    <w:rsid w:val="00624D27"/>
    <w:rsid w:val="00624F23"/>
    <w:rsid w:val="0062509D"/>
    <w:rsid w:val="00625118"/>
    <w:rsid w:val="006252AC"/>
    <w:rsid w:val="00625B68"/>
    <w:rsid w:val="00625C42"/>
    <w:rsid w:val="00625F03"/>
    <w:rsid w:val="00626048"/>
    <w:rsid w:val="00626253"/>
    <w:rsid w:val="00626338"/>
    <w:rsid w:val="006264FE"/>
    <w:rsid w:val="00626511"/>
    <w:rsid w:val="0062652F"/>
    <w:rsid w:val="006268A3"/>
    <w:rsid w:val="00626A0E"/>
    <w:rsid w:val="00626B06"/>
    <w:rsid w:val="00626DE9"/>
    <w:rsid w:val="00626E5A"/>
    <w:rsid w:val="00627130"/>
    <w:rsid w:val="006271EE"/>
    <w:rsid w:val="00627266"/>
    <w:rsid w:val="0062751D"/>
    <w:rsid w:val="00627A11"/>
    <w:rsid w:val="00627C62"/>
    <w:rsid w:val="00627DCC"/>
    <w:rsid w:val="006300F3"/>
    <w:rsid w:val="006302F0"/>
    <w:rsid w:val="00630A83"/>
    <w:rsid w:val="00630E48"/>
    <w:rsid w:val="00630E9F"/>
    <w:rsid w:val="0063113C"/>
    <w:rsid w:val="00631241"/>
    <w:rsid w:val="00631549"/>
    <w:rsid w:val="00631773"/>
    <w:rsid w:val="00631849"/>
    <w:rsid w:val="00631861"/>
    <w:rsid w:val="006318E1"/>
    <w:rsid w:val="00631B75"/>
    <w:rsid w:val="00631ED5"/>
    <w:rsid w:val="00632005"/>
    <w:rsid w:val="006321C0"/>
    <w:rsid w:val="006322CD"/>
    <w:rsid w:val="0063240A"/>
    <w:rsid w:val="00632723"/>
    <w:rsid w:val="00632D58"/>
    <w:rsid w:val="0063322B"/>
    <w:rsid w:val="00633723"/>
    <w:rsid w:val="00633A89"/>
    <w:rsid w:val="00633B12"/>
    <w:rsid w:val="00633B4A"/>
    <w:rsid w:val="00633CCE"/>
    <w:rsid w:val="00633F5B"/>
    <w:rsid w:val="006341A1"/>
    <w:rsid w:val="006341C5"/>
    <w:rsid w:val="00634A91"/>
    <w:rsid w:val="00634CBF"/>
    <w:rsid w:val="00634E46"/>
    <w:rsid w:val="006352FD"/>
    <w:rsid w:val="00635300"/>
    <w:rsid w:val="00635731"/>
    <w:rsid w:val="006358A4"/>
    <w:rsid w:val="00635984"/>
    <w:rsid w:val="00635990"/>
    <w:rsid w:val="00635CB0"/>
    <w:rsid w:val="00635E9E"/>
    <w:rsid w:val="00636093"/>
    <w:rsid w:val="006367C8"/>
    <w:rsid w:val="00636887"/>
    <w:rsid w:val="00636A20"/>
    <w:rsid w:val="00636B38"/>
    <w:rsid w:val="00636B83"/>
    <w:rsid w:val="00636D1E"/>
    <w:rsid w:val="006370C7"/>
    <w:rsid w:val="006373A8"/>
    <w:rsid w:val="006375D1"/>
    <w:rsid w:val="00637611"/>
    <w:rsid w:val="00637760"/>
    <w:rsid w:val="00637815"/>
    <w:rsid w:val="00637C9D"/>
    <w:rsid w:val="00637E13"/>
    <w:rsid w:val="00637F65"/>
    <w:rsid w:val="00640054"/>
    <w:rsid w:val="006403C0"/>
    <w:rsid w:val="00640442"/>
    <w:rsid w:val="00640505"/>
    <w:rsid w:val="0064053D"/>
    <w:rsid w:val="006406AA"/>
    <w:rsid w:val="00640984"/>
    <w:rsid w:val="00640F52"/>
    <w:rsid w:val="006410DC"/>
    <w:rsid w:val="00641368"/>
    <w:rsid w:val="00641CDA"/>
    <w:rsid w:val="00641DD8"/>
    <w:rsid w:val="006420AB"/>
    <w:rsid w:val="00642169"/>
    <w:rsid w:val="006422F0"/>
    <w:rsid w:val="00642371"/>
    <w:rsid w:val="00642542"/>
    <w:rsid w:val="006426E0"/>
    <w:rsid w:val="00642B1B"/>
    <w:rsid w:val="00642D2A"/>
    <w:rsid w:val="00643707"/>
    <w:rsid w:val="006438B3"/>
    <w:rsid w:val="006439BB"/>
    <w:rsid w:val="00643A4E"/>
    <w:rsid w:val="00644606"/>
    <w:rsid w:val="0064467A"/>
    <w:rsid w:val="0064467F"/>
    <w:rsid w:val="006447F2"/>
    <w:rsid w:val="00644ABE"/>
    <w:rsid w:val="00644D51"/>
    <w:rsid w:val="00645325"/>
    <w:rsid w:val="00645813"/>
    <w:rsid w:val="006458A0"/>
    <w:rsid w:val="00645DD5"/>
    <w:rsid w:val="00646290"/>
    <w:rsid w:val="006464E3"/>
    <w:rsid w:val="00646999"/>
    <w:rsid w:val="006469F6"/>
    <w:rsid w:val="00647024"/>
    <w:rsid w:val="006475CB"/>
    <w:rsid w:val="006477C6"/>
    <w:rsid w:val="00647ADB"/>
    <w:rsid w:val="00647E30"/>
    <w:rsid w:val="00650147"/>
    <w:rsid w:val="00650233"/>
    <w:rsid w:val="006503FB"/>
    <w:rsid w:val="00650557"/>
    <w:rsid w:val="00650655"/>
    <w:rsid w:val="00650777"/>
    <w:rsid w:val="00650E78"/>
    <w:rsid w:val="00650FD1"/>
    <w:rsid w:val="00651062"/>
    <w:rsid w:val="00651215"/>
    <w:rsid w:val="006512F5"/>
    <w:rsid w:val="0065146C"/>
    <w:rsid w:val="006514D3"/>
    <w:rsid w:val="006516FA"/>
    <w:rsid w:val="006518F4"/>
    <w:rsid w:val="006519D8"/>
    <w:rsid w:val="00651C04"/>
    <w:rsid w:val="00651F03"/>
    <w:rsid w:val="00651F05"/>
    <w:rsid w:val="006524B0"/>
    <w:rsid w:val="006525CD"/>
    <w:rsid w:val="00652B13"/>
    <w:rsid w:val="00652C3A"/>
    <w:rsid w:val="00652FA0"/>
    <w:rsid w:val="006532A2"/>
    <w:rsid w:val="0065333A"/>
    <w:rsid w:val="006535F8"/>
    <w:rsid w:val="00653C3C"/>
    <w:rsid w:val="00653F19"/>
    <w:rsid w:val="006540C4"/>
    <w:rsid w:val="00654402"/>
    <w:rsid w:val="00654466"/>
    <w:rsid w:val="0065456E"/>
    <w:rsid w:val="0065464B"/>
    <w:rsid w:val="00654DAE"/>
    <w:rsid w:val="00654DCB"/>
    <w:rsid w:val="00654E9E"/>
    <w:rsid w:val="0065507A"/>
    <w:rsid w:val="0065536C"/>
    <w:rsid w:val="00655782"/>
    <w:rsid w:val="0065580B"/>
    <w:rsid w:val="00655B1C"/>
    <w:rsid w:val="00655BE5"/>
    <w:rsid w:val="00655FD4"/>
    <w:rsid w:val="00656610"/>
    <w:rsid w:val="006566DB"/>
    <w:rsid w:val="00656A1D"/>
    <w:rsid w:val="00656AFB"/>
    <w:rsid w:val="00656B4A"/>
    <w:rsid w:val="00656BF8"/>
    <w:rsid w:val="00656C72"/>
    <w:rsid w:val="0065704C"/>
    <w:rsid w:val="00657365"/>
    <w:rsid w:val="00657D0F"/>
    <w:rsid w:val="00657F14"/>
    <w:rsid w:val="00657F20"/>
    <w:rsid w:val="006603F3"/>
    <w:rsid w:val="006609D0"/>
    <w:rsid w:val="00660F82"/>
    <w:rsid w:val="00661005"/>
    <w:rsid w:val="006611BD"/>
    <w:rsid w:val="006612AD"/>
    <w:rsid w:val="006613EF"/>
    <w:rsid w:val="0066169E"/>
    <w:rsid w:val="00661D41"/>
    <w:rsid w:val="00662149"/>
    <w:rsid w:val="006624C5"/>
    <w:rsid w:val="006626AB"/>
    <w:rsid w:val="0066297A"/>
    <w:rsid w:val="00662D8D"/>
    <w:rsid w:val="00662E84"/>
    <w:rsid w:val="00662FBC"/>
    <w:rsid w:val="00662FD5"/>
    <w:rsid w:val="006633B9"/>
    <w:rsid w:val="00663535"/>
    <w:rsid w:val="0066366C"/>
    <w:rsid w:val="006636A9"/>
    <w:rsid w:val="00663BC6"/>
    <w:rsid w:val="00663DFA"/>
    <w:rsid w:val="00663FE0"/>
    <w:rsid w:val="0066407A"/>
    <w:rsid w:val="006640DF"/>
    <w:rsid w:val="0066413F"/>
    <w:rsid w:val="00664372"/>
    <w:rsid w:val="006644CA"/>
    <w:rsid w:val="006646B2"/>
    <w:rsid w:val="00664BBE"/>
    <w:rsid w:val="00664DBB"/>
    <w:rsid w:val="00664FEF"/>
    <w:rsid w:val="0066507E"/>
    <w:rsid w:val="006651FF"/>
    <w:rsid w:val="006653D0"/>
    <w:rsid w:val="0066586E"/>
    <w:rsid w:val="00665AE4"/>
    <w:rsid w:val="00666422"/>
    <w:rsid w:val="00666504"/>
    <w:rsid w:val="0066650B"/>
    <w:rsid w:val="006665A8"/>
    <w:rsid w:val="00666856"/>
    <w:rsid w:val="00666879"/>
    <w:rsid w:val="00666967"/>
    <w:rsid w:val="00666C38"/>
    <w:rsid w:val="00666C97"/>
    <w:rsid w:val="00666CE8"/>
    <w:rsid w:val="00666F03"/>
    <w:rsid w:val="0066736C"/>
    <w:rsid w:val="006673A1"/>
    <w:rsid w:val="006674A7"/>
    <w:rsid w:val="00667599"/>
    <w:rsid w:val="00667671"/>
    <w:rsid w:val="00667795"/>
    <w:rsid w:val="00667A00"/>
    <w:rsid w:val="00667D88"/>
    <w:rsid w:val="0067007D"/>
    <w:rsid w:val="0067016B"/>
    <w:rsid w:val="006702D7"/>
    <w:rsid w:val="00670827"/>
    <w:rsid w:val="00670983"/>
    <w:rsid w:val="006709BD"/>
    <w:rsid w:val="006709CE"/>
    <w:rsid w:val="00670A12"/>
    <w:rsid w:val="00670A36"/>
    <w:rsid w:val="00670D35"/>
    <w:rsid w:val="00670D5B"/>
    <w:rsid w:val="00670F4A"/>
    <w:rsid w:val="00670F7E"/>
    <w:rsid w:val="00671057"/>
    <w:rsid w:val="006711C5"/>
    <w:rsid w:val="00671506"/>
    <w:rsid w:val="00671735"/>
    <w:rsid w:val="006717B0"/>
    <w:rsid w:val="006718D3"/>
    <w:rsid w:val="00671C9F"/>
    <w:rsid w:val="00671FB6"/>
    <w:rsid w:val="00671FDF"/>
    <w:rsid w:val="0067201A"/>
    <w:rsid w:val="006720D6"/>
    <w:rsid w:val="00672112"/>
    <w:rsid w:val="006721D3"/>
    <w:rsid w:val="006722BE"/>
    <w:rsid w:val="0067288A"/>
    <w:rsid w:val="00672943"/>
    <w:rsid w:val="00672FCF"/>
    <w:rsid w:val="00673790"/>
    <w:rsid w:val="00673B3B"/>
    <w:rsid w:val="006741A8"/>
    <w:rsid w:val="006745AD"/>
    <w:rsid w:val="00674ADC"/>
    <w:rsid w:val="00674B2F"/>
    <w:rsid w:val="00674C2D"/>
    <w:rsid w:val="00674CC6"/>
    <w:rsid w:val="00674EA1"/>
    <w:rsid w:val="00674F3D"/>
    <w:rsid w:val="006751E0"/>
    <w:rsid w:val="00675285"/>
    <w:rsid w:val="006755EE"/>
    <w:rsid w:val="00675A39"/>
    <w:rsid w:val="00675B9A"/>
    <w:rsid w:val="00675E9B"/>
    <w:rsid w:val="00675FF9"/>
    <w:rsid w:val="00676029"/>
    <w:rsid w:val="006764C2"/>
    <w:rsid w:val="006766E6"/>
    <w:rsid w:val="006770DB"/>
    <w:rsid w:val="0067745E"/>
    <w:rsid w:val="0067764B"/>
    <w:rsid w:val="006777E4"/>
    <w:rsid w:val="00677BC6"/>
    <w:rsid w:val="00677F34"/>
    <w:rsid w:val="0068050F"/>
    <w:rsid w:val="006806C3"/>
    <w:rsid w:val="006807F2"/>
    <w:rsid w:val="0068088B"/>
    <w:rsid w:val="00680AAD"/>
    <w:rsid w:val="00680F37"/>
    <w:rsid w:val="006811C8"/>
    <w:rsid w:val="00681365"/>
    <w:rsid w:val="006813F3"/>
    <w:rsid w:val="00681AF9"/>
    <w:rsid w:val="00681C2B"/>
    <w:rsid w:val="006821E5"/>
    <w:rsid w:val="00682448"/>
    <w:rsid w:val="00682556"/>
    <w:rsid w:val="00682B60"/>
    <w:rsid w:val="00683237"/>
    <w:rsid w:val="0068336C"/>
    <w:rsid w:val="00683445"/>
    <w:rsid w:val="006835BC"/>
    <w:rsid w:val="00683834"/>
    <w:rsid w:val="00683A0B"/>
    <w:rsid w:val="00683BAB"/>
    <w:rsid w:val="00683CA9"/>
    <w:rsid w:val="00683D71"/>
    <w:rsid w:val="00684301"/>
    <w:rsid w:val="006844D7"/>
    <w:rsid w:val="0068453F"/>
    <w:rsid w:val="0068478F"/>
    <w:rsid w:val="00684867"/>
    <w:rsid w:val="00684A30"/>
    <w:rsid w:val="00684CB9"/>
    <w:rsid w:val="00685193"/>
    <w:rsid w:val="006856A7"/>
    <w:rsid w:val="006856D3"/>
    <w:rsid w:val="00686744"/>
    <w:rsid w:val="006867EC"/>
    <w:rsid w:val="00686890"/>
    <w:rsid w:val="006868B9"/>
    <w:rsid w:val="006869E4"/>
    <w:rsid w:val="00687191"/>
    <w:rsid w:val="0068726D"/>
    <w:rsid w:val="006872F1"/>
    <w:rsid w:val="0068752B"/>
    <w:rsid w:val="00687873"/>
    <w:rsid w:val="00687E3F"/>
    <w:rsid w:val="006900F0"/>
    <w:rsid w:val="0069013A"/>
    <w:rsid w:val="006901B7"/>
    <w:rsid w:val="006907BB"/>
    <w:rsid w:val="00690DF4"/>
    <w:rsid w:val="00690E6F"/>
    <w:rsid w:val="00691149"/>
    <w:rsid w:val="0069170F"/>
    <w:rsid w:val="006917ED"/>
    <w:rsid w:val="00691E86"/>
    <w:rsid w:val="00691F2E"/>
    <w:rsid w:val="00692164"/>
    <w:rsid w:val="006923ED"/>
    <w:rsid w:val="006927D9"/>
    <w:rsid w:val="006929E3"/>
    <w:rsid w:val="00692BF3"/>
    <w:rsid w:val="00692D9B"/>
    <w:rsid w:val="00692DFE"/>
    <w:rsid w:val="00692E64"/>
    <w:rsid w:val="006930DB"/>
    <w:rsid w:val="0069319C"/>
    <w:rsid w:val="00693348"/>
    <w:rsid w:val="006933EC"/>
    <w:rsid w:val="0069375B"/>
    <w:rsid w:val="00693782"/>
    <w:rsid w:val="006939CE"/>
    <w:rsid w:val="00693B9F"/>
    <w:rsid w:val="006944E4"/>
    <w:rsid w:val="006945A4"/>
    <w:rsid w:val="00694738"/>
    <w:rsid w:val="0069486E"/>
    <w:rsid w:val="0069491A"/>
    <w:rsid w:val="006949DC"/>
    <w:rsid w:val="00694A08"/>
    <w:rsid w:val="00694A6C"/>
    <w:rsid w:val="00694B01"/>
    <w:rsid w:val="00694F23"/>
    <w:rsid w:val="00695187"/>
    <w:rsid w:val="00695288"/>
    <w:rsid w:val="00695657"/>
    <w:rsid w:val="00695CB6"/>
    <w:rsid w:val="00695D35"/>
    <w:rsid w:val="006961C0"/>
    <w:rsid w:val="006961FD"/>
    <w:rsid w:val="006965BE"/>
    <w:rsid w:val="00696645"/>
    <w:rsid w:val="006966B1"/>
    <w:rsid w:val="0069675C"/>
    <w:rsid w:val="0069680D"/>
    <w:rsid w:val="00696D2A"/>
    <w:rsid w:val="00696E4A"/>
    <w:rsid w:val="00696F1B"/>
    <w:rsid w:val="0069715A"/>
    <w:rsid w:val="006971D0"/>
    <w:rsid w:val="00697218"/>
    <w:rsid w:val="00697258"/>
    <w:rsid w:val="006972F7"/>
    <w:rsid w:val="00697575"/>
    <w:rsid w:val="00697651"/>
    <w:rsid w:val="006978C0"/>
    <w:rsid w:val="00697BBE"/>
    <w:rsid w:val="00697FEE"/>
    <w:rsid w:val="006A0514"/>
    <w:rsid w:val="006A0825"/>
    <w:rsid w:val="006A09E5"/>
    <w:rsid w:val="006A0BD9"/>
    <w:rsid w:val="006A0CDE"/>
    <w:rsid w:val="006A0D42"/>
    <w:rsid w:val="006A0D6F"/>
    <w:rsid w:val="006A0E6B"/>
    <w:rsid w:val="006A11D2"/>
    <w:rsid w:val="006A135A"/>
    <w:rsid w:val="006A145A"/>
    <w:rsid w:val="006A1757"/>
    <w:rsid w:val="006A1950"/>
    <w:rsid w:val="006A19A6"/>
    <w:rsid w:val="006A1DE2"/>
    <w:rsid w:val="006A1F87"/>
    <w:rsid w:val="006A2002"/>
    <w:rsid w:val="006A223A"/>
    <w:rsid w:val="006A243F"/>
    <w:rsid w:val="006A2730"/>
    <w:rsid w:val="006A27E1"/>
    <w:rsid w:val="006A2EBC"/>
    <w:rsid w:val="006A2F0F"/>
    <w:rsid w:val="006A2FE2"/>
    <w:rsid w:val="006A3139"/>
    <w:rsid w:val="006A32C6"/>
    <w:rsid w:val="006A38AD"/>
    <w:rsid w:val="006A3D0A"/>
    <w:rsid w:val="006A4152"/>
    <w:rsid w:val="006A4160"/>
    <w:rsid w:val="006A4572"/>
    <w:rsid w:val="006A47BE"/>
    <w:rsid w:val="006A480C"/>
    <w:rsid w:val="006A48AC"/>
    <w:rsid w:val="006A496F"/>
    <w:rsid w:val="006A52BB"/>
    <w:rsid w:val="006A54AD"/>
    <w:rsid w:val="006A5898"/>
    <w:rsid w:val="006A5AA3"/>
    <w:rsid w:val="006A5DD6"/>
    <w:rsid w:val="006A5E12"/>
    <w:rsid w:val="006A5F03"/>
    <w:rsid w:val="006A5F27"/>
    <w:rsid w:val="006A617C"/>
    <w:rsid w:val="006A61B6"/>
    <w:rsid w:val="006A6239"/>
    <w:rsid w:val="006A65FC"/>
    <w:rsid w:val="006A696B"/>
    <w:rsid w:val="006A6D5A"/>
    <w:rsid w:val="006A71C9"/>
    <w:rsid w:val="006A755B"/>
    <w:rsid w:val="006A75D9"/>
    <w:rsid w:val="006A766C"/>
    <w:rsid w:val="006A78C5"/>
    <w:rsid w:val="006A79E5"/>
    <w:rsid w:val="006A7AEE"/>
    <w:rsid w:val="006A7B95"/>
    <w:rsid w:val="006A7E77"/>
    <w:rsid w:val="006B025B"/>
    <w:rsid w:val="006B03A1"/>
    <w:rsid w:val="006B0D7F"/>
    <w:rsid w:val="006B1057"/>
    <w:rsid w:val="006B1276"/>
    <w:rsid w:val="006B1319"/>
    <w:rsid w:val="006B1416"/>
    <w:rsid w:val="006B1455"/>
    <w:rsid w:val="006B1661"/>
    <w:rsid w:val="006B19F5"/>
    <w:rsid w:val="006B1D58"/>
    <w:rsid w:val="006B1ED1"/>
    <w:rsid w:val="006B20B9"/>
    <w:rsid w:val="006B2447"/>
    <w:rsid w:val="006B2565"/>
    <w:rsid w:val="006B25DD"/>
    <w:rsid w:val="006B2779"/>
    <w:rsid w:val="006B27C7"/>
    <w:rsid w:val="006B28D8"/>
    <w:rsid w:val="006B29D1"/>
    <w:rsid w:val="006B2B0F"/>
    <w:rsid w:val="006B2C64"/>
    <w:rsid w:val="006B2CC2"/>
    <w:rsid w:val="006B3387"/>
    <w:rsid w:val="006B3515"/>
    <w:rsid w:val="006B3AEE"/>
    <w:rsid w:val="006B3C87"/>
    <w:rsid w:val="006B4625"/>
    <w:rsid w:val="006B4649"/>
    <w:rsid w:val="006B4D4E"/>
    <w:rsid w:val="006B4DEF"/>
    <w:rsid w:val="006B51D5"/>
    <w:rsid w:val="006B5649"/>
    <w:rsid w:val="006B572C"/>
    <w:rsid w:val="006B5A67"/>
    <w:rsid w:val="006B5D17"/>
    <w:rsid w:val="006B60DA"/>
    <w:rsid w:val="006B6267"/>
    <w:rsid w:val="006B6480"/>
    <w:rsid w:val="006B6505"/>
    <w:rsid w:val="006B6A15"/>
    <w:rsid w:val="006B6CEE"/>
    <w:rsid w:val="006B71D1"/>
    <w:rsid w:val="006B7276"/>
    <w:rsid w:val="006B766C"/>
    <w:rsid w:val="006B767A"/>
    <w:rsid w:val="006B7712"/>
    <w:rsid w:val="006B7775"/>
    <w:rsid w:val="006B785C"/>
    <w:rsid w:val="006C0090"/>
    <w:rsid w:val="006C036A"/>
    <w:rsid w:val="006C04EB"/>
    <w:rsid w:val="006C05C8"/>
    <w:rsid w:val="006C0B11"/>
    <w:rsid w:val="006C0DE7"/>
    <w:rsid w:val="006C1012"/>
    <w:rsid w:val="006C15C4"/>
    <w:rsid w:val="006C16DA"/>
    <w:rsid w:val="006C1BB6"/>
    <w:rsid w:val="006C1D0B"/>
    <w:rsid w:val="006C214A"/>
    <w:rsid w:val="006C22A2"/>
    <w:rsid w:val="006C24E7"/>
    <w:rsid w:val="006C271D"/>
    <w:rsid w:val="006C27C9"/>
    <w:rsid w:val="006C2AA1"/>
    <w:rsid w:val="006C2E60"/>
    <w:rsid w:val="006C2F7C"/>
    <w:rsid w:val="006C3426"/>
    <w:rsid w:val="006C3525"/>
    <w:rsid w:val="006C3668"/>
    <w:rsid w:val="006C382E"/>
    <w:rsid w:val="006C3AAC"/>
    <w:rsid w:val="006C4044"/>
    <w:rsid w:val="006C40B0"/>
    <w:rsid w:val="006C47FF"/>
    <w:rsid w:val="006C4EFA"/>
    <w:rsid w:val="006C5185"/>
    <w:rsid w:val="006C5283"/>
    <w:rsid w:val="006C54AF"/>
    <w:rsid w:val="006C55D7"/>
    <w:rsid w:val="006C56FB"/>
    <w:rsid w:val="006C5826"/>
    <w:rsid w:val="006C5920"/>
    <w:rsid w:val="006C598B"/>
    <w:rsid w:val="006C5B3C"/>
    <w:rsid w:val="006C5CA1"/>
    <w:rsid w:val="006C5CB6"/>
    <w:rsid w:val="006C5E71"/>
    <w:rsid w:val="006C625B"/>
    <w:rsid w:val="006C6462"/>
    <w:rsid w:val="006C653C"/>
    <w:rsid w:val="006C6A39"/>
    <w:rsid w:val="006C6CCE"/>
    <w:rsid w:val="006C6CD8"/>
    <w:rsid w:val="006C6E7F"/>
    <w:rsid w:val="006C712A"/>
    <w:rsid w:val="006C7136"/>
    <w:rsid w:val="006C788D"/>
    <w:rsid w:val="006C7A57"/>
    <w:rsid w:val="006C7B0E"/>
    <w:rsid w:val="006C7EEC"/>
    <w:rsid w:val="006D0072"/>
    <w:rsid w:val="006D0142"/>
    <w:rsid w:val="006D043E"/>
    <w:rsid w:val="006D0494"/>
    <w:rsid w:val="006D04DF"/>
    <w:rsid w:val="006D05FB"/>
    <w:rsid w:val="006D0A15"/>
    <w:rsid w:val="006D0BBE"/>
    <w:rsid w:val="006D1219"/>
    <w:rsid w:val="006D1D9D"/>
    <w:rsid w:val="006D20D9"/>
    <w:rsid w:val="006D234C"/>
    <w:rsid w:val="006D249B"/>
    <w:rsid w:val="006D2547"/>
    <w:rsid w:val="006D25C8"/>
    <w:rsid w:val="006D27EF"/>
    <w:rsid w:val="006D2B1F"/>
    <w:rsid w:val="006D333B"/>
    <w:rsid w:val="006D35D3"/>
    <w:rsid w:val="006D3C8D"/>
    <w:rsid w:val="006D4154"/>
    <w:rsid w:val="006D4207"/>
    <w:rsid w:val="006D4737"/>
    <w:rsid w:val="006D4C47"/>
    <w:rsid w:val="006D4D5D"/>
    <w:rsid w:val="006D4EB2"/>
    <w:rsid w:val="006D4EB7"/>
    <w:rsid w:val="006D5068"/>
    <w:rsid w:val="006D5181"/>
    <w:rsid w:val="006D56BD"/>
    <w:rsid w:val="006D5ABB"/>
    <w:rsid w:val="006D5D04"/>
    <w:rsid w:val="006D5DED"/>
    <w:rsid w:val="006D5EF8"/>
    <w:rsid w:val="006D64CE"/>
    <w:rsid w:val="006D6985"/>
    <w:rsid w:val="006D6B63"/>
    <w:rsid w:val="006D6BE1"/>
    <w:rsid w:val="006D6ECE"/>
    <w:rsid w:val="006D7198"/>
    <w:rsid w:val="006D71CB"/>
    <w:rsid w:val="006D7602"/>
    <w:rsid w:val="006D76F2"/>
    <w:rsid w:val="006D7712"/>
    <w:rsid w:val="006D7817"/>
    <w:rsid w:val="006D7B52"/>
    <w:rsid w:val="006E0077"/>
    <w:rsid w:val="006E018C"/>
    <w:rsid w:val="006E01D4"/>
    <w:rsid w:val="006E041F"/>
    <w:rsid w:val="006E083C"/>
    <w:rsid w:val="006E0AF4"/>
    <w:rsid w:val="006E0DAD"/>
    <w:rsid w:val="006E1151"/>
    <w:rsid w:val="006E1443"/>
    <w:rsid w:val="006E177A"/>
    <w:rsid w:val="006E2015"/>
    <w:rsid w:val="006E2162"/>
    <w:rsid w:val="006E216F"/>
    <w:rsid w:val="006E2279"/>
    <w:rsid w:val="006E229E"/>
    <w:rsid w:val="006E2A40"/>
    <w:rsid w:val="006E2D85"/>
    <w:rsid w:val="006E2DD0"/>
    <w:rsid w:val="006E300C"/>
    <w:rsid w:val="006E317E"/>
    <w:rsid w:val="006E33FF"/>
    <w:rsid w:val="006E3A0D"/>
    <w:rsid w:val="006E3D8B"/>
    <w:rsid w:val="006E3F4E"/>
    <w:rsid w:val="006E436A"/>
    <w:rsid w:val="006E4D27"/>
    <w:rsid w:val="006E58E4"/>
    <w:rsid w:val="006E5A69"/>
    <w:rsid w:val="006E5D27"/>
    <w:rsid w:val="006E604E"/>
    <w:rsid w:val="006E62ED"/>
    <w:rsid w:val="006E64A1"/>
    <w:rsid w:val="006E669C"/>
    <w:rsid w:val="006E6929"/>
    <w:rsid w:val="006E6DC5"/>
    <w:rsid w:val="006E6E2E"/>
    <w:rsid w:val="006E6EA6"/>
    <w:rsid w:val="006E6F9A"/>
    <w:rsid w:val="006E7347"/>
    <w:rsid w:val="006E7369"/>
    <w:rsid w:val="006E79E2"/>
    <w:rsid w:val="006E79F2"/>
    <w:rsid w:val="006E7E3E"/>
    <w:rsid w:val="006F0887"/>
    <w:rsid w:val="006F0C1C"/>
    <w:rsid w:val="006F0D1B"/>
    <w:rsid w:val="006F0DAC"/>
    <w:rsid w:val="006F0FFB"/>
    <w:rsid w:val="006F1001"/>
    <w:rsid w:val="006F1312"/>
    <w:rsid w:val="006F1DE6"/>
    <w:rsid w:val="006F242E"/>
    <w:rsid w:val="006F24B9"/>
    <w:rsid w:val="006F271A"/>
    <w:rsid w:val="006F28A0"/>
    <w:rsid w:val="006F2C54"/>
    <w:rsid w:val="006F2CF7"/>
    <w:rsid w:val="006F2D76"/>
    <w:rsid w:val="006F2E83"/>
    <w:rsid w:val="006F2F0B"/>
    <w:rsid w:val="006F2FB4"/>
    <w:rsid w:val="006F302F"/>
    <w:rsid w:val="006F3231"/>
    <w:rsid w:val="006F32FF"/>
    <w:rsid w:val="006F3312"/>
    <w:rsid w:val="006F35B1"/>
    <w:rsid w:val="006F377D"/>
    <w:rsid w:val="006F3A11"/>
    <w:rsid w:val="006F3B85"/>
    <w:rsid w:val="006F3E51"/>
    <w:rsid w:val="006F4038"/>
    <w:rsid w:val="006F423A"/>
    <w:rsid w:val="006F42BA"/>
    <w:rsid w:val="006F4E7D"/>
    <w:rsid w:val="006F5025"/>
    <w:rsid w:val="006F53DF"/>
    <w:rsid w:val="006F5478"/>
    <w:rsid w:val="006F5A7C"/>
    <w:rsid w:val="006F5BB1"/>
    <w:rsid w:val="006F5E34"/>
    <w:rsid w:val="006F61ED"/>
    <w:rsid w:val="006F6330"/>
    <w:rsid w:val="006F63A5"/>
    <w:rsid w:val="006F63F5"/>
    <w:rsid w:val="006F668A"/>
    <w:rsid w:val="006F683A"/>
    <w:rsid w:val="006F6AD4"/>
    <w:rsid w:val="006F7225"/>
    <w:rsid w:val="006F7950"/>
    <w:rsid w:val="006F7AA4"/>
    <w:rsid w:val="006F7B83"/>
    <w:rsid w:val="0070000A"/>
    <w:rsid w:val="007001B4"/>
    <w:rsid w:val="00700249"/>
    <w:rsid w:val="0070048C"/>
    <w:rsid w:val="0070090B"/>
    <w:rsid w:val="007009BD"/>
    <w:rsid w:val="00700BE7"/>
    <w:rsid w:val="00700E29"/>
    <w:rsid w:val="00700F48"/>
    <w:rsid w:val="00701672"/>
    <w:rsid w:val="00701737"/>
    <w:rsid w:val="007017B5"/>
    <w:rsid w:val="007017D4"/>
    <w:rsid w:val="007019C9"/>
    <w:rsid w:val="00701DDD"/>
    <w:rsid w:val="00702090"/>
    <w:rsid w:val="00702406"/>
    <w:rsid w:val="00702A13"/>
    <w:rsid w:val="00702A5B"/>
    <w:rsid w:val="00702CE1"/>
    <w:rsid w:val="0070305F"/>
    <w:rsid w:val="00703781"/>
    <w:rsid w:val="00703AE6"/>
    <w:rsid w:val="00703B26"/>
    <w:rsid w:val="00703E32"/>
    <w:rsid w:val="0070433B"/>
    <w:rsid w:val="0070436A"/>
    <w:rsid w:val="0070458E"/>
    <w:rsid w:val="007045A3"/>
    <w:rsid w:val="007046AB"/>
    <w:rsid w:val="00704701"/>
    <w:rsid w:val="007048E2"/>
    <w:rsid w:val="00704BD8"/>
    <w:rsid w:val="00704D9E"/>
    <w:rsid w:val="00704E2E"/>
    <w:rsid w:val="00704FC1"/>
    <w:rsid w:val="00705012"/>
    <w:rsid w:val="007051A2"/>
    <w:rsid w:val="0070553E"/>
    <w:rsid w:val="007056B2"/>
    <w:rsid w:val="00705E6F"/>
    <w:rsid w:val="00705E8D"/>
    <w:rsid w:val="00705EDD"/>
    <w:rsid w:val="00705FBB"/>
    <w:rsid w:val="00706019"/>
    <w:rsid w:val="007066AA"/>
    <w:rsid w:val="00706703"/>
    <w:rsid w:val="007067E0"/>
    <w:rsid w:val="00706AEC"/>
    <w:rsid w:val="00706BDE"/>
    <w:rsid w:val="00706C8D"/>
    <w:rsid w:val="00706CF1"/>
    <w:rsid w:val="00706E97"/>
    <w:rsid w:val="0070795C"/>
    <w:rsid w:val="00707A21"/>
    <w:rsid w:val="00707D07"/>
    <w:rsid w:val="00710002"/>
    <w:rsid w:val="007101CE"/>
    <w:rsid w:val="007102EE"/>
    <w:rsid w:val="00710501"/>
    <w:rsid w:val="00710545"/>
    <w:rsid w:val="0071065F"/>
    <w:rsid w:val="00710A01"/>
    <w:rsid w:val="00710B0D"/>
    <w:rsid w:val="00710B5E"/>
    <w:rsid w:val="007110F3"/>
    <w:rsid w:val="00711242"/>
    <w:rsid w:val="007119C8"/>
    <w:rsid w:val="00711A30"/>
    <w:rsid w:val="00711B38"/>
    <w:rsid w:val="00711C33"/>
    <w:rsid w:val="0071223E"/>
    <w:rsid w:val="007126AE"/>
    <w:rsid w:val="007126EE"/>
    <w:rsid w:val="0071272A"/>
    <w:rsid w:val="007127DE"/>
    <w:rsid w:val="00712839"/>
    <w:rsid w:val="007128BB"/>
    <w:rsid w:val="007129BA"/>
    <w:rsid w:val="00712C71"/>
    <w:rsid w:val="00712D1F"/>
    <w:rsid w:val="00712D52"/>
    <w:rsid w:val="00713107"/>
    <w:rsid w:val="007133EA"/>
    <w:rsid w:val="0071342E"/>
    <w:rsid w:val="00713441"/>
    <w:rsid w:val="007134DD"/>
    <w:rsid w:val="007135E2"/>
    <w:rsid w:val="00713637"/>
    <w:rsid w:val="007136D1"/>
    <w:rsid w:val="00713941"/>
    <w:rsid w:val="00713A45"/>
    <w:rsid w:val="00714054"/>
    <w:rsid w:val="00714697"/>
    <w:rsid w:val="00714795"/>
    <w:rsid w:val="007148AD"/>
    <w:rsid w:val="007148FC"/>
    <w:rsid w:val="00714CD1"/>
    <w:rsid w:val="00715031"/>
    <w:rsid w:val="007151A1"/>
    <w:rsid w:val="0071552E"/>
    <w:rsid w:val="00715752"/>
    <w:rsid w:val="00715B05"/>
    <w:rsid w:val="00715B7A"/>
    <w:rsid w:val="00715C32"/>
    <w:rsid w:val="00716020"/>
    <w:rsid w:val="0071612E"/>
    <w:rsid w:val="0071646E"/>
    <w:rsid w:val="0071647E"/>
    <w:rsid w:val="007169A0"/>
    <w:rsid w:val="00716C5E"/>
    <w:rsid w:val="00716C73"/>
    <w:rsid w:val="00716E62"/>
    <w:rsid w:val="00716E65"/>
    <w:rsid w:val="00716F92"/>
    <w:rsid w:val="00717B18"/>
    <w:rsid w:val="00717D92"/>
    <w:rsid w:val="00720F8F"/>
    <w:rsid w:val="00721181"/>
    <w:rsid w:val="0072140F"/>
    <w:rsid w:val="007214F3"/>
    <w:rsid w:val="0072154B"/>
    <w:rsid w:val="00721ABE"/>
    <w:rsid w:val="00721C61"/>
    <w:rsid w:val="00721D34"/>
    <w:rsid w:val="007222A2"/>
    <w:rsid w:val="007222A6"/>
    <w:rsid w:val="007222F7"/>
    <w:rsid w:val="0072231F"/>
    <w:rsid w:val="0072268B"/>
    <w:rsid w:val="00722839"/>
    <w:rsid w:val="00722C9A"/>
    <w:rsid w:val="00722CE2"/>
    <w:rsid w:val="00722CEF"/>
    <w:rsid w:val="007230E7"/>
    <w:rsid w:val="007230EB"/>
    <w:rsid w:val="00723173"/>
    <w:rsid w:val="007231E4"/>
    <w:rsid w:val="007234A3"/>
    <w:rsid w:val="00723501"/>
    <w:rsid w:val="00723636"/>
    <w:rsid w:val="007239C5"/>
    <w:rsid w:val="007239F7"/>
    <w:rsid w:val="00723B41"/>
    <w:rsid w:val="00723D1C"/>
    <w:rsid w:val="00723F7B"/>
    <w:rsid w:val="00724142"/>
    <w:rsid w:val="00724585"/>
    <w:rsid w:val="00724638"/>
    <w:rsid w:val="007247A2"/>
    <w:rsid w:val="007248F5"/>
    <w:rsid w:val="00724939"/>
    <w:rsid w:val="007249A7"/>
    <w:rsid w:val="00724A4D"/>
    <w:rsid w:val="00724A66"/>
    <w:rsid w:val="00724A81"/>
    <w:rsid w:val="00724AC2"/>
    <w:rsid w:val="00724CB4"/>
    <w:rsid w:val="00724E11"/>
    <w:rsid w:val="007250D0"/>
    <w:rsid w:val="0072524D"/>
    <w:rsid w:val="007254C4"/>
    <w:rsid w:val="00725B6C"/>
    <w:rsid w:val="00725B94"/>
    <w:rsid w:val="00725B98"/>
    <w:rsid w:val="00725D6B"/>
    <w:rsid w:val="00726241"/>
    <w:rsid w:val="00726370"/>
    <w:rsid w:val="00726800"/>
    <w:rsid w:val="007269D0"/>
    <w:rsid w:val="00726B86"/>
    <w:rsid w:val="00726CAD"/>
    <w:rsid w:val="0072700D"/>
    <w:rsid w:val="007270E1"/>
    <w:rsid w:val="0072728D"/>
    <w:rsid w:val="007272E4"/>
    <w:rsid w:val="0072737D"/>
    <w:rsid w:val="007278EA"/>
    <w:rsid w:val="00727C03"/>
    <w:rsid w:val="00727C76"/>
    <w:rsid w:val="00727CA7"/>
    <w:rsid w:val="007304D0"/>
    <w:rsid w:val="00730907"/>
    <w:rsid w:val="007309AB"/>
    <w:rsid w:val="00730A5C"/>
    <w:rsid w:val="00730A96"/>
    <w:rsid w:val="00730EDE"/>
    <w:rsid w:val="00730F4F"/>
    <w:rsid w:val="00730FD9"/>
    <w:rsid w:val="00731242"/>
    <w:rsid w:val="007312E6"/>
    <w:rsid w:val="00731326"/>
    <w:rsid w:val="007313B3"/>
    <w:rsid w:val="00731540"/>
    <w:rsid w:val="00731609"/>
    <w:rsid w:val="00731BE9"/>
    <w:rsid w:val="007320A1"/>
    <w:rsid w:val="00732278"/>
    <w:rsid w:val="007322AF"/>
    <w:rsid w:val="0073268D"/>
    <w:rsid w:val="00732AC5"/>
    <w:rsid w:val="00732CBB"/>
    <w:rsid w:val="00732D3F"/>
    <w:rsid w:val="00732E1C"/>
    <w:rsid w:val="00733090"/>
    <w:rsid w:val="00733159"/>
    <w:rsid w:val="007331BD"/>
    <w:rsid w:val="0073322F"/>
    <w:rsid w:val="00733376"/>
    <w:rsid w:val="007339A6"/>
    <w:rsid w:val="00733A3E"/>
    <w:rsid w:val="00733A64"/>
    <w:rsid w:val="00733B03"/>
    <w:rsid w:val="00733BCE"/>
    <w:rsid w:val="00733F7E"/>
    <w:rsid w:val="007348FC"/>
    <w:rsid w:val="00734B24"/>
    <w:rsid w:val="00734C8A"/>
    <w:rsid w:val="00734EAE"/>
    <w:rsid w:val="0073501D"/>
    <w:rsid w:val="007350E5"/>
    <w:rsid w:val="007351D9"/>
    <w:rsid w:val="00735647"/>
    <w:rsid w:val="00735D04"/>
    <w:rsid w:val="00735E39"/>
    <w:rsid w:val="00735ED5"/>
    <w:rsid w:val="007361CD"/>
    <w:rsid w:val="00736CB7"/>
    <w:rsid w:val="00736F26"/>
    <w:rsid w:val="0073768E"/>
    <w:rsid w:val="007377B6"/>
    <w:rsid w:val="00737A03"/>
    <w:rsid w:val="00737A92"/>
    <w:rsid w:val="00737D0C"/>
    <w:rsid w:val="00737DCC"/>
    <w:rsid w:val="00737E80"/>
    <w:rsid w:val="00740037"/>
    <w:rsid w:val="007404EB"/>
    <w:rsid w:val="007405B4"/>
    <w:rsid w:val="007407A1"/>
    <w:rsid w:val="00740A38"/>
    <w:rsid w:val="00740CE2"/>
    <w:rsid w:val="007410EC"/>
    <w:rsid w:val="007412F5"/>
    <w:rsid w:val="0074153E"/>
    <w:rsid w:val="0074168E"/>
    <w:rsid w:val="007417FD"/>
    <w:rsid w:val="0074184C"/>
    <w:rsid w:val="00741D5B"/>
    <w:rsid w:val="007423A9"/>
    <w:rsid w:val="007423BE"/>
    <w:rsid w:val="00742476"/>
    <w:rsid w:val="007425AE"/>
    <w:rsid w:val="00742601"/>
    <w:rsid w:val="007426E1"/>
    <w:rsid w:val="00742B25"/>
    <w:rsid w:val="00742B7B"/>
    <w:rsid w:val="00742CE4"/>
    <w:rsid w:val="00742D09"/>
    <w:rsid w:val="00742FA7"/>
    <w:rsid w:val="0074337E"/>
    <w:rsid w:val="0074348B"/>
    <w:rsid w:val="00743744"/>
    <w:rsid w:val="00743E6A"/>
    <w:rsid w:val="0074418B"/>
    <w:rsid w:val="007441DD"/>
    <w:rsid w:val="0074420E"/>
    <w:rsid w:val="007448EE"/>
    <w:rsid w:val="00744BEA"/>
    <w:rsid w:val="0074521A"/>
    <w:rsid w:val="00745406"/>
    <w:rsid w:val="007454DE"/>
    <w:rsid w:val="00745A26"/>
    <w:rsid w:val="00745A6A"/>
    <w:rsid w:val="00745CEC"/>
    <w:rsid w:val="0074622A"/>
    <w:rsid w:val="007468D0"/>
    <w:rsid w:val="00746A1A"/>
    <w:rsid w:val="00746A25"/>
    <w:rsid w:val="00746B0B"/>
    <w:rsid w:val="00746F9B"/>
    <w:rsid w:val="007476AE"/>
    <w:rsid w:val="00747965"/>
    <w:rsid w:val="007500A0"/>
    <w:rsid w:val="007500AB"/>
    <w:rsid w:val="0075059D"/>
    <w:rsid w:val="00750889"/>
    <w:rsid w:val="007512F3"/>
    <w:rsid w:val="007512FD"/>
    <w:rsid w:val="00751445"/>
    <w:rsid w:val="007517B3"/>
    <w:rsid w:val="00751DA2"/>
    <w:rsid w:val="00752003"/>
    <w:rsid w:val="00752185"/>
    <w:rsid w:val="0075266E"/>
    <w:rsid w:val="007526BB"/>
    <w:rsid w:val="00752715"/>
    <w:rsid w:val="007527BD"/>
    <w:rsid w:val="00752A59"/>
    <w:rsid w:val="00752AB4"/>
    <w:rsid w:val="00752DA4"/>
    <w:rsid w:val="00752E0A"/>
    <w:rsid w:val="007530AE"/>
    <w:rsid w:val="00753147"/>
    <w:rsid w:val="007531F4"/>
    <w:rsid w:val="0075328F"/>
    <w:rsid w:val="00753331"/>
    <w:rsid w:val="007534F9"/>
    <w:rsid w:val="00753924"/>
    <w:rsid w:val="00753933"/>
    <w:rsid w:val="00753B37"/>
    <w:rsid w:val="00753BF4"/>
    <w:rsid w:val="00753DE8"/>
    <w:rsid w:val="00754026"/>
    <w:rsid w:val="007541BA"/>
    <w:rsid w:val="00754240"/>
    <w:rsid w:val="0075462A"/>
    <w:rsid w:val="00754826"/>
    <w:rsid w:val="00754848"/>
    <w:rsid w:val="00754B0B"/>
    <w:rsid w:val="00754FAA"/>
    <w:rsid w:val="00755009"/>
    <w:rsid w:val="007550AD"/>
    <w:rsid w:val="00755373"/>
    <w:rsid w:val="00755418"/>
    <w:rsid w:val="007554A3"/>
    <w:rsid w:val="007554F4"/>
    <w:rsid w:val="00755739"/>
    <w:rsid w:val="00755740"/>
    <w:rsid w:val="00755961"/>
    <w:rsid w:val="00755CC3"/>
    <w:rsid w:val="00755EE6"/>
    <w:rsid w:val="00756098"/>
    <w:rsid w:val="007563A6"/>
    <w:rsid w:val="0075643F"/>
    <w:rsid w:val="00756788"/>
    <w:rsid w:val="00756882"/>
    <w:rsid w:val="007577C4"/>
    <w:rsid w:val="007578D0"/>
    <w:rsid w:val="00757ABC"/>
    <w:rsid w:val="00757AFA"/>
    <w:rsid w:val="00757B4B"/>
    <w:rsid w:val="00757DCC"/>
    <w:rsid w:val="007604A2"/>
    <w:rsid w:val="0076068C"/>
    <w:rsid w:val="00760776"/>
    <w:rsid w:val="00760B27"/>
    <w:rsid w:val="00760E27"/>
    <w:rsid w:val="00760FED"/>
    <w:rsid w:val="00761871"/>
    <w:rsid w:val="00761936"/>
    <w:rsid w:val="007619EA"/>
    <w:rsid w:val="00761C76"/>
    <w:rsid w:val="00762499"/>
    <w:rsid w:val="0076266E"/>
    <w:rsid w:val="0076282F"/>
    <w:rsid w:val="007628B8"/>
    <w:rsid w:val="0076296D"/>
    <w:rsid w:val="00762ADA"/>
    <w:rsid w:val="00762C0E"/>
    <w:rsid w:val="00762C2E"/>
    <w:rsid w:val="00763049"/>
    <w:rsid w:val="0076308F"/>
    <w:rsid w:val="00763503"/>
    <w:rsid w:val="00763694"/>
    <w:rsid w:val="00763A46"/>
    <w:rsid w:val="00763A66"/>
    <w:rsid w:val="00763B92"/>
    <w:rsid w:val="00763D6B"/>
    <w:rsid w:val="00764104"/>
    <w:rsid w:val="00764385"/>
    <w:rsid w:val="00764483"/>
    <w:rsid w:val="00764529"/>
    <w:rsid w:val="0076469A"/>
    <w:rsid w:val="007647FD"/>
    <w:rsid w:val="007648DB"/>
    <w:rsid w:val="00764AED"/>
    <w:rsid w:val="00764B22"/>
    <w:rsid w:val="0076525F"/>
    <w:rsid w:val="007654DE"/>
    <w:rsid w:val="00765616"/>
    <w:rsid w:val="007656EE"/>
    <w:rsid w:val="007656F4"/>
    <w:rsid w:val="00765747"/>
    <w:rsid w:val="0076578A"/>
    <w:rsid w:val="0076585D"/>
    <w:rsid w:val="00765971"/>
    <w:rsid w:val="00765D8E"/>
    <w:rsid w:val="007664F3"/>
    <w:rsid w:val="007665B3"/>
    <w:rsid w:val="00766868"/>
    <w:rsid w:val="007669A3"/>
    <w:rsid w:val="00766D15"/>
    <w:rsid w:val="0076715F"/>
    <w:rsid w:val="00767244"/>
    <w:rsid w:val="0076785A"/>
    <w:rsid w:val="00767D53"/>
    <w:rsid w:val="00767F50"/>
    <w:rsid w:val="00767FAB"/>
    <w:rsid w:val="00767FAD"/>
    <w:rsid w:val="007700AA"/>
    <w:rsid w:val="007703AD"/>
    <w:rsid w:val="007703B3"/>
    <w:rsid w:val="007703E1"/>
    <w:rsid w:val="00770729"/>
    <w:rsid w:val="00770882"/>
    <w:rsid w:val="00770B12"/>
    <w:rsid w:val="00770CDF"/>
    <w:rsid w:val="00770D30"/>
    <w:rsid w:val="007713DD"/>
    <w:rsid w:val="0077177C"/>
    <w:rsid w:val="00771B44"/>
    <w:rsid w:val="00771C4A"/>
    <w:rsid w:val="00771E40"/>
    <w:rsid w:val="0077211C"/>
    <w:rsid w:val="0077264B"/>
    <w:rsid w:val="00772C0C"/>
    <w:rsid w:val="00772E66"/>
    <w:rsid w:val="00772EB7"/>
    <w:rsid w:val="00772F2D"/>
    <w:rsid w:val="00772F67"/>
    <w:rsid w:val="00773187"/>
    <w:rsid w:val="00773277"/>
    <w:rsid w:val="007733B2"/>
    <w:rsid w:val="0077390C"/>
    <w:rsid w:val="00773C5B"/>
    <w:rsid w:val="007742A7"/>
    <w:rsid w:val="0077462B"/>
    <w:rsid w:val="00774671"/>
    <w:rsid w:val="007746A5"/>
    <w:rsid w:val="00774A4B"/>
    <w:rsid w:val="00774BE8"/>
    <w:rsid w:val="00774CBC"/>
    <w:rsid w:val="00774D3B"/>
    <w:rsid w:val="00774ECA"/>
    <w:rsid w:val="00774F39"/>
    <w:rsid w:val="0077516A"/>
    <w:rsid w:val="007751DC"/>
    <w:rsid w:val="00775254"/>
    <w:rsid w:val="0077582C"/>
    <w:rsid w:val="007758DE"/>
    <w:rsid w:val="00775C59"/>
    <w:rsid w:val="00776055"/>
    <w:rsid w:val="0077635B"/>
    <w:rsid w:val="0077640D"/>
    <w:rsid w:val="0077674C"/>
    <w:rsid w:val="00776775"/>
    <w:rsid w:val="00776D92"/>
    <w:rsid w:val="007773B7"/>
    <w:rsid w:val="007774C3"/>
    <w:rsid w:val="0077763E"/>
    <w:rsid w:val="00777B33"/>
    <w:rsid w:val="007802FC"/>
    <w:rsid w:val="007803F5"/>
    <w:rsid w:val="007807CF"/>
    <w:rsid w:val="007807D1"/>
    <w:rsid w:val="00780B43"/>
    <w:rsid w:val="00780D75"/>
    <w:rsid w:val="00780F77"/>
    <w:rsid w:val="007814A8"/>
    <w:rsid w:val="007818BB"/>
    <w:rsid w:val="00781B26"/>
    <w:rsid w:val="00781B72"/>
    <w:rsid w:val="00781C33"/>
    <w:rsid w:val="00781CAC"/>
    <w:rsid w:val="00782086"/>
    <w:rsid w:val="00782089"/>
    <w:rsid w:val="00782215"/>
    <w:rsid w:val="0078233A"/>
    <w:rsid w:val="007826C9"/>
    <w:rsid w:val="0078299F"/>
    <w:rsid w:val="00782A5E"/>
    <w:rsid w:val="00782EA5"/>
    <w:rsid w:val="00783470"/>
    <w:rsid w:val="00783490"/>
    <w:rsid w:val="00783502"/>
    <w:rsid w:val="007835FE"/>
    <w:rsid w:val="00783C65"/>
    <w:rsid w:val="00783FC3"/>
    <w:rsid w:val="007840BC"/>
    <w:rsid w:val="00784197"/>
    <w:rsid w:val="00784248"/>
    <w:rsid w:val="0078450D"/>
    <w:rsid w:val="00784BAC"/>
    <w:rsid w:val="00784C17"/>
    <w:rsid w:val="00785012"/>
    <w:rsid w:val="0078508E"/>
    <w:rsid w:val="007850C0"/>
    <w:rsid w:val="00785727"/>
    <w:rsid w:val="0078577F"/>
    <w:rsid w:val="0078584C"/>
    <w:rsid w:val="0078596F"/>
    <w:rsid w:val="00785C2C"/>
    <w:rsid w:val="00785E31"/>
    <w:rsid w:val="00786BAD"/>
    <w:rsid w:val="00786CF7"/>
    <w:rsid w:val="00786D2A"/>
    <w:rsid w:val="00786EA9"/>
    <w:rsid w:val="00787254"/>
    <w:rsid w:val="0078742A"/>
    <w:rsid w:val="00787C37"/>
    <w:rsid w:val="00787C8F"/>
    <w:rsid w:val="00787DC8"/>
    <w:rsid w:val="00787E12"/>
    <w:rsid w:val="00787E6B"/>
    <w:rsid w:val="00787FA0"/>
    <w:rsid w:val="007901D1"/>
    <w:rsid w:val="00790218"/>
    <w:rsid w:val="00790380"/>
    <w:rsid w:val="007904A5"/>
    <w:rsid w:val="007904BE"/>
    <w:rsid w:val="00790523"/>
    <w:rsid w:val="007905DA"/>
    <w:rsid w:val="00790861"/>
    <w:rsid w:val="007908F7"/>
    <w:rsid w:val="0079140A"/>
    <w:rsid w:val="00791989"/>
    <w:rsid w:val="007919A2"/>
    <w:rsid w:val="007919F0"/>
    <w:rsid w:val="00791E55"/>
    <w:rsid w:val="00791EA9"/>
    <w:rsid w:val="00791FC7"/>
    <w:rsid w:val="00792001"/>
    <w:rsid w:val="007921A8"/>
    <w:rsid w:val="007921DA"/>
    <w:rsid w:val="00792796"/>
    <w:rsid w:val="00792844"/>
    <w:rsid w:val="00792DA0"/>
    <w:rsid w:val="00792DD5"/>
    <w:rsid w:val="00792F56"/>
    <w:rsid w:val="00793206"/>
    <w:rsid w:val="00793615"/>
    <w:rsid w:val="00793647"/>
    <w:rsid w:val="0079367E"/>
    <w:rsid w:val="00793AC4"/>
    <w:rsid w:val="00793D65"/>
    <w:rsid w:val="00793EE6"/>
    <w:rsid w:val="00794555"/>
    <w:rsid w:val="00794582"/>
    <w:rsid w:val="00794950"/>
    <w:rsid w:val="00794979"/>
    <w:rsid w:val="00794BF9"/>
    <w:rsid w:val="00794F97"/>
    <w:rsid w:val="0079526F"/>
    <w:rsid w:val="007953CD"/>
    <w:rsid w:val="0079552A"/>
    <w:rsid w:val="007956BF"/>
    <w:rsid w:val="00795811"/>
    <w:rsid w:val="00795C58"/>
    <w:rsid w:val="00795F19"/>
    <w:rsid w:val="00796017"/>
    <w:rsid w:val="0079613F"/>
    <w:rsid w:val="0079651C"/>
    <w:rsid w:val="007965FA"/>
    <w:rsid w:val="00796952"/>
    <w:rsid w:val="00796D04"/>
    <w:rsid w:val="00796D3A"/>
    <w:rsid w:val="00797244"/>
    <w:rsid w:val="00797349"/>
    <w:rsid w:val="007976BA"/>
    <w:rsid w:val="00797879"/>
    <w:rsid w:val="00797B3A"/>
    <w:rsid w:val="00797CDF"/>
    <w:rsid w:val="00797E46"/>
    <w:rsid w:val="00797F6A"/>
    <w:rsid w:val="007A0078"/>
    <w:rsid w:val="007A035D"/>
    <w:rsid w:val="007A05BB"/>
    <w:rsid w:val="007A07C7"/>
    <w:rsid w:val="007A0AF8"/>
    <w:rsid w:val="007A0D0C"/>
    <w:rsid w:val="007A0E72"/>
    <w:rsid w:val="007A10BF"/>
    <w:rsid w:val="007A10F9"/>
    <w:rsid w:val="007A1442"/>
    <w:rsid w:val="007A145B"/>
    <w:rsid w:val="007A1809"/>
    <w:rsid w:val="007A1CAA"/>
    <w:rsid w:val="007A1F21"/>
    <w:rsid w:val="007A1FAA"/>
    <w:rsid w:val="007A2010"/>
    <w:rsid w:val="007A20D1"/>
    <w:rsid w:val="007A2112"/>
    <w:rsid w:val="007A21E4"/>
    <w:rsid w:val="007A22FA"/>
    <w:rsid w:val="007A2882"/>
    <w:rsid w:val="007A30A4"/>
    <w:rsid w:val="007A3320"/>
    <w:rsid w:val="007A33B5"/>
    <w:rsid w:val="007A352F"/>
    <w:rsid w:val="007A36A9"/>
    <w:rsid w:val="007A375D"/>
    <w:rsid w:val="007A38DB"/>
    <w:rsid w:val="007A3A0D"/>
    <w:rsid w:val="007A3D3E"/>
    <w:rsid w:val="007A3DE7"/>
    <w:rsid w:val="007A4455"/>
    <w:rsid w:val="007A466E"/>
    <w:rsid w:val="007A468B"/>
    <w:rsid w:val="007A479F"/>
    <w:rsid w:val="007A4B8D"/>
    <w:rsid w:val="007A4F6B"/>
    <w:rsid w:val="007A5008"/>
    <w:rsid w:val="007A525A"/>
    <w:rsid w:val="007A568C"/>
    <w:rsid w:val="007A57E2"/>
    <w:rsid w:val="007A5E2C"/>
    <w:rsid w:val="007A603D"/>
    <w:rsid w:val="007A6D5C"/>
    <w:rsid w:val="007A6FFD"/>
    <w:rsid w:val="007A7391"/>
    <w:rsid w:val="007A74FB"/>
    <w:rsid w:val="007A757F"/>
    <w:rsid w:val="007A77C0"/>
    <w:rsid w:val="007A79E7"/>
    <w:rsid w:val="007A7A66"/>
    <w:rsid w:val="007A7BFD"/>
    <w:rsid w:val="007A7FB3"/>
    <w:rsid w:val="007B0195"/>
    <w:rsid w:val="007B0617"/>
    <w:rsid w:val="007B0AF6"/>
    <w:rsid w:val="007B11E2"/>
    <w:rsid w:val="007B13BA"/>
    <w:rsid w:val="007B154E"/>
    <w:rsid w:val="007B175C"/>
    <w:rsid w:val="007B1946"/>
    <w:rsid w:val="007B1959"/>
    <w:rsid w:val="007B1B8D"/>
    <w:rsid w:val="007B1CA9"/>
    <w:rsid w:val="007B1CD5"/>
    <w:rsid w:val="007B2574"/>
    <w:rsid w:val="007B28D3"/>
    <w:rsid w:val="007B2AA2"/>
    <w:rsid w:val="007B2AC3"/>
    <w:rsid w:val="007B2CE1"/>
    <w:rsid w:val="007B2FB2"/>
    <w:rsid w:val="007B32BB"/>
    <w:rsid w:val="007B37DA"/>
    <w:rsid w:val="007B3B0E"/>
    <w:rsid w:val="007B3EE5"/>
    <w:rsid w:val="007B3F9A"/>
    <w:rsid w:val="007B405A"/>
    <w:rsid w:val="007B415C"/>
    <w:rsid w:val="007B45E8"/>
    <w:rsid w:val="007B477D"/>
    <w:rsid w:val="007B488F"/>
    <w:rsid w:val="007B4998"/>
    <w:rsid w:val="007B4AC1"/>
    <w:rsid w:val="007B4BBE"/>
    <w:rsid w:val="007B4D8F"/>
    <w:rsid w:val="007B4DFD"/>
    <w:rsid w:val="007B4FF5"/>
    <w:rsid w:val="007B50DD"/>
    <w:rsid w:val="007B52C0"/>
    <w:rsid w:val="007B53E7"/>
    <w:rsid w:val="007B58F4"/>
    <w:rsid w:val="007B59C3"/>
    <w:rsid w:val="007B5B08"/>
    <w:rsid w:val="007B616B"/>
    <w:rsid w:val="007B627D"/>
    <w:rsid w:val="007B6690"/>
    <w:rsid w:val="007B675D"/>
    <w:rsid w:val="007B6789"/>
    <w:rsid w:val="007B6817"/>
    <w:rsid w:val="007B6B0F"/>
    <w:rsid w:val="007B6FCD"/>
    <w:rsid w:val="007B7121"/>
    <w:rsid w:val="007B7125"/>
    <w:rsid w:val="007B7422"/>
    <w:rsid w:val="007B74A5"/>
    <w:rsid w:val="007B7630"/>
    <w:rsid w:val="007B769F"/>
    <w:rsid w:val="007B79CB"/>
    <w:rsid w:val="007B7A97"/>
    <w:rsid w:val="007B7B22"/>
    <w:rsid w:val="007B7B9D"/>
    <w:rsid w:val="007B7D1C"/>
    <w:rsid w:val="007B7D8B"/>
    <w:rsid w:val="007C0063"/>
    <w:rsid w:val="007C04EC"/>
    <w:rsid w:val="007C060E"/>
    <w:rsid w:val="007C0ABF"/>
    <w:rsid w:val="007C0DAD"/>
    <w:rsid w:val="007C113B"/>
    <w:rsid w:val="007C154D"/>
    <w:rsid w:val="007C161F"/>
    <w:rsid w:val="007C17A7"/>
    <w:rsid w:val="007C1B02"/>
    <w:rsid w:val="007C1CAD"/>
    <w:rsid w:val="007C1D3E"/>
    <w:rsid w:val="007C1DFF"/>
    <w:rsid w:val="007C1FC8"/>
    <w:rsid w:val="007C206E"/>
    <w:rsid w:val="007C221F"/>
    <w:rsid w:val="007C2693"/>
    <w:rsid w:val="007C28C5"/>
    <w:rsid w:val="007C28DB"/>
    <w:rsid w:val="007C2AF2"/>
    <w:rsid w:val="007C2C9B"/>
    <w:rsid w:val="007C32B6"/>
    <w:rsid w:val="007C38C4"/>
    <w:rsid w:val="007C39DB"/>
    <w:rsid w:val="007C3A8F"/>
    <w:rsid w:val="007C3BC3"/>
    <w:rsid w:val="007C49EE"/>
    <w:rsid w:val="007C4A52"/>
    <w:rsid w:val="007C4B1B"/>
    <w:rsid w:val="007C4BD9"/>
    <w:rsid w:val="007C4DDC"/>
    <w:rsid w:val="007C4F59"/>
    <w:rsid w:val="007C501A"/>
    <w:rsid w:val="007C513F"/>
    <w:rsid w:val="007C566E"/>
    <w:rsid w:val="007C566F"/>
    <w:rsid w:val="007C56CD"/>
    <w:rsid w:val="007C5764"/>
    <w:rsid w:val="007C5A07"/>
    <w:rsid w:val="007C5AF7"/>
    <w:rsid w:val="007C5BF7"/>
    <w:rsid w:val="007C5E81"/>
    <w:rsid w:val="007C5EEB"/>
    <w:rsid w:val="007C5F07"/>
    <w:rsid w:val="007C6084"/>
    <w:rsid w:val="007C61A3"/>
    <w:rsid w:val="007C62A0"/>
    <w:rsid w:val="007C6465"/>
    <w:rsid w:val="007C6527"/>
    <w:rsid w:val="007C6586"/>
    <w:rsid w:val="007C664C"/>
    <w:rsid w:val="007C6774"/>
    <w:rsid w:val="007C677C"/>
    <w:rsid w:val="007C7236"/>
    <w:rsid w:val="007C741C"/>
    <w:rsid w:val="007C762F"/>
    <w:rsid w:val="007C7836"/>
    <w:rsid w:val="007C79E3"/>
    <w:rsid w:val="007C7A02"/>
    <w:rsid w:val="007C7C3D"/>
    <w:rsid w:val="007C7C6C"/>
    <w:rsid w:val="007C7C7D"/>
    <w:rsid w:val="007D019E"/>
    <w:rsid w:val="007D0320"/>
    <w:rsid w:val="007D090E"/>
    <w:rsid w:val="007D0A9D"/>
    <w:rsid w:val="007D0CE2"/>
    <w:rsid w:val="007D1365"/>
    <w:rsid w:val="007D14C6"/>
    <w:rsid w:val="007D1DF4"/>
    <w:rsid w:val="007D1F3F"/>
    <w:rsid w:val="007D2151"/>
    <w:rsid w:val="007D2209"/>
    <w:rsid w:val="007D26BE"/>
    <w:rsid w:val="007D26D6"/>
    <w:rsid w:val="007D27B2"/>
    <w:rsid w:val="007D2873"/>
    <w:rsid w:val="007D291F"/>
    <w:rsid w:val="007D2B01"/>
    <w:rsid w:val="007D36A2"/>
    <w:rsid w:val="007D394B"/>
    <w:rsid w:val="007D3BF0"/>
    <w:rsid w:val="007D3C95"/>
    <w:rsid w:val="007D3D0E"/>
    <w:rsid w:val="007D3E72"/>
    <w:rsid w:val="007D4412"/>
    <w:rsid w:val="007D4CB0"/>
    <w:rsid w:val="007D5207"/>
    <w:rsid w:val="007D534D"/>
    <w:rsid w:val="007D5388"/>
    <w:rsid w:val="007D5390"/>
    <w:rsid w:val="007D5600"/>
    <w:rsid w:val="007D5ECB"/>
    <w:rsid w:val="007D6473"/>
    <w:rsid w:val="007D6546"/>
    <w:rsid w:val="007D672C"/>
    <w:rsid w:val="007D68F8"/>
    <w:rsid w:val="007D695D"/>
    <w:rsid w:val="007D6B71"/>
    <w:rsid w:val="007D6BBB"/>
    <w:rsid w:val="007D726C"/>
    <w:rsid w:val="007D73CB"/>
    <w:rsid w:val="007D7421"/>
    <w:rsid w:val="007D74B6"/>
    <w:rsid w:val="007D7548"/>
    <w:rsid w:val="007D7BBA"/>
    <w:rsid w:val="007D7C38"/>
    <w:rsid w:val="007D7E5A"/>
    <w:rsid w:val="007D7F53"/>
    <w:rsid w:val="007E0094"/>
    <w:rsid w:val="007E00DF"/>
    <w:rsid w:val="007E0509"/>
    <w:rsid w:val="007E050D"/>
    <w:rsid w:val="007E063A"/>
    <w:rsid w:val="007E0849"/>
    <w:rsid w:val="007E1010"/>
    <w:rsid w:val="007E10F4"/>
    <w:rsid w:val="007E11EF"/>
    <w:rsid w:val="007E1310"/>
    <w:rsid w:val="007E13D9"/>
    <w:rsid w:val="007E14B4"/>
    <w:rsid w:val="007E14FD"/>
    <w:rsid w:val="007E1706"/>
    <w:rsid w:val="007E17FD"/>
    <w:rsid w:val="007E18CB"/>
    <w:rsid w:val="007E1AF9"/>
    <w:rsid w:val="007E1BA5"/>
    <w:rsid w:val="007E25F9"/>
    <w:rsid w:val="007E2823"/>
    <w:rsid w:val="007E2BD1"/>
    <w:rsid w:val="007E2FC8"/>
    <w:rsid w:val="007E3159"/>
    <w:rsid w:val="007E31E6"/>
    <w:rsid w:val="007E31FB"/>
    <w:rsid w:val="007E3921"/>
    <w:rsid w:val="007E3A65"/>
    <w:rsid w:val="007E3B28"/>
    <w:rsid w:val="007E3CCA"/>
    <w:rsid w:val="007E3D21"/>
    <w:rsid w:val="007E43E9"/>
    <w:rsid w:val="007E45AC"/>
    <w:rsid w:val="007E4692"/>
    <w:rsid w:val="007E4726"/>
    <w:rsid w:val="007E4730"/>
    <w:rsid w:val="007E474D"/>
    <w:rsid w:val="007E4A7A"/>
    <w:rsid w:val="007E4ADA"/>
    <w:rsid w:val="007E4CC0"/>
    <w:rsid w:val="007E4E2C"/>
    <w:rsid w:val="007E4ED0"/>
    <w:rsid w:val="007E52F3"/>
    <w:rsid w:val="007E54BA"/>
    <w:rsid w:val="007E557C"/>
    <w:rsid w:val="007E55F5"/>
    <w:rsid w:val="007E5637"/>
    <w:rsid w:val="007E58F3"/>
    <w:rsid w:val="007E5ABF"/>
    <w:rsid w:val="007E6323"/>
    <w:rsid w:val="007E639C"/>
    <w:rsid w:val="007E63EA"/>
    <w:rsid w:val="007E65F7"/>
    <w:rsid w:val="007E6927"/>
    <w:rsid w:val="007E6A3F"/>
    <w:rsid w:val="007E6B7F"/>
    <w:rsid w:val="007E7365"/>
    <w:rsid w:val="007E7502"/>
    <w:rsid w:val="007E7B16"/>
    <w:rsid w:val="007E7BB0"/>
    <w:rsid w:val="007E7D32"/>
    <w:rsid w:val="007E7DCB"/>
    <w:rsid w:val="007E7FD2"/>
    <w:rsid w:val="007F0161"/>
    <w:rsid w:val="007F02FC"/>
    <w:rsid w:val="007F03B2"/>
    <w:rsid w:val="007F087C"/>
    <w:rsid w:val="007F0AFC"/>
    <w:rsid w:val="007F0CA3"/>
    <w:rsid w:val="007F0E1A"/>
    <w:rsid w:val="007F0F1C"/>
    <w:rsid w:val="007F0F29"/>
    <w:rsid w:val="007F1708"/>
    <w:rsid w:val="007F1831"/>
    <w:rsid w:val="007F2064"/>
    <w:rsid w:val="007F22FA"/>
    <w:rsid w:val="007F2517"/>
    <w:rsid w:val="007F2889"/>
    <w:rsid w:val="007F2AC1"/>
    <w:rsid w:val="007F2B96"/>
    <w:rsid w:val="007F2E72"/>
    <w:rsid w:val="007F2F76"/>
    <w:rsid w:val="007F30D0"/>
    <w:rsid w:val="007F33F3"/>
    <w:rsid w:val="007F3809"/>
    <w:rsid w:val="007F3D1A"/>
    <w:rsid w:val="007F3E59"/>
    <w:rsid w:val="007F3EFE"/>
    <w:rsid w:val="007F45D9"/>
    <w:rsid w:val="007F4705"/>
    <w:rsid w:val="007F491D"/>
    <w:rsid w:val="007F4D41"/>
    <w:rsid w:val="007F4D53"/>
    <w:rsid w:val="007F4D82"/>
    <w:rsid w:val="007F4F1C"/>
    <w:rsid w:val="007F5275"/>
    <w:rsid w:val="007F5475"/>
    <w:rsid w:val="007F56DE"/>
    <w:rsid w:val="007F5863"/>
    <w:rsid w:val="007F5F56"/>
    <w:rsid w:val="007F62FB"/>
    <w:rsid w:val="007F6579"/>
    <w:rsid w:val="007F65F3"/>
    <w:rsid w:val="007F66F6"/>
    <w:rsid w:val="007F6809"/>
    <w:rsid w:val="007F68D5"/>
    <w:rsid w:val="007F6B0D"/>
    <w:rsid w:val="007F7163"/>
    <w:rsid w:val="007F73F8"/>
    <w:rsid w:val="007F7661"/>
    <w:rsid w:val="007F770A"/>
    <w:rsid w:val="007F7883"/>
    <w:rsid w:val="0080002F"/>
    <w:rsid w:val="0080009B"/>
    <w:rsid w:val="0080029B"/>
    <w:rsid w:val="008005E6"/>
    <w:rsid w:val="00800AA0"/>
    <w:rsid w:val="00800AAC"/>
    <w:rsid w:val="00800C7A"/>
    <w:rsid w:val="00800F20"/>
    <w:rsid w:val="00801215"/>
    <w:rsid w:val="00801272"/>
    <w:rsid w:val="008012EE"/>
    <w:rsid w:val="00801394"/>
    <w:rsid w:val="00801475"/>
    <w:rsid w:val="008014AD"/>
    <w:rsid w:val="00801661"/>
    <w:rsid w:val="00801827"/>
    <w:rsid w:val="00801A92"/>
    <w:rsid w:val="00801EFB"/>
    <w:rsid w:val="008020C9"/>
    <w:rsid w:val="00802A91"/>
    <w:rsid w:val="00802AAE"/>
    <w:rsid w:val="008031DD"/>
    <w:rsid w:val="0080349E"/>
    <w:rsid w:val="00803530"/>
    <w:rsid w:val="008035AF"/>
    <w:rsid w:val="00803996"/>
    <w:rsid w:val="00803A4A"/>
    <w:rsid w:val="00803B04"/>
    <w:rsid w:val="00803C08"/>
    <w:rsid w:val="00803C3B"/>
    <w:rsid w:val="00803CCF"/>
    <w:rsid w:val="00803E56"/>
    <w:rsid w:val="008041A3"/>
    <w:rsid w:val="0080452E"/>
    <w:rsid w:val="00804571"/>
    <w:rsid w:val="00804604"/>
    <w:rsid w:val="00804687"/>
    <w:rsid w:val="0080488F"/>
    <w:rsid w:val="008048D7"/>
    <w:rsid w:val="00804A9C"/>
    <w:rsid w:val="00805304"/>
    <w:rsid w:val="008053A9"/>
    <w:rsid w:val="00805813"/>
    <w:rsid w:val="00805CDD"/>
    <w:rsid w:val="00805E6F"/>
    <w:rsid w:val="00805EC9"/>
    <w:rsid w:val="0080612D"/>
    <w:rsid w:val="008066B3"/>
    <w:rsid w:val="00806C54"/>
    <w:rsid w:val="00806F3E"/>
    <w:rsid w:val="00807318"/>
    <w:rsid w:val="00807678"/>
    <w:rsid w:val="00807786"/>
    <w:rsid w:val="00807AFA"/>
    <w:rsid w:val="00807B3D"/>
    <w:rsid w:val="00807DF4"/>
    <w:rsid w:val="00807EB3"/>
    <w:rsid w:val="00807EF5"/>
    <w:rsid w:val="00807F80"/>
    <w:rsid w:val="00810348"/>
    <w:rsid w:val="0081046D"/>
    <w:rsid w:val="00810514"/>
    <w:rsid w:val="008106BF"/>
    <w:rsid w:val="00810A98"/>
    <w:rsid w:val="00810B30"/>
    <w:rsid w:val="00810CE1"/>
    <w:rsid w:val="0081108A"/>
    <w:rsid w:val="0081136B"/>
    <w:rsid w:val="00811384"/>
    <w:rsid w:val="008114F9"/>
    <w:rsid w:val="0081166C"/>
    <w:rsid w:val="00811805"/>
    <w:rsid w:val="00811876"/>
    <w:rsid w:val="0081187B"/>
    <w:rsid w:val="00811D22"/>
    <w:rsid w:val="00811EEF"/>
    <w:rsid w:val="00812105"/>
    <w:rsid w:val="008125EC"/>
    <w:rsid w:val="008128E5"/>
    <w:rsid w:val="0081290E"/>
    <w:rsid w:val="008129CD"/>
    <w:rsid w:val="008129D3"/>
    <w:rsid w:val="00812B18"/>
    <w:rsid w:val="00812BBE"/>
    <w:rsid w:val="00812F47"/>
    <w:rsid w:val="00812FE1"/>
    <w:rsid w:val="00813031"/>
    <w:rsid w:val="008134E4"/>
    <w:rsid w:val="00813693"/>
    <w:rsid w:val="0081376C"/>
    <w:rsid w:val="008138F0"/>
    <w:rsid w:val="00813E3B"/>
    <w:rsid w:val="00813E77"/>
    <w:rsid w:val="00814148"/>
    <w:rsid w:val="00814316"/>
    <w:rsid w:val="008144D6"/>
    <w:rsid w:val="00814740"/>
    <w:rsid w:val="00814BD1"/>
    <w:rsid w:val="00814C0E"/>
    <w:rsid w:val="00814CBE"/>
    <w:rsid w:val="00814CD8"/>
    <w:rsid w:val="00814FCD"/>
    <w:rsid w:val="008150F7"/>
    <w:rsid w:val="008154AA"/>
    <w:rsid w:val="00815655"/>
    <w:rsid w:val="00815CB6"/>
    <w:rsid w:val="00815DF5"/>
    <w:rsid w:val="00816449"/>
    <w:rsid w:val="008168DA"/>
    <w:rsid w:val="00816D56"/>
    <w:rsid w:val="00816DE2"/>
    <w:rsid w:val="00816F58"/>
    <w:rsid w:val="00816F83"/>
    <w:rsid w:val="00817152"/>
    <w:rsid w:val="0081737B"/>
    <w:rsid w:val="0081739D"/>
    <w:rsid w:val="008173C9"/>
    <w:rsid w:val="00817710"/>
    <w:rsid w:val="00817964"/>
    <w:rsid w:val="00817B59"/>
    <w:rsid w:val="00817C96"/>
    <w:rsid w:val="0082014F"/>
    <w:rsid w:val="00820403"/>
    <w:rsid w:val="0082046A"/>
    <w:rsid w:val="008204DD"/>
    <w:rsid w:val="008205D5"/>
    <w:rsid w:val="008206BF"/>
    <w:rsid w:val="008206E8"/>
    <w:rsid w:val="008207B7"/>
    <w:rsid w:val="00820877"/>
    <w:rsid w:val="00820E67"/>
    <w:rsid w:val="00820EC2"/>
    <w:rsid w:val="008210CD"/>
    <w:rsid w:val="008210F6"/>
    <w:rsid w:val="00821140"/>
    <w:rsid w:val="00821218"/>
    <w:rsid w:val="00821515"/>
    <w:rsid w:val="00822000"/>
    <w:rsid w:val="008220E4"/>
    <w:rsid w:val="0082215D"/>
    <w:rsid w:val="00822308"/>
    <w:rsid w:val="0082235F"/>
    <w:rsid w:val="0082259B"/>
    <w:rsid w:val="0082269F"/>
    <w:rsid w:val="008226DF"/>
    <w:rsid w:val="008229DF"/>
    <w:rsid w:val="00822E5B"/>
    <w:rsid w:val="00823A95"/>
    <w:rsid w:val="00823E88"/>
    <w:rsid w:val="00823F8E"/>
    <w:rsid w:val="00823FBA"/>
    <w:rsid w:val="0082402C"/>
    <w:rsid w:val="0082437E"/>
    <w:rsid w:val="00824390"/>
    <w:rsid w:val="00824809"/>
    <w:rsid w:val="008248E8"/>
    <w:rsid w:val="00824AC0"/>
    <w:rsid w:val="00824E24"/>
    <w:rsid w:val="00825074"/>
    <w:rsid w:val="0082509E"/>
    <w:rsid w:val="0082524E"/>
    <w:rsid w:val="00825287"/>
    <w:rsid w:val="0082534F"/>
    <w:rsid w:val="00825714"/>
    <w:rsid w:val="00825731"/>
    <w:rsid w:val="00825A21"/>
    <w:rsid w:val="008262F9"/>
    <w:rsid w:val="0082636C"/>
    <w:rsid w:val="008263E5"/>
    <w:rsid w:val="00826477"/>
    <w:rsid w:val="008264E5"/>
    <w:rsid w:val="008266A6"/>
    <w:rsid w:val="00826719"/>
    <w:rsid w:val="008267FA"/>
    <w:rsid w:val="008268D4"/>
    <w:rsid w:val="00826D11"/>
    <w:rsid w:val="00826DE8"/>
    <w:rsid w:val="00826FC0"/>
    <w:rsid w:val="008271D9"/>
    <w:rsid w:val="00827839"/>
    <w:rsid w:val="00827C3D"/>
    <w:rsid w:val="00830379"/>
    <w:rsid w:val="0083048A"/>
    <w:rsid w:val="0083064F"/>
    <w:rsid w:val="00830A49"/>
    <w:rsid w:val="00830ABC"/>
    <w:rsid w:val="00830D21"/>
    <w:rsid w:val="00830D4E"/>
    <w:rsid w:val="00830D7A"/>
    <w:rsid w:val="00830E6B"/>
    <w:rsid w:val="00830FB1"/>
    <w:rsid w:val="00831289"/>
    <w:rsid w:val="008312A5"/>
    <w:rsid w:val="00831543"/>
    <w:rsid w:val="008316A7"/>
    <w:rsid w:val="00831B04"/>
    <w:rsid w:val="00831C63"/>
    <w:rsid w:val="00831F23"/>
    <w:rsid w:val="00831FBF"/>
    <w:rsid w:val="00832095"/>
    <w:rsid w:val="00832293"/>
    <w:rsid w:val="008323AB"/>
    <w:rsid w:val="00832676"/>
    <w:rsid w:val="008326CD"/>
    <w:rsid w:val="00832737"/>
    <w:rsid w:val="00832872"/>
    <w:rsid w:val="00832FF3"/>
    <w:rsid w:val="00833046"/>
    <w:rsid w:val="008331D0"/>
    <w:rsid w:val="00833AD2"/>
    <w:rsid w:val="00833D65"/>
    <w:rsid w:val="00833FA4"/>
    <w:rsid w:val="00834227"/>
    <w:rsid w:val="00834739"/>
    <w:rsid w:val="00834B3E"/>
    <w:rsid w:val="00834CB4"/>
    <w:rsid w:val="00834DE4"/>
    <w:rsid w:val="00835165"/>
    <w:rsid w:val="0083546C"/>
    <w:rsid w:val="00836576"/>
    <w:rsid w:val="0083660D"/>
    <w:rsid w:val="00836693"/>
    <w:rsid w:val="00836A17"/>
    <w:rsid w:val="00836A97"/>
    <w:rsid w:val="00836CCE"/>
    <w:rsid w:val="00836F09"/>
    <w:rsid w:val="0083746D"/>
    <w:rsid w:val="0083776D"/>
    <w:rsid w:val="00837878"/>
    <w:rsid w:val="00837968"/>
    <w:rsid w:val="008379AD"/>
    <w:rsid w:val="00837DF9"/>
    <w:rsid w:val="00837EDA"/>
    <w:rsid w:val="008400A6"/>
    <w:rsid w:val="0084021E"/>
    <w:rsid w:val="0084021F"/>
    <w:rsid w:val="00840253"/>
    <w:rsid w:val="00840DFA"/>
    <w:rsid w:val="00840F28"/>
    <w:rsid w:val="0084112F"/>
    <w:rsid w:val="008411FC"/>
    <w:rsid w:val="008414AC"/>
    <w:rsid w:val="00841736"/>
    <w:rsid w:val="008417C1"/>
    <w:rsid w:val="008417F9"/>
    <w:rsid w:val="0084197B"/>
    <w:rsid w:val="00841C2F"/>
    <w:rsid w:val="008421B9"/>
    <w:rsid w:val="00842238"/>
    <w:rsid w:val="00842C9E"/>
    <w:rsid w:val="00842DF0"/>
    <w:rsid w:val="00842F33"/>
    <w:rsid w:val="00842F37"/>
    <w:rsid w:val="0084304D"/>
    <w:rsid w:val="00843595"/>
    <w:rsid w:val="0084367E"/>
    <w:rsid w:val="0084381B"/>
    <w:rsid w:val="00843934"/>
    <w:rsid w:val="00843CEF"/>
    <w:rsid w:val="00843F1C"/>
    <w:rsid w:val="00844181"/>
    <w:rsid w:val="00844466"/>
    <w:rsid w:val="008444F1"/>
    <w:rsid w:val="00844536"/>
    <w:rsid w:val="00844608"/>
    <w:rsid w:val="00844A5B"/>
    <w:rsid w:val="00844C26"/>
    <w:rsid w:val="008451A9"/>
    <w:rsid w:val="00845236"/>
    <w:rsid w:val="00845578"/>
    <w:rsid w:val="008459AB"/>
    <w:rsid w:val="008459E5"/>
    <w:rsid w:val="00845D7E"/>
    <w:rsid w:val="00845ECA"/>
    <w:rsid w:val="00845F80"/>
    <w:rsid w:val="0084627D"/>
    <w:rsid w:val="008462A2"/>
    <w:rsid w:val="00846349"/>
    <w:rsid w:val="00846743"/>
    <w:rsid w:val="008469F3"/>
    <w:rsid w:val="00846DD5"/>
    <w:rsid w:val="00846FC1"/>
    <w:rsid w:val="00847103"/>
    <w:rsid w:val="0084720D"/>
    <w:rsid w:val="00847303"/>
    <w:rsid w:val="008473C6"/>
    <w:rsid w:val="0084757B"/>
    <w:rsid w:val="0084765D"/>
    <w:rsid w:val="00847AC8"/>
    <w:rsid w:val="00847CE4"/>
    <w:rsid w:val="00850195"/>
    <w:rsid w:val="00850416"/>
    <w:rsid w:val="00850465"/>
    <w:rsid w:val="00850C27"/>
    <w:rsid w:val="00850F9E"/>
    <w:rsid w:val="00851781"/>
    <w:rsid w:val="00851DB9"/>
    <w:rsid w:val="00851E6E"/>
    <w:rsid w:val="00852114"/>
    <w:rsid w:val="008522D5"/>
    <w:rsid w:val="008525A8"/>
    <w:rsid w:val="00852928"/>
    <w:rsid w:val="00852977"/>
    <w:rsid w:val="00852A91"/>
    <w:rsid w:val="00852B5A"/>
    <w:rsid w:val="00852C5F"/>
    <w:rsid w:val="00853184"/>
    <w:rsid w:val="008534B9"/>
    <w:rsid w:val="008536E3"/>
    <w:rsid w:val="00853D66"/>
    <w:rsid w:val="00853E25"/>
    <w:rsid w:val="00853E36"/>
    <w:rsid w:val="0085405C"/>
    <w:rsid w:val="0085418D"/>
    <w:rsid w:val="00854223"/>
    <w:rsid w:val="0085430D"/>
    <w:rsid w:val="00854350"/>
    <w:rsid w:val="00854549"/>
    <w:rsid w:val="008546AA"/>
    <w:rsid w:val="00854714"/>
    <w:rsid w:val="0085472A"/>
    <w:rsid w:val="00854782"/>
    <w:rsid w:val="00854A25"/>
    <w:rsid w:val="00854BE0"/>
    <w:rsid w:val="0085510A"/>
    <w:rsid w:val="008554C9"/>
    <w:rsid w:val="0085560E"/>
    <w:rsid w:val="0085565E"/>
    <w:rsid w:val="00855A1C"/>
    <w:rsid w:val="00855A7C"/>
    <w:rsid w:val="00855AE7"/>
    <w:rsid w:val="00855DF3"/>
    <w:rsid w:val="00855E1B"/>
    <w:rsid w:val="00855ED1"/>
    <w:rsid w:val="008561DB"/>
    <w:rsid w:val="00856213"/>
    <w:rsid w:val="0085632D"/>
    <w:rsid w:val="00856533"/>
    <w:rsid w:val="0085659D"/>
    <w:rsid w:val="008565CC"/>
    <w:rsid w:val="0085696A"/>
    <w:rsid w:val="0085699B"/>
    <w:rsid w:val="00856CAD"/>
    <w:rsid w:val="00856D87"/>
    <w:rsid w:val="00856EB4"/>
    <w:rsid w:val="008573CA"/>
    <w:rsid w:val="0085774D"/>
    <w:rsid w:val="00857816"/>
    <w:rsid w:val="00857891"/>
    <w:rsid w:val="00857AEE"/>
    <w:rsid w:val="008600AD"/>
    <w:rsid w:val="00860405"/>
    <w:rsid w:val="00860558"/>
    <w:rsid w:val="008605F9"/>
    <w:rsid w:val="0086083F"/>
    <w:rsid w:val="00860883"/>
    <w:rsid w:val="00860984"/>
    <w:rsid w:val="00860D41"/>
    <w:rsid w:val="00860DDA"/>
    <w:rsid w:val="00860F3A"/>
    <w:rsid w:val="0086120A"/>
    <w:rsid w:val="00861348"/>
    <w:rsid w:val="0086159E"/>
    <w:rsid w:val="008616A3"/>
    <w:rsid w:val="008616CA"/>
    <w:rsid w:val="00861700"/>
    <w:rsid w:val="008622D3"/>
    <w:rsid w:val="008626A6"/>
    <w:rsid w:val="0086282A"/>
    <w:rsid w:val="00862884"/>
    <w:rsid w:val="00862B8D"/>
    <w:rsid w:val="00862F03"/>
    <w:rsid w:val="00862F5D"/>
    <w:rsid w:val="00862F99"/>
    <w:rsid w:val="00862FC3"/>
    <w:rsid w:val="00862FC4"/>
    <w:rsid w:val="00863009"/>
    <w:rsid w:val="0086303F"/>
    <w:rsid w:val="00863180"/>
    <w:rsid w:val="008631D8"/>
    <w:rsid w:val="008633B9"/>
    <w:rsid w:val="008635E3"/>
    <w:rsid w:val="008639B4"/>
    <w:rsid w:val="00863F32"/>
    <w:rsid w:val="008642DC"/>
    <w:rsid w:val="008644DE"/>
    <w:rsid w:val="008646EA"/>
    <w:rsid w:val="0086471C"/>
    <w:rsid w:val="008647DE"/>
    <w:rsid w:val="00864941"/>
    <w:rsid w:val="00864D9D"/>
    <w:rsid w:val="00864FDC"/>
    <w:rsid w:val="00865016"/>
    <w:rsid w:val="00865214"/>
    <w:rsid w:val="00865786"/>
    <w:rsid w:val="0086589D"/>
    <w:rsid w:val="008658B6"/>
    <w:rsid w:val="008659EF"/>
    <w:rsid w:val="00865A81"/>
    <w:rsid w:val="00865EDE"/>
    <w:rsid w:val="0086612E"/>
    <w:rsid w:val="00866255"/>
    <w:rsid w:val="00866269"/>
    <w:rsid w:val="008662BC"/>
    <w:rsid w:val="00866593"/>
    <w:rsid w:val="00866BAE"/>
    <w:rsid w:val="00866DA9"/>
    <w:rsid w:val="008671B0"/>
    <w:rsid w:val="0086729E"/>
    <w:rsid w:val="00867437"/>
    <w:rsid w:val="008679F7"/>
    <w:rsid w:val="00867A67"/>
    <w:rsid w:val="00867A9F"/>
    <w:rsid w:val="00867E05"/>
    <w:rsid w:val="008703B1"/>
    <w:rsid w:val="00870544"/>
    <w:rsid w:val="008706F5"/>
    <w:rsid w:val="008707B9"/>
    <w:rsid w:val="0087087C"/>
    <w:rsid w:val="00870A50"/>
    <w:rsid w:val="00870EB7"/>
    <w:rsid w:val="00871365"/>
    <w:rsid w:val="008718D1"/>
    <w:rsid w:val="0087191C"/>
    <w:rsid w:val="0087195E"/>
    <w:rsid w:val="008719F7"/>
    <w:rsid w:val="00872563"/>
    <w:rsid w:val="008727EE"/>
    <w:rsid w:val="00872B4A"/>
    <w:rsid w:val="00872BBD"/>
    <w:rsid w:val="00872DB2"/>
    <w:rsid w:val="008731B2"/>
    <w:rsid w:val="008737D0"/>
    <w:rsid w:val="00873967"/>
    <w:rsid w:val="00873A70"/>
    <w:rsid w:val="00873B2B"/>
    <w:rsid w:val="00873DB5"/>
    <w:rsid w:val="00873EAA"/>
    <w:rsid w:val="008742EB"/>
    <w:rsid w:val="008744FC"/>
    <w:rsid w:val="008746C5"/>
    <w:rsid w:val="00874728"/>
    <w:rsid w:val="00874766"/>
    <w:rsid w:val="008748BD"/>
    <w:rsid w:val="00874969"/>
    <w:rsid w:val="008749E9"/>
    <w:rsid w:val="008752C0"/>
    <w:rsid w:val="0087533B"/>
    <w:rsid w:val="008754FC"/>
    <w:rsid w:val="00875613"/>
    <w:rsid w:val="00875862"/>
    <w:rsid w:val="008758C9"/>
    <w:rsid w:val="00875AD2"/>
    <w:rsid w:val="00876917"/>
    <w:rsid w:val="00876C66"/>
    <w:rsid w:val="00876F48"/>
    <w:rsid w:val="00876FC1"/>
    <w:rsid w:val="008770E3"/>
    <w:rsid w:val="008775DA"/>
    <w:rsid w:val="00877832"/>
    <w:rsid w:val="00877A13"/>
    <w:rsid w:val="00877A39"/>
    <w:rsid w:val="00877A85"/>
    <w:rsid w:val="00877B28"/>
    <w:rsid w:val="00877BDF"/>
    <w:rsid w:val="00877C23"/>
    <w:rsid w:val="008801B8"/>
    <w:rsid w:val="00880230"/>
    <w:rsid w:val="0088024F"/>
    <w:rsid w:val="0088045E"/>
    <w:rsid w:val="0088066F"/>
    <w:rsid w:val="008807A9"/>
    <w:rsid w:val="00880B1D"/>
    <w:rsid w:val="00880B6C"/>
    <w:rsid w:val="00880D11"/>
    <w:rsid w:val="00880F81"/>
    <w:rsid w:val="00880F87"/>
    <w:rsid w:val="00880F9E"/>
    <w:rsid w:val="00880FF0"/>
    <w:rsid w:val="0088118F"/>
    <w:rsid w:val="00881773"/>
    <w:rsid w:val="0088195B"/>
    <w:rsid w:val="00881EA9"/>
    <w:rsid w:val="008829AA"/>
    <w:rsid w:val="00882D60"/>
    <w:rsid w:val="008833C7"/>
    <w:rsid w:val="0088380C"/>
    <w:rsid w:val="00883B28"/>
    <w:rsid w:val="00883B70"/>
    <w:rsid w:val="00883E5E"/>
    <w:rsid w:val="00883F37"/>
    <w:rsid w:val="0088474D"/>
    <w:rsid w:val="00884A3A"/>
    <w:rsid w:val="00884B98"/>
    <w:rsid w:val="00884BAA"/>
    <w:rsid w:val="00884F75"/>
    <w:rsid w:val="00884F8F"/>
    <w:rsid w:val="00884FC4"/>
    <w:rsid w:val="0088521E"/>
    <w:rsid w:val="008852BC"/>
    <w:rsid w:val="00885569"/>
    <w:rsid w:val="008855EA"/>
    <w:rsid w:val="0088581F"/>
    <w:rsid w:val="00885827"/>
    <w:rsid w:val="00885A66"/>
    <w:rsid w:val="00885A90"/>
    <w:rsid w:val="00885C3A"/>
    <w:rsid w:val="00885C64"/>
    <w:rsid w:val="00885EDB"/>
    <w:rsid w:val="008867E1"/>
    <w:rsid w:val="008869E6"/>
    <w:rsid w:val="00887065"/>
    <w:rsid w:val="008871FB"/>
    <w:rsid w:val="0088788C"/>
    <w:rsid w:val="00887A22"/>
    <w:rsid w:val="00887B35"/>
    <w:rsid w:val="00887BB3"/>
    <w:rsid w:val="00887DC6"/>
    <w:rsid w:val="0089014C"/>
    <w:rsid w:val="0089048C"/>
    <w:rsid w:val="00890668"/>
    <w:rsid w:val="008908E2"/>
    <w:rsid w:val="00890988"/>
    <w:rsid w:val="00890CA5"/>
    <w:rsid w:val="00890DAE"/>
    <w:rsid w:val="0089105E"/>
    <w:rsid w:val="0089109D"/>
    <w:rsid w:val="00891258"/>
    <w:rsid w:val="0089134E"/>
    <w:rsid w:val="00891469"/>
    <w:rsid w:val="00891718"/>
    <w:rsid w:val="00892641"/>
    <w:rsid w:val="008926FD"/>
    <w:rsid w:val="00892A6A"/>
    <w:rsid w:val="00892AA7"/>
    <w:rsid w:val="00892CC6"/>
    <w:rsid w:val="00892E4B"/>
    <w:rsid w:val="008937B6"/>
    <w:rsid w:val="00893898"/>
    <w:rsid w:val="00893C78"/>
    <w:rsid w:val="00894767"/>
    <w:rsid w:val="00894A2C"/>
    <w:rsid w:val="00894B20"/>
    <w:rsid w:val="00894F75"/>
    <w:rsid w:val="008950EB"/>
    <w:rsid w:val="008953C9"/>
    <w:rsid w:val="008953F9"/>
    <w:rsid w:val="0089548F"/>
    <w:rsid w:val="008956F7"/>
    <w:rsid w:val="008959E8"/>
    <w:rsid w:val="00895A3B"/>
    <w:rsid w:val="00895C31"/>
    <w:rsid w:val="00895E29"/>
    <w:rsid w:val="00895E3D"/>
    <w:rsid w:val="00896080"/>
    <w:rsid w:val="0089646B"/>
    <w:rsid w:val="008965D5"/>
    <w:rsid w:val="00896614"/>
    <w:rsid w:val="00896676"/>
    <w:rsid w:val="00896814"/>
    <w:rsid w:val="00896B0A"/>
    <w:rsid w:val="008976F5"/>
    <w:rsid w:val="0089786C"/>
    <w:rsid w:val="00897A49"/>
    <w:rsid w:val="00897BDA"/>
    <w:rsid w:val="00897C96"/>
    <w:rsid w:val="00897DF4"/>
    <w:rsid w:val="00897F00"/>
    <w:rsid w:val="008A0053"/>
    <w:rsid w:val="008A009D"/>
    <w:rsid w:val="008A0388"/>
    <w:rsid w:val="008A0604"/>
    <w:rsid w:val="008A0860"/>
    <w:rsid w:val="008A086B"/>
    <w:rsid w:val="008A0B7B"/>
    <w:rsid w:val="008A0BB9"/>
    <w:rsid w:val="008A0C43"/>
    <w:rsid w:val="008A1376"/>
    <w:rsid w:val="008A1F43"/>
    <w:rsid w:val="008A23DC"/>
    <w:rsid w:val="008A2944"/>
    <w:rsid w:val="008A2DB3"/>
    <w:rsid w:val="008A2F6D"/>
    <w:rsid w:val="008A30C2"/>
    <w:rsid w:val="008A3421"/>
    <w:rsid w:val="008A388E"/>
    <w:rsid w:val="008A38D8"/>
    <w:rsid w:val="008A39F6"/>
    <w:rsid w:val="008A3B88"/>
    <w:rsid w:val="008A3BB4"/>
    <w:rsid w:val="008A3D7A"/>
    <w:rsid w:val="008A3D8B"/>
    <w:rsid w:val="008A3D8C"/>
    <w:rsid w:val="008A3E48"/>
    <w:rsid w:val="008A3FB0"/>
    <w:rsid w:val="008A408C"/>
    <w:rsid w:val="008A409C"/>
    <w:rsid w:val="008A40F9"/>
    <w:rsid w:val="008A477B"/>
    <w:rsid w:val="008A4919"/>
    <w:rsid w:val="008A4A30"/>
    <w:rsid w:val="008A4A6A"/>
    <w:rsid w:val="008A4AE4"/>
    <w:rsid w:val="008A4B1B"/>
    <w:rsid w:val="008A504A"/>
    <w:rsid w:val="008A5171"/>
    <w:rsid w:val="008A5215"/>
    <w:rsid w:val="008A525A"/>
    <w:rsid w:val="008A5760"/>
    <w:rsid w:val="008A5BFE"/>
    <w:rsid w:val="008A5D09"/>
    <w:rsid w:val="008A5D87"/>
    <w:rsid w:val="008A6207"/>
    <w:rsid w:val="008A6591"/>
    <w:rsid w:val="008A65C0"/>
    <w:rsid w:val="008A67CA"/>
    <w:rsid w:val="008A6AEE"/>
    <w:rsid w:val="008A6B41"/>
    <w:rsid w:val="008A6C2E"/>
    <w:rsid w:val="008A7388"/>
    <w:rsid w:val="008A74E4"/>
    <w:rsid w:val="008A791D"/>
    <w:rsid w:val="008A7981"/>
    <w:rsid w:val="008A7C2E"/>
    <w:rsid w:val="008B0307"/>
    <w:rsid w:val="008B047A"/>
    <w:rsid w:val="008B0858"/>
    <w:rsid w:val="008B095D"/>
    <w:rsid w:val="008B0A6B"/>
    <w:rsid w:val="008B0CB4"/>
    <w:rsid w:val="008B0CBD"/>
    <w:rsid w:val="008B0E2B"/>
    <w:rsid w:val="008B0F5C"/>
    <w:rsid w:val="008B10AC"/>
    <w:rsid w:val="008B144D"/>
    <w:rsid w:val="008B1A83"/>
    <w:rsid w:val="008B1B0F"/>
    <w:rsid w:val="008B1F36"/>
    <w:rsid w:val="008B2192"/>
    <w:rsid w:val="008B234A"/>
    <w:rsid w:val="008B2544"/>
    <w:rsid w:val="008B266E"/>
    <w:rsid w:val="008B26CA"/>
    <w:rsid w:val="008B26FD"/>
    <w:rsid w:val="008B27A9"/>
    <w:rsid w:val="008B2894"/>
    <w:rsid w:val="008B29EE"/>
    <w:rsid w:val="008B2A2E"/>
    <w:rsid w:val="008B3110"/>
    <w:rsid w:val="008B31A1"/>
    <w:rsid w:val="008B33EA"/>
    <w:rsid w:val="008B345A"/>
    <w:rsid w:val="008B3551"/>
    <w:rsid w:val="008B364C"/>
    <w:rsid w:val="008B3694"/>
    <w:rsid w:val="008B36B9"/>
    <w:rsid w:val="008B37CC"/>
    <w:rsid w:val="008B3923"/>
    <w:rsid w:val="008B3F60"/>
    <w:rsid w:val="008B4373"/>
    <w:rsid w:val="008B442B"/>
    <w:rsid w:val="008B4543"/>
    <w:rsid w:val="008B4636"/>
    <w:rsid w:val="008B4A85"/>
    <w:rsid w:val="008B579D"/>
    <w:rsid w:val="008B5988"/>
    <w:rsid w:val="008B5B56"/>
    <w:rsid w:val="008B5D2E"/>
    <w:rsid w:val="008B5E87"/>
    <w:rsid w:val="008B6056"/>
    <w:rsid w:val="008B608B"/>
    <w:rsid w:val="008B60F1"/>
    <w:rsid w:val="008B6120"/>
    <w:rsid w:val="008B68AD"/>
    <w:rsid w:val="008B6C0E"/>
    <w:rsid w:val="008B6FCE"/>
    <w:rsid w:val="008B76AA"/>
    <w:rsid w:val="008B77C9"/>
    <w:rsid w:val="008B7C10"/>
    <w:rsid w:val="008C0263"/>
    <w:rsid w:val="008C0358"/>
    <w:rsid w:val="008C0606"/>
    <w:rsid w:val="008C06EB"/>
    <w:rsid w:val="008C0E1A"/>
    <w:rsid w:val="008C1386"/>
    <w:rsid w:val="008C14C4"/>
    <w:rsid w:val="008C150E"/>
    <w:rsid w:val="008C1635"/>
    <w:rsid w:val="008C1843"/>
    <w:rsid w:val="008C18F7"/>
    <w:rsid w:val="008C1CBF"/>
    <w:rsid w:val="008C1EC5"/>
    <w:rsid w:val="008C21D0"/>
    <w:rsid w:val="008C2451"/>
    <w:rsid w:val="008C2526"/>
    <w:rsid w:val="008C301E"/>
    <w:rsid w:val="008C310F"/>
    <w:rsid w:val="008C3543"/>
    <w:rsid w:val="008C3581"/>
    <w:rsid w:val="008C36A6"/>
    <w:rsid w:val="008C373F"/>
    <w:rsid w:val="008C3CC9"/>
    <w:rsid w:val="008C3D66"/>
    <w:rsid w:val="008C42DC"/>
    <w:rsid w:val="008C4571"/>
    <w:rsid w:val="008C46A2"/>
    <w:rsid w:val="008C46ED"/>
    <w:rsid w:val="008C47C0"/>
    <w:rsid w:val="008C4A25"/>
    <w:rsid w:val="008C4D57"/>
    <w:rsid w:val="008C4D93"/>
    <w:rsid w:val="008C4E4D"/>
    <w:rsid w:val="008C4F78"/>
    <w:rsid w:val="008C54B0"/>
    <w:rsid w:val="008C593B"/>
    <w:rsid w:val="008C5B3F"/>
    <w:rsid w:val="008C5D98"/>
    <w:rsid w:val="008C6C96"/>
    <w:rsid w:val="008C6DE5"/>
    <w:rsid w:val="008C6EAC"/>
    <w:rsid w:val="008C75A3"/>
    <w:rsid w:val="008C783F"/>
    <w:rsid w:val="008C78CB"/>
    <w:rsid w:val="008C7BA2"/>
    <w:rsid w:val="008C7BDA"/>
    <w:rsid w:val="008C7F4D"/>
    <w:rsid w:val="008D026A"/>
    <w:rsid w:val="008D0463"/>
    <w:rsid w:val="008D04A6"/>
    <w:rsid w:val="008D071C"/>
    <w:rsid w:val="008D076C"/>
    <w:rsid w:val="008D07E0"/>
    <w:rsid w:val="008D0859"/>
    <w:rsid w:val="008D0C39"/>
    <w:rsid w:val="008D0D77"/>
    <w:rsid w:val="008D153A"/>
    <w:rsid w:val="008D172D"/>
    <w:rsid w:val="008D1826"/>
    <w:rsid w:val="008D18D0"/>
    <w:rsid w:val="008D1A29"/>
    <w:rsid w:val="008D1A51"/>
    <w:rsid w:val="008D1B0A"/>
    <w:rsid w:val="008D1B90"/>
    <w:rsid w:val="008D1E16"/>
    <w:rsid w:val="008D2280"/>
    <w:rsid w:val="008D22EC"/>
    <w:rsid w:val="008D2304"/>
    <w:rsid w:val="008D25C3"/>
    <w:rsid w:val="008D274D"/>
    <w:rsid w:val="008D28A4"/>
    <w:rsid w:val="008D28E8"/>
    <w:rsid w:val="008D2C46"/>
    <w:rsid w:val="008D307A"/>
    <w:rsid w:val="008D308D"/>
    <w:rsid w:val="008D33F8"/>
    <w:rsid w:val="008D3404"/>
    <w:rsid w:val="008D3495"/>
    <w:rsid w:val="008D3B84"/>
    <w:rsid w:val="008D41B2"/>
    <w:rsid w:val="008D426C"/>
    <w:rsid w:val="008D43DA"/>
    <w:rsid w:val="008D44EB"/>
    <w:rsid w:val="008D45CE"/>
    <w:rsid w:val="008D4865"/>
    <w:rsid w:val="008D4A01"/>
    <w:rsid w:val="008D4F5A"/>
    <w:rsid w:val="008D4F91"/>
    <w:rsid w:val="008D537B"/>
    <w:rsid w:val="008D53F8"/>
    <w:rsid w:val="008D564D"/>
    <w:rsid w:val="008D56D2"/>
    <w:rsid w:val="008D5792"/>
    <w:rsid w:val="008D5800"/>
    <w:rsid w:val="008D5CB8"/>
    <w:rsid w:val="008D5E5E"/>
    <w:rsid w:val="008D604C"/>
    <w:rsid w:val="008D6200"/>
    <w:rsid w:val="008D6353"/>
    <w:rsid w:val="008D638E"/>
    <w:rsid w:val="008D69FA"/>
    <w:rsid w:val="008D6B8C"/>
    <w:rsid w:val="008D6CAE"/>
    <w:rsid w:val="008D6D04"/>
    <w:rsid w:val="008D7380"/>
    <w:rsid w:val="008D744E"/>
    <w:rsid w:val="008D7806"/>
    <w:rsid w:val="008D783E"/>
    <w:rsid w:val="008D7CDD"/>
    <w:rsid w:val="008D7E0B"/>
    <w:rsid w:val="008D7EBE"/>
    <w:rsid w:val="008E003E"/>
    <w:rsid w:val="008E0330"/>
    <w:rsid w:val="008E05C6"/>
    <w:rsid w:val="008E068E"/>
    <w:rsid w:val="008E0A11"/>
    <w:rsid w:val="008E0CC0"/>
    <w:rsid w:val="008E10B7"/>
    <w:rsid w:val="008E1733"/>
    <w:rsid w:val="008E1A06"/>
    <w:rsid w:val="008E1B2B"/>
    <w:rsid w:val="008E1B9A"/>
    <w:rsid w:val="008E1EBB"/>
    <w:rsid w:val="008E2190"/>
    <w:rsid w:val="008E2F0C"/>
    <w:rsid w:val="008E3007"/>
    <w:rsid w:val="008E334F"/>
    <w:rsid w:val="008E3769"/>
    <w:rsid w:val="008E37C8"/>
    <w:rsid w:val="008E387D"/>
    <w:rsid w:val="008E42C1"/>
    <w:rsid w:val="008E455F"/>
    <w:rsid w:val="008E4ACA"/>
    <w:rsid w:val="008E4B91"/>
    <w:rsid w:val="008E4CF0"/>
    <w:rsid w:val="008E4E15"/>
    <w:rsid w:val="008E514D"/>
    <w:rsid w:val="008E51A3"/>
    <w:rsid w:val="008E5467"/>
    <w:rsid w:val="008E54A8"/>
    <w:rsid w:val="008E54FB"/>
    <w:rsid w:val="008E56D4"/>
    <w:rsid w:val="008E5720"/>
    <w:rsid w:val="008E57BB"/>
    <w:rsid w:val="008E5E24"/>
    <w:rsid w:val="008E64CD"/>
    <w:rsid w:val="008E66E3"/>
    <w:rsid w:val="008E6A7E"/>
    <w:rsid w:val="008E6BB5"/>
    <w:rsid w:val="008E6EE7"/>
    <w:rsid w:val="008E7297"/>
    <w:rsid w:val="008E7306"/>
    <w:rsid w:val="008E739C"/>
    <w:rsid w:val="008E73E7"/>
    <w:rsid w:val="008E7DFB"/>
    <w:rsid w:val="008E7E19"/>
    <w:rsid w:val="008E7FD7"/>
    <w:rsid w:val="008F0054"/>
    <w:rsid w:val="008F0317"/>
    <w:rsid w:val="008F04DA"/>
    <w:rsid w:val="008F07BA"/>
    <w:rsid w:val="008F07D7"/>
    <w:rsid w:val="008F08E4"/>
    <w:rsid w:val="008F0A6C"/>
    <w:rsid w:val="008F0DBC"/>
    <w:rsid w:val="008F0DC8"/>
    <w:rsid w:val="008F0F6B"/>
    <w:rsid w:val="008F1075"/>
    <w:rsid w:val="008F1196"/>
    <w:rsid w:val="008F1448"/>
    <w:rsid w:val="008F15C8"/>
    <w:rsid w:val="008F1702"/>
    <w:rsid w:val="008F17AC"/>
    <w:rsid w:val="008F1A30"/>
    <w:rsid w:val="008F2080"/>
    <w:rsid w:val="008F290A"/>
    <w:rsid w:val="008F2AA2"/>
    <w:rsid w:val="008F2AC8"/>
    <w:rsid w:val="008F2B4E"/>
    <w:rsid w:val="008F30F1"/>
    <w:rsid w:val="008F35F4"/>
    <w:rsid w:val="008F3740"/>
    <w:rsid w:val="008F4167"/>
    <w:rsid w:val="008F42C5"/>
    <w:rsid w:val="008F4849"/>
    <w:rsid w:val="008F4D73"/>
    <w:rsid w:val="008F4EA2"/>
    <w:rsid w:val="008F5632"/>
    <w:rsid w:val="008F5662"/>
    <w:rsid w:val="008F5AD2"/>
    <w:rsid w:val="008F5BE3"/>
    <w:rsid w:val="008F5C13"/>
    <w:rsid w:val="008F62C4"/>
    <w:rsid w:val="008F67A2"/>
    <w:rsid w:val="008F7017"/>
    <w:rsid w:val="008F78DB"/>
    <w:rsid w:val="008F792B"/>
    <w:rsid w:val="008F7B03"/>
    <w:rsid w:val="008F7C9C"/>
    <w:rsid w:val="009007D0"/>
    <w:rsid w:val="00900D57"/>
    <w:rsid w:val="00900DF8"/>
    <w:rsid w:val="009016CA"/>
    <w:rsid w:val="009016FE"/>
    <w:rsid w:val="00901B43"/>
    <w:rsid w:val="00901D20"/>
    <w:rsid w:val="00901D5D"/>
    <w:rsid w:val="00901EAE"/>
    <w:rsid w:val="0090225E"/>
    <w:rsid w:val="00902EAE"/>
    <w:rsid w:val="00902FB4"/>
    <w:rsid w:val="009037FC"/>
    <w:rsid w:val="00903AE5"/>
    <w:rsid w:val="00903D2F"/>
    <w:rsid w:val="00903DEB"/>
    <w:rsid w:val="00903E66"/>
    <w:rsid w:val="00903F28"/>
    <w:rsid w:val="00904048"/>
    <w:rsid w:val="0090413A"/>
    <w:rsid w:val="00904212"/>
    <w:rsid w:val="00904934"/>
    <w:rsid w:val="00904B6D"/>
    <w:rsid w:val="00904BDA"/>
    <w:rsid w:val="009050F5"/>
    <w:rsid w:val="00905502"/>
    <w:rsid w:val="00905529"/>
    <w:rsid w:val="009056B0"/>
    <w:rsid w:val="009056CF"/>
    <w:rsid w:val="0090581B"/>
    <w:rsid w:val="0090589A"/>
    <w:rsid w:val="009059B5"/>
    <w:rsid w:val="00905C5D"/>
    <w:rsid w:val="00905DD1"/>
    <w:rsid w:val="00905FB3"/>
    <w:rsid w:val="009060D3"/>
    <w:rsid w:val="0090617A"/>
    <w:rsid w:val="0090635C"/>
    <w:rsid w:val="009063C1"/>
    <w:rsid w:val="009066D2"/>
    <w:rsid w:val="00906CB4"/>
    <w:rsid w:val="00906D38"/>
    <w:rsid w:val="00906F44"/>
    <w:rsid w:val="00907662"/>
    <w:rsid w:val="009077BD"/>
    <w:rsid w:val="00907B76"/>
    <w:rsid w:val="00907E52"/>
    <w:rsid w:val="00907EB4"/>
    <w:rsid w:val="00907FE2"/>
    <w:rsid w:val="00910116"/>
    <w:rsid w:val="009108B3"/>
    <w:rsid w:val="00910C8E"/>
    <w:rsid w:val="00910DB0"/>
    <w:rsid w:val="00910FE6"/>
    <w:rsid w:val="00911089"/>
    <w:rsid w:val="0091116D"/>
    <w:rsid w:val="00911656"/>
    <w:rsid w:val="00911804"/>
    <w:rsid w:val="009118BE"/>
    <w:rsid w:val="009118F0"/>
    <w:rsid w:val="00911900"/>
    <w:rsid w:val="009119FD"/>
    <w:rsid w:val="00911A7B"/>
    <w:rsid w:val="00911A99"/>
    <w:rsid w:val="00911F60"/>
    <w:rsid w:val="00912351"/>
    <w:rsid w:val="00912549"/>
    <w:rsid w:val="00912B9C"/>
    <w:rsid w:val="00913479"/>
    <w:rsid w:val="00913C95"/>
    <w:rsid w:val="00913E00"/>
    <w:rsid w:val="00913E21"/>
    <w:rsid w:val="00913EB7"/>
    <w:rsid w:val="00913EBA"/>
    <w:rsid w:val="00913FCB"/>
    <w:rsid w:val="009140F7"/>
    <w:rsid w:val="0091419F"/>
    <w:rsid w:val="009141D7"/>
    <w:rsid w:val="009143B8"/>
    <w:rsid w:val="00914650"/>
    <w:rsid w:val="0091494F"/>
    <w:rsid w:val="00914AA4"/>
    <w:rsid w:val="00914C34"/>
    <w:rsid w:val="00914D58"/>
    <w:rsid w:val="009154B0"/>
    <w:rsid w:val="009159BA"/>
    <w:rsid w:val="00915C66"/>
    <w:rsid w:val="00915D16"/>
    <w:rsid w:val="00915FB6"/>
    <w:rsid w:val="00915FCF"/>
    <w:rsid w:val="00916062"/>
    <w:rsid w:val="009161AF"/>
    <w:rsid w:val="00916362"/>
    <w:rsid w:val="00916643"/>
    <w:rsid w:val="00916CE7"/>
    <w:rsid w:val="00916E56"/>
    <w:rsid w:val="00917064"/>
    <w:rsid w:val="009170BA"/>
    <w:rsid w:val="0091720F"/>
    <w:rsid w:val="00917388"/>
    <w:rsid w:val="00917571"/>
    <w:rsid w:val="00917582"/>
    <w:rsid w:val="009179B5"/>
    <w:rsid w:val="00917A8E"/>
    <w:rsid w:val="00917BA7"/>
    <w:rsid w:val="00917E34"/>
    <w:rsid w:val="009200B3"/>
    <w:rsid w:val="009201D9"/>
    <w:rsid w:val="009202E0"/>
    <w:rsid w:val="009203C7"/>
    <w:rsid w:val="009203D4"/>
    <w:rsid w:val="00920782"/>
    <w:rsid w:val="009209A1"/>
    <w:rsid w:val="00920D4D"/>
    <w:rsid w:val="00920EB8"/>
    <w:rsid w:val="00920EF3"/>
    <w:rsid w:val="0092107B"/>
    <w:rsid w:val="0092119B"/>
    <w:rsid w:val="0092124C"/>
    <w:rsid w:val="009215BE"/>
    <w:rsid w:val="009217B6"/>
    <w:rsid w:val="0092181E"/>
    <w:rsid w:val="00921948"/>
    <w:rsid w:val="00921CB6"/>
    <w:rsid w:val="00921F03"/>
    <w:rsid w:val="00921FB4"/>
    <w:rsid w:val="00921FFA"/>
    <w:rsid w:val="00922173"/>
    <w:rsid w:val="009222A7"/>
    <w:rsid w:val="009225ED"/>
    <w:rsid w:val="009228AC"/>
    <w:rsid w:val="00922D00"/>
    <w:rsid w:val="00922E00"/>
    <w:rsid w:val="00922F11"/>
    <w:rsid w:val="009232A8"/>
    <w:rsid w:val="00923854"/>
    <w:rsid w:val="0092385C"/>
    <w:rsid w:val="00923B4C"/>
    <w:rsid w:val="00923BFA"/>
    <w:rsid w:val="00923E9B"/>
    <w:rsid w:val="00924182"/>
    <w:rsid w:val="00924531"/>
    <w:rsid w:val="0092474C"/>
    <w:rsid w:val="00924812"/>
    <w:rsid w:val="00924A7A"/>
    <w:rsid w:val="00924A9D"/>
    <w:rsid w:val="00924B50"/>
    <w:rsid w:val="00925069"/>
    <w:rsid w:val="009251F1"/>
    <w:rsid w:val="009254BF"/>
    <w:rsid w:val="009254E3"/>
    <w:rsid w:val="00925507"/>
    <w:rsid w:val="0092569B"/>
    <w:rsid w:val="00925738"/>
    <w:rsid w:val="00925BDF"/>
    <w:rsid w:val="00926076"/>
    <w:rsid w:val="00926081"/>
    <w:rsid w:val="00926089"/>
    <w:rsid w:val="009261A5"/>
    <w:rsid w:val="00926242"/>
    <w:rsid w:val="00926261"/>
    <w:rsid w:val="00926546"/>
    <w:rsid w:val="009265C2"/>
    <w:rsid w:val="009267BB"/>
    <w:rsid w:val="00926819"/>
    <w:rsid w:val="0092695E"/>
    <w:rsid w:val="00926E37"/>
    <w:rsid w:val="00926F59"/>
    <w:rsid w:val="0092716F"/>
    <w:rsid w:val="009273D0"/>
    <w:rsid w:val="009276FD"/>
    <w:rsid w:val="00927DFA"/>
    <w:rsid w:val="009303CD"/>
    <w:rsid w:val="009304D2"/>
    <w:rsid w:val="00930669"/>
    <w:rsid w:val="00930675"/>
    <w:rsid w:val="00930772"/>
    <w:rsid w:val="00930782"/>
    <w:rsid w:val="00930917"/>
    <w:rsid w:val="0093096D"/>
    <w:rsid w:val="009309AE"/>
    <w:rsid w:val="00930B4A"/>
    <w:rsid w:val="00930BF8"/>
    <w:rsid w:val="00930C91"/>
    <w:rsid w:val="00930E56"/>
    <w:rsid w:val="00930FA3"/>
    <w:rsid w:val="00931022"/>
    <w:rsid w:val="009310F0"/>
    <w:rsid w:val="0093148B"/>
    <w:rsid w:val="009315A8"/>
    <w:rsid w:val="00931878"/>
    <w:rsid w:val="00931AAC"/>
    <w:rsid w:val="00931E2A"/>
    <w:rsid w:val="00931F37"/>
    <w:rsid w:val="009321E1"/>
    <w:rsid w:val="0093221E"/>
    <w:rsid w:val="009322EC"/>
    <w:rsid w:val="0093250D"/>
    <w:rsid w:val="0093261E"/>
    <w:rsid w:val="00932687"/>
    <w:rsid w:val="00932ADD"/>
    <w:rsid w:val="00932B22"/>
    <w:rsid w:val="00932D17"/>
    <w:rsid w:val="00932FFA"/>
    <w:rsid w:val="00933A73"/>
    <w:rsid w:val="00933B06"/>
    <w:rsid w:val="00933B60"/>
    <w:rsid w:val="00933BB2"/>
    <w:rsid w:val="009340B2"/>
    <w:rsid w:val="009340DE"/>
    <w:rsid w:val="009342D7"/>
    <w:rsid w:val="00934470"/>
    <w:rsid w:val="00934622"/>
    <w:rsid w:val="009346D8"/>
    <w:rsid w:val="0093493C"/>
    <w:rsid w:val="00934AA7"/>
    <w:rsid w:val="00934B1A"/>
    <w:rsid w:val="00934C80"/>
    <w:rsid w:val="00934CB5"/>
    <w:rsid w:val="00934E84"/>
    <w:rsid w:val="0093517C"/>
    <w:rsid w:val="0093585B"/>
    <w:rsid w:val="00935B29"/>
    <w:rsid w:val="0093666A"/>
    <w:rsid w:val="00936830"/>
    <w:rsid w:val="009368FD"/>
    <w:rsid w:val="00936AED"/>
    <w:rsid w:val="00937087"/>
    <w:rsid w:val="009371BA"/>
    <w:rsid w:val="00937347"/>
    <w:rsid w:val="0093748D"/>
    <w:rsid w:val="009374A1"/>
    <w:rsid w:val="009379F8"/>
    <w:rsid w:val="00937AEE"/>
    <w:rsid w:val="00937BBE"/>
    <w:rsid w:val="00937ED9"/>
    <w:rsid w:val="009405CA"/>
    <w:rsid w:val="00940A8F"/>
    <w:rsid w:val="00941055"/>
    <w:rsid w:val="0094156F"/>
    <w:rsid w:val="0094165F"/>
    <w:rsid w:val="009416E4"/>
    <w:rsid w:val="00941758"/>
    <w:rsid w:val="009417AA"/>
    <w:rsid w:val="00941C36"/>
    <w:rsid w:val="00941D2A"/>
    <w:rsid w:val="00941DBB"/>
    <w:rsid w:val="00941F2B"/>
    <w:rsid w:val="00941FA1"/>
    <w:rsid w:val="009420B8"/>
    <w:rsid w:val="0094213F"/>
    <w:rsid w:val="009422A5"/>
    <w:rsid w:val="0094247A"/>
    <w:rsid w:val="00942696"/>
    <w:rsid w:val="009427C7"/>
    <w:rsid w:val="00942AEA"/>
    <w:rsid w:val="00942F76"/>
    <w:rsid w:val="00942FE2"/>
    <w:rsid w:val="00942FE8"/>
    <w:rsid w:val="00943007"/>
    <w:rsid w:val="009430D2"/>
    <w:rsid w:val="00943136"/>
    <w:rsid w:val="0094325E"/>
    <w:rsid w:val="009432AE"/>
    <w:rsid w:val="00943497"/>
    <w:rsid w:val="00943574"/>
    <w:rsid w:val="00943702"/>
    <w:rsid w:val="00943B9C"/>
    <w:rsid w:val="00943E13"/>
    <w:rsid w:val="00943EE0"/>
    <w:rsid w:val="00944070"/>
    <w:rsid w:val="009441A1"/>
    <w:rsid w:val="0094430A"/>
    <w:rsid w:val="009443A5"/>
    <w:rsid w:val="009443E2"/>
    <w:rsid w:val="00944A7E"/>
    <w:rsid w:val="00944DD0"/>
    <w:rsid w:val="0094539E"/>
    <w:rsid w:val="00945813"/>
    <w:rsid w:val="00945877"/>
    <w:rsid w:val="009458E4"/>
    <w:rsid w:val="00945A13"/>
    <w:rsid w:val="00945E84"/>
    <w:rsid w:val="00946019"/>
    <w:rsid w:val="009460BE"/>
    <w:rsid w:val="009461E4"/>
    <w:rsid w:val="00946398"/>
    <w:rsid w:val="0094644A"/>
    <w:rsid w:val="0094655B"/>
    <w:rsid w:val="00946757"/>
    <w:rsid w:val="00946A1E"/>
    <w:rsid w:val="00946A2E"/>
    <w:rsid w:val="00946A9F"/>
    <w:rsid w:val="00946B00"/>
    <w:rsid w:val="00946CA0"/>
    <w:rsid w:val="00946EAF"/>
    <w:rsid w:val="00947137"/>
    <w:rsid w:val="00947195"/>
    <w:rsid w:val="0094735D"/>
    <w:rsid w:val="00947640"/>
    <w:rsid w:val="00947706"/>
    <w:rsid w:val="00947BB7"/>
    <w:rsid w:val="00947EA6"/>
    <w:rsid w:val="00950323"/>
    <w:rsid w:val="00950466"/>
    <w:rsid w:val="00950593"/>
    <w:rsid w:val="009506DB"/>
    <w:rsid w:val="00950869"/>
    <w:rsid w:val="00950951"/>
    <w:rsid w:val="00950A0E"/>
    <w:rsid w:val="009512A0"/>
    <w:rsid w:val="00951341"/>
    <w:rsid w:val="0095134B"/>
    <w:rsid w:val="009517F2"/>
    <w:rsid w:val="00951BBA"/>
    <w:rsid w:val="00951CBA"/>
    <w:rsid w:val="00951F83"/>
    <w:rsid w:val="00952130"/>
    <w:rsid w:val="00952222"/>
    <w:rsid w:val="0095240F"/>
    <w:rsid w:val="0095262B"/>
    <w:rsid w:val="00952931"/>
    <w:rsid w:val="00952D70"/>
    <w:rsid w:val="00952D86"/>
    <w:rsid w:val="009532E0"/>
    <w:rsid w:val="0095345C"/>
    <w:rsid w:val="00953505"/>
    <w:rsid w:val="00953A5C"/>
    <w:rsid w:val="00953C2F"/>
    <w:rsid w:val="00953C65"/>
    <w:rsid w:val="00953EB1"/>
    <w:rsid w:val="00953F10"/>
    <w:rsid w:val="00954585"/>
    <w:rsid w:val="009545C7"/>
    <w:rsid w:val="00954A57"/>
    <w:rsid w:val="00954E7B"/>
    <w:rsid w:val="009550CB"/>
    <w:rsid w:val="00955110"/>
    <w:rsid w:val="0095516B"/>
    <w:rsid w:val="009551F9"/>
    <w:rsid w:val="00955437"/>
    <w:rsid w:val="009554E5"/>
    <w:rsid w:val="009555C9"/>
    <w:rsid w:val="0095560C"/>
    <w:rsid w:val="009557D1"/>
    <w:rsid w:val="00955AB1"/>
    <w:rsid w:val="00955CB7"/>
    <w:rsid w:val="009561A5"/>
    <w:rsid w:val="009563E4"/>
    <w:rsid w:val="0095651E"/>
    <w:rsid w:val="0095684B"/>
    <w:rsid w:val="00956B4D"/>
    <w:rsid w:val="00956DEA"/>
    <w:rsid w:val="00956EB7"/>
    <w:rsid w:val="0095712C"/>
    <w:rsid w:val="0095726A"/>
    <w:rsid w:val="009574DD"/>
    <w:rsid w:val="00957EBF"/>
    <w:rsid w:val="0096026E"/>
    <w:rsid w:val="009603E3"/>
    <w:rsid w:val="0096043F"/>
    <w:rsid w:val="00960918"/>
    <w:rsid w:val="009609ED"/>
    <w:rsid w:val="00960D5A"/>
    <w:rsid w:val="009610C2"/>
    <w:rsid w:val="00961320"/>
    <w:rsid w:val="009615F1"/>
    <w:rsid w:val="00961758"/>
    <w:rsid w:val="009617AE"/>
    <w:rsid w:val="009618E3"/>
    <w:rsid w:val="00961992"/>
    <w:rsid w:val="00961DDA"/>
    <w:rsid w:val="00961E13"/>
    <w:rsid w:val="00961F4A"/>
    <w:rsid w:val="00962549"/>
    <w:rsid w:val="009625A7"/>
    <w:rsid w:val="009625C9"/>
    <w:rsid w:val="00962672"/>
    <w:rsid w:val="00962DFB"/>
    <w:rsid w:val="00962E1B"/>
    <w:rsid w:val="00962FEF"/>
    <w:rsid w:val="00963084"/>
    <w:rsid w:val="00963176"/>
    <w:rsid w:val="009637AD"/>
    <w:rsid w:val="0096396E"/>
    <w:rsid w:val="00963B26"/>
    <w:rsid w:val="00964138"/>
    <w:rsid w:val="009642A2"/>
    <w:rsid w:val="00964833"/>
    <w:rsid w:val="009648B8"/>
    <w:rsid w:val="00964942"/>
    <w:rsid w:val="00964B93"/>
    <w:rsid w:val="00964CA1"/>
    <w:rsid w:val="0096550F"/>
    <w:rsid w:val="009656DF"/>
    <w:rsid w:val="00965727"/>
    <w:rsid w:val="00965A24"/>
    <w:rsid w:val="00965C5F"/>
    <w:rsid w:val="00965D5F"/>
    <w:rsid w:val="00965D68"/>
    <w:rsid w:val="0096619B"/>
    <w:rsid w:val="0096622D"/>
    <w:rsid w:val="0096640D"/>
    <w:rsid w:val="00966601"/>
    <w:rsid w:val="00966642"/>
    <w:rsid w:val="00966888"/>
    <w:rsid w:val="0096690B"/>
    <w:rsid w:val="00966ECF"/>
    <w:rsid w:val="00966F43"/>
    <w:rsid w:val="00967151"/>
    <w:rsid w:val="0096730E"/>
    <w:rsid w:val="0096734E"/>
    <w:rsid w:val="009674E2"/>
    <w:rsid w:val="00967555"/>
    <w:rsid w:val="00967768"/>
    <w:rsid w:val="00967972"/>
    <w:rsid w:val="00967D93"/>
    <w:rsid w:val="00967FFD"/>
    <w:rsid w:val="00970CC1"/>
    <w:rsid w:val="00970FD3"/>
    <w:rsid w:val="0097111C"/>
    <w:rsid w:val="00971380"/>
    <w:rsid w:val="0097147E"/>
    <w:rsid w:val="009715A4"/>
    <w:rsid w:val="00971981"/>
    <w:rsid w:val="00971A5B"/>
    <w:rsid w:val="00971A64"/>
    <w:rsid w:val="00971F3F"/>
    <w:rsid w:val="0097216D"/>
    <w:rsid w:val="0097224F"/>
    <w:rsid w:val="009722D7"/>
    <w:rsid w:val="00972403"/>
    <w:rsid w:val="009725EA"/>
    <w:rsid w:val="009727E2"/>
    <w:rsid w:val="00972A2C"/>
    <w:rsid w:val="00972B07"/>
    <w:rsid w:val="00972CCF"/>
    <w:rsid w:val="00972E28"/>
    <w:rsid w:val="00973294"/>
    <w:rsid w:val="0097338A"/>
    <w:rsid w:val="0097389A"/>
    <w:rsid w:val="00973B1A"/>
    <w:rsid w:val="00973D17"/>
    <w:rsid w:val="00973D8F"/>
    <w:rsid w:val="0097410F"/>
    <w:rsid w:val="00974464"/>
    <w:rsid w:val="00974D28"/>
    <w:rsid w:val="00974F9C"/>
    <w:rsid w:val="0097507F"/>
    <w:rsid w:val="00975321"/>
    <w:rsid w:val="009753ED"/>
    <w:rsid w:val="0097571F"/>
    <w:rsid w:val="009757F8"/>
    <w:rsid w:val="0097582B"/>
    <w:rsid w:val="009758A7"/>
    <w:rsid w:val="009758CC"/>
    <w:rsid w:val="009758E3"/>
    <w:rsid w:val="00975A43"/>
    <w:rsid w:val="00975AC0"/>
    <w:rsid w:val="00975DB0"/>
    <w:rsid w:val="00975E02"/>
    <w:rsid w:val="00975FF9"/>
    <w:rsid w:val="00976778"/>
    <w:rsid w:val="0097682D"/>
    <w:rsid w:val="00976A07"/>
    <w:rsid w:val="009771EA"/>
    <w:rsid w:val="009778A1"/>
    <w:rsid w:val="009778AE"/>
    <w:rsid w:val="00977A19"/>
    <w:rsid w:val="00977AC5"/>
    <w:rsid w:val="00977BB3"/>
    <w:rsid w:val="00977BF9"/>
    <w:rsid w:val="00980377"/>
    <w:rsid w:val="00980811"/>
    <w:rsid w:val="00980B3D"/>
    <w:rsid w:val="00980C13"/>
    <w:rsid w:val="00980D93"/>
    <w:rsid w:val="00980E83"/>
    <w:rsid w:val="00981065"/>
    <w:rsid w:val="00981336"/>
    <w:rsid w:val="00981613"/>
    <w:rsid w:val="009816D0"/>
    <w:rsid w:val="009819D6"/>
    <w:rsid w:val="00981C90"/>
    <w:rsid w:val="00981CE8"/>
    <w:rsid w:val="00982562"/>
    <w:rsid w:val="00982611"/>
    <w:rsid w:val="0098265E"/>
    <w:rsid w:val="0098303F"/>
    <w:rsid w:val="009836E2"/>
    <w:rsid w:val="00983706"/>
    <w:rsid w:val="009837F2"/>
    <w:rsid w:val="00983D6F"/>
    <w:rsid w:val="00983FBD"/>
    <w:rsid w:val="009840D0"/>
    <w:rsid w:val="00984464"/>
    <w:rsid w:val="00984956"/>
    <w:rsid w:val="00984D18"/>
    <w:rsid w:val="00984D54"/>
    <w:rsid w:val="00984D91"/>
    <w:rsid w:val="00984E9B"/>
    <w:rsid w:val="009852E5"/>
    <w:rsid w:val="0098535C"/>
    <w:rsid w:val="00985527"/>
    <w:rsid w:val="009855B2"/>
    <w:rsid w:val="0098577A"/>
    <w:rsid w:val="009857DC"/>
    <w:rsid w:val="00985970"/>
    <w:rsid w:val="00985A73"/>
    <w:rsid w:val="00985D8A"/>
    <w:rsid w:val="00985DD8"/>
    <w:rsid w:val="00986131"/>
    <w:rsid w:val="009864A1"/>
    <w:rsid w:val="009865A8"/>
    <w:rsid w:val="009865CC"/>
    <w:rsid w:val="009866FD"/>
    <w:rsid w:val="009867C3"/>
    <w:rsid w:val="009869B3"/>
    <w:rsid w:val="00986E4C"/>
    <w:rsid w:val="00986F70"/>
    <w:rsid w:val="00987015"/>
    <w:rsid w:val="00987081"/>
    <w:rsid w:val="00987160"/>
    <w:rsid w:val="00987184"/>
    <w:rsid w:val="0098734A"/>
    <w:rsid w:val="0098750E"/>
    <w:rsid w:val="0098789E"/>
    <w:rsid w:val="00987BE7"/>
    <w:rsid w:val="00987F23"/>
    <w:rsid w:val="00987FDF"/>
    <w:rsid w:val="00990322"/>
    <w:rsid w:val="0099058C"/>
    <w:rsid w:val="009905A5"/>
    <w:rsid w:val="009905CA"/>
    <w:rsid w:val="00990606"/>
    <w:rsid w:val="00990889"/>
    <w:rsid w:val="009909AA"/>
    <w:rsid w:val="00990A50"/>
    <w:rsid w:val="00990BCA"/>
    <w:rsid w:val="00990FE6"/>
    <w:rsid w:val="00991385"/>
    <w:rsid w:val="009913DC"/>
    <w:rsid w:val="009914B6"/>
    <w:rsid w:val="00991575"/>
    <w:rsid w:val="00991580"/>
    <w:rsid w:val="0099183E"/>
    <w:rsid w:val="009918C3"/>
    <w:rsid w:val="00991948"/>
    <w:rsid w:val="009919C8"/>
    <w:rsid w:val="009919D4"/>
    <w:rsid w:val="00991ABD"/>
    <w:rsid w:val="00991CF1"/>
    <w:rsid w:val="00992FA9"/>
    <w:rsid w:val="00993103"/>
    <w:rsid w:val="009931C3"/>
    <w:rsid w:val="009933F6"/>
    <w:rsid w:val="0099350C"/>
    <w:rsid w:val="00993861"/>
    <w:rsid w:val="00993B2E"/>
    <w:rsid w:val="00993E8E"/>
    <w:rsid w:val="009942B3"/>
    <w:rsid w:val="00994395"/>
    <w:rsid w:val="00994457"/>
    <w:rsid w:val="00994511"/>
    <w:rsid w:val="00994670"/>
    <w:rsid w:val="00994B3B"/>
    <w:rsid w:val="00994B77"/>
    <w:rsid w:val="00994BCF"/>
    <w:rsid w:val="00994CBE"/>
    <w:rsid w:val="00995262"/>
    <w:rsid w:val="009953DD"/>
    <w:rsid w:val="009953E0"/>
    <w:rsid w:val="0099554F"/>
    <w:rsid w:val="00995607"/>
    <w:rsid w:val="00995951"/>
    <w:rsid w:val="0099604C"/>
    <w:rsid w:val="009962BD"/>
    <w:rsid w:val="009962BE"/>
    <w:rsid w:val="009963E3"/>
    <w:rsid w:val="009964D7"/>
    <w:rsid w:val="009964F4"/>
    <w:rsid w:val="009965A5"/>
    <w:rsid w:val="00996678"/>
    <w:rsid w:val="00996688"/>
    <w:rsid w:val="00996898"/>
    <w:rsid w:val="0099695F"/>
    <w:rsid w:val="00996B20"/>
    <w:rsid w:val="00996B48"/>
    <w:rsid w:val="00996E46"/>
    <w:rsid w:val="009971F8"/>
    <w:rsid w:val="009973EE"/>
    <w:rsid w:val="00997B75"/>
    <w:rsid w:val="00997E94"/>
    <w:rsid w:val="00997F5A"/>
    <w:rsid w:val="009A0206"/>
    <w:rsid w:val="009A03A6"/>
    <w:rsid w:val="009A071A"/>
    <w:rsid w:val="009A07B6"/>
    <w:rsid w:val="009A108D"/>
    <w:rsid w:val="009A1289"/>
    <w:rsid w:val="009A14F4"/>
    <w:rsid w:val="009A156D"/>
    <w:rsid w:val="009A16F9"/>
    <w:rsid w:val="009A1835"/>
    <w:rsid w:val="009A18D2"/>
    <w:rsid w:val="009A19A8"/>
    <w:rsid w:val="009A19B7"/>
    <w:rsid w:val="009A1D5F"/>
    <w:rsid w:val="009A1E48"/>
    <w:rsid w:val="009A1E6E"/>
    <w:rsid w:val="009A1F09"/>
    <w:rsid w:val="009A2245"/>
    <w:rsid w:val="009A2455"/>
    <w:rsid w:val="009A259B"/>
    <w:rsid w:val="009A2641"/>
    <w:rsid w:val="009A2671"/>
    <w:rsid w:val="009A278B"/>
    <w:rsid w:val="009A2BE1"/>
    <w:rsid w:val="009A2FE0"/>
    <w:rsid w:val="009A34AF"/>
    <w:rsid w:val="009A3556"/>
    <w:rsid w:val="009A38AE"/>
    <w:rsid w:val="009A394B"/>
    <w:rsid w:val="009A3B04"/>
    <w:rsid w:val="009A3E00"/>
    <w:rsid w:val="009A3F17"/>
    <w:rsid w:val="009A41A6"/>
    <w:rsid w:val="009A4442"/>
    <w:rsid w:val="009A47F8"/>
    <w:rsid w:val="009A4807"/>
    <w:rsid w:val="009A4848"/>
    <w:rsid w:val="009A4FDA"/>
    <w:rsid w:val="009A577B"/>
    <w:rsid w:val="009A577F"/>
    <w:rsid w:val="009A5951"/>
    <w:rsid w:val="009A5AA3"/>
    <w:rsid w:val="009A5BE6"/>
    <w:rsid w:val="009A5C36"/>
    <w:rsid w:val="009A5E09"/>
    <w:rsid w:val="009A617C"/>
    <w:rsid w:val="009A6529"/>
    <w:rsid w:val="009A668C"/>
    <w:rsid w:val="009A6AAC"/>
    <w:rsid w:val="009A7085"/>
    <w:rsid w:val="009A709D"/>
    <w:rsid w:val="009A7289"/>
    <w:rsid w:val="009A7D83"/>
    <w:rsid w:val="009A7F2E"/>
    <w:rsid w:val="009B064A"/>
    <w:rsid w:val="009B098B"/>
    <w:rsid w:val="009B0BC9"/>
    <w:rsid w:val="009B0E67"/>
    <w:rsid w:val="009B14EC"/>
    <w:rsid w:val="009B15B1"/>
    <w:rsid w:val="009B1810"/>
    <w:rsid w:val="009B20C9"/>
    <w:rsid w:val="009B23E1"/>
    <w:rsid w:val="009B23F4"/>
    <w:rsid w:val="009B254A"/>
    <w:rsid w:val="009B25DA"/>
    <w:rsid w:val="009B262E"/>
    <w:rsid w:val="009B2783"/>
    <w:rsid w:val="009B2A43"/>
    <w:rsid w:val="009B2B3A"/>
    <w:rsid w:val="009B2DDB"/>
    <w:rsid w:val="009B2DF8"/>
    <w:rsid w:val="009B31A0"/>
    <w:rsid w:val="009B329B"/>
    <w:rsid w:val="009B34E5"/>
    <w:rsid w:val="009B3736"/>
    <w:rsid w:val="009B404A"/>
    <w:rsid w:val="009B40B0"/>
    <w:rsid w:val="009B4530"/>
    <w:rsid w:val="009B4776"/>
    <w:rsid w:val="009B4F68"/>
    <w:rsid w:val="009B5462"/>
    <w:rsid w:val="009B5A17"/>
    <w:rsid w:val="009B6342"/>
    <w:rsid w:val="009B6611"/>
    <w:rsid w:val="009B6638"/>
    <w:rsid w:val="009B6836"/>
    <w:rsid w:val="009B6C46"/>
    <w:rsid w:val="009B6C59"/>
    <w:rsid w:val="009B6D5B"/>
    <w:rsid w:val="009B6D88"/>
    <w:rsid w:val="009B70D4"/>
    <w:rsid w:val="009B743F"/>
    <w:rsid w:val="009B79A0"/>
    <w:rsid w:val="009B79D5"/>
    <w:rsid w:val="009B7BFC"/>
    <w:rsid w:val="009B7E93"/>
    <w:rsid w:val="009C0029"/>
    <w:rsid w:val="009C029F"/>
    <w:rsid w:val="009C0527"/>
    <w:rsid w:val="009C0971"/>
    <w:rsid w:val="009C0AFE"/>
    <w:rsid w:val="009C0F1D"/>
    <w:rsid w:val="009C0F25"/>
    <w:rsid w:val="009C0F2D"/>
    <w:rsid w:val="009C0F5B"/>
    <w:rsid w:val="009C101D"/>
    <w:rsid w:val="009C1122"/>
    <w:rsid w:val="009C17AE"/>
    <w:rsid w:val="009C1AC6"/>
    <w:rsid w:val="009C1F29"/>
    <w:rsid w:val="009C2218"/>
    <w:rsid w:val="009C25D2"/>
    <w:rsid w:val="009C268D"/>
    <w:rsid w:val="009C26F1"/>
    <w:rsid w:val="009C2759"/>
    <w:rsid w:val="009C2C35"/>
    <w:rsid w:val="009C2FF9"/>
    <w:rsid w:val="009C3106"/>
    <w:rsid w:val="009C3387"/>
    <w:rsid w:val="009C3706"/>
    <w:rsid w:val="009C3874"/>
    <w:rsid w:val="009C39B2"/>
    <w:rsid w:val="009C3A6E"/>
    <w:rsid w:val="009C3BE8"/>
    <w:rsid w:val="009C3C89"/>
    <w:rsid w:val="009C3D5B"/>
    <w:rsid w:val="009C3DAB"/>
    <w:rsid w:val="009C3DFA"/>
    <w:rsid w:val="009C413D"/>
    <w:rsid w:val="009C41B7"/>
    <w:rsid w:val="009C45E9"/>
    <w:rsid w:val="009C4832"/>
    <w:rsid w:val="009C4A08"/>
    <w:rsid w:val="009C4AC5"/>
    <w:rsid w:val="009C4D42"/>
    <w:rsid w:val="009C4E1F"/>
    <w:rsid w:val="009C5156"/>
    <w:rsid w:val="009C5181"/>
    <w:rsid w:val="009C51AD"/>
    <w:rsid w:val="009C5319"/>
    <w:rsid w:val="009C5323"/>
    <w:rsid w:val="009C545E"/>
    <w:rsid w:val="009C557A"/>
    <w:rsid w:val="009C557F"/>
    <w:rsid w:val="009C56EA"/>
    <w:rsid w:val="009C5881"/>
    <w:rsid w:val="009C5F01"/>
    <w:rsid w:val="009C5F3D"/>
    <w:rsid w:val="009C5F73"/>
    <w:rsid w:val="009C5FD1"/>
    <w:rsid w:val="009C615A"/>
    <w:rsid w:val="009C61C0"/>
    <w:rsid w:val="009C61E6"/>
    <w:rsid w:val="009C635F"/>
    <w:rsid w:val="009C6573"/>
    <w:rsid w:val="009C6613"/>
    <w:rsid w:val="009C6631"/>
    <w:rsid w:val="009C6655"/>
    <w:rsid w:val="009C667D"/>
    <w:rsid w:val="009C67C4"/>
    <w:rsid w:val="009C691B"/>
    <w:rsid w:val="009C6937"/>
    <w:rsid w:val="009C695F"/>
    <w:rsid w:val="009C6C37"/>
    <w:rsid w:val="009C7231"/>
    <w:rsid w:val="009C76F1"/>
    <w:rsid w:val="009C77EC"/>
    <w:rsid w:val="009C7A19"/>
    <w:rsid w:val="009C7B35"/>
    <w:rsid w:val="009C7CFF"/>
    <w:rsid w:val="009C7E6F"/>
    <w:rsid w:val="009C7EA4"/>
    <w:rsid w:val="009D01BB"/>
    <w:rsid w:val="009D04E9"/>
    <w:rsid w:val="009D0582"/>
    <w:rsid w:val="009D092B"/>
    <w:rsid w:val="009D0950"/>
    <w:rsid w:val="009D0ABD"/>
    <w:rsid w:val="009D0B3C"/>
    <w:rsid w:val="009D0BA6"/>
    <w:rsid w:val="009D0E88"/>
    <w:rsid w:val="009D0EC4"/>
    <w:rsid w:val="009D0EDB"/>
    <w:rsid w:val="009D1295"/>
    <w:rsid w:val="009D172F"/>
    <w:rsid w:val="009D195A"/>
    <w:rsid w:val="009D1CCC"/>
    <w:rsid w:val="009D1D43"/>
    <w:rsid w:val="009D201B"/>
    <w:rsid w:val="009D213E"/>
    <w:rsid w:val="009D26D4"/>
    <w:rsid w:val="009D2738"/>
    <w:rsid w:val="009D2A41"/>
    <w:rsid w:val="009D2B6D"/>
    <w:rsid w:val="009D2C58"/>
    <w:rsid w:val="009D2CD1"/>
    <w:rsid w:val="009D2DE7"/>
    <w:rsid w:val="009D2FCD"/>
    <w:rsid w:val="009D331D"/>
    <w:rsid w:val="009D33FA"/>
    <w:rsid w:val="009D36D1"/>
    <w:rsid w:val="009D375E"/>
    <w:rsid w:val="009D3B70"/>
    <w:rsid w:val="009D3C4C"/>
    <w:rsid w:val="009D4012"/>
    <w:rsid w:val="009D4177"/>
    <w:rsid w:val="009D41BB"/>
    <w:rsid w:val="009D440A"/>
    <w:rsid w:val="009D4533"/>
    <w:rsid w:val="009D4539"/>
    <w:rsid w:val="009D4D49"/>
    <w:rsid w:val="009D4E91"/>
    <w:rsid w:val="009D4F56"/>
    <w:rsid w:val="009D4FF9"/>
    <w:rsid w:val="009D506D"/>
    <w:rsid w:val="009D50C8"/>
    <w:rsid w:val="009D517F"/>
    <w:rsid w:val="009D53DB"/>
    <w:rsid w:val="009D5496"/>
    <w:rsid w:val="009D56AF"/>
    <w:rsid w:val="009D5734"/>
    <w:rsid w:val="009D5A10"/>
    <w:rsid w:val="009D5F04"/>
    <w:rsid w:val="009D69CD"/>
    <w:rsid w:val="009D6EE2"/>
    <w:rsid w:val="009D6F38"/>
    <w:rsid w:val="009D6F96"/>
    <w:rsid w:val="009D70E8"/>
    <w:rsid w:val="009D73CF"/>
    <w:rsid w:val="009D74BD"/>
    <w:rsid w:val="009D77F5"/>
    <w:rsid w:val="009D7ABF"/>
    <w:rsid w:val="009D7C33"/>
    <w:rsid w:val="009D7E8B"/>
    <w:rsid w:val="009D7F5E"/>
    <w:rsid w:val="009E040D"/>
    <w:rsid w:val="009E0477"/>
    <w:rsid w:val="009E0692"/>
    <w:rsid w:val="009E093F"/>
    <w:rsid w:val="009E0B1F"/>
    <w:rsid w:val="009E0C0C"/>
    <w:rsid w:val="009E0C39"/>
    <w:rsid w:val="009E0EE0"/>
    <w:rsid w:val="009E0F6A"/>
    <w:rsid w:val="009E1023"/>
    <w:rsid w:val="009E1360"/>
    <w:rsid w:val="009E13F9"/>
    <w:rsid w:val="009E16C0"/>
    <w:rsid w:val="009E170D"/>
    <w:rsid w:val="009E195E"/>
    <w:rsid w:val="009E19C2"/>
    <w:rsid w:val="009E1ADF"/>
    <w:rsid w:val="009E1CE3"/>
    <w:rsid w:val="009E1D46"/>
    <w:rsid w:val="009E1E54"/>
    <w:rsid w:val="009E2287"/>
    <w:rsid w:val="009E2843"/>
    <w:rsid w:val="009E2A80"/>
    <w:rsid w:val="009E2D72"/>
    <w:rsid w:val="009E2E09"/>
    <w:rsid w:val="009E2EA0"/>
    <w:rsid w:val="009E32E9"/>
    <w:rsid w:val="009E3393"/>
    <w:rsid w:val="009E341C"/>
    <w:rsid w:val="009E357D"/>
    <w:rsid w:val="009E39F8"/>
    <w:rsid w:val="009E3C0F"/>
    <w:rsid w:val="009E3DAD"/>
    <w:rsid w:val="009E413A"/>
    <w:rsid w:val="009E4270"/>
    <w:rsid w:val="009E4293"/>
    <w:rsid w:val="009E4500"/>
    <w:rsid w:val="009E45A9"/>
    <w:rsid w:val="009E4A00"/>
    <w:rsid w:val="009E5057"/>
    <w:rsid w:val="009E5109"/>
    <w:rsid w:val="009E5488"/>
    <w:rsid w:val="009E54D4"/>
    <w:rsid w:val="009E5500"/>
    <w:rsid w:val="009E59A0"/>
    <w:rsid w:val="009E5AAD"/>
    <w:rsid w:val="009E5B78"/>
    <w:rsid w:val="009E5CC9"/>
    <w:rsid w:val="009E6332"/>
    <w:rsid w:val="009E63E7"/>
    <w:rsid w:val="009E67C0"/>
    <w:rsid w:val="009E692D"/>
    <w:rsid w:val="009E6CDC"/>
    <w:rsid w:val="009E6F79"/>
    <w:rsid w:val="009E71F2"/>
    <w:rsid w:val="009E738A"/>
    <w:rsid w:val="009E748F"/>
    <w:rsid w:val="009E74AD"/>
    <w:rsid w:val="009E7E2F"/>
    <w:rsid w:val="009E7E47"/>
    <w:rsid w:val="009E7E85"/>
    <w:rsid w:val="009F0991"/>
    <w:rsid w:val="009F0B08"/>
    <w:rsid w:val="009F0DFB"/>
    <w:rsid w:val="009F0E2C"/>
    <w:rsid w:val="009F0F85"/>
    <w:rsid w:val="009F10A7"/>
    <w:rsid w:val="009F1403"/>
    <w:rsid w:val="009F1743"/>
    <w:rsid w:val="009F1A7F"/>
    <w:rsid w:val="009F1B9A"/>
    <w:rsid w:val="009F1C55"/>
    <w:rsid w:val="009F2290"/>
    <w:rsid w:val="009F22E0"/>
    <w:rsid w:val="009F23CB"/>
    <w:rsid w:val="009F244C"/>
    <w:rsid w:val="009F26F2"/>
    <w:rsid w:val="009F2B23"/>
    <w:rsid w:val="009F2D6E"/>
    <w:rsid w:val="009F2E95"/>
    <w:rsid w:val="009F2EA4"/>
    <w:rsid w:val="009F2F06"/>
    <w:rsid w:val="009F2F38"/>
    <w:rsid w:val="009F2F3A"/>
    <w:rsid w:val="009F3158"/>
    <w:rsid w:val="009F3B42"/>
    <w:rsid w:val="009F3B73"/>
    <w:rsid w:val="009F3E3B"/>
    <w:rsid w:val="009F3FA6"/>
    <w:rsid w:val="009F429E"/>
    <w:rsid w:val="009F4F76"/>
    <w:rsid w:val="009F4F81"/>
    <w:rsid w:val="009F50E5"/>
    <w:rsid w:val="009F5103"/>
    <w:rsid w:val="009F5108"/>
    <w:rsid w:val="009F52C9"/>
    <w:rsid w:val="009F5775"/>
    <w:rsid w:val="009F582F"/>
    <w:rsid w:val="009F5958"/>
    <w:rsid w:val="009F5AEB"/>
    <w:rsid w:val="009F5E20"/>
    <w:rsid w:val="009F5E95"/>
    <w:rsid w:val="009F5F66"/>
    <w:rsid w:val="009F6145"/>
    <w:rsid w:val="009F646E"/>
    <w:rsid w:val="009F657C"/>
    <w:rsid w:val="009F67C6"/>
    <w:rsid w:val="009F67CF"/>
    <w:rsid w:val="009F68ED"/>
    <w:rsid w:val="009F7564"/>
    <w:rsid w:val="009F77E4"/>
    <w:rsid w:val="009F7879"/>
    <w:rsid w:val="009F7976"/>
    <w:rsid w:val="009F7ECC"/>
    <w:rsid w:val="00A002D4"/>
    <w:rsid w:val="00A0032F"/>
    <w:rsid w:val="00A003B3"/>
    <w:rsid w:val="00A004B0"/>
    <w:rsid w:val="00A009E4"/>
    <w:rsid w:val="00A00A3D"/>
    <w:rsid w:val="00A00A88"/>
    <w:rsid w:val="00A00B0E"/>
    <w:rsid w:val="00A00B10"/>
    <w:rsid w:val="00A00EFF"/>
    <w:rsid w:val="00A0100C"/>
    <w:rsid w:val="00A01052"/>
    <w:rsid w:val="00A0107D"/>
    <w:rsid w:val="00A015DC"/>
    <w:rsid w:val="00A016DA"/>
    <w:rsid w:val="00A01C1A"/>
    <w:rsid w:val="00A01DBC"/>
    <w:rsid w:val="00A01EC1"/>
    <w:rsid w:val="00A02244"/>
    <w:rsid w:val="00A02528"/>
    <w:rsid w:val="00A02530"/>
    <w:rsid w:val="00A025B9"/>
    <w:rsid w:val="00A027E3"/>
    <w:rsid w:val="00A0284E"/>
    <w:rsid w:val="00A0298A"/>
    <w:rsid w:val="00A02FE9"/>
    <w:rsid w:val="00A033DF"/>
    <w:rsid w:val="00A03658"/>
    <w:rsid w:val="00A03B83"/>
    <w:rsid w:val="00A03C1D"/>
    <w:rsid w:val="00A040D0"/>
    <w:rsid w:val="00A0450C"/>
    <w:rsid w:val="00A0452C"/>
    <w:rsid w:val="00A045FD"/>
    <w:rsid w:val="00A046D9"/>
    <w:rsid w:val="00A0493E"/>
    <w:rsid w:val="00A04989"/>
    <w:rsid w:val="00A04CCA"/>
    <w:rsid w:val="00A04D1F"/>
    <w:rsid w:val="00A04FB1"/>
    <w:rsid w:val="00A056E0"/>
    <w:rsid w:val="00A05717"/>
    <w:rsid w:val="00A05815"/>
    <w:rsid w:val="00A05BBE"/>
    <w:rsid w:val="00A05C41"/>
    <w:rsid w:val="00A05F3B"/>
    <w:rsid w:val="00A0600B"/>
    <w:rsid w:val="00A0601A"/>
    <w:rsid w:val="00A0613E"/>
    <w:rsid w:val="00A0620F"/>
    <w:rsid w:val="00A062F6"/>
    <w:rsid w:val="00A06594"/>
    <w:rsid w:val="00A067E3"/>
    <w:rsid w:val="00A06CCB"/>
    <w:rsid w:val="00A06D38"/>
    <w:rsid w:val="00A06DD3"/>
    <w:rsid w:val="00A070DF"/>
    <w:rsid w:val="00A07345"/>
    <w:rsid w:val="00A100F7"/>
    <w:rsid w:val="00A1027E"/>
    <w:rsid w:val="00A1050D"/>
    <w:rsid w:val="00A10A26"/>
    <w:rsid w:val="00A10D1F"/>
    <w:rsid w:val="00A11237"/>
    <w:rsid w:val="00A1139E"/>
    <w:rsid w:val="00A113EB"/>
    <w:rsid w:val="00A113F6"/>
    <w:rsid w:val="00A1154F"/>
    <w:rsid w:val="00A11693"/>
    <w:rsid w:val="00A119CA"/>
    <w:rsid w:val="00A119F0"/>
    <w:rsid w:val="00A11AC4"/>
    <w:rsid w:val="00A11C7D"/>
    <w:rsid w:val="00A11DCA"/>
    <w:rsid w:val="00A11F02"/>
    <w:rsid w:val="00A12195"/>
    <w:rsid w:val="00A1240C"/>
    <w:rsid w:val="00A12601"/>
    <w:rsid w:val="00A1275B"/>
    <w:rsid w:val="00A12A89"/>
    <w:rsid w:val="00A12CB9"/>
    <w:rsid w:val="00A12CFE"/>
    <w:rsid w:val="00A13209"/>
    <w:rsid w:val="00A13610"/>
    <w:rsid w:val="00A1364D"/>
    <w:rsid w:val="00A1395D"/>
    <w:rsid w:val="00A13D86"/>
    <w:rsid w:val="00A13DF0"/>
    <w:rsid w:val="00A13E83"/>
    <w:rsid w:val="00A13EB3"/>
    <w:rsid w:val="00A13F8D"/>
    <w:rsid w:val="00A140BE"/>
    <w:rsid w:val="00A145F3"/>
    <w:rsid w:val="00A14A2D"/>
    <w:rsid w:val="00A14A99"/>
    <w:rsid w:val="00A14B61"/>
    <w:rsid w:val="00A14BBA"/>
    <w:rsid w:val="00A14F18"/>
    <w:rsid w:val="00A15180"/>
    <w:rsid w:val="00A1592E"/>
    <w:rsid w:val="00A15AEC"/>
    <w:rsid w:val="00A15C21"/>
    <w:rsid w:val="00A15C96"/>
    <w:rsid w:val="00A15D3F"/>
    <w:rsid w:val="00A15EC4"/>
    <w:rsid w:val="00A15F24"/>
    <w:rsid w:val="00A168C9"/>
    <w:rsid w:val="00A16A5B"/>
    <w:rsid w:val="00A16ACB"/>
    <w:rsid w:val="00A16D32"/>
    <w:rsid w:val="00A16DD6"/>
    <w:rsid w:val="00A1703B"/>
    <w:rsid w:val="00A1704C"/>
    <w:rsid w:val="00A17082"/>
    <w:rsid w:val="00A170E0"/>
    <w:rsid w:val="00A171C0"/>
    <w:rsid w:val="00A174CF"/>
    <w:rsid w:val="00A17662"/>
    <w:rsid w:val="00A17C39"/>
    <w:rsid w:val="00A17E1F"/>
    <w:rsid w:val="00A200C0"/>
    <w:rsid w:val="00A2044F"/>
    <w:rsid w:val="00A20621"/>
    <w:rsid w:val="00A20AAE"/>
    <w:rsid w:val="00A20D1D"/>
    <w:rsid w:val="00A20D2C"/>
    <w:rsid w:val="00A20D9F"/>
    <w:rsid w:val="00A20F45"/>
    <w:rsid w:val="00A215BF"/>
    <w:rsid w:val="00A21668"/>
    <w:rsid w:val="00A218F6"/>
    <w:rsid w:val="00A21BC6"/>
    <w:rsid w:val="00A21BF5"/>
    <w:rsid w:val="00A21CA9"/>
    <w:rsid w:val="00A21D8A"/>
    <w:rsid w:val="00A2219B"/>
    <w:rsid w:val="00A2242E"/>
    <w:rsid w:val="00A22793"/>
    <w:rsid w:val="00A22A32"/>
    <w:rsid w:val="00A22D39"/>
    <w:rsid w:val="00A22F1E"/>
    <w:rsid w:val="00A22FC0"/>
    <w:rsid w:val="00A235AD"/>
    <w:rsid w:val="00A23796"/>
    <w:rsid w:val="00A23A18"/>
    <w:rsid w:val="00A23D07"/>
    <w:rsid w:val="00A23FBE"/>
    <w:rsid w:val="00A23FEE"/>
    <w:rsid w:val="00A24198"/>
    <w:rsid w:val="00A2421E"/>
    <w:rsid w:val="00A245B9"/>
    <w:rsid w:val="00A24CF6"/>
    <w:rsid w:val="00A2531F"/>
    <w:rsid w:val="00A258DA"/>
    <w:rsid w:val="00A25EE8"/>
    <w:rsid w:val="00A264DE"/>
    <w:rsid w:val="00A26693"/>
    <w:rsid w:val="00A26740"/>
    <w:rsid w:val="00A26A7F"/>
    <w:rsid w:val="00A26BD7"/>
    <w:rsid w:val="00A26D88"/>
    <w:rsid w:val="00A26E99"/>
    <w:rsid w:val="00A27049"/>
    <w:rsid w:val="00A27165"/>
    <w:rsid w:val="00A272ED"/>
    <w:rsid w:val="00A2753D"/>
    <w:rsid w:val="00A2772B"/>
    <w:rsid w:val="00A2774A"/>
    <w:rsid w:val="00A2779E"/>
    <w:rsid w:val="00A279FF"/>
    <w:rsid w:val="00A27A47"/>
    <w:rsid w:val="00A27BAC"/>
    <w:rsid w:val="00A27C6A"/>
    <w:rsid w:val="00A27D6F"/>
    <w:rsid w:val="00A27DB9"/>
    <w:rsid w:val="00A27E44"/>
    <w:rsid w:val="00A303B8"/>
    <w:rsid w:val="00A30418"/>
    <w:rsid w:val="00A304A7"/>
    <w:rsid w:val="00A3050A"/>
    <w:rsid w:val="00A30775"/>
    <w:rsid w:val="00A307B5"/>
    <w:rsid w:val="00A30A40"/>
    <w:rsid w:val="00A31251"/>
    <w:rsid w:val="00A31353"/>
    <w:rsid w:val="00A31553"/>
    <w:rsid w:val="00A31593"/>
    <w:rsid w:val="00A31B95"/>
    <w:rsid w:val="00A31C82"/>
    <w:rsid w:val="00A31D56"/>
    <w:rsid w:val="00A31D96"/>
    <w:rsid w:val="00A31FA6"/>
    <w:rsid w:val="00A328AB"/>
    <w:rsid w:val="00A328F8"/>
    <w:rsid w:val="00A32EDA"/>
    <w:rsid w:val="00A3313D"/>
    <w:rsid w:val="00A3357D"/>
    <w:rsid w:val="00A338F7"/>
    <w:rsid w:val="00A3395C"/>
    <w:rsid w:val="00A339A7"/>
    <w:rsid w:val="00A33BE4"/>
    <w:rsid w:val="00A33CF0"/>
    <w:rsid w:val="00A33D84"/>
    <w:rsid w:val="00A33EC3"/>
    <w:rsid w:val="00A33F0C"/>
    <w:rsid w:val="00A342F0"/>
    <w:rsid w:val="00A34456"/>
    <w:rsid w:val="00A3469E"/>
    <w:rsid w:val="00A3480F"/>
    <w:rsid w:val="00A3482D"/>
    <w:rsid w:val="00A34BE1"/>
    <w:rsid w:val="00A34FD8"/>
    <w:rsid w:val="00A35168"/>
    <w:rsid w:val="00A35219"/>
    <w:rsid w:val="00A357D8"/>
    <w:rsid w:val="00A3586E"/>
    <w:rsid w:val="00A35DEB"/>
    <w:rsid w:val="00A35FC9"/>
    <w:rsid w:val="00A3613C"/>
    <w:rsid w:val="00A362EE"/>
    <w:rsid w:val="00A363EB"/>
    <w:rsid w:val="00A36817"/>
    <w:rsid w:val="00A36DA6"/>
    <w:rsid w:val="00A36EA7"/>
    <w:rsid w:val="00A37239"/>
    <w:rsid w:val="00A372A8"/>
    <w:rsid w:val="00A3752D"/>
    <w:rsid w:val="00A37652"/>
    <w:rsid w:val="00A37942"/>
    <w:rsid w:val="00A379F5"/>
    <w:rsid w:val="00A37AA5"/>
    <w:rsid w:val="00A37E14"/>
    <w:rsid w:val="00A37FF1"/>
    <w:rsid w:val="00A40270"/>
    <w:rsid w:val="00A402AC"/>
    <w:rsid w:val="00A405B5"/>
    <w:rsid w:val="00A4063C"/>
    <w:rsid w:val="00A40AC3"/>
    <w:rsid w:val="00A4106D"/>
    <w:rsid w:val="00A4111E"/>
    <w:rsid w:val="00A4128C"/>
    <w:rsid w:val="00A415CF"/>
    <w:rsid w:val="00A41641"/>
    <w:rsid w:val="00A41695"/>
    <w:rsid w:val="00A419AA"/>
    <w:rsid w:val="00A41B87"/>
    <w:rsid w:val="00A41C34"/>
    <w:rsid w:val="00A41D01"/>
    <w:rsid w:val="00A41F03"/>
    <w:rsid w:val="00A42436"/>
    <w:rsid w:val="00A42787"/>
    <w:rsid w:val="00A42869"/>
    <w:rsid w:val="00A428EF"/>
    <w:rsid w:val="00A42B11"/>
    <w:rsid w:val="00A42B16"/>
    <w:rsid w:val="00A42EA8"/>
    <w:rsid w:val="00A42EDA"/>
    <w:rsid w:val="00A42EF7"/>
    <w:rsid w:val="00A42F9E"/>
    <w:rsid w:val="00A434BB"/>
    <w:rsid w:val="00A434E5"/>
    <w:rsid w:val="00A4354F"/>
    <w:rsid w:val="00A4364D"/>
    <w:rsid w:val="00A4372D"/>
    <w:rsid w:val="00A43839"/>
    <w:rsid w:val="00A43886"/>
    <w:rsid w:val="00A43A5B"/>
    <w:rsid w:val="00A44040"/>
    <w:rsid w:val="00A44429"/>
    <w:rsid w:val="00A4444B"/>
    <w:rsid w:val="00A44477"/>
    <w:rsid w:val="00A445ED"/>
    <w:rsid w:val="00A44A3D"/>
    <w:rsid w:val="00A44F52"/>
    <w:rsid w:val="00A453A5"/>
    <w:rsid w:val="00A45455"/>
    <w:rsid w:val="00A4597B"/>
    <w:rsid w:val="00A45C9D"/>
    <w:rsid w:val="00A45E83"/>
    <w:rsid w:val="00A460B3"/>
    <w:rsid w:val="00A46396"/>
    <w:rsid w:val="00A46628"/>
    <w:rsid w:val="00A4679A"/>
    <w:rsid w:val="00A467CE"/>
    <w:rsid w:val="00A4691B"/>
    <w:rsid w:val="00A46993"/>
    <w:rsid w:val="00A46FF5"/>
    <w:rsid w:val="00A47106"/>
    <w:rsid w:val="00A471F3"/>
    <w:rsid w:val="00A47396"/>
    <w:rsid w:val="00A47459"/>
    <w:rsid w:val="00A4756E"/>
    <w:rsid w:val="00A4776F"/>
    <w:rsid w:val="00A47D74"/>
    <w:rsid w:val="00A47EF0"/>
    <w:rsid w:val="00A47FAC"/>
    <w:rsid w:val="00A500F0"/>
    <w:rsid w:val="00A50641"/>
    <w:rsid w:val="00A5084D"/>
    <w:rsid w:val="00A508B6"/>
    <w:rsid w:val="00A50AFD"/>
    <w:rsid w:val="00A514C2"/>
    <w:rsid w:val="00A5183C"/>
    <w:rsid w:val="00A51AB2"/>
    <w:rsid w:val="00A51E51"/>
    <w:rsid w:val="00A51EBE"/>
    <w:rsid w:val="00A528D0"/>
    <w:rsid w:val="00A52BFA"/>
    <w:rsid w:val="00A52E5B"/>
    <w:rsid w:val="00A52EC5"/>
    <w:rsid w:val="00A53090"/>
    <w:rsid w:val="00A53178"/>
    <w:rsid w:val="00A532CE"/>
    <w:rsid w:val="00A5364E"/>
    <w:rsid w:val="00A5368C"/>
    <w:rsid w:val="00A53B02"/>
    <w:rsid w:val="00A53C61"/>
    <w:rsid w:val="00A53CBD"/>
    <w:rsid w:val="00A5413D"/>
    <w:rsid w:val="00A5432D"/>
    <w:rsid w:val="00A54776"/>
    <w:rsid w:val="00A54BD7"/>
    <w:rsid w:val="00A552FD"/>
    <w:rsid w:val="00A55351"/>
    <w:rsid w:val="00A555A0"/>
    <w:rsid w:val="00A55784"/>
    <w:rsid w:val="00A5590D"/>
    <w:rsid w:val="00A55CDE"/>
    <w:rsid w:val="00A55D24"/>
    <w:rsid w:val="00A56008"/>
    <w:rsid w:val="00A56328"/>
    <w:rsid w:val="00A5642D"/>
    <w:rsid w:val="00A5663D"/>
    <w:rsid w:val="00A566D3"/>
    <w:rsid w:val="00A56753"/>
    <w:rsid w:val="00A56C19"/>
    <w:rsid w:val="00A570A9"/>
    <w:rsid w:val="00A570E9"/>
    <w:rsid w:val="00A571CC"/>
    <w:rsid w:val="00A571FD"/>
    <w:rsid w:val="00A5729A"/>
    <w:rsid w:val="00A57611"/>
    <w:rsid w:val="00A57614"/>
    <w:rsid w:val="00A576D1"/>
    <w:rsid w:val="00A5775E"/>
    <w:rsid w:val="00A5776C"/>
    <w:rsid w:val="00A57A40"/>
    <w:rsid w:val="00A57BD8"/>
    <w:rsid w:val="00A57D49"/>
    <w:rsid w:val="00A57E30"/>
    <w:rsid w:val="00A602F2"/>
    <w:rsid w:val="00A6037A"/>
    <w:rsid w:val="00A60614"/>
    <w:rsid w:val="00A608CE"/>
    <w:rsid w:val="00A60A3F"/>
    <w:rsid w:val="00A60CC5"/>
    <w:rsid w:val="00A6100D"/>
    <w:rsid w:val="00A6101D"/>
    <w:rsid w:val="00A6116F"/>
    <w:rsid w:val="00A61293"/>
    <w:rsid w:val="00A6134F"/>
    <w:rsid w:val="00A61459"/>
    <w:rsid w:val="00A616B2"/>
    <w:rsid w:val="00A61756"/>
    <w:rsid w:val="00A617BE"/>
    <w:rsid w:val="00A619A8"/>
    <w:rsid w:val="00A61A2E"/>
    <w:rsid w:val="00A61BA7"/>
    <w:rsid w:val="00A61D4D"/>
    <w:rsid w:val="00A62024"/>
    <w:rsid w:val="00A620ED"/>
    <w:rsid w:val="00A62148"/>
    <w:rsid w:val="00A62315"/>
    <w:rsid w:val="00A6235E"/>
    <w:rsid w:val="00A6269B"/>
    <w:rsid w:val="00A629CD"/>
    <w:rsid w:val="00A62BCB"/>
    <w:rsid w:val="00A62F85"/>
    <w:rsid w:val="00A63153"/>
    <w:rsid w:val="00A631C2"/>
    <w:rsid w:val="00A631F7"/>
    <w:rsid w:val="00A6325B"/>
    <w:rsid w:val="00A6331C"/>
    <w:rsid w:val="00A634FC"/>
    <w:rsid w:val="00A63F68"/>
    <w:rsid w:val="00A640E2"/>
    <w:rsid w:val="00A6459D"/>
    <w:rsid w:val="00A649DC"/>
    <w:rsid w:val="00A64B90"/>
    <w:rsid w:val="00A64E97"/>
    <w:rsid w:val="00A650DA"/>
    <w:rsid w:val="00A652A1"/>
    <w:rsid w:val="00A652BE"/>
    <w:rsid w:val="00A65682"/>
    <w:rsid w:val="00A65923"/>
    <w:rsid w:val="00A65B21"/>
    <w:rsid w:val="00A65E5E"/>
    <w:rsid w:val="00A65ED3"/>
    <w:rsid w:val="00A65FD1"/>
    <w:rsid w:val="00A66095"/>
    <w:rsid w:val="00A66168"/>
    <w:rsid w:val="00A66220"/>
    <w:rsid w:val="00A66241"/>
    <w:rsid w:val="00A663F5"/>
    <w:rsid w:val="00A665EA"/>
    <w:rsid w:val="00A66658"/>
    <w:rsid w:val="00A66722"/>
    <w:rsid w:val="00A66959"/>
    <w:rsid w:val="00A66A0A"/>
    <w:rsid w:val="00A66F75"/>
    <w:rsid w:val="00A67251"/>
    <w:rsid w:val="00A67442"/>
    <w:rsid w:val="00A67EAE"/>
    <w:rsid w:val="00A67FFB"/>
    <w:rsid w:val="00A700A0"/>
    <w:rsid w:val="00A700BE"/>
    <w:rsid w:val="00A700D1"/>
    <w:rsid w:val="00A701AC"/>
    <w:rsid w:val="00A703B8"/>
    <w:rsid w:val="00A703C1"/>
    <w:rsid w:val="00A70CA8"/>
    <w:rsid w:val="00A70CE0"/>
    <w:rsid w:val="00A70D0D"/>
    <w:rsid w:val="00A70D62"/>
    <w:rsid w:val="00A71146"/>
    <w:rsid w:val="00A71263"/>
    <w:rsid w:val="00A71393"/>
    <w:rsid w:val="00A71406"/>
    <w:rsid w:val="00A714D1"/>
    <w:rsid w:val="00A71577"/>
    <w:rsid w:val="00A718CE"/>
    <w:rsid w:val="00A71A8F"/>
    <w:rsid w:val="00A71C40"/>
    <w:rsid w:val="00A71DDF"/>
    <w:rsid w:val="00A721D5"/>
    <w:rsid w:val="00A72361"/>
    <w:rsid w:val="00A72535"/>
    <w:rsid w:val="00A7277A"/>
    <w:rsid w:val="00A729F4"/>
    <w:rsid w:val="00A72AE4"/>
    <w:rsid w:val="00A72F1D"/>
    <w:rsid w:val="00A72FB7"/>
    <w:rsid w:val="00A7339C"/>
    <w:rsid w:val="00A7350C"/>
    <w:rsid w:val="00A73D69"/>
    <w:rsid w:val="00A74390"/>
    <w:rsid w:val="00A7450C"/>
    <w:rsid w:val="00A745A4"/>
    <w:rsid w:val="00A74673"/>
    <w:rsid w:val="00A749F2"/>
    <w:rsid w:val="00A74D44"/>
    <w:rsid w:val="00A74D8F"/>
    <w:rsid w:val="00A7513D"/>
    <w:rsid w:val="00A751CA"/>
    <w:rsid w:val="00A7525E"/>
    <w:rsid w:val="00A75386"/>
    <w:rsid w:val="00A75A68"/>
    <w:rsid w:val="00A75ABE"/>
    <w:rsid w:val="00A75B34"/>
    <w:rsid w:val="00A75D9F"/>
    <w:rsid w:val="00A75F60"/>
    <w:rsid w:val="00A76059"/>
    <w:rsid w:val="00A762A1"/>
    <w:rsid w:val="00A764EE"/>
    <w:rsid w:val="00A769E7"/>
    <w:rsid w:val="00A76B5F"/>
    <w:rsid w:val="00A76D78"/>
    <w:rsid w:val="00A7703D"/>
    <w:rsid w:val="00A77129"/>
    <w:rsid w:val="00A77352"/>
    <w:rsid w:val="00A7796D"/>
    <w:rsid w:val="00A77A69"/>
    <w:rsid w:val="00A77C4D"/>
    <w:rsid w:val="00A77E8C"/>
    <w:rsid w:val="00A80050"/>
    <w:rsid w:val="00A8036C"/>
    <w:rsid w:val="00A807A8"/>
    <w:rsid w:val="00A80E18"/>
    <w:rsid w:val="00A811A9"/>
    <w:rsid w:val="00A81380"/>
    <w:rsid w:val="00A813E1"/>
    <w:rsid w:val="00A813ED"/>
    <w:rsid w:val="00A81560"/>
    <w:rsid w:val="00A8175F"/>
    <w:rsid w:val="00A81BA9"/>
    <w:rsid w:val="00A820AF"/>
    <w:rsid w:val="00A821C1"/>
    <w:rsid w:val="00A822F8"/>
    <w:rsid w:val="00A8231C"/>
    <w:rsid w:val="00A8256D"/>
    <w:rsid w:val="00A826C9"/>
    <w:rsid w:val="00A82964"/>
    <w:rsid w:val="00A82CF0"/>
    <w:rsid w:val="00A83276"/>
    <w:rsid w:val="00A83580"/>
    <w:rsid w:val="00A8390B"/>
    <w:rsid w:val="00A83D0A"/>
    <w:rsid w:val="00A83D7F"/>
    <w:rsid w:val="00A83ED8"/>
    <w:rsid w:val="00A83FBB"/>
    <w:rsid w:val="00A84600"/>
    <w:rsid w:val="00A846CC"/>
    <w:rsid w:val="00A8472E"/>
    <w:rsid w:val="00A848DE"/>
    <w:rsid w:val="00A84A6A"/>
    <w:rsid w:val="00A84DF2"/>
    <w:rsid w:val="00A8514E"/>
    <w:rsid w:val="00A851C2"/>
    <w:rsid w:val="00A8523D"/>
    <w:rsid w:val="00A856BE"/>
    <w:rsid w:val="00A856FB"/>
    <w:rsid w:val="00A8570B"/>
    <w:rsid w:val="00A8572D"/>
    <w:rsid w:val="00A857F4"/>
    <w:rsid w:val="00A859F7"/>
    <w:rsid w:val="00A85CB7"/>
    <w:rsid w:val="00A85D2F"/>
    <w:rsid w:val="00A85DB0"/>
    <w:rsid w:val="00A85F5D"/>
    <w:rsid w:val="00A86494"/>
    <w:rsid w:val="00A86597"/>
    <w:rsid w:val="00A8670B"/>
    <w:rsid w:val="00A86733"/>
    <w:rsid w:val="00A8681B"/>
    <w:rsid w:val="00A8697B"/>
    <w:rsid w:val="00A86AA5"/>
    <w:rsid w:val="00A86C5B"/>
    <w:rsid w:val="00A86E40"/>
    <w:rsid w:val="00A86EAF"/>
    <w:rsid w:val="00A86FEF"/>
    <w:rsid w:val="00A87192"/>
    <w:rsid w:val="00A8725D"/>
    <w:rsid w:val="00A876C7"/>
    <w:rsid w:val="00A8789F"/>
    <w:rsid w:val="00A87D00"/>
    <w:rsid w:val="00A87D31"/>
    <w:rsid w:val="00A90765"/>
    <w:rsid w:val="00A909A7"/>
    <w:rsid w:val="00A90A62"/>
    <w:rsid w:val="00A90EC6"/>
    <w:rsid w:val="00A91081"/>
    <w:rsid w:val="00A910E3"/>
    <w:rsid w:val="00A910F1"/>
    <w:rsid w:val="00A91966"/>
    <w:rsid w:val="00A91D31"/>
    <w:rsid w:val="00A91FD5"/>
    <w:rsid w:val="00A92036"/>
    <w:rsid w:val="00A92084"/>
    <w:rsid w:val="00A92BF7"/>
    <w:rsid w:val="00A92FEA"/>
    <w:rsid w:val="00A92FFB"/>
    <w:rsid w:val="00A9302A"/>
    <w:rsid w:val="00A934EE"/>
    <w:rsid w:val="00A935B8"/>
    <w:rsid w:val="00A93A6F"/>
    <w:rsid w:val="00A93DDD"/>
    <w:rsid w:val="00A93EC2"/>
    <w:rsid w:val="00A941B2"/>
    <w:rsid w:val="00A94244"/>
    <w:rsid w:val="00A9454E"/>
    <w:rsid w:val="00A9491F"/>
    <w:rsid w:val="00A94AF7"/>
    <w:rsid w:val="00A94EDC"/>
    <w:rsid w:val="00A950A5"/>
    <w:rsid w:val="00A954DF"/>
    <w:rsid w:val="00A95695"/>
    <w:rsid w:val="00A957C2"/>
    <w:rsid w:val="00A96165"/>
    <w:rsid w:val="00A961FD"/>
    <w:rsid w:val="00A96273"/>
    <w:rsid w:val="00A9691A"/>
    <w:rsid w:val="00A972D0"/>
    <w:rsid w:val="00A97357"/>
    <w:rsid w:val="00A97C42"/>
    <w:rsid w:val="00AA0184"/>
    <w:rsid w:val="00AA01DD"/>
    <w:rsid w:val="00AA05FB"/>
    <w:rsid w:val="00AA06DA"/>
    <w:rsid w:val="00AA086E"/>
    <w:rsid w:val="00AA0B14"/>
    <w:rsid w:val="00AA11ED"/>
    <w:rsid w:val="00AA1227"/>
    <w:rsid w:val="00AA1555"/>
    <w:rsid w:val="00AA15C0"/>
    <w:rsid w:val="00AA17D0"/>
    <w:rsid w:val="00AA1C91"/>
    <w:rsid w:val="00AA2544"/>
    <w:rsid w:val="00AA2553"/>
    <w:rsid w:val="00AA28C2"/>
    <w:rsid w:val="00AA297F"/>
    <w:rsid w:val="00AA2996"/>
    <w:rsid w:val="00AA2A0E"/>
    <w:rsid w:val="00AA2D64"/>
    <w:rsid w:val="00AA2FC4"/>
    <w:rsid w:val="00AA312F"/>
    <w:rsid w:val="00AA34EA"/>
    <w:rsid w:val="00AA395B"/>
    <w:rsid w:val="00AA3E03"/>
    <w:rsid w:val="00AA3ED5"/>
    <w:rsid w:val="00AA3F3B"/>
    <w:rsid w:val="00AA3F59"/>
    <w:rsid w:val="00AA4627"/>
    <w:rsid w:val="00AA4737"/>
    <w:rsid w:val="00AA476A"/>
    <w:rsid w:val="00AA47B2"/>
    <w:rsid w:val="00AA496C"/>
    <w:rsid w:val="00AA4B64"/>
    <w:rsid w:val="00AA4CCC"/>
    <w:rsid w:val="00AA4EE5"/>
    <w:rsid w:val="00AA526F"/>
    <w:rsid w:val="00AA5415"/>
    <w:rsid w:val="00AA5492"/>
    <w:rsid w:val="00AA5665"/>
    <w:rsid w:val="00AA56E3"/>
    <w:rsid w:val="00AA58C3"/>
    <w:rsid w:val="00AA5C40"/>
    <w:rsid w:val="00AA5E2E"/>
    <w:rsid w:val="00AA5ECE"/>
    <w:rsid w:val="00AA5FC0"/>
    <w:rsid w:val="00AA6623"/>
    <w:rsid w:val="00AA6861"/>
    <w:rsid w:val="00AA6982"/>
    <w:rsid w:val="00AA733E"/>
    <w:rsid w:val="00AA7538"/>
    <w:rsid w:val="00AA76BA"/>
    <w:rsid w:val="00AA77C9"/>
    <w:rsid w:val="00AA79A4"/>
    <w:rsid w:val="00AA7BEF"/>
    <w:rsid w:val="00AA7BF3"/>
    <w:rsid w:val="00AA7D3F"/>
    <w:rsid w:val="00AA7F05"/>
    <w:rsid w:val="00AB0007"/>
    <w:rsid w:val="00AB006F"/>
    <w:rsid w:val="00AB0072"/>
    <w:rsid w:val="00AB0657"/>
    <w:rsid w:val="00AB0AFA"/>
    <w:rsid w:val="00AB0F79"/>
    <w:rsid w:val="00AB1156"/>
    <w:rsid w:val="00AB1372"/>
    <w:rsid w:val="00AB1700"/>
    <w:rsid w:val="00AB18AD"/>
    <w:rsid w:val="00AB1DD2"/>
    <w:rsid w:val="00AB239B"/>
    <w:rsid w:val="00AB23D6"/>
    <w:rsid w:val="00AB278E"/>
    <w:rsid w:val="00AB2BB7"/>
    <w:rsid w:val="00AB32EB"/>
    <w:rsid w:val="00AB335A"/>
    <w:rsid w:val="00AB33F4"/>
    <w:rsid w:val="00AB34A4"/>
    <w:rsid w:val="00AB356B"/>
    <w:rsid w:val="00AB35AD"/>
    <w:rsid w:val="00AB3644"/>
    <w:rsid w:val="00AB39F0"/>
    <w:rsid w:val="00AB3BB0"/>
    <w:rsid w:val="00AB3C7D"/>
    <w:rsid w:val="00AB3E95"/>
    <w:rsid w:val="00AB41A0"/>
    <w:rsid w:val="00AB460A"/>
    <w:rsid w:val="00AB46B8"/>
    <w:rsid w:val="00AB4FB4"/>
    <w:rsid w:val="00AB5041"/>
    <w:rsid w:val="00AB50C1"/>
    <w:rsid w:val="00AB5159"/>
    <w:rsid w:val="00AB5406"/>
    <w:rsid w:val="00AB5483"/>
    <w:rsid w:val="00AB55CC"/>
    <w:rsid w:val="00AB56E2"/>
    <w:rsid w:val="00AB57F5"/>
    <w:rsid w:val="00AB59F0"/>
    <w:rsid w:val="00AB5A38"/>
    <w:rsid w:val="00AB5C40"/>
    <w:rsid w:val="00AB5E39"/>
    <w:rsid w:val="00AB5E52"/>
    <w:rsid w:val="00AB6008"/>
    <w:rsid w:val="00AB62BA"/>
    <w:rsid w:val="00AB6622"/>
    <w:rsid w:val="00AB7BCF"/>
    <w:rsid w:val="00AB7C8D"/>
    <w:rsid w:val="00AB7F21"/>
    <w:rsid w:val="00AB7F78"/>
    <w:rsid w:val="00AC01DD"/>
    <w:rsid w:val="00AC06C7"/>
    <w:rsid w:val="00AC086C"/>
    <w:rsid w:val="00AC0A77"/>
    <w:rsid w:val="00AC0BDA"/>
    <w:rsid w:val="00AC10DA"/>
    <w:rsid w:val="00AC1340"/>
    <w:rsid w:val="00AC13B2"/>
    <w:rsid w:val="00AC145D"/>
    <w:rsid w:val="00AC16B8"/>
    <w:rsid w:val="00AC17C6"/>
    <w:rsid w:val="00AC1B29"/>
    <w:rsid w:val="00AC1DA6"/>
    <w:rsid w:val="00AC1F7F"/>
    <w:rsid w:val="00AC208E"/>
    <w:rsid w:val="00AC2141"/>
    <w:rsid w:val="00AC2167"/>
    <w:rsid w:val="00AC216E"/>
    <w:rsid w:val="00AC234D"/>
    <w:rsid w:val="00AC2376"/>
    <w:rsid w:val="00AC25D7"/>
    <w:rsid w:val="00AC28DA"/>
    <w:rsid w:val="00AC2A89"/>
    <w:rsid w:val="00AC2B33"/>
    <w:rsid w:val="00AC2D50"/>
    <w:rsid w:val="00AC3069"/>
    <w:rsid w:val="00AC3266"/>
    <w:rsid w:val="00AC3813"/>
    <w:rsid w:val="00AC3B47"/>
    <w:rsid w:val="00AC3B4B"/>
    <w:rsid w:val="00AC3E6A"/>
    <w:rsid w:val="00AC3E73"/>
    <w:rsid w:val="00AC3FC8"/>
    <w:rsid w:val="00AC4007"/>
    <w:rsid w:val="00AC4070"/>
    <w:rsid w:val="00AC41F2"/>
    <w:rsid w:val="00AC450E"/>
    <w:rsid w:val="00AC4736"/>
    <w:rsid w:val="00AC4C2D"/>
    <w:rsid w:val="00AC4E92"/>
    <w:rsid w:val="00AC5246"/>
    <w:rsid w:val="00AC5854"/>
    <w:rsid w:val="00AC5A56"/>
    <w:rsid w:val="00AC5D91"/>
    <w:rsid w:val="00AC5FAF"/>
    <w:rsid w:val="00AC5FB2"/>
    <w:rsid w:val="00AC5FEF"/>
    <w:rsid w:val="00AC61E7"/>
    <w:rsid w:val="00AC626E"/>
    <w:rsid w:val="00AC6439"/>
    <w:rsid w:val="00AC64C3"/>
    <w:rsid w:val="00AC6A45"/>
    <w:rsid w:val="00AC6AE7"/>
    <w:rsid w:val="00AC6CB3"/>
    <w:rsid w:val="00AC6CFE"/>
    <w:rsid w:val="00AC6DDB"/>
    <w:rsid w:val="00AC7015"/>
    <w:rsid w:val="00AC74AC"/>
    <w:rsid w:val="00AC7624"/>
    <w:rsid w:val="00AC7646"/>
    <w:rsid w:val="00AC79E1"/>
    <w:rsid w:val="00AC7AFD"/>
    <w:rsid w:val="00AC7C8D"/>
    <w:rsid w:val="00AC7F3A"/>
    <w:rsid w:val="00AD03C9"/>
    <w:rsid w:val="00AD0872"/>
    <w:rsid w:val="00AD0901"/>
    <w:rsid w:val="00AD0AE8"/>
    <w:rsid w:val="00AD0AF9"/>
    <w:rsid w:val="00AD0C95"/>
    <w:rsid w:val="00AD0FB2"/>
    <w:rsid w:val="00AD1135"/>
    <w:rsid w:val="00AD1370"/>
    <w:rsid w:val="00AD1899"/>
    <w:rsid w:val="00AD19D1"/>
    <w:rsid w:val="00AD1B67"/>
    <w:rsid w:val="00AD1E77"/>
    <w:rsid w:val="00AD2122"/>
    <w:rsid w:val="00AD262D"/>
    <w:rsid w:val="00AD2818"/>
    <w:rsid w:val="00AD2860"/>
    <w:rsid w:val="00AD2933"/>
    <w:rsid w:val="00AD2BDC"/>
    <w:rsid w:val="00AD2CA3"/>
    <w:rsid w:val="00AD2CB7"/>
    <w:rsid w:val="00AD2DE8"/>
    <w:rsid w:val="00AD31D1"/>
    <w:rsid w:val="00AD3209"/>
    <w:rsid w:val="00AD3327"/>
    <w:rsid w:val="00AD35F7"/>
    <w:rsid w:val="00AD380F"/>
    <w:rsid w:val="00AD3ABB"/>
    <w:rsid w:val="00AD3B3D"/>
    <w:rsid w:val="00AD3D7A"/>
    <w:rsid w:val="00AD3D8A"/>
    <w:rsid w:val="00AD3E13"/>
    <w:rsid w:val="00AD40AE"/>
    <w:rsid w:val="00AD4106"/>
    <w:rsid w:val="00AD4183"/>
    <w:rsid w:val="00AD457B"/>
    <w:rsid w:val="00AD4942"/>
    <w:rsid w:val="00AD49B9"/>
    <w:rsid w:val="00AD4F53"/>
    <w:rsid w:val="00AD4FD4"/>
    <w:rsid w:val="00AD50A6"/>
    <w:rsid w:val="00AD5430"/>
    <w:rsid w:val="00AD5978"/>
    <w:rsid w:val="00AD5B1F"/>
    <w:rsid w:val="00AD624A"/>
    <w:rsid w:val="00AD626E"/>
    <w:rsid w:val="00AD62D9"/>
    <w:rsid w:val="00AD69C7"/>
    <w:rsid w:val="00AD6BC2"/>
    <w:rsid w:val="00AD6BF8"/>
    <w:rsid w:val="00AD6D67"/>
    <w:rsid w:val="00AD6F1A"/>
    <w:rsid w:val="00AD71AC"/>
    <w:rsid w:val="00AD724D"/>
    <w:rsid w:val="00AD7299"/>
    <w:rsid w:val="00AD73F6"/>
    <w:rsid w:val="00AD7441"/>
    <w:rsid w:val="00AD77E2"/>
    <w:rsid w:val="00AD78F3"/>
    <w:rsid w:val="00AD79A5"/>
    <w:rsid w:val="00AE0131"/>
    <w:rsid w:val="00AE0711"/>
    <w:rsid w:val="00AE08F2"/>
    <w:rsid w:val="00AE09C9"/>
    <w:rsid w:val="00AE0AA3"/>
    <w:rsid w:val="00AE0C3D"/>
    <w:rsid w:val="00AE0DF7"/>
    <w:rsid w:val="00AE1066"/>
    <w:rsid w:val="00AE1251"/>
    <w:rsid w:val="00AE1B81"/>
    <w:rsid w:val="00AE1BF8"/>
    <w:rsid w:val="00AE1C6B"/>
    <w:rsid w:val="00AE1DBD"/>
    <w:rsid w:val="00AE2262"/>
    <w:rsid w:val="00AE22B6"/>
    <w:rsid w:val="00AE2E3D"/>
    <w:rsid w:val="00AE3027"/>
    <w:rsid w:val="00AE3351"/>
    <w:rsid w:val="00AE3506"/>
    <w:rsid w:val="00AE3684"/>
    <w:rsid w:val="00AE36CB"/>
    <w:rsid w:val="00AE393C"/>
    <w:rsid w:val="00AE3C02"/>
    <w:rsid w:val="00AE3CF7"/>
    <w:rsid w:val="00AE3CFE"/>
    <w:rsid w:val="00AE42EA"/>
    <w:rsid w:val="00AE4524"/>
    <w:rsid w:val="00AE4581"/>
    <w:rsid w:val="00AE46DF"/>
    <w:rsid w:val="00AE48A0"/>
    <w:rsid w:val="00AE4A90"/>
    <w:rsid w:val="00AE4BEF"/>
    <w:rsid w:val="00AE4E76"/>
    <w:rsid w:val="00AE506C"/>
    <w:rsid w:val="00AE5198"/>
    <w:rsid w:val="00AE58E3"/>
    <w:rsid w:val="00AE59FB"/>
    <w:rsid w:val="00AE5D63"/>
    <w:rsid w:val="00AE60E5"/>
    <w:rsid w:val="00AE61E2"/>
    <w:rsid w:val="00AE62ED"/>
    <w:rsid w:val="00AE64A0"/>
    <w:rsid w:val="00AE6EA2"/>
    <w:rsid w:val="00AE76CC"/>
    <w:rsid w:val="00AE7C59"/>
    <w:rsid w:val="00AE7CE8"/>
    <w:rsid w:val="00AE7E9A"/>
    <w:rsid w:val="00AE7F79"/>
    <w:rsid w:val="00AF057B"/>
    <w:rsid w:val="00AF07E1"/>
    <w:rsid w:val="00AF0889"/>
    <w:rsid w:val="00AF09CB"/>
    <w:rsid w:val="00AF0A8C"/>
    <w:rsid w:val="00AF0E61"/>
    <w:rsid w:val="00AF1036"/>
    <w:rsid w:val="00AF10AF"/>
    <w:rsid w:val="00AF1449"/>
    <w:rsid w:val="00AF1C3A"/>
    <w:rsid w:val="00AF23C5"/>
    <w:rsid w:val="00AF24F6"/>
    <w:rsid w:val="00AF25EB"/>
    <w:rsid w:val="00AF2A6A"/>
    <w:rsid w:val="00AF2AD1"/>
    <w:rsid w:val="00AF2C62"/>
    <w:rsid w:val="00AF2CA4"/>
    <w:rsid w:val="00AF2D2E"/>
    <w:rsid w:val="00AF3100"/>
    <w:rsid w:val="00AF326F"/>
    <w:rsid w:val="00AF34F7"/>
    <w:rsid w:val="00AF3CA6"/>
    <w:rsid w:val="00AF403C"/>
    <w:rsid w:val="00AF4416"/>
    <w:rsid w:val="00AF45D5"/>
    <w:rsid w:val="00AF47A9"/>
    <w:rsid w:val="00AF48E3"/>
    <w:rsid w:val="00AF4A75"/>
    <w:rsid w:val="00AF4FC0"/>
    <w:rsid w:val="00AF5162"/>
    <w:rsid w:val="00AF5423"/>
    <w:rsid w:val="00AF5430"/>
    <w:rsid w:val="00AF5491"/>
    <w:rsid w:val="00AF581B"/>
    <w:rsid w:val="00AF58F4"/>
    <w:rsid w:val="00AF591A"/>
    <w:rsid w:val="00AF5CE7"/>
    <w:rsid w:val="00AF5F61"/>
    <w:rsid w:val="00AF61C5"/>
    <w:rsid w:val="00AF63F7"/>
    <w:rsid w:val="00AF69A7"/>
    <w:rsid w:val="00AF6BE0"/>
    <w:rsid w:val="00AF7926"/>
    <w:rsid w:val="00AF79D0"/>
    <w:rsid w:val="00AF7AB3"/>
    <w:rsid w:val="00AF7C12"/>
    <w:rsid w:val="00AF7E2F"/>
    <w:rsid w:val="00AF7E6A"/>
    <w:rsid w:val="00B00027"/>
    <w:rsid w:val="00B00630"/>
    <w:rsid w:val="00B006AC"/>
    <w:rsid w:val="00B00791"/>
    <w:rsid w:val="00B007EF"/>
    <w:rsid w:val="00B00951"/>
    <w:rsid w:val="00B00D9B"/>
    <w:rsid w:val="00B0129A"/>
    <w:rsid w:val="00B0133A"/>
    <w:rsid w:val="00B01849"/>
    <w:rsid w:val="00B01925"/>
    <w:rsid w:val="00B020D2"/>
    <w:rsid w:val="00B02120"/>
    <w:rsid w:val="00B02B4C"/>
    <w:rsid w:val="00B02BEE"/>
    <w:rsid w:val="00B02C84"/>
    <w:rsid w:val="00B02EB4"/>
    <w:rsid w:val="00B02FBF"/>
    <w:rsid w:val="00B0311C"/>
    <w:rsid w:val="00B0312C"/>
    <w:rsid w:val="00B03280"/>
    <w:rsid w:val="00B033C6"/>
    <w:rsid w:val="00B033DA"/>
    <w:rsid w:val="00B0343F"/>
    <w:rsid w:val="00B03507"/>
    <w:rsid w:val="00B03649"/>
    <w:rsid w:val="00B036B4"/>
    <w:rsid w:val="00B03722"/>
    <w:rsid w:val="00B03A2F"/>
    <w:rsid w:val="00B03ABE"/>
    <w:rsid w:val="00B03DD1"/>
    <w:rsid w:val="00B04109"/>
    <w:rsid w:val="00B0424A"/>
    <w:rsid w:val="00B04332"/>
    <w:rsid w:val="00B0437B"/>
    <w:rsid w:val="00B0442B"/>
    <w:rsid w:val="00B044A1"/>
    <w:rsid w:val="00B0493F"/>
    <w:rsid w:val="00B04E68"/>
    <w:rsid w:val="00B04F7E"/>
    <w:rsid w:val="00B0537B"/>
    <w:rsid w:val="00B0549F"/>
    <w:rsid w:val="00B05677"/>
    <w:rsid w:val="00B05718"/>
    <w:rsid w:val="00B058D0"/>
    <w:rsid w:val="00B05BBF"/>
    <w:rsid w:val="00B05C23"/>
    <w:rsid w:val="00B05D4D"/>
    <w:rsid w:val="00B05DE6"/>
    <w:rsid w:val="00B061A6"/>
    <w:rsid w:val="00B06235"/>
    <w:rsid w:val="00B06371"/>
    <w:rsid w:val="00B06411"/>
    <w:rsid w:val="00B064CD"/>
    <w:rsid w:val="00B066F4"/>
    <w:rsid w:val="00B06984"/>
    <w:rsid w:val="00B06AA0"/>
    <w:rsid w:val="00B06C32"/>
    <w:rsid w:val="00B06C91"/>
    <w:rsid w:val="00B06D3F"/>
    <w:rsid w:val="00B06D94"/>
    <w:rsid w:val="00B06FEE"/>
    <w:rsid w:val="00B070B4"/>
    <w:rsid w:val="00B0756A"/>
    <w:rsid w:val="00B075AB"/>
    <w:rsid w:val="00B07822"/>
    <w:rsid w:val="00B079F6"/>
    <w:rsid w:val="00B07B33"/>
    <w:rsid w:val="00B07C6E"/>
    <w:rsid w:val="00B07F1A"/>
    <w:rsid w:val="00B1011C"/>
    <w:rsid w:val="00B102B1"/>
    <w:rsid w:val="00B102F5"/>
    <w:rsid w:val="00B10398"/>
    <w:rsid w:val="00B10894"/>
    <w:rsid w:val="00B10956"/>
    <w:rsid w:val="00B10A2B"/>
    <w:rsid w:val="00B10D41"/>
    <w:rsid w:val="00B10FDA"/>
    <w:rsid w:val="00B11092"/>
    <w:rsid w:val="00B1119C"/>
    <w:rsid w:val="00B115E9"/>
    <w:rsid w:val="00B1162A"/>
    <w:rsid w:val="00B116D0"/>
    <w:rsid w:val="00B11E87"/>
    <w:rsid w:val="00B11F7B"/>
    <w:rsid w:val="00B11FE5"/>
    <w:rsid w:val="00B1227B"/>
    <w:rsid w:val="00B12617"/>
    <w:rsid w:val="00B126D6"/>
    <w:rsid w:val="00B12802"/>
    <w:rsid w:val="00B13055"/>
    <w:rsid w:val="00B13368"/>
    <w:rsid w:val="00B13373"/>
    <w:rsid w:val="00B1341D"/>
    <w:rsid w:val="00B135ED"/>
    <w:rsid w:val="00B1362E"/>
    <w:rsid w:val="00B13724"/>
    <w:rsid w:val="00B13A5B"/>
    <w:rsid w:val="00B13DAD"/>
    <w:rsid w:val="00B13EF6"/>
    <w:rsid w:val="00B141A7"/>
    <w:rsid w:val="00B14212"/>
    <w:rsid w:val="00B14744"/>
    <w:rsid w:val="00B14863"/>
    <w:rsid w:val="00B14C73"/>
    <w:rsid w:val="00B14C9B"/>
    <w:rsid w:val="00B1540B"/>
    <w:rsid w:val="00B156A9"/>
    <w:rsid w:val="00B159A6"/>
    <w:rsid w:val="00B15DD7"/>
    <w:rsid w:val="00B16EF2"/>
    <w:rsid w:val="00B16F77"/>
    <w:rsid w:val="00B170DC"/>
    <w:rsid w:val="00B17502"/>
    <w:rsid w:val="00B1776C"/>
    <w:rsid w:val="00B17E43"/>
    <w:rsid w:val="00B20064"/>
    <w:rsid w:val="00B201CF"/>
    <w:rsid w:val="00B20609"/>
    <w:rsid w:val="00B208BA"/>
    <w:rsid w:val="00B2091E"/>
    <w:rsid w:val="00B20ED5"/>
    <w:rsid w:val="00B21314"/>
    <w:rsid w:val="00B2139E"/>
    <w:rsid w:val="00B21626"/>
    <w:rsid w:val="00B21769"/>
    <w:rsid w:val="00B21E92"/>
    <w:rsid w:val="00B2225E"/>
    <w:rsid w:val="00B22490"/>
    <w:rsid w:val="00B224A5"/>
    <w:rsid w:val="00B22829"/>
    <w:rsid w:val="00B22E62"/>
    <w:rsid w:val="00B230A6"/>
    <w:rsid w:val="00B23212"/>
    <w:rsid w:val="00B23705"/>
    <w:rsid w:val="00B237C4"/>
    <w:rsid w:val="00B238BD"/>
    <w:rsid w:val="00B23902"/>
    <w:rsid w:val="00B240A7"/>
    <w:rsid w:val="00B24439"/>
    <w:rsid w:val="00B24738"/>
    <w:rsid w:val="00B24971"/>
    <w:rsid w:val="00B24996"/>
    <w:rsid w:val="00B24FA7"/>
    <w:rsid w:val="00B2524B"/>
    <w:rsid w:val="00B252AF"/>
    <w:rsid w:val="00B254F9"/>
    <w:rsid w:val="00B2566E"/>
    <w:rsid w:val="00B2595C"/>
    <w:rsid w:val="00B25CEB"/>
    <w:rsid w:val="00B262F0"/>
    <w:rsid w:val="00B2647C"/>
    <w:rsid w:val="00B2655D"/>
    <w:rsid w:val="00B265C2"/>
    <w:rsid w:val="00B266F6"/>
    <w:rsid w:val="00B2686E"/>
    <w:rsid w:val="00B26B02"/>
    <w:rsid w:val="00B26C99"/>
    <w:rsid w:val="00B26D58"/>
    <w:rsid w:val="00B26EA0"/>
    <w:rsid w:val="00B27908"/>
    <w:rsid w:val="00B27C4E"/>
    <w:rsid w:val="00B27E2A"/>
    <w:rsid w:val="00B27F6D"/>
    <w:rsid w:val="00B300F6"/>
    <w:rsid w:val="00B30966"/>
    <w:rsid w:val="00B30ADE"/>
    <w:rsid w:val="00B310CA"/>
    <w:rsid w:val="00B31138"/>
    <w:rsid w:val="00B311A9"/>
    <w:rsid w:val="00B311FE"/>
    <w:rsid w:val="00B31E47"/>
    <w:rsid w:val="00B31E6A"/>
    <w:rsid w:val="00B31EF4"/>
    <w:rsid w:val="00B31FB3"/>
    <w:rsid w:val="00B31FD4"/>
    <w:rsid w:val="00B32364"/>
    <w:rsid w:val="00B3268A"/>
    <w:rsid w:val="00B32692"/>
    <w:rsid w:val="00B32990"/>
    <w:rsid w:val="00B32AAB"/>
    <w:rsid w:val="00B32E0E"/>
    <w:rsid w:val="00B33062"/>
    <w:rsid w:val="00B333CA"/>
    <w:rsid w:val="00B33966"/>
    <w:rsid w:val="00B33C8F"/>
    <w:rsid w:val="00B33DB5"/>
    <w:rsid w:val="00B33FC2"/>
    <w:rsid w:val="00B34098"/>
    <w:rsid w:val="00B340A1"/>
    <w:rsid w:val="00B34170"/>
    <w:rsid w:val="00B342A8"/>
    <w:rsid w:val="00B34434"/>
    <w:rsid w:val="00B344F5"/>
    <w:rsid w:val="00B349B3"/>
    <w:rsid w:val="00B349F4"/>
    <w:rsid w:val="00B34CF1"/>
    <w:rsid w:val="00B3524F"/>
    <w:rsid w:val="00B352FE"/>
    <w:rsid w:val="00B35345"/>
    <w:rsid w:val="00B357E9"/>
    <w:rsid w:val="00B35CC6"/>
    <w:rsid w:val="00B35E5B"/>
    <w:rsid w:val="00B364DC"/>
    <w:rsid w:val="00B36F6B"/>
    <w:rsid w:val="00B37179"/>
    <w:rsid w:val="00B3717B"/>
    <w:rsid w:val="00B37624"/>
    <w:rsid w:val="00B3769D"/>
    <w:rsid w:val="00B376FD"/>
    <w:rsid w:val="00B37702"/>
    <w:rsid w:val="00B3793A"/>
    <w:rsid w:val="00B37B5D"/>
    <w:rsid w:val="00B37E84"/>
    <w:rsid w:val="00B37F85"/>
    <w:rsid w:val="00B40142"/>
    <w:rsid w:val="00B40330"/>
    <w:rsid w:val="00B4087D"/>
    <w:rsid w:val="00B40AAE"/>
    <w:rsid w:val="00B4118F"/>
    <w:rsid w:val="00B411A3"/>
    <w:rsid w:val="00B411B0"/>
    <w:rsid w:val="00B41A33"/>
    <w:rsid w:val="00B41C9D"/>
    <w:rsid w:val="00B41CB0"/>
    <w:rsid w:val="00B41E24"/>
    <w:rsid w:val="00B41F2A"/>
    <w:rsid w:val="00B42519"/>
    <w:rsid w:val="00B42695"/>
    <w:rsid w:val="00B42B17"/>
    <w:rsid w:val="00B42D2C"/>
    <w:rsid w:val="00B42F77"/>
    <w:rsid w:val="00B4309B"/>
    <w:rsid w:val="00B43764"/>
    <w:rsid w:val="00B43879"/>
    <w:rsid w:val="00B43943"/>
    <w:rsid w:val="00B43A8F"/>
    <w:rsid w:val="00B43C99"/>
    <w:rsid w:val="00B43F0E"/>
    <w:rsid w:val="00B43FC4"/>
    <w:rsid w:val="00B443CB"/>
    <w:rsid w:val="00B44807"/>
    <w:rsid w:val="00B44999"/>
    <w:rsid w:val="00B4499B"/>
    <w:rsid w:val="00B449CA"/>
    <w:rsid w:val="00B44C45"/>
    <w:rsid w:val="00B44C48"/>
    <w:rsid w:val="00B44DBB"/>
    <w:rsid w:val="00B44DFF"/>
    <w:rsid w:val="00B44E9B"/>
    <w:rsid w:val="00B44EA2"/>
    <w:rsid w:val="00B45266"/>
    <w:rsid w:val="00B45375"/>
    <w:rsid w:val="00B4548E"/>
    <w:rsid w:val="00B454FD"/>
    <w:rsid w:val="00B456C0"/>
    <w:rsid w:val="00B45A49"/>
    <w:rsid w:val="00B45BA1"/>
    <w:rsid w:val="00B45BD6"/>
    <w:rsid w:val="00B45CFB"/>
    <w:rsid w:val="00B462EE"/>
    <w:rsid w:val="00B468C9"/>
    <w:rsid w:val="00B46D0A"/>
    <w:rsid w:val="00B46FAE"/>
    <w:rsid w:val="00B4700C"/>
    <w:rsid w:val="00B47306"/>
    <w:rsid w:val="00B475D7"/>
    <w:rsid w:val="00B47722"/>
    <w:rsid w:val="00B47870"/>
    <w:rsid w:val="00B479D3"/>
    <w:rsid w:val="00B47E62"/>
    <w:rsid w:val="00B47F62"/>
    <w:rsid w:val="00B502A4"/>
    <w:rsid w:val="00B50733"/>
    <w:rsid w:val="00B50753"/>
    <w:rsid w:val="00B50B53"/>
    <w:rsid w:val="00B51025"/>
    <w:rsid w:val="00B51038"/>
    <w:rsid w:val="00B51336"/>
    <w:rsid w:val="00B51682"/>
    <w:rsid w:val="00B519C6"/>
    <w:rsid w:val="00B51C5F"/>
    <w:rsid w:val="00B522FE"/>
    <w:rsid w:val="00B524DD"/>
    <w:rsid w:val="00B5260F"/>
    <w:rsid w:val="00B5263F"/>
    <w:rsid w:val="00B52B70"/>
    <w:rsid w:val="00B52C07"/>
    <w:rsid w:val="00B52C99"/>
    <w:rsid w:val="00B52CBA"/>
    <w:rsid w:val="00B52E8D"/>
    <w:rsid w:val="00B53170"/>
    <w:rsid w:val="00B53217"/>
    <w:rsid w:val="00B53260"/>
    <w:rsid w:val="00B5339F"/>
    <w:rsid w:val="00B539F2"/>
    <w:rsid w:val="00B53AD9"/>
    <w:rsid w:val="00B53C95"/>
    <w:rsid w:val="00B53FCD"/>
    <w:rsid w:val="00B540BB"/>
    <w:rsid w:val="00B543EF"/>
    <w:rsid w:val="00B54409"/>
    <w:rsid w:val="00B5441E"/>
    <w:rsid w:val="00B546D5"/>
    <w:rsid w:val="00B54FDF"/>
    <w:rsid w:val="00B55296"/>
    <w:rsid w:val="00B5529D"/>
    <w:rsid w:val="00B553EE"/>
    <w:rsid w:val="00B55EA2"/>
    <w:rsid w:val="00B55EE2"/>
    <w:rsid w:val="00B55F69"/>
    <w:rsid w:val="00B55FB2"/>
    <w:rsid w:val="00B5622C"/>
    <w:rsid w:val="00B56835"/>
    <w:rsid w:val="00B56853"/>
    <w:rsid w:val="00B568A1"/>
    <w:rsid w:val="00B568F4"/>
    <w:rsid w:val="00B572E8"/>
    <w:rsid w:val="00B572EA"/>
    <w:rsid w:val="00B575AA"/>
    <w:rsid w:val="00B578B6"/>
    <w:rsid w:val="00B5790B"/>
    <w:rsid w:val="00B579A2"/>
    <w:rsid w:val="00B57A8E"/>
    <w:rsid w:val="00B60163"/>
    <w:rsid w:val="00B60451"/>
    <w:rsid w:val="00B60895"/>
    <w:rsid w:val="00B60D88"/>
    <w:rsid w:val="00B60D8E"/>
    <w:rsid w:val="00B60F32"/>
    <w:rsid w:val="00B612B7"/>
    <w:rsid w:val="00B61823"/>
    <w:rsid w:val="00B618DA"/>
    <w:rsid w:val="00B61ABB"/>
    <w:rsid w:val="00B61E45"/>
    <w:rsid w:val="00B620C5"/>
    <w:rsid w:val="00B6234F"/>
    <w:rsid w:val="00B62EAE"/>
    <w:rsid w:val="00B631D4"/>
    <w:rsid w:val="00B632E7"/>
    <w:rsid w:val="00B6341E"/>
    <w:rsid w:val="00B634B5"/>
    <w:rsid w:val="00B634D7"/>
    <w:rsid w:val="00B6357E"/>
    <w:rsid w:val="00B63695"/>
    <w:rsid w:val="00B63C0A"/>
    <w:rsid w:val="00B63C7A"/>
    <w:rsid w:val="00B6411F"/>
    <w:rsid w:val="00B64395"/>
    <w:rsid w:val="00B647A4"/>
    <w:rsid w:val="00B6484C"/>
    <w:rsid w:val="00B64976"/>
    <w:rsid w:val="00B64BEC"/>
    <w:rsid w:val="00B64BF7"/>
    <w:rsid w:val="00B64CC2"/>
    <w:rsid w:val="00B6501F"/>
    <w:rsid w:val="00B651B3"/>
    <w:rsid w:val="00B65576"/>
    <w:rsid w:val="00B65F2E"/>
    <w:rsid w:val="00B664A5"/>
    <w:rsid w:val="00B664F1"/>
    <w:rsid w:val="00B66539"/>
    <w:rsid w:val="00B66604"/>
    <w:rsid w:val="00B6680B"/>
    <w:rsid w:val="00B66A4D"/>
    <w:rsid w:val="00B66D0B"/>
    <w:rsid w:val="00B6702D"/>
    <w:rsid w:val="00B6768F"/>
    <w:rsid w:val="00B67B2C"/>
    <w:rsid w:val="00B67B75"/>
    <w:rsid w:val="00B67C00"/>
    <w:rsid w:val="00B67D5C"/>
    <w:rsid w:val="00B70368"/>
    <w:rsid w:val="00B70449"/>
    <w:rsid w:val="00B704D9"/>
    <w:rsid w:val="00B70691"/>
    <w:rsid w:val="00B706D2"/>
    <w:rsid w:val="00B708A1"/>
    <w:rsid w:val="00B70E62"/>
    <w:rsid w:val="00B7198E"/>
    <w:rsid w:val="00B71C02"/>
    <w:rsid w:val="00B71CC2"/>
    <w:rsid w:val="00B71DD1"/>
    <w:rsid w:val="00B720A6"/>
    <w:rsid w:val="00B720C1"/>
    <w:rsid w:val="00B720FD"/>
    <w:rsid w:val="00B7213B"/>
    <w:rsid w:val="00B72149"/>
    <w:rsid w:val="00B72268"/>
    <w:rsid w:val="00B727A7"/>
    <w:rsid w:val="00B72973"/>
    <w:rsid w:val="00B72E49"/>
    <w:rsid w:val="00B72F71"/>
    <w:rsid w:val="00B73375"/>
    <w:rsid w:val="00B733ED"/>
    <w:rsid w:val="00B73407"/>
    <w:rsid w:val="00B735CF"/>
    <w:rsid w:val="00B73765"/>
    <w:rsid w:val="00B73E71"/>
    <w:rsid w:val="00B73FBB"/>
    <w:rsid w:val="00B740FD"/>
    <w:rsid w:val="00B74C57"/>
    <w:rsid w:val="00B75246"/>
    <w:rsid w:val="00B7531C"/>
    <w:rsid w:val="00B759F9"/>
    <w:rsid w:val="00B75A32"/>
    <w:rsid w:val="00B75AFC"/>
    <w:rsid w:val="00B75C87"/>
    <w:rsid w:val="00B75D43"/>
    <w:rsid w:val="00B76693"/>
    <w:rsid w:val="00B7678E"/>
    <w:rsid w:val="00B76906"/>
    <w:rsid w:val="00B76B8E"/>
    <w:rsid w:val="00B76D1E"/>
    <w:rsid w:val="00B76E10"/>
    <w:rsid w:val="00B77284"/>
    <w:rsid w:val="00B774F8"/>
    <w:rsid w:val="00B77690"/>
    <w:rsid w:val="00B77DBD"/>
    <w:rsid w:val="00B77E1A"/>
    <w:rsid w:val="00B77E69"/>
    <w:rsid w:val="00B77F9E"/>
    <w:rsid w:val="00B800D6"/>
    <w:rsid w:val="00B800FA"/>
    <w:rsid w:val="00B8039C"/>
    <w:rsid w:val="00B80426"/>
    <w:rsid w:val="00B8053F"/>
    <w:rsid w:val="00B80575"/>
    <w:rsid w:val="00B80635"/>
    <w:rsid w:val="00B806AA"/>
    <w:rsid w:val="00B810D6"/>
    <w:rsid w:val="00B811D3"/>
    <w:rsid w:val="00B812F6"/>
    <w:rsid w:val="00B8135C"/>
    <w:rsid w:val="00B815FC"/>
    <w:rsid w:val="00B81E4D"/>
    <w:rsid w:val="00B82127"/>
    <w:rsid w:val="00B8213C"/>
    <w:rsid w:val="00B822B0"/>
    <w:rsid w:val="00B82344"/>
    <w:rsid w:val="00B82399"/>
    <w:rsid w:val="00B824EF"/>
    <w:rsid w:val="00B82574"/>
    <w:rsid w:val="00B82879"/>
    <w:rsid w:val="00B82D66"/>
    <w:rsid w:val="00B82E43"/>
    <w:rsid w:val="00B837E5"/>
    <w:rsid w:val="00B838DC"/>
    <w:rsid w:val="00B839C6"/>
    <w:rsid w:val="00B844E1"/>
    <w:rsid w:val="00B8463C"/>
    <w:rsid w:val="00B846B8"/>
    <w:rsid w:val="00B84761"/>
    <w:rsid w:val="00B8479F"/>
    <w:rsid w:val="00B84A3B"/>
    <w:rsid w:val="00B84BE2"/>
    <w:rsid w:val="00B84E1F"/>
    <w:rsid w:val="00B84FC2"/>
    <w:rsid w:val="00B85356"/>
    <w:rsid w:val="00B85473"/>
    <w:rsid w:val="00B856F5"/>
    <w:rsid w:val="00B85882"/>
    <w:rsid w:val="00B85BED"/>
    <w:rsid w:val="00B85DDE"/>
    <w:rsid w:val="00B85F98"/>
    <w:rsid w:val="00B86332"/>
    <w:rsid w:val="00B86526"/>
    <w:rsid w:val="00B867E7"/>
    <w:rsid w:val="00B86AA0"/>
    <w:rsid w:val="00B86AC7"/>
    <w:rsid w:val="00B86E8F"/>
    <w:rsid w:val="00B87242"/>
    <w:rsid w:val="00B873C0"/>
    <w:rsid w:val="00B87447"/>
    <w:rsid w:val="00B879E3"/>
    <w:rsid w:val="00B87A3F"/>
    <w:rsid w:val="00B87ACD"/>
    <w:rsid w:val="00B900DC"/>
    <w:rsid w:val="00B9022E"/>
    <w:rsid w:val="00B902CB"/>
    <w:rsid w:val="00B902E4"/>
    <w:rsid w:val="00B906B9"/>
    <w:rsid w:val="00B9090A"/>
    <w:rsid w:val="00B90EA8"/>
    <w:rsid w:val="00B910B0"/>
    <w:rsid w:val="00B91302"/>
    <w:rsid w:val="00B916B9"/>
    <w:rsid w:val="00B919E7"/>
    <w:rsid w:val="00B91B2A"/>
    <w:rsid w:val="00B91BFF"/>
    <w:rsid w:val="00B920F1"/>
    <w:rsid w:val="00B922E2"/>
    <w:rsid w:val="00B925FF"/>
    <w:rsid w:val="00B92814"/>
    <w:rsid w:val="00B929CA"/>
    <w:rsid w:val="00B929D5"/>
    <w:rsid w:val="00B9301F"/>
    <w:rsid w:val="00B93280"/>
    <w:rsid w:val="00B93518"/>
    <w:rsid w:val="00B937FA"/>
    <w:rsid w:val="00B93951"/>
    <w:rsid w:val="00B93AC3"/>
    <w:rsid w:val="00B940A5"/>
    <w:rsid w:val="00B940BF"/>
    <w:rsid w:val="00B94119"/>
    <w:rsid w:val="00B946D9"/>
    <w:rsid w:val="00B94A6A"/>
    <w:rsid w:val="00B94BAD"/>
    <w:rsid w:val="00B9522B"/>
    <w:rsid w:val="00B95339"/>
    <w:rsid w:val="00B9573D"/>
    <w:rsid w:val="00B95970"/>
    <w:rsid w:val="00B95D08"/>
    <w:rsid w:val="00B95FE1"/>
    <w:rsid w:val="00B960ED"/>
    <w:rsid w:val="00B964F9"/>
    <w:rsid w:val="00B96563"/>
    <w:rsid w:val="00B96613"/>
    <w:rsid w:val="00B966F5"/>
    <w:rsid w:val="00B96E81"/>
    <w:rsid w:val="00B96F6D"/>
    <w:rsid w:val="00B9705B"/>
    <w:rsid w:val="00B971B5"/>
    <w:rsid w:val="00B97327"/>
    <w:rsid w:val="00B97592"/>
    <w:rsid w:val="00B9771E"/>
    <w:rsid w:val="00B97FAD"/>
    <w:rsid w:val="00BA0387"/>
    <w:rsid w:val="00BA0464"/>
    <w:rsid w:val="00BA0579"/>
    <w:rsid w:val="00BA0766"/>
    <w:rsid w:val="00BA0BB2"/>
    <w:rsid w:val="00BA0FAA"/>
    <w:rsid w:val="00BA10AC"/>
    <w:rsid w:val="00BA11F7"/>
    <w:rsid w:val="00BA1356"/>
    <w:rsid w:val="00BA13CF"/>
    <w:rsid w:val="00BA1514"/>
    <w:rsid w:val="00BA1533"/>
    <w:rsid w:val="00BA1578"/>
    <w:rsid w:val="00BA15E3"/>
    <w:rsid w:val="00BA161B"/>
    <w:rsid w:val="00BA1BFE"/>
    <w:rsid w:val="00BA1C6E"/>
    <w:rsid w:val="00BA21D3"/>
    <w:rsid w:val="00BA2348"/>
    <w:rsid w:val="00BA2408"/>
    <w:rsid w:val="00BA252C"/>
    <w:rsid w:val="00BA2658"/>
    <w:rsid w:val="00BA2878"/>
    <w:rsid w:val="00BA299E"/>
    <w:rsid w:val="00BA2C04"/>
    <w:rsid w:val="00BA30C9"/>
    <w:rsid w:val="00BA32F8"/>
    <w:rsid w:val="00BA33D8"/>
    <w:rsid w:val="00BA3449"/>
    <w:rsid w:val="00BA351A"/>
    <w:rsid w:val="00BA3745"/>
    <w:rsid w:val="00BA3B53"/>
    <w:rsid w:val="00BA3F6E"/>
    <w:rsid w:val="00BA4B33"/>
    <w:rsid w:val="00BA4E7C"/>
    <w:rsid w:val="00BA538B"/>
    <w:rsid w:val="00BA576B"/>
    <w:rsid w:val="00BA5E62"/>
    <w:rsid w:val="00BA5E6D"/>
    <w:rsid w:val="00BA607A"/>
    <w:rsid w:val="00BA61E2"/>
    <w:rsid w:val="00BA6B07"/>
    <w:rsid w:val="00BA6B30"/>
    <w:rsid w:val="00BA6B6A"/>
    <w:rsid w:val="00BA6E7C"/>
    <w:rsid w:val="00BA6EB4"/>
    <w:rsid w:val="00BA6F41"/>
    <w:rsid w:val="00BA756D"/>
    <w:rsid w:val="00BA77E5"/>
    <w:rsid w:val="00BA78D2"/>
    <w:rsid w:val="00BA79FB"/>
    <w:rsid w:val="00BB02AC"/>
    <w:rsid w:val="00BB0448"/>
    <w:rsid w:val="00BB04FE"/>
    <w:rsid w:val="00BB05D6"/>
    <w:rsid w:val="00BB0A4F"/>
    <w:rsid w:val="00BB0C26"/>
    <w:rsid w:val="00BB1077"/>
    <w:rsid w:val="00BB11D4"/>
    <w:rsid w:val="00BB1249"/>
    <w:rsid w:val="00BB17F1"/>
    <w:rsid w:val="00BB1E90"/>
    <w:rsid w:val="00BB1ECD"/>
    <w:rsid w:val="00BB218D"/>
    <w:rsid w:val="00BB2267"/>
    <w:rsid w:val="00BB22AB"/>
    <w:rsid w:val="00BB2779"/>
    <w:rsid w:val="00BB28B3"/>
    <w:rsid w:val="00BB2B5C"/>
    <w:rsid w:val="00BB2E61"/>
    <w:rsid w:val="00BB311F"/>
    <w:rsid w:val="00BB33FF"/>
    <w:rsid w:val="00BB342A"/>
    <w:rsid w:val="00BB344A"/>
    <w:rsid w:val="00BB3648"/>
    <w:rsid w:val="00BB3CDF"/>
    <w:rsid w:val="00BB3FA4"/>
    <w:rsid w:val="00BB40DC"/>
    <w:rsid w:val="00BB411B"/>
    <w:rsid w:val="00BB4394"/>
    <w:rsid w:val="00BB44CC"/>
    <w:rsid w:val="00BB45A4"/>
    <w:rsid w:val="00BB46E6"/>
    <w:rsid w:val="00BB4F48"/>
    <w:rsid w:val="00BB5168"/>
    <w:rsid w:val="00BB53C0"/>
    <w:rsid w:val="00BB54C3"/>
    <w:rsid w:val="00BB5571"/>
    <w:rsid w:val="00BB5781"/>
    <w:rsid w:val="00BB5B6D"/>
    <w:rsid w:val="00BB6046"/>
    <w:rsid w:val="00BB6202"/>
    <w:rsid w:val="00BB661D"/>
    <w:rsid w:val="00BB699E"/>
    <w:rsid w:val="00BB6C68"/>
    <w:rsid w:val="00BB6D52"/>
    <w:rsid w:val="00BB739F"/>
    <w:rsid w:val="00BB7850"/>
    <w:rsid w:val="00BB79FA"/>
    <w:rsid w:val="00BB7A7E"/>
    <w:rsid w:val="00BB7DEB"/>
    <w:rsid w:val="00BC0181"/>
    <w:rsid w:val="00BC019C"/>
    <w:rsid w:val="00BC01BB"/>
    <w:rsid w:val="00BC156D"/>
    <w:rsid w:val="00BC1671"/>
    <w:rsid w:val="00BC1B0B"/>
    <w:rsid w:val="00BC2BC2"/>
    <w:rsid w:val="00BC2C88"/>
    <w:rsid w:val="00BC32ED"/>
    <w:rsid w:val="00BC3528"/>
    <w:rsid w:val="00BC38B9"/>
    <w:rsid w:val="00BC3960"/>
    <w:rsid w:val="00BC3ADE"/>
    <w:rsid w:val="00BC3B49"/>
    <w:rsid w:val="00BC3C43"/>
    <w:rsid w:val="00BC3CE5"/>
    <w:rsid w:val="00BC3CF0"/>
    <w:rsid w:val="00BC3DC9"/>
    <w:rsid w:val="00BC3F0D"/>
    <w:rsid w:val="00BC4504"/>
    <w:rsid w:val="00BC4D6B"/>
    <w:rsid w:val="00BC5428"/>
    <w:rsid w:val="00BC589E"/>
    <w:rsid w:val="00BC58A3"/>
    <w:rsid w:val="00BC5902"/>
    <w:rsid w:val="00BC61C7"/>
    <w:rsid w:val="00BC629B"/>
    <w:rsid w:val="00BC62F1"/>
    <w:rsid w:val="00BC634B"/>
    <w:rsid w:val="00BC6382"/>
    <w:rsid w:val="00BC6434"/>
    <w:rsid w:val="00BC64DE"/>
    <w:rsid w:val="00BC67DA"/>
    <w:rsid w:val="00BC6879"/>
    <w:rsid w:val="00BC69B4"/>
    <w:rsid w:val="00BC6A33"/>
    <w:rsid w:val="00BC6EC2"/>
    <w:rsid w:val="00BC6F1F"/>
    <w:rsid w:val="00BC7010"/>
    <w:rsid w:val="00BC70EC"/>
    <w:rsid w:val="00BC74D7"/>
    <w:rsid w:val="00BC74F4"/>
    <w:rsid w:val="00BC758C"/>
    <w:rsid w:val="00BC766E"/>
    <w:rsid w:val="00BC769A"/>
    <w:rsid w:val="00BC78AE"/>
    <w:rsid w:val="00BC790C"/>
    <w:rsid w:val="00BC7AA5"/>
    <w:rsid w:val="00BC7F09"/>
    <w:rsid w:val="00BC7FC1"/>
    <w:rsid w:val="00BD021E"/>
    <w:rsid w:val="00BD03F7"/>
    <w:rsid w:val="00BD04C0"/>
    <w:rsid w:val="00BD06CC"/>
    <w:rsid w:val="00BD0719"/>
    <w:rsid w:val="00BD07A3"/>
    <w:rsid w:val="00BD07F9"/>
    <w:rsid w:val="00BD0D8E"/>
    <w:rsid w:val="00BD1141"/>
    <w:rsid w:val="00BD188A"/>
    <w:rsid w:val="00BD1EDE"/>
    <w:rsid w:val="00BD1EF1"/>
    <w:rsid w:val="00BD20D7"/>
    <w:rsid w:val="00BD226D"/>
    <w:rsid w:val="00BD2ED5"/>
    <w:rsid w:val="00BD2EF0"/>
    <w:rsid w:val="00BD2F3E"/>
    <w:rsid w:val="00BD2FF8"/>
    <w:rsid w:val="00BD3439"/>
    <w:rsid w:val="00BD3581"/>
    <w:rsid w:val="00BD3A6E"/>
    <w:rsid w:val="00BD3E61"/>
    <w:rsid w:val="00BD404F"/>
    <w:rsid w:val="00BD4084"/>
    <w:rsid w:val="00BD414C"/>
    <w:rsid w:val="00BD41B3"/>
    <w:rsid w:val="00BD4211"/>
    <w:rsid w:val="00BD43DD"/>
    <w:rsid w:val="00BD4469"/>
    <w:rsid w:val="00BD44A2"/>
    <w:rsid w:val="00BD48BC"/>
    <w:rsid w:val="00BD4A0B"/>
    <w:rsid w:val="00BD4A3E"/>
    <w:rsid w:val="00BD4A7D"/>
    <w:rsid w:val="00BD4D5E"/>
    <w:rsid w:val="00BD5145"/>
    <w:rsid w:val="00BD5812"/>
    <w:rsid w:val="00BD5B7C"/>
    <w:rsid w:val="00BD5BD4"/>
    <w:rsid w:val="00BD5C48"/>
    <w:rsid w:val="00BD5D97"/>
    <w:rsid w:val="00BD5E7E"/>
    <w:rsid w:val="00BD666A"/>
    <w:rsid w:val="00BD676A"/>
    <w:rsid w:val="00BD68F9"/>
    <w:rsid w:val="00BD6904"/>
    <w:rsid w:val="00BD6B7E"/>
    <w:rsid w:val="00BD6BF5"/>
    <w:rsid w:val="00BD6E71"/>
    <w:rsid w:val="00BD6F7A"/>
    <w:rsid w:val="00BD7077"/>
    <w:rsid w:val="00BD72AF"/>
    <w:rsid w:val="00BD7377"/>
    <w:rsid w:val="00BD73C5"/>
    <w:rsid w:val="00BD743E"/>
    <w:rsid w:val="00BD74FC"/>
    <w:rsid w:val="00BD767C"/>
    <w:rsid w:val="00BD7734"/>
    <w:rsid w:val="00BD78F0"/>
    <w:rsid w:val="00BD7B0D"/>
    <w:rsid w:val="00BD7E2F"/>
    <w:rsid w:val="00BD7F9B"/>
    <w:rsid w:val="00BE0592"/>
    <w:rsid w:val="00BE0ADF"/>
    <w:rsid w:val="00BE0FAE"/>
    <w:rsid w:val="00BE11BC"/>
    <w:rsid w:val="00BE11BE"/>
    <w:rsid w:val="00BE15C6"/>
    <w:rsid w:val="00BE1D76"/>
    <w:rsid w:val="00BE1E0E"/>
    <w:rsid w:val="00BE1E33"/>
    <w:rsid w:val="00BE1EA0"/>
    <w:rsid w:val="00BE2128"/>
    <w:rsid w:val="00BE2A37"/>
    <w:rsid w:val="00BE2BF6"/>
    <w:rsid w:val="00BE2CB4"/>
    <w:rsid w:val="00BE2EF6"/>
    <w:rsid w:val="00BE32EB"/>
    <w:rsid w:val="00BE34E7"/>
    <w:rsid w:val="00BE3563"/>
    <w:rsid w:val="00BE3569"/>
    <w:rsid w:val="00BE3681"/>
    <w:rsid w:val="00BE3763"/>
    <w:rsid w:val="00BE39DD"/>
    <w:rsid w:val="00BE3A62"/>
    <w:rsid w:val="00BE4093"/>
    <w:rsid w:val="00BE40B6"/>
    <w:rsid w:val="00BE40D0"/>
    <w:rsid w:val="00BE40E5"/>
    <w:rsid w:val="00BE41C8"/>
    <w:rsid w:val="00BE42A3"/>
    <w:rsid w:val="00BE456F"/>
    <w:rsid w:val="00BE4660"/>
    <w:rsid w:val="00BE4D25"/>
    <w:rsid w:val="00BE4DAF"/>
    <w:rsid w:val="00BE50C0"/>
    <w:rsid w:val="00BE50FA"/>
    <w:rsid w:val="00BE517A"/>
    <w:rsid w:val="00BE537D"/>
    <w:rsid w:val="00BE5548"/>
    <w:rsid w:val="00BE5A9F"/>
    <w:rsid w:val="00BE5B81"/>
    <w:rsid w:val="00BE6246"/>
    <w:rsid w:val="00BE6352"/>
    <w:rsid w:val="00BE66DE"/>
    <w:rsid w:val="00BE671F"/>
    <w:rsid w:val="00BE6913"/>
    <w:rsid w:val="00BE691C"/>
    <w:rsid w:val="00BE697F"/>
    <w:rsid w:val="00BE6B3C"/>
    <w:rsid w:val="00BE6D91"/>
    <w:rsid w:val="00BE757C"/>
    <w:rsid w:val="00BE763F"/>
    <w:rsid w:val="00BE776E"/>
    <w:rsid w:val="00BE7852"/>
    <w:rsid w:val="00BE78AB"/>
    <w:rsid w:val="00BE7B66"/>
    <w:rsid w:val="00BE7D9F"/>
    <w:rsid w:val="00BE7EAA"/>
    <w:rsid w:val="00BF01EE"/>
    <w:rsid w:val="00BF0263"/>
    <w:rsid w:val="00BF064C"/>
    <w:rsid w:val="00BF0652"/>
    <w:rsid w:val="00BF108E"/>
    <w:rsid w:val="00BF10BA"/>
    <w:rsid w:val="00BF11B9"/>
    <w:rsid w:val="00BF156A"/>
    <w:rsid w:val="00BF186E"/>
    <w:rsid w:val="00BF18DD"/>
    <w:rsid w:val="00BF1C95"/>
    <w:rsid w:val="00BF1C98"/>
    <w:rsid w:val="00BF1DF7"/>
    <w:rsid w:val="00BF2224"/>
    <w:rsid w:val="00BF23C9"/>
    <w:rsid w:val="00BF2640"/>
    <w:rsid w:val="00BF26B3"/>
    <w:rsid w:val="00BF27ED"/>
    <w:rsid w:val="00BF2CDB"/>
    <w:rsid w:val="00BF2D9C"/>
    <w:rsid w:val="00BF2DDD"/>
    <w:rsid w:val="00BF2E4D"/>
    <w:rsid w:val="00BF2F05"/>
    <w:rsid w:val="00BF2FA3"/>
    <w:rsid w:val="00BF3282"/>
    <w:rsid w:val="00BF370F"/>
    <w:rsid w:val="00BF38C0"/>
    <w:rsid w:val="00BF3911"/>
    <w:rsid w:val="00BF3A4E"/>
    <w:rsid w:val="00BF3AF8"/>
    <w:rsid w:val="00BF3D7D"/>
    <w:rsid w:val="00BF3E02"/>
    <w:rsid w:val="00BF4603"/>
    <w:rsid w:val="00BF4635"/>
    <w:rsid w:val="00BF47FC"/>
    <w:rsid w:val="00BF481D"/>
    <w:rsid w:val="00BF4902"/>
    <w:rsid w:val="00BF49FD"/>
    <w:rsid w:val="00BF4A2B"/>
    <w:rsid w:val="00BF4B94"/>
    <w:rsid w:val="00BF4C1F"/>
    <w:rsid w:val="00BF5005"/>
    <w:rsid w:val="00BF537B"/>
    <w:rsid w:val="00BF5421"/>
    <w:rsid w:val="00BF55E5"/>
    <w:rsid w:val="00BF5889"/>
    <w:rsid w:val="00BF5ABC"/>
    <w:rsid w:val="00BF5E79"/>
    <w:rsid w:val="00BF607A"/>
    <w:rsid w:val="00BF63B0"/>
    <w:rsid w:val="00BF646D"/>
    <w:rsid w:val="00BF6675"/>
    <w:rsid w:val="00BF689F"/>
    <w:rsid w:val="00BF690F"/>
    <w:rsid w:val="00BF6CAD"/>
    <w:rsid w:val="00BF6D2B"/>
    <w:rsid w:val="00BF6D87"/>
    <w:rsid w:val="00BF6E08"/>
    <w:rsid w:val="00BF6E8A"/>
    <w:rsid w:val="00BF714F"/>
    <w:rsid w:val="00BF71B8"/>
    <w:rsid w:val="00BF722E"/>
    <w:rsid w:val="00BF72C7"/>
    <w:rsid w:val="00BF73EA"/>
    <w:rsid w:val="00BF74FE"/>
    <w:rsid w:val="00BF75C0"/>
    <w:rsid w:val="00BF7766"/>
    <w:rsid w:val="00BF7A6C"/>
    <w:rsid w:val="00BF7B14"/>
    <w:rsid w:val="00BF7C00"/>
    <w:rsid w:val="00C00033"/>
    <w:rsid w:val="00C00248"/>
    <w:rsid w:val="00C005AD"/>
    <w:rsid w:val="00C0074B"/>
    <w:rsid w:val="00C00875"/>
    <w:rsid w:val="00C00971"/>
    <w:rsid w:val="00C00E15"/>
    <w:rsid w:val="00C01136"/>
    <w:rsid w:val="00C01138"/>
    <w:rsid w:val="00C01155"/>
    <w:rsid w:val="00C011BC"/>
    <w:rsid w:val="00C0140F"/>
    <w:rsid w:val="00C01680"/>
    <w:rsid w:val="00C01A12"/>
    <w:rsid w:val="00C01A2D"/>
    <w:rsid w:val="00C01E6F"/>
    <w:rsid w:val="00C021C3"/>
    <w:rsid w:val="00C026E0"/>
    <w:rsid w:val="00C02F8B"/>
    <w:rsid w:val="00C031C6"/>
    <w:rsid w:val="00C033F5"/>
    <w:rsid w:val="00C039E9"/>
    <w:rsid w:val="00C03B96"/>
    <w:rsid w:val="00C03DD7"/>
    <w:rsid w:val="00C03E7A"/>
    <w:rsid w:val="00C0426E"/>
    <w:rsid w:val="00C043B9"/>
    <w:rsid w:val="00C044D0"/>
    <w:rsid w:val="00C047A1"/>
    <w:rsid w:val="00C04B31"/>
    <w:rsid w:val="00C04BA2"/>
    <w:rsid w:val="00C050BF"/>
    <w:rsid w:val="00C05487"/>
    <w:rsid w:val="00C05893"/>
    <w:rsid w:val="00C059E1"/>
    <w:rsid w:val="00C05F3F"/>
    <w:rsid w:val="00C0669A"/>
    <w:rsid w:val="00C06740"/>
    <w:rsid w:val="00C067F9"/>
    <w:rsid w:val="00C06833"/>
    <w:rsid w:val="00C069FB"/>
    <w:rsid w:val="00C06ADF"/>
    <w:rsid w:val="00C07516"/>
    <w:rsid w:val="00C0755E"/>
    <w:rsid w:val="00C07565"/>
    <w:rsid w:val="00C075FC"/>
    <w:rsid w:val="00C07B62"/>
    <w:rsid w:val="00C07B8E"/>
    <w:rsid w:val="00C07EE4"/>
    <w:rsid w:val="00C10500"/>
    <w:rsid w:val="00C10503"/>
    <w:rsid w:val="00C10615"/>
    <w:rsid w:val="00C1066C"/>
    <w:rsid w:val="00C10770"/>
    <w:rsid w:val="00C10987"/>
    <w:rsid w:val="00C1099B"/>
    <w:rsid w:val="00C10B20"/>
    <w:rsid w:val="00C10EC9"/>
    <w:rsid w:val="00C113C8"/>
    <w:rsid w:val="00C114CD"/>
    <w:rsid w:val="00C119C0"/>
    <w:rsid w:val="00C11A48"/>
    <w:rsid w:val="00C11C56"/>
    <w:rsid w:val="00C11D71"/>
    <w:rsid w:val="00C11EAD"/>
    <w:rsid w:val="00C11FB9"/>
    <w:rsid w:val="00C12435"/>
    <w:rsid w:val="00C12510"/>
    <w:rsid w:val="00C12715"/>
    <w:rsid w:val="00C1288C"/>
    <w:rsid w:val="00C128CA"/>
    <w:rsid w:val="00C12A7F"/>
    <w:rsid w:val="00C13056"/>
    <w:rsid w:val="00C1315E"/>
    <w:rsid w:val="00C133A4"/>
    <w:rsid w:val="00C13575"/>
    <w:rsid w:val="00C13671"/>
    <w:rsid w:val="00C137E7"/>
    <w:rsid w:val="00C138A3"/>
    <w:rsid w:val="00C138E9"/>
    <w:rsid w:val="00C13B1A"/>
    <w:rsid w:val="00C13B79"/>
    <w:rsid w:val="00C13D1C"/>
    <w:rsid w:val="00C13EA9"/>
    <w:rsid w:val="00C140FE"/>
    <w:rsid w:val="00C148B0"/>
    <w:rsid w:val="00C149A2"/>
    <w:rsid w:val="00C14BFE"/>
    <w:rsid w:val="00C14C20"/>
    <w:rsid w:val="00C1520A"/>
    <w:rsid w:val="00C15401"/>
    <w:rsid w:val="00C15497"/>
    <w:rsid w:val="00C1565B"/>
    <w:rsid w:val="00C156AF"/>
    <w:rsid w:val="00C15817"/>
    <w:rsid w:val="00C159B4"/>
    <w:rsid w:val="00C15B19"/>
    <w:rsid w:val="00C15D19"/>
    <w:rsid w:val="00C15EC7"/>
    <w:rsid w:val="00C16066"/>
    <w:rsid w:val="00C16071"/>
    <w:rsid w:val="00C16130"/>
    <w:rsid w:val="00C16399"/>
    <w:rsid w:val="00C164F8"/>
    <w:rsid w:val="00C16D2F"/>
    <w:rsid w:val="00C16E99"/>
    <w:rsid w:val="00C1735B"/>
    <w:rsid w:val="00C17533"/>
    <w:rsid w:val="00C177FC"/>
    <w:rsid w:val="00C1785B"/>
    <w:rsid w:val="00C179C5"/>
    <w:rsid w:val="00C17CAA"/>
    <w:rsid w:val="00C17CFC"/>
    <w:rsid w:val="00C17DF3"/>
    <w:rsid w:val="00C17EA6"/>
    <w:rsid w:val="00C17F5C"/>
    <w:rsid w:val="00C200CE"/>
    <w:rsid w:val="00C2034C"/>
    <w:rsid w:val="00C2052B"/>
    <w:rsid w:val="00C20A9F"/>
    <w:rsid w:val="00C20AA3"/>
    <w:rsid w:val="00C20C4A"/>
    <w:rsid w:val="00C20DFA"/>
    <w:rsid w:val="00C20FA3"/>
    <w:rsid w:val="00C20FC3"/>
    <w:rsid w:val="00C21091"/>
    <w:rsid w:val="00C2137E"/>
    <w:rsid w:val="00C213F8"/>
    <w:rsid w:val="00C214E0"/>
    <w:rsid w:val="00C21671"/>
    <w:rsid w:val="00C21951"/>
    <w:rsid w:val="00C21A5A"/>
    <w:rsid w:val="00C21BC6"/>
    <w:rsid w:val="00C21DD8"/>
    <w:rsid w:val="00C22BE8"/>
    <w:rsid w:val="00C22FCF"/>
    <w:rsid w:val="00C235E3"/>
    <w:rsid w:val="00C23614"/>
    <w:rsid w:val="00C237F4"/>
    <w:rsid w:val="00C239A9"/>
    <w:rsid w:val="00C23B89"/>
    <w:rsid w:val="00C23BFB"/>
    <w:rsid w:val="00C23D9A"/>
    <w:rsid w:val="00C241E2"/>
    <w:rsid w:val="00C2423E"/>
    <w:rsid w:val="00C2431A"/>
    <w:rsid w:val="00C2437B"/>
    <w:rsid w:val="00C24745"/>
    <w:rsid w:val="00C24996"/>
    <w:rsid w:val="00C24C95"/>
    <w:rsid w:val="00C24D35"/>
    <w:rsid w:val="00C24E60"/>
    <w:rsid w:val="00C250E2"/>
    <w:rsid w:val="00C2517C"/>
    <w:rsid w:val="00C25282"/>
    <w:rsid w:val="00C2537A"/>
    <w:rsid w:val="00C2540C"/>
    <w:rsid w:val="00C25842"/>
    <w:rsid w:val="00C2597B"/>
    <w:rsid w:val="00C261CF"/>
    <w:rsid w:val="00C26304"/>
    <w:rsid w:val="00C265CA"/>
    <w:rsid w:val="00C26791"/>
    <w:rsid w:val="00C2685B"/>
    <w:rsid w:val="00C26B68"/>
    <w:rsid w:val="00C26BC8"/>
    <w:rsid w:val="00C26D26"/>
    <w:rsid w:val="00C26DBE"/>
    <w:rsid w:val="00C27057"/>
    <w:rsid w:val="00C270E6"/>
    <w:rsid w:val="00C27989"/>
    <w:rsid w:val="00C27A33"/>
    <w:rsid w:val="00C27C2C"/>
    <w:rsid w:val="00C27EDC"/>
    <w:rsid w:val="00C27F34"/>
    <w:rsid w:val="00C305BA"/>
    <w:rsid w:val="00C30679"/>
    <w:rsid w:val="00C30907"/>
    <w:rsid w:val="00C30A92"/>
    <w:rsid w:val="00C30E90"/>
    <w:rsid w:val="00C30EA5"/>
    <w:rsid w:val="00C31588"/>
    <w:rsid w:val="00C315D2"/>
    <w:rsid w:val="00C31647"/>
    <w:rsid w:val="00C3179D"/>
    <w:rsid w:val="00C319A2"/>
    <w:rsid w:val="00C31AAC"/>
    <w:rsid w:val="00C31E13"/>
    <w:rsid w:val="00C32014"/>
    <w:rsid w:val="00C322DA"/>
    <w:rsid w:val="00C325CE"/>
    <w:rsid w:val="00C32A64"/>
    <w:rsid w:val="00C32C2D"/>
    <w:rsid w:val="00C32D6C"/>
    <w:rsid w:val="00C33588"/>
    <w:rsid w:val="00C33855"/>
    <w:rsid w:val="00C33A08"/>
    <w:rsid w:val="00C33AAB"/>
    <w:rsid w:val="00C33F58"/>
    <w:rsid w:val="00C34691"/>
    <w:rsid w:val="00C3471C"/>
    <w:rsid w:val="00C34CF6"/>
    <w:rsid w:val="00C34E85"/>
    <w:rsid w:val="00C35217"/>
    <w:rsid w:val="00C35287"/>
    <w:rsid w:val="00C353C7"/>
    <w:rsid w:val="00C354C7"/>
    <w:rsid w:val="00C35774"/>
    <w:rsid w:val="00C357FF"/>
    <w:rsid w:val="00C359F1"/>
    <w:rsid w:val="00C35A4C"/>
    <w:rsid w:val="00C35B0D"/>
    <w:rsid w:val="00C35CAD"/>
    <w:rsid w:val="00C35F1B"/>
    <w:rsid w:val="00C36250"/>
    <w:rsid w:val="00C36259"/>
    <w:rsid w:val="00C368B1"/>
    <w:rsid w:val="00C36A46"/>
    <w:rsid w:val="00C36D20"/>
    <w:rsid w:val="00C36D80"/>
    <w:rsid w:val="00C372B8"/>
    <w:rsid w:val="00C378F7"/>
    <w:rsid w:val="00C37905"/>
    <w:rsid w:val="00C37BBC"/>
    <w:rsid w:val="00C37DAA"/>
    <w:rsid w:val="00C37DFD"/>
    <w:rsid w:val="00C4098A"/>
    <w:rsid w:val="00C40BB5"/>
    <w:rsid w:val="00C40BE5"/>
    <w:rsid w:val="00C40D5C"/>
    <w:rsid w:val="00C40D8C"/>
    <w:rsid w:val="00C40ECB"/>
    <w:rsid w:val="00C40F0F"/>
    <w:rsid w:val="00C40FDB"/>
    <w:rsid w:val="00C4137D"/>
    <w:rsid w:val="00C41520"/>
    <w:rsid w:val="00C416C8"/>
    <w:rsid w:val="00C41A14"/>
    <w:rsid w:val="00C41AC9"/>
    <w:rsid w:val="00C41F5C"/>
    <w:rsid w:val="00C42026"/>
    <w:rsid w:val="00C4208A"/>
    <w:rsid w:val="00C420C4"/>
    <w:rsid w:val="00C42BAF"/>
    <w:rsid w:val="00C439AC"/>
    <w:rsid w:val="00C43A20"/>
    <w:rsid w:val="00C43ACE"/>
    <w:rsid w:val="00C4401D"/>
    <w:rsid w:val="00C4430A"/>
    <w:rsid w:val="00C44319"/>
    <w:rsid w:val="00C44437"/>
    <w:rsid w:val="00C44945"/>
    <w:rsid w:val="00C449A0"/>
    <w:rsid w:val="00C44F09"/>
    <w:rsid w:val="00C450B3"/>
    <w:rsid w:val="00C452F7"/>
    <w:rsid w:val="00C45329"/>
    <w:rsid w:val="00C4549A"/>
    <w:rsid w:val="00C454AF"/>
    <w:rsid w:val="00C456DB"/>
    <w:rsid w:val="00C45B05"/>
    <w:rsid w:val="00C45BC6"/>
    <w:rsid w:val="00C45E75"/>
    <w:rsid w:val="00C45ECD"/>
    <w:rsid w:val="00C45FCC"/>
    <w:rsid w:val="00C4619A"/>
    <w:rsid w:val="00C4641E"/>
    <w:rsid w:val="00C46565"/>
    <w:rsid w:val="00C4676D"/>
    <w:rsid w:val="00C467E3"/>
    <w:rsid w:val="00C46BCB"/>
    <w:rsid w:val="00C46CDB"/>
    <w:rsid w:val="00C47170"/>
    <w:rsid w:val="00C47299"/>
    <w:rsid w:val="00C47654"/>
    <w:rsid w:val="00C478E6"/>
    <w:rsid w:val="00C4798F"/>
    <w:rsid w:val="00C479E3"/>
    <w:rsid w:val="00C47C36"/>
    <w:rsid w:val="00C47C98"/>
    <w:rsid w:val="00C47D71"/>
    <w:rsid w:val="00C47DE9"/>
    <w:rsid w:val="00C47F29"/>
    <w:rsid w:val="00C5012B"/>
    <w:rsid w:val="00C502B0"/>
    <w:rsid w:val="00C5073B"/>
    <w:rsid w:val="00C50808"/>
    <w:rsid w:val="00C50D25"/>
    <w:rsid w:val="00C50E82"/>
    <w:rsid w:val="00C50FBB"/>
    <w:rsid w:val="00C50FC7"/>
    <w:rsid w:val="00C51333"/>
    <w:rsid w:val="00C513AE"/>
    <w:rsid w:val="00C51645"/>
    <w:rsid w:val="00C51793"/>
    <w:rsid w:val="00C51FBB"/>
    <w:rsid w:val="00C522B9"/>
    <w:rsid w:val="00C52509"/>
    <w:rsid w:val="00C52791"/>
    <w:rsid w:val="00C5288D"/>
    <w:rsid w:val="00C52989"/>
    <w:rsid w:val="00C52AE4"/>
    <w:rsid w:val="00C52BEB"/>
    <w:rsid w:val="00C52C2F"/>
    <w:rsid w:val="00C52D01"/>
    <w:rsid w:val="00C52DAA"/>
    <w:rsid w:val="00C52FDF"/>
    <w:rsid w:val="00C530F3"/>
    <w:rsid w:val="00C53161"/>
    <w:rsid w:val="00C5318D"/>
    <w:rsid w:val="00C53879"/>
    <w:rsid w:val="00C53891"/>
    <w:rsid w:val="00C53B73"/>
    <w:rsid w:val="00C53B82"/>
    <w:rsid w:val="00C543D6"/>
    <w:rsid w:val="00C545EB"/>
    <w:rsid w:val="00C54797"/>
    <w:rsid w:val="00C54BFB"/>
    <w:rsid w:val="00C54E16"/>
    <w:rsid w:val="00C550AE"/>
    <w:rsid w:val="00C55297"/>
    <w:rsid w:val="00C557EC"/>
    <w:rsid w:val="00C5596B"/>
    <w:rsid w:val="00C559FD"/>
    <w:rsid w:val="00C55AB6"/>
    <w:rsid w:val="00C56092"/>
    <w:rsid w:val="00C560C9"/>
    <w:rsid w:val="00C56AE4"/>
    <w:rsid w:val="00C571E5"/>
    <w:rsid w:val="00C57330"/>
    <w:rsid w:val="00C5793E"/>
    <w:rsid w:val="00C57A7A"/>
    <w:rsid w:val="00C57BBA"/>
    <w:rsid w:val="00C57C72"/>
    <w:rsid w:val="00C57FF1"/>
    <w:rsid w:val="00C60660"/>
    <w:rsid w:val="00C6072E"/>
    <w:rsid w:val="00C608E4"/>
    <w:rsid w:val="00C60B21"/>
    <w:rsid w:val="00C60C58"/>
    <w:rsid w:val="00C60F9E"/>
    <w:rsid w:val="00C610F4"/>
    <w:rsid w:val="00C613B0"/>
    <w:rsid w:val="00C6141E"/>
    <w:rsid w:val="00C614FD"/>
    <w:rsid w:val="00C61627"/>
    <w:rsid w:val="00C61704"/>
    <w:rsid w:val="00C6180A"/>
    <w:rsid w:val="00C61A89"/>
    <w:rsid w:val="00C61AA8"/>
    <w:rsid w:val="00C61B23"/>
    <w:rsid w:val="00C61D10"/>
    <w:rsid w:val="00C61DA7"/>
    <w:rsid w:val="00C61DE1"/>
    <w:rsid w:val="00C61E12"/>
    <w:rsid w:val="00C623A7"/>
    <w:rsid w:val="00C623CB"/>
    <w:rsid w:val="00C6273A"/>
    <w:rsid w:val="00C6290F"/>
    <w:rsid w:val="00C62AB7"/>
    <w:rsid w:val="00C62CA9"/>
    <w:rsid w:val="00C630EC"/>
    <w:rsid w:val="00C63167"/>
    <w:rsid w:val="00C63409"/>
    <w:rsid w:val="00C636E1"/>
    <w:rsid w:val="00C637F8"/>
    <w:rsid w:val="00C63808"/>
    <w:rsid w:val="00C63885"/>
    <w:rsid w:val="00C63921"/>
    <w:rsid w:val="00C63ADE"/>
    <w:rsid w:val="00C63C6B"/>
    <w:rsid w:val="00C63CAE"/>
    <w:rsid w:val="00C63CD4"/>
    <w:rsid w:val="00C63FFD"/>
    <w:rsid w:val="00C6402D"/>
    <w:rsid w:val="00C64833"/>
    <w:rsid w:val="00C64AE7"/>
    <w:rsid w:val="00C64C40"/>
    <w:rsid w:val="00C64D1F"/>
    <w:rsid w:val="00C64DFC"/>
    <w:rsid w:val="00C64F0B"/>
    <w:rsid w:val="00C6508A"/>
    <w:rsid w:val="00C651BF"/>
    <w:rsid w:val="00C65219"/>
    <w:rsid w:val="00C65517"/>
    <w:rsid w:val="00C655C4"/>
    <w:rsid w:val="00C658D8"/>
    <w:rsid w:val="00C65AB8"/>
    <w:rsid w:val="00C667CA"/>
    <w:rsid w:val="00C66A0C"/>
    <w:rsid w:val="00C66E30"/>
    <w:rsid w:val="00C678F7"/>
    <w:rsid w:val="00C67C7A"/>
    <w:rsid w:val="00C67EDC"/>
    <w:rsid w:val="00C70025"/>
    <w:rsid w:val="00C7007F"/>
    <w:rsid w:val="00C703DE"/>
    <w:rsid w:val="00C703E9"/>
    <w:rsid w:val="00C704E7"/>
    <w:rsid w:val="00C707BE"/>
    <w:rsid w:val="00C70BA6"/>
    <w:rsid w:val="00C710B6"/>
    <w:rsid w:val="00C7110A"/>
    <w:rsid w:val="00C7111F"/>
    <w:rsid w:val="00C71365"/>
    <w:rsid w:val="00C71709"/>
    <w:rsid w:val="00C7171E"/>
    <w:rsid w:val="00C717B2"/>
    <w:rsid w:val="00C7185C"/>
    <w:rsid w:val="00C719AA"/>
    <w:rsid w:val="00C71A00"/>
    <w:rsid w:val="00C72489"/>
    <w:rsid w:val="00C724F8"/>
    <w:rsid w:val="00C7256A"/>
    <w:rsid w:val="00C72621"/>
    <w:rsid w:val="00C72643"/>
    <w:rsid w:val="00C727CC"/>
    <w:rsid w:val="00C727D4"/>
    <w:rsid w:val="00C72CBF"/>
    <w:rsid w:val="00C72E85"/>
    <w:rsid w:val="00C72F0F"/>
    <w:rsid w:val="00C73306"/>
    <w:rsid w:val="00C7365A"/>
    <w:rsid w:val="00C7375B"/>
    <w:rsid w:val="00C7399B"/>
    <w:rsid w:val="00C73CB6"/>
    <w:rsid w:val="00C73DB6"/>
    <w:rsid w:val="00C73E96"/>
    <w:rsid w:val="00C74390"/>
    <w:rsid w:val="00C74566"/>
    <w:rsid w:val="00C747DA"/>
    <w:rsid w:val="00C74ABA"/>
    <w:rsid w:val="00C74C0C"/>
    <w:rsid w:val="00C74D37"/>
    <w:rsid w:val="00C751DE"/>
    <w:rsid w:val="00C7568F"/>
    <w:rsid w:val="00C7585F"/>
    <w:rsid w:val="00C75AA1"/>
    <w:rsid w:val="00C75E0D"/>
    <w:rsid w:val="00C75E6B"/>
    <w:rsid w:val="00C762A7"/>
    <w:rsid w:val="00C76F38"/>
    <w:rsid w:val="00C76F98"/>
    <w:rsid w:val="00C771CE"/>
    <w:rsid w:val="00C771ED"/>
    <w:rsid w:val="00C77845"/>
    <w:rsid w:val="00C77860"/>
    <w:rsid w:val="00C77A96"/>
    <w:rsid w:val="00C77B55"/>
    <w:rsid w:val="00C77CD1"/>
    <w:rsid w:val="00C77E29"/>
    <w:rsid w:val="00C77F0F"/>
    <w:rsid w:val="00C80263"/>
    <w:rsid w:val="00C80569"/>
    <w:rsid w:val="00C8071D"/>
    <w:rsid w:val="00C80B30"/>
    <w:rsid w:val="00C80BA0"/>
    <w:rsid w:val="00C80C67"/>
    <w:rsid w:val="00C811D0"/>
    <w:rsid w:val="00C811DF"/>
    <w:rsid w:val="00C812BE"/>
    <w:rsid w:val="00C81344"/>
    <w:rsid w:val="00C818C5"/>
    <w:rsid w:val="00C81961"/>
    <w:rsid w:val="00C81C50"/>
    <w:rsid w:val="00C81CAA"/>
    <w:rsid w:val="00C81E24"/>
    <w:rsid w:val="00C81E69"/>
    <w:rsid w:val="00C82242"/>
    <w:rsid w:val="00C8239B"/>
    <w:rsid w:val="00C824DF"/>
    <w:rsid w:val="00C825B6"/>
    <w:rsid w:val="00C82666"/>
    <w:rsid w:val="00C829B0"/>
    <w:rsid w:val="00C829DD"/>
    <w:rsid w:val="00C82A2E"/>
    <w:rsid w:val="00C82BB0"/>
    <w:rsid w:val="00C83120"/>
    <w:rsid w:val="00C83527"/>
    <w:rsid w:val="00C83794"/>
    <w:rsid w:val="00C838DD"/>
    <w:rsid w:val="00C83E3C"/>
    <w:rsid w:val="00C83E7C"/>
    <w:rsid w:val="00C840D2"/>
    <w:rsid w:val="00C84231"/>
    <w:rsid w:val="00C84580"/>
    <w:rsid w:val="00C847D3"/>
    <w:rsid w:val="00C84DEA"/>
    <w:rsid w:val="00C84F8E"/>
    <w:rsid w:val="00C85143"/>
    <w:rsid w:val="00C85560"/>
    <w:rsid w:val="00C855E3"/>
    <w:rsid w:val="00C8563F"/>
    <w:rsid w:val="00C8590C"/>
    <w:rsid w:val="00C85A55"/>
    <w:rsid w:val="00C85B7C"/>
    <w:rsid w:val="00C85E12"/>
    <w:rsid w:val="00C86109"/>
    <w:rsid w:val="00C8620D"/>
    <w:rsid w:val="00C86418"/>
    <w:rsid w:val="00C86750"/>
    <w:rsid w:val="00C86979"/>
    <w:rsid w:val="00C87096"/>
    <w:rsid w:val="00C873BC"/>
    <w:rsid w:val="00C87434"/>
    <w:rsid w:val="00C87461"/>
    <w:rsid w:val="00C874AC"/>
    <w:rsid w:val="00C8779D"/>
    <w:rsid w:val="00C87C7D"/>
    <w:rsid w:val="00C87F9E"/>
    <w:rsid w:val="00C901EA"/>
    <w:rsid w:val="00C90715"/>
    <w:rsid w:val="00C909B9"/>
    <w:rsid w:val="00C90BCA"/>
    <w:rsid w:val="00C90C2D"/>
    <w:rsid w:val="00C90DE0"/>
    <w:rsid w:val="00C90E37"/>
    <w:rsid w:val="00C90EED"/>
    <w:rsid w:val="00C91257"/>
    <w:rsid w:val="00C91329"/>
    <w:rsid w:val="00C9177A"/>
    <w:rsid w:val="00C917E7"/>
    <w:rsid w:val="00C9183D"/>
    <w:rsid w:val="00C91C6E"/>
    <w:rsid w:val="00C91D5B"/>
    <w:rsid w:val="00C922AD"/>
    <w:rsid w:val="00C92744"/>
    <w:rsid w:val="00C9276A"/>
    <w:rsid w:val="00C92ACB"/>
    <w:rsid w:val="00C92B7D"/>
    <w:rsid w:val="00C92D97"/>
    <w:rsid w:val="00C93318"/>
    <w:rsid w:val="00C93548"/>
    <w:rsid w:val="00C93554"/>
    <w:rsid w:val="00C93798"/>
    <w:rsid w:val="00C93B98"/>
    <w:rsid w:val="00C93C81"/>
    <w:rsid w:val="00C94474"/>
    <w:rsid w:val="00C9450E"/>
    <w:rsid w:val="00C9454A"/>
    <w:rsid w:val="00C94817"/>
    <w:rsid w:val="00C94A0B"/>
    <w:rsid w:val="00C94AF6"/>
    <w:rsid w:val="00C94B47"/>
    <w:rsid w:val="00C94C7A"/>
    <w:rsid w:val="00C94DA0"/>
    <w:rsid w:val="00C9502A"/>
    <w:rsid w:val="00C95171"/>
    <w:rsid w:val="00C9586A"/>
    <w:rsid w:val="00C95A8E"/>
    <w:rsid w:val="00C95E55"/>
    <w:rsid w:val="00C96329"/>
    <w:rsid w:val="00C96411"/>
    <w:rsid w:val="00C9645A"/>
    <w:rsid w:val="00C964DB"/>
    <w:rsid w:val="00C9657B"/>
    <w:rsid w:val="00C96642"/>
    <w:rsid w:val="00C9666E"/>
    <w:rsid w:val="00C967C9"/>
    <w:rsid w:val="00C9689C"/>
    <w:rsid w:val="00C96A94"/>
    <w:rsid w:val="00C96BA7"/>
    <w:rsid w:val="00C96ECD"/>
    <w:rsid w:val="00C96FF3"/>
    <w:rsid w:val="00C97040"/>
    <w:rsid w:val="00C97066"/>
    <w:rsid w:val="00C9725E"/>
    <w:rsid w:val="00C9764A"/>
    <w:rsid w:val="00C97667"/>
    <w:rsid w:val="00C97812"/>
    <w:rsid w:val="00C979CF"/>
    <w:rsid w:val="00C97DF2"/>
    <w:rsid w:val="00CA04F7"/>
    <w:rsid w:val="00CA058C"/>
    <w:rsid w:val="00CA06C6"/>
    <w:rsid w:val="00CA06F9"/>
    <w:rsid w:val="00CA07A9"/>
    <w:rsid w:val="00CA085C"/>
    <w:rsid w:val="00CA09B1"/>
    <w:rsid w:val="00CA0DF0"/>
    <w:rsid w:val="00CA0F3B"/>
    <w:rsid w:val="00CA1149"/>
    <w:rsid w:val="00CA1167"/>
    <w:rsid w:val="00CA1286"/>
    <w:rsid w:val="00CA14AF"/>
    <w:rsid w:val="00CA165D"/>
    <w:rsid w:val="00CA1687"/>
    <w:rsid w:val="00CA16C1"/>
    <w:rsid w:val="00CA1795"/>
    <w:rsid w:val="00CA1911"/>
    <w:rsid w:val="00CA1B5B"/>
    <w:rsid w:val="00CA1D14"/>
    <w:rsid w:val="00CA29B0"/>
    <w:rsid w:val="00CA2C8F"/>
    <w:rsid w:val="00CA2F87"/>
    <w:rsid w:val="00CA332A"/>
    <w:rsid w:val="00CA349C"/>
    <w:rsid w:val="00CA34EF"/>
    <w:rsid w:val="00CA3974"/>
    <w:rsid w:val="00CA3E61"/>
    <w:rsid w:val="00CA415D"/>
    <w:rsid w:val="00CA4276"/>
    <w:rsid w:val="00CA4613"/>
    <w:rsid w:val="00CA46CF"/>
    <w:rsid w:val="00CA48C6"/>
    <w:rsid w:val="00CA4BA0"/>
    <w:rsid w:val="00CA4E23"/>
    <w:rsid w:val="00CA5195"/>
    <w:rsid w:val="00CA5282"/>
    <w:rsid w:val="00CA56B9"/>
    <w:rsid w:val="00CA5824"/>
    <w:rsid w:val="00CA5C39"/>
    <w:rsid w:val="00CA5DA7"/>
    <w:rsid w:val="00CA5DDD"/>
    <w:rsid w:val="00CA5EEF"/>
    <w:rsid w:val="00CA5FC9"/>
    <w:rsid w:val="00CA6117"/>
    <w:rsid w:val="00CA6519"/>
    <w:rsid w:val="00CA653C"/>
    <w:rsid w:val="00CA66F6"/>
    <w:rsid w:val="00CA6C04"/>
    <w:rsid w:val="00CA6C4B"/>
    <w:rsid w:val="00CA7097"/>
    <w:rsid w:val="00CA7574"/>
    <w:rsid w:val="00CA782A"/>
    <w:rsid w:val="00CA7B20"/>
    <w:rsid w:val="00CA7C14"/>
    <w:rsid w:val="00CB0202"/>
    <w:rsid w:val="00CB02BA"/>
    <w:rsid w:val="00CB054E"/>
    <w:rsid w:val="00CB0FFF"/>
    <w:rsid w:val="00CB1095"/>
    <w:rsid w:val="00CB1186"/>
    <w:rsid w:val="00CB175B"/>
    <w:rsid w:val="00CB1833"/>
    <w:rsid w:val="00CB1B57"/>
    <w:rsid w:val="00CB1CAB"/>
    <w:rsid w:val="00CB1E3A"/>
    <w:rsid w:val="00CB202F"/>
    <w:rsid w:val="00CB244C"/>
    <w:rsid w:val="00CB252E"/>
    <w:rsid w:val="00CB29A9"/>
    <w:rsid w:val="00CB2D70"/>
    <w:rsid w:val="00CB3240"/>
    <w:rsid w:val="00CB33BD"/>
    <w:rsid w:val="00CB3642"/>
    <w:rsid w:val="00CB3837"/>
    <w:rsid w:val="00CB38B3"/>
    <w:rsid w:val="00CB3D37"/>
    <w:rsid w:val="00CB3ECA"/>
    <w:rsid w:val="00CB3ED6"/>
    <w:rsid w:val="00CB4102"/>
    <w:rsid w:val="00CB4181"/>
    <w:rsid w:val="00CB44B8"/>
    <w:rsid w:val="00CB49E0"/>
    <w:rsid w:val="00CB4AEB"/>
    <w:rsid w:val="00CB4C19"/>
    <w:rsid w:val="00CB4CD9"/>
    <w:rsid w:val="00CB52F7"/>
    <w:rsid w:val="00CB562A"/>
    <w:rsid w:val="00CB5691"/>
    <w:rsid w:val="00CB5BBC"/>
    <w:rsid w:val="00CB5BF6"/>
    <w:rsid w:val="00CB5DA3"/>
    <w:rsid w:val="00CB654F"/>
    <w:rsid w:val="00CB673A"/>
    <w:rsid w:val="00CB6872"/>
    <w:rsid w:val="00CB6AA5"/>
    <w:rsid w:val="00CB6C44"/>
    <w:rsid w:val="00CB6E33"/>
    <w:rsid w:val="00CB6E93"/>
    <w:rsid w:val="00CB6EBB"/>
    <w:rsid w:val="00CB7393"/>
    <w:rsid w:val="00CB7418"/>
    <w:rsid w:val="00CB74BF"/>
    <w:rsid w:val="00CB7959"/>
    <w:rsid w:val="00CB797F"/>
    <w:rsid w:val="00CB7A01"/>
    <w:rsid w:val="00CB7A91"/>
    <w:rsid w:val="00CB7F29"/>
    <w:rsid w:val="00CB7F87"/>
    <w:rsid w:val="00CC0063"/>
    <w:rsid w:val="00CC0173"/>
    <w:rsid w:val="00CC03CA"/>
    <w:rsid w:val="00CC107D"/>
    <w:rsid w:val="00CC1FEF"/>
    <w:rsid w:val="00CC20D3"/>
    <w:rsid w:val="00CC245E"/>
    <w:rsid w:val="00CC2463"/>
    <w:rsid w:val="00CC25FC"/>
    <w:rsid w:val="00CC27D8"/>
    <w:rsid w:val="00CC28C1"/>
    <w:rsid w:val="00CC2E5A"/>
    <w:rsid w:val="00CC2F9F"/>
    <w:rsid w:val="00CC31F8"/>
    <w:rsid w:val="00CC33F5"/>
    <w:rsid w:val="00CC354B"/>
    <w:rsid w:val="00CC3A8D"/>
    <w:rsid w:val="00CC3AA7"/>
    <w:rsid w:val="00CC3D06"/>
    <w:rsid w:val="00CC43BF"/>
    <w:rsid w:val="00CC4816"/>
    <w:rsid w:val="00CC48AD"/>
    <w:rsid w:val="00CC4990"/>
    <w:rsid w:val="00CC4A96"/>
    <w:rsid w:val="00CC4D0F"/>
    <w:rsid w:val="00CC4D30"/>
    <w:rsid w:val="00CC4EF2"/>
    <w:rsid w:val="00CC4F7A"/>
    <w:rsid w:val="00CC51A2"/>
    <w:rsid w:val="00CC5356"/>
    <w:rsid w:val="00CC5C0F"/>
    <w:rsid w:val="00CC5F21"/>
    <w:rsid w:val="00CC60A8"/>
    <w:rsid w:val="00CC6410"/>
    <w:rsid w:val="00CC6AC5"/>
    <w:rsid w:val="00CC6D69"/>
    <w:rsid w:val="00CC6EC4"/>
    <w:rsid w:val="00CC6FDF"/>
    <w:rsid w:val="00CC70A3"/>
    <w:rsid w:val="00CC71F9"/>
    <w:rsid w:val="00CC7278"/>
    <w:rsid w:val="00CC7AAD"/>
    <w:rsid w:val="00CC7E52"/>
    <w:rsid w:val="00CC7F8A"/>
    <w:rsid w:val="00CD0391"/>
    <w:rsid w:val="00CD06D5"/>
    <w:rsid w:val="00CD06E5"/>
    <w:rsid w:val="00CD0A2B"/>
    <w:rsid w:val="00CD0A6E"/>
    <w:rsid w:val="00CD0AB5"/>
    <w:rsid w:val="00CD0ED5"/>
    <w:rsid w:val="00CD1015"/>
    <w:rsid w:val="00CD115E"/>
    <w:rsid w:val="00CD1174"/>
    <w:rsid w:val="00CD12DC"/>
    <w:rsid w:val="00CD14DC"/>
    <w:rsid w:val="00CD15F3"/>
    <w:rsid w:val="00CD1DF4"/>
    <w:rsid w:val="00CD1FD1"/>
    <w:rsid w:val="00CD227A"/>
    <w:rsid w:val="00CD24AD"/>
    <w:rsid w:val="00CD24CC"/>
    <w:rsid w:val="00CD268C"/>
    <w:rsid w:val="00CD2851"/>
    <w:rsid w:val="00CD2865"/>
    <w:rsid w:val="00CD295A"/>
    <w:rsid w:val="00CD2C77"/>
    <w:rsid w:val="00CD2C98"/>
    <w:rsid w:val="00CD2D38"/>
    <w:rsid w:val="00CD2DED"/>
    <w:rsid w:val="00CD300A"/>
    <w:rsid w:val="00CD3111"/>
    <w:rsid w:val="00CD32E2"/>
    <w:rsid w:val="00CD3691"/>
    <w:rsid w:val="00CD3887"/>
    <w:rsid w:val="00CD389D"/>
    <w:rsid w:val="00CD38E3"/>
    <w:rsid w:val="00CD3AAA"/>
    <w:rsid w:val="00CD3BEE"/>
    <w:rsid w:val="00CD3FE1"/>
    <w:rsid w:val="00CD4089"/>
    <w:rsid w:val="00CD41B4"/>
    <w:rsid w:val="00CD42A8"/>
    <w:rsid w:val="00CD44EC"/>
    <w:rsid w:val="00CD470C"/>
    <w:rsid w:val="00CD4A72"/>
    <w:rsid w:val="00CD4C59"/>
    <w:rsid w:val="00CD4E84"/>
    <w:rsid w:val="00CD507F"/>
    <w:rsid w:val="00CD52B7"/>
    <w:rsid w:val="00CD5659"/>
    <w:rsid w:val="00CD5767"/>
    <w:rsid w:val="00CD57A0"/>
    <w:rsid w:val="00CD598F"/>
    <w:rsid w:val="00CD5A3B"/>
    <w:rsid w:val="00CD5F9C"/>
    <w:rsid w:val="00CD6462"/>
    <w:rsid w:val="00CD6664"/>
    <w:rsid w:val="00CD6F15"/>
    <w:rsid w:val="00CD70B9"/>
    <w:rsid w:val="00CD7299"/>
    <w:rsid w:val="00CD72C0"/>
    <w:rsid w:val="00CD756C"/>
    <w:rsid w:val="00CD7571"/>
    <w:rsid w:val="00CD76DA"/>
    <w:rsid w:val="00CD7783"/>
    <w:rsid w:val="00CD7A0F"/>
    <w:rsid w:val="00CD7E4E"/>
    <w:rsid w:val="00CD7F67"/>
    <w:rsid w:val="00CE0270"/>
    <w:rsid w:val="00CE0693"/>
    <w:rsid w:val="00CE0779"/>
    <w:rsid w:val="00CE0858"/>
    <w:rsid w:val="00CE0CE4"/>
    <w:rsid w:val="00CE0E26"/>
    <w:rsid w:val="00CE100F"/>
    <w:rsid w:val="00CE1925"/>
    <w:rsid w:val="00CE19B5"/>
    <w:rsid w:val="00CE1B6F"/>
    <w:rsid w:val="00CE2970"/>
    <w:rsid w:val="00CE2D68"/>
    <w:rsid w:val="00CE2F14"/>
    <w:rsid w:val="00CE3D01"/>
    <w:rsid w:val="00CE433B"/>
    <w:rsid w:val="00CE48D7"/>
    <w:rsid w:val="00CE4B23"/>
    <w:rsid w:val="00CE4B8A"/>
    <w:rsid w:val="00CE4D0C"/>
    <w:rsid w:val="00CE4FDE"/>
    <w:rsid w:val="00CE5155"/>
    <w:rsid w:val="00CE530F"/>
    <w:rsid w:val="00CE5490"/>
    <w:rsid w:val="00CE5521"/>
    <w:rsid w:val="00CE558C"/>
    <w:rsid w:val="00CE55E5"/>
    <w:rsid w:val="00CE56D3"/>
    <w:rsid w:val="00CE5A8B"/>
    <w:rsid w:val="00CE5CE8"/>
    <w:rsid w:val="00CE5F24"/>
    <w:rsid w:val="00CE60AE"/>
    <w:rsid w:val="00CE6310"/>
    <w:rsid w:val="00CE6341"/>
    <w:rsid w:val="00CE6440"/>
    <w:rsid w:val="00CE677C"/>
    <w:rsid w:val="00CE67C0"/>
    <w:rsid w:val="00CE6A08"/>
    <w:rsid w:val="00CE6D9D"/>
    <w:rsid w:val="00CE70CF"/>
    <w:rsid w:val="00CE76FD"/>
    <w:rsid w:val="00CE77C3"/>
    <w:rsid w:val="00CE7925"/>
    <w:rsid w:val="00CE792C"/>
    <w:rsid w:val="00CE79E4"/>
    <w:rsid w:val="00CE7D50"/>
    <w:rsid w:val="00CE7DCB"/>
    <w:rsid w:val="00CE7E2B"/>
    <w:rsid w:val="00CE7F71"/>
    <w:rsid w:val="00CF006D"/>
    <w:rsid w:val="00CF016E"/>
    <w:rsid w:val="00CF0229"/>
    <w:rsid w:val="00CF060B"/>
    <w:rsid w:val="00CF0759"/>
    <w:rsid w:val="00CF07B6"/>
    <w:rsid w:val="00CF0A4B"/>
    <w:rsid w:val="00CF0D8B"/>
    <w:rsid w:val="00CF0F35"/>
    <w:rsid w:val="00CF1179"/>
    <w:rsid w:val="00CF126F"/>
    <w:rsid w:val="00CF1322"/>
    <w:rsid w:val="00CF1643"/>
    <w:rsid w:val="00CF16CE"/>
    <w:rsid w:val="00CF1730"/>
    <w:rsid w:val="00CF1A39"/>
    <w:rsid w:val="00CF1B97"/>
    <w:rsid w:val="00CF1BEC"/>
    <w:rsid w:val="00CF1D69"/>
    <w:rsid w:val="00CF1F38"/>
    <w:rsid w:val="00CF1F71"/>
    <w:rsid w:val="00CF2168"/>
    <w:rsid w:val="00CF24A6"/>
    <w:rsid w:val="00CF256C"/>
    <w:rsid w:val="00CF2596"/>
    <w:rsid w:val="00CF2756"/>
    <w:rsid w:val="00CF27FC"/>
    <w:rsid w:val="00CF286E"/>
    <w:rsid w:val="00CF2A59"/>
    <w:rsid w:val="00CF2AF7"/>
    <w:rsid w:val="00CF2E66"/>
    <w:rsid w:val="00CF2F01"/>
    <w:rsid w:val="00CF2F9B"/>
    <w:rsid w:val="00CF300D"/>
    <w:rsid w:val="00CF31C0"/>
    <w:rsid w:val="00CF321E"/>
    <w:rsid w:val="00CF3611"/>
    <w:rsid w:val="00CF3F16"/>
    <w:rsid w:val="00CF4008"/>
    <w:rsid w:val="00CF41D8"/>
    <w:rsid w:val="00CF4270"/>
    <w:rsid w:val="00CF430B"/>
    <w:rsid w:val="00CF4470"/>
    <w:rsid w:val="00CF46A5"/>
    <w:rsid w:val="00CF48CB"/>
    <w:rsid w:val="00CF4AEC"/>
    <w:rsid w:val="00CF4CF4"/>
    <w:rsid w:val="00CF4E2B"/>
    <w:rsid w:val="00CF5138"/>
    <w:rsid w:val="00CF515F"/>
    <w:rsid w:val="00CF5281"/>
    <w:rsid w:val="00CF580A"/>
    <w:rsid w:val="00CF5982"/>
    <w:rsid w:val="00CF5DC7"/>
    <w:rsid w:val="00CF5DE3"/>
    <w:rsid w:val="00CF5EF1"/>
    <w:rsid w:val="00CF6100"/>
    <w:rsid w:val="00CF615D"/>
    <w:rsid w:val="00CF6303"/>
    <w:rsid w:val="00CF6692"/>
    <w:rsid w:val="00CF6784"/>
    <w:rsid w:val="00CF682E"/>
    <w:rsid w:val="00CF69A7"/>
    <w:rsid w:val="00CF6B46"/>
    <w:rsid w:val="00CF6E18"/>
    <w:rsid w:val="00CF6EF6"/>
    <w:rsid w:val="00CF7731"/>
    <w:rsid w:val="00CF7744"/>
    <w:rsid w:val="00CF7B96"/>
    <w:rsid w:val="00CF7BD0"/>
    <w:rsid w:val="00CF7BD1"/>
    <w:rsid w:val="00D00674"/>
    <w:rsid w:val="00D008C1"/>
    <w:rsid w:val="00D011F6"/>
    <w:rsid w:val="00D014C0"/>
    <w:rsid w:val="00D014FE"/>
    <w:rsid w:val="00D01950"/>
    <w:rsid w:val="00D019BB"/>
    <w:rsid w:val="00D01CA6"/>
    <w:rsid w:val="00D01D50"/>
    <w:rsid w:val="00D01F11"/>
    <w:rsid w:val="00D01FC6"/>
    <w:rsid w:val="00D024BB"/>
    <w:rsid w:val="00D02526"/>
    <w:rsid w:val="00D02DFE"/>
    <w:rsid w:val="00D02F5B"/>
    <w:rsid w:val="00D030DF"/>
    <w:rsid w:val="00D0359D"/>
    <w:rsid w:val="00D03AD2"/>
    <w:rsid w:val="00D03D4F"/>
    <w:rsid w:val="00D03F49"/>
    <w:rsid w:val="00D03FDB"/>
    <w:rsid w:val="00D04352"/>
    <w:rsid w:val="00D044EB"/>
    <w:rsid w:val="00D04A75"/>
    <w:rsid w:val="00D04ED9"/>
    <w:rsid w:val="00D04EED"/>
    <w:rsid w:val="00D0502F"/>
    <w:rsid w:val="00D0504A"/>
    <w:rsid w:val="00D05765"/>
    <w:rsid w:val="00D0580C"/>
    <w:rsid w:val="00D05896"/>
    <w:rsid w:val="00D05A0C"/>
    <w:rsid w:val="00D05B76"/>
    <w:rsid w:val="00D05B85"/>
    <w:rsid w:val="00D05BA8"/>
    <w:rsid w:val="00D06006"/>
    <w:rsid w:val="00D0603A"/>
    <w:rsid w:val="00D060E3"/>
    <w:rsid w:val="00D0626B"/>
    <w:rsid w:val="00D062D9"/>
    <w:rsid w:val="00D063BB"/>
    <w:rsid w:val="00D064E9"/>
    <w:rsid w:val="00D064FA"/>
    <w:rsid w:val="00D065EA"/>
    <w:rsid w:val="00D065F3"/>
    <w:rsid w:val="00D069E8"/>
    <w:rsid w:val="00D06B1A"/>
    <w:rsid w:val="00D06B63"/>
    <w:rsid w:val="00D06C23"/>
    <w:rsid w:val="00D06C6E"/>
    <w:rsid w:val="00D07588"/>
    <w:rsid w:val="00D075A6"/>
    <w:rsid w:val="00D07623"/>
    <w:rsid w:val="00D07A06"/>
    <w:rsid w:val="00D07B27"/>
    <w:rsid w:val="00D07F63"/>
    <w:rsid w:val="00D07F64"/>
    <w:rsid w:val="00D1001B"/>
    <w:rsid w:val="00D100E8"/>
    <w:rsid w:val="00D10166"/>
    <w:rsid w:val="00D101EC"/>
    <w:rsid w:val="00D1057C"/>
    <w:rsid w:val="00D10764"/>
    <w:rsid w:val="00D107EC"/>
    <w:rsid w:val="00D1086D"/>
    <w:rsid w:val="00D10A5C"/>
    <w:rsid w:val="00D10A80"/>
    <w:rsid w:val="00D10E38"/>
    <w:rsid w:val="00D10F0D"/>
    <w:rsid w:val="00D10F64"/>
    <w:rsid w:val="00D11118"/>
    <w:rsid w:val="00D11653"/>
    <w:rsid w:val="00D11931"/>
    <w:rsid w:val="00D11D27"/>
    <w:rsid w:val="00D11DC0"/>
    <w:rsid w:val="00D120E0"/>
    <w:rsid w:val="00D1238B"/>
    <w:rsid w:val="00D123B3"/>
    <w:rsid w:val="00D1241C"/>
    <w:rsid w:val="00D129E6"/>
    <w:rsid w:val="00D12A65"/>
    <w:rsid w:val="00D12AFA"/>
    <w:rsid w:val="00D12CC9"/>
    <w:rsid w:val="00D12F27"/>
    <w:rsid w:val="00D131FC"/>
    <w:rsid w:val="00D132D0"/>
    <w:rsid w:val="00D138CB"/>
    <w:rsid w:val="00D1391C"/>
    <w:rsid w:val="00D13A4C"/>
    <w:rsid w:val="00D13AC9"/>
    <w:rsid w:val="00D13CF8"/>
    <w:rsid w:val="00D13E80"/>
    <w:rsid w:val="00D1435C"/>
    <w:rsid w:val="00D144D9"/>
    <w:rsid w:val="00D14B24"/>
    <w:rsid w:val="00D14F96"/>
    <w:rsid w:val="00D1551A"/>
    <w:rsid w:val="00D156A6"/>
    <w:rsid w:val="00D15741"/>
    <w:rsid w:val="00D157FC"/>
    <w:rsid w:val="00D15EB4"/>
    <w:rsid w:val="00D162CD"/>
    <w:rsid w:val="00D16911"/>
    <w:rsid w:val="00D16978"/>
    <w:rsid w:val="00D16C89"/>
    <w:rsid w:val="00D16D9B"/>
    <w:rsid w:val="00D16E6B"/>
    <w:rsid w:val="00D1709B"/>
    <w:rsid w:val="00D172EB"/>
    <w:rsid w:val="00D17431"/>
    <w:rsid w:val="00D17512"/>
    <w:rsid w:val="00D176A6"/>
    <w:rsid w:val="00D1770F"/>
    <w:rsid w:val="00D1775C"/>
    <w:rsid w:val="00D17BCF"/>
    <w:rsid w:val="00D202B9"/>
    <w:rsid w:val="00D20E3A"/>
    <w:rsid w:val="00D20F59"/>
    <w:rsid w:val="00D21191"/>
    <w:rsid w:val="00D211F0"/>
    <w:rsid w:val="00D21288"/>
    <w:rsid w:val="00D212DB"/>
    <w:rsid w:val="00D21442"/>
    <w:rsid w:val="00D215D8"/>
    <w:rsid w:val="00D21661"/>
    <w:rsid w:val="00D21892"/>
    <w:rsid w:val="00D218AF"/>
    <w:rsid w:val="00D21C9A"/>
    <w:rsid w:val="00D222DA"/>
    <w:rsid w:val="00D224F0"/>
    <w:rsid w:val="00D22A3D"/>
    <w:rsid w:val="00D22B58"/>
    <w:rsid w:val="00D237DA"/>
    <w:rsid w:val="00D238DC"/>
    <w:rsid w:val="00D23994"/>
    <w:rsid w:val="00D23AA8"/>
    <w:rsid w:val="00D23D66"/>
    <w:rsid w:val="00D23DB3"/>
    <w:rsid w:val="00D23E77"/>
    <w:rsid w:val="00D24406"/>
    <w:rsid w:val="00D24614"/>
    <w:rsid w:val="00D246D5"/>
    <w:rsid w:val="00D24851"/>
    <w:rsid w:val="00D249D7"/>
    <w:rsid w:val="00D2507D"/>
    <w:rsid w:val="00D2522E"/>
    <w:rsid w:val="00D252A2"/>
    <w:rsid w:val="00D252E7"/>
    <w:rsid w:val="00D258C4"/>
    <w:rsid w:val="00D259BD"/>
    <w:rsid w:val="00D25B6E"/>
    <w:rsid w:val="00D25CF0"/>
    <w:rsid w:val="00D25F63"/>
    <w:rsid w:val="00D26184"/>
    <w:rsid w:val="00D26507"/>
    <w:rsid w:val="00D266BF"/>
    <w:rsid w:val="00D2774C"/>
    <w:rsid w:val="00D2782E"/>
    <w:rsid w:val="00D27D81"/>
    <w:rsid w:val="00D27DD4"/>
    <w:rsid w:val="00D3013D"/>
    <w:rsid w:val="00D30283"/>
    <w:rsid w:val="00D303B3"/>
    <w:rsid w:val="00D305C6"/>
    <w:rsid w:val="00D30BDA"/>
    <w:rsid w:val="00D30E53"/>
    <w:rsid w:val="00D30E74"/>
    <w:rsid w:val="00D313E6"/>
    <w:rsid w:val="00D3145B"/>
    <w:rsid w:val="00D31484"/>
    <w:rsid w:val="00D314D3"/>
    <w:rsid w:val="00D31663"/>
    <w:rsid w:val="00D316AF"/>
    <w:rsid w:val="00D317E0"/>
    <w:rsid w:val="00D31B3F"/>
    <w:rsid w:val="00D31BE6"/>
    <w:rsid w:val="00D31C84"/>
    <w:rsid w:val="00D31D78"/>
    <w:rsid w:val="00D32149"/>
    <w:rsid w:val="00D32206"/>
    <w:rsid w:val="00D3222E"/>
    <w:rsid w:val="00D32275"/>
    <w:rsid w:val="00D32492"/>
    <w:rsid w:val="00D32797"/>
    <w:rsid w:val="00D327C8"/>
    <w:rsid w:val="00D32E86"/>
    <w:rsid w:val="00D3329E"/>
    <w:rsid w:val="00D332CF"/>
    <w:rsid w:val="00D33C3B"/>
    <w:rsid w:val="00D33C4B"/>
    <w:rsid w:val="00D33D03"/>
    <w:rsid w:val="00D34326"/>
    <w:rsid w:val="00D3468D"/>
    <w:rsid w:val="00D3498D"/>
    <w:rsid w:val="00D34F75"/>
    <w:rsid w:val="00D35699"/>
    <w:rsid w:val="00D357FF"/>
    <w:rsid w:val="00D35844"/>
    <w:rsid w:val="00D3592F"/>
    <w:rsid w:val="00D35CFF"/>
    <w:rsid w:val="00D36736"/>
    <w:rsid w:val="00D369D6"/>
    <w:rsid w:val="00D36A8D"/>
    <w:rsid w:val="00D36A96"/>
    <w:rsid w:val="00D36AB0"/>
    <w:rsid w:val="00D36C0D"/>
    <w:rsid w:val="00D36EE9"/>
    <w:rsid w:val="00D36FAF"/>
    <w:rsid w:val="00D36FF0"/>
    <w:rsid w:val="00D372A2"/>
    <w:rsid w:val="00D3778D"/>
    <w:rsid w:val="00D37D6A"/>
    <w:rsid w:val="00D4010F"/>
    <w:rsid w:val="00D4057C"/>
    <w:rsid w:val="00D40601"/>
    <w:rsid w:val="00D40624"/>
    <w:rsid w:val="00D40A58"/>
    <w:rsid w:val="00D40C8A"/>
    <w:rsid w:val="00D40D04"/>
    <w:rsid w:val="00D40DC9"/>
    <w:rsid w:val="00D41017"/>
    <w:rsid w:val="00D4145C"/>
    <w:rsid w:val="00D41870"/>
    <w:rsid w:val="00D41BD1"/>
    <w:rsid w:val="00D41DD1"/>
    <w:rsid w:val="00D41E98"/>
    <w:rsid w:val="00D42423"/>
    <w:rsid w:val="00D4260F"/>
    <w:rsid w:val="00D42A53"/>
    <w:rsid w:val="00D42B13"/>
    <w:rsid w:val="00D42C9E"/>
    <w:rsid w:val="00D43066"/>
    <w:rsid w:val="00D4323C"/>
    <w:rsid w:val="00D43295"/>
    <w:rsid w:val="00D4377C"/>
    <w:rsid w:val="00D43BDC"/>
    <w:rsid w:val="00D43CB7"/>
    <w:rsid w:val="00D43EE7"/>
    <w:rsid w:val="00D4434D"/>
    <w:rsid w:val="00D4449E"/>
    <w:rsid w:val="00D44563"/>
    <w:rsid w:val="00D448D8"/>
    <w:rsid w:val="00D44A5E"/>
    <w:rsid w:val="00D44B2B"/>
    <w:rsid w:val="00D44C5A"/>
    <w:rsid w:val="00D44D2E"/>
    <w:rsid w:val="00D44ED0"/>
    <w:rsid w:val="00D44F7C"/>
    <w:rsid w:val="00D45210"/>
    <w:rsid w:val="00D45431"/>
    <w:rsid w:val="00D45455"/>
    <w:rsid w:val="00D4566D"/>
    <w:rsid w:val="00D45C09"/>
    <w:rsid w:val="00D45DAA"/>
    <w:rsid w:val="00D45DFB"/>
    <w:rsid w:val="00D45E05"/>
    <w:rsid w:val="00D45E25"/>
    <w:rsid w:val="00D45E91"/>
    <w:rsid w:val="00D45FB9"/>
    <w:rsid w:val="00D4607F"/>
    <w:rsid w:val="00D461E6"/>
    <w:rsid w:val="00D4623B"/>
    <w:rsid w:val="00D46320"/>
    <w:rsid w:val="00D4643F"/>
    <w:rsid w:val="00D46594"/>
    <w:rsid w:val="00D465B7"/>
    <w:rsid w:val="00D46645"/>
    <w:rsid w:val="00D46AFA"/>
    <w:rsid w:val="00D46BB9"/>
    <w:rsid w:val="00D46D8A"/>
    <w:rsid w:val="00D474D3"/>
    <w:rsid w:val="00D47654"/>
    <w:rsid w:val="00D47D43"/>
    <w:rsid w:val="00D47EF4"/>
    <w:rsid w:val="00D503DE"/>
    <w:rsid w:val="00D5049C"/>
    <w:rsid w:val="00D5062B"/>
    <w:rsid w:val="00D5065C"/>
    <w:rsid w:val="00D50AFA"/>
    <w:rsid w:val="00D50BCB"/>
    <w:rsid w:val="00D50BED"/>
    <w:rsid w:val="00D50C02"/>
    <w:rsid w:val="00D50E29"/>
    <w:rsid w:val="00D50E6E"/>
    <w:rsid w:val="00D5115E"/>
    <w:rsid w:val="00D512EB"/>
    <w:rsid w:val="00D516D8"/>
    <w:rsid w:val="00D51C0A"/>
    <w:rsid w:val="00D51D2C"/>
    <w:rsid w:val="00D51E4E"/>
    <w:rsid w:val="00D51E6D"/>
    <w:rsid w:val="00D52162"/>
    <w:rsid w:val="00D521CA"/>
    <w:rsid w:val="00D52231"/>
    <w:rsid w:val="00D52323"/>
    <w:rsid w:val="00D52575"/>
    <w:rsid w:val="00D529AF"/>
    <w:rsid w:val="00D52AA3"/>
    <w:rsid w:val="00D52E0D"/>
    <w:rsid w:val="00D530F8"/>
    <w:rsid w:val="00D533F7"/>
    <w:rsid w:val="00D535A3"/>
    <w:rsid w:val="00D535B8"/>
    <w:rsid w:val="00D5384F"/>
    <w:rsid w:val="00D538FC"/>
    <w:rsid w:val="00D53922"/>
    <w:rsid w:val="00D53E08"/>
    <w:rsid w:val="00D53EFC"/>
    <w:rsid w:val="00D53FD4"/>
    <w:rsid w:val="00D54084"/>
    <w:rsid w:val="00D541ED"/>
    <w:rsid w:val="00D546E1"/>
    <w:rsid w:val="00D5485C"/>
    <w:rsid w:val="00D5490F"/>
    <w:rsid w:val="00D54DB4"/>
    <w:rsid w:val="00D54E34"/>
    <w:rsid w:val="00D54EC5"/>
    <w:rsid w:val="00D54F8C"/>
    <w:rsid w:val="00D557F8"/>
    <w:rsid w:val="00D55BA2"/>
    <w:rsid w:val="00D55BA5"/>
    <w:rsid w:val="00D55DBF"/>
    <w:rsid w:val="00D55E25"/>
    <w:rsid w:val="00D55F1B"/>
    <w:rsid w:val="00D562ED"/>
    <w:rsid w:val="00D567C4"/>
    <w:rsid w:val="00D569C4"/>
    <w:rsid w:val="00D56A25"/>
    <w:rsid w:val="00D56BAB"/>
    <w:rsid w:val="00D56D0F"/>
    <w:rsid w:val="00D571B2"/>
    <w:rsid w:val="00D572F8"/>
    <w:rsid w:val="00D5766A"/>
    <w:rsid w:val="00D57797"/>
    <w:rsid w:val="00D5796D"/>
    <w:rsid w:val="00D57BBC"/>
    <w:rsid w:val="00D6014F"/>
    <w:rsid w:val="00D60238"/>
    <w:rsid w:val="00D602B2"/>
    <w:rsid w:val="00D606B5"/>
    <w:rsid w:val="00D60A6C"/>
    <w:rsid w:val="00D60C81"/>
    <w:rsid w:val="00D60E23"/>
    <w:rsid w:val="00D60E25"/>
    <w:rsid w:val="00D60E5C"/>
    <w:rsid w:val="00D60E64"/>
    <w:rsid w:val="00D6166C"/>
    <w:rsid w:val="00D61CA0"/>
    <w:rsid w:val="00D61D96"/>
    <w:rsid w:val="00D61E14"/>
    <w:rsid w:val="00D61E6E"/>
    <w:rsid w:val="00D62575"/>
    <w:rsid w:val="00D627E3"/>
    <w:rsid w:val="00D62956"/>
    <w:rsid w:val="00D629F8"/>
    <w:rsid w:val="00D62F04"/>
    <w:rsid w:val="00D6333C"/>
    <w:rsid w:val="00D633BB"/>
    <w:rsid w:val="00D6340C"/>
    <w:rsid w:val="00D63490"/>
    <w:rsid w:val="00D634C4"/>
    <w:rsid w:val="00D634CC"/>
    <w:rsid w:val="00D634DF"/>
    <w:rsid w:val="00D63560"/>
    <w:rsid w:val="00D63F18"/>
    <w:rsid w:val="00D63F8C"/>
    <w:rsid w:val="00D63FFE"/>
    <w:rsid w:val="00D643A7"/>
    <w:rsid w:val="00D646A0"/>
    <w:rsid w:val="00D646FC"/>
    <w:rsid w:val="00D6488F"/>
    <w:rsid w:val="00D648BE"/>
    <w:rsid w:val="00D64C0F"/>
    <w:rsid w:val="00D64C1B"/>
    <w:rsid w:val="00D64E98"/>
    <w:rsid w:val="00D65363"/>
    <w:rsid w:val="00D654EB"/>
    <w:rsid w:val="00D65758"/>
    <w:rsid w:val="00D6587D"/>
    <w:rsid w:val="00D658A3"/>
    <w:rsid w:val="00D65AB0"/>
    <w:rsid w:val="00D65BDB"/>
    <w:rsid w:val="00D65E63"/>
    <w:rsid w:val="00D66075"/>
    <w:rsid w:val="00D66144"/>
    <w:rsid w:val="00D66203"/>
    <w:rsid w:val="00D66295"/>
    <w:rsid w:val="00D66ADF"/>
    <w:rsid w:val="00D66CE6"/>
    <w:rsid w:val="00D66D06"/>
    <w:rsid w:val="00D66F29"/>
    <w:rsid w:val="00D67A4E"/>
    <w:rsid w:val="00D67BBF"/>
    <w:rsid w:val="00D67BF5"/>
    <w:rsid w:val="00D67C8C"/>
    <w:rsid w:val="00D67ED8"/>
    <w:rsid w:val="00D70088"/>
    <w:rsid w:val="00D7074C"/>
    <w:rsid w:val="00D70BD5"/>
    <w:rsid w:val="00D71018"/>
    <w:rsid w:val="00D714E0"/>
    <w:rsid w:val="00D7183E"/>
    <w:rsid w:val="00D718FB"/>
    <w:rsid w:val="00D71A68"/>
    <w:rsid w:val="00D71A90"/>
    <w:rsid w:val="00D71AFC"/>
    <w:rsid w:val="00D71BF8"/>
    <w:rsid w:val="00D71C2E"/>
    <w:rsid w:val="00D72335"/>
    <w:rsid w:val="00D72497"/>
    <w:rsid w:val="00D7256C"/>
    <w:rsid w:val="00D7288B"/>
    <w:rsid w:val="00D72D27"/>
    <w:rsid w:val="00D72E34"/>
    <w:rsid w:val="00D72F18"/>
    <w:rsid w:val="00D735EA"/>
    <w:rsid w:val="00D736BE"/>
    <w:rsid w:val="00D73B4B"/>
    <w:rsid w:val="00D73D31"/>
    <w:rsid w:val="00D73E03"/>
    <w:rsid w:val="00D73FF3"/>
    <w:rsid w:val="00D7407C"/>
    <w:rsid w:val="00D74376"/>
    <w:rsid w:val="00D7483F"/>
    <w:rsid w:val="00D74AA7"/>
    <w:rsid w:val="00D74DE6"/>
    <w:rsid w:val="00D7509D"/>
    <w:rsid w:val="00D757F8"/>
    <w:rsid w:val="00D758C1"/>
    <w:rsid w:val="00D7594B"/>
    <w:rsid w:val="00D75D3A"/>
    <w:rsid w:val="00D76371"/>
    <w:rsid w:val="00D7646A"/>
    <w:rsid w:val="00D764E7"/>
    <w:rsid w:val="00D7685F"/>
    <w:rsid w:val="00D768E1"/>
    <w:rsid w:val="00D76C58"/>
    <w:rsid w:val="00D76F63"/>
    <w:rsid w:val="00D7707E"/>
    <w:rsid w:val="00D80001"/>
    <w:rsid w:val="00D8040A"/>
    <w:rsid w:val="00D8058A"/>
    <w:rsid w:val="00D8061C"/>
    <w:rsid w:val="00D80878"/>
    <w:rsid w:val="00D80A14"/>
    <w:rsid w:val="00D80A9A"/>
    <w:rsid w:val="00D80E7D"/>
    <w:rsid w:val="00D81021"/>
    <w:rsid w:val="00D813E4"/>
    <w:rsid w:val="00D81409"/>
    <w:rsid w:val="00D8192D"/>
    <w:rsid w:val="00D81938"/>
    <w:rsid w:val="00D819AA"/>
    <w:rsid w:val="00D81EA4"/>
    <w:rsid w:val="00D81F25"/>
    <w:rsid w:val="00D82380"/>
    <w:rsid w:val="00D8238D"/>
    <w:rsid w:val="00D82901"/>
    <w:rsid w:val="00D829E5"/>
    <w:rsid w:val="00D82E6F"/>
    <w:rsid w:val="00D82FEE"/>
    <w:rsid w:val="00D830F3"/>
    <w:rsid w:val="00D8357E"/>
    <w:rsid w:val="00D83713"/>
    <w:rsid w:val="00D838F5"/>
    <w:rsid w:val="00D838F8"/>
    <w:rsid w:val="00D83B34"/>
    <w:rsid w:val="00D83B3D"/>
    <w:rsid w:val="00D83B4F"/>
    <w:rsid w:val="00D83C6A"/>
    <w:rsid w:val="00D83E70"/>
    <w:rsid w:val="00D84252"/>
    <w:rsid w:val="00D843D6"/>
    <w:rsid w:val="00D84614"/>
    <w:rsid w:val="00D8470F"/>
    <w:rsid w:val="00D84858"/>
    <w:rsid w:val="00D85030"/>
    <w:rsid w:val="00D8534E"/>
    <w:rsid w:val="00D8552E"/>
    <w:rsid w:val="00D8553A"/>
    <w:rsid w:val="00D857BB"/>
    <w:rsid w:val="00D85947"/>
    <w:rsid w:val="00D860DC"/>
    <w:rsid w:val="00D86480"/>
    <w:rsid w:val="00D8658A"/>
    <w:rsid w:val="00D867A4"/>
    <w:rsid w:val="00D86A05"/>
    <w:rsid w:val="00D86D38"/>
    <w:rsid w:val="00D86E11"/>
    <w:rsid w:val="00D871E4"/>
    <w:rsid w:val="00D87267"/>
    <w:rsid w:val="00D87759"/>
    <w:rsid w:val="00D879F1"/>
    <w:rsid w:val="00D87C69"/>
    <w:rsid w:val="00D87D4F"/>
    <w:rsid w:val="00D87F11"/>
    <w:rsid w:val="00D87FDA"/>
    <w:rsid w:val="00D908BB"/>
    <w:rsid w:val="00D90E4D"/>
    <w:rsid w:val="00D9141E"/>
    <w:rsid w:val="00D91624"/>
    <w:rsid w:val="00D918F2"/>
    <w:rsid w:val="00D91F97"/>
    <w:rsid w:val="00D92031"/>
    <w:rsid w:val="00D92248"/>
    <w:rsid w:val="00D92499"/>
    <w:rsid w:val="00D925E9"/>
    <w:rsid w:val="00D929B5"/>
    <w:rsid w:val="00D92AE4"/>
    <w:rsid w:val="00D92C26"/>
    <w:rsid w:val="00D92F68"/>
    <w:rsid w:val="00D93227"/>
    <w:rsid w:val="00D933CE"/>
    <w:rsid w:val="00D9359E"/>
    <w:rsid w:val="00D935B7"/>
    <w:rsid w:val="00D9366C"/>
    <w:rsid w:val="00D93677"/>
    <w:rsid w:val="00D93885"/>
    <w:rsid w:val="00D93A95"/>
    <w:rsid w:val="00D93B76"/>
    <w:rsid w:val="00D93C97"/>
    <w:rsid w:val="00D94022"/>
    <w:rsid w:val="00D94075"/>
    <w:rsid w:val="00D94213"/>
    <w:rsid w:val="00D949A3"/>
    <w:rsid w:val="00D94A92"/>
    <w:rsid w:val="00D94AC0"/>
    <w:rsid w:val="00D94B46"/>
    <w:rsid w:val="00D94F4C"/>
    <w:rsid w:val="00D94FB2"/>
    <w:rsid w:val="00D950E8"/>
    <w:rsid w:val="00D956F6"/>
    <w:rsid w:val="00D95704"/>
    <w:rsid w:val="00D9580F"/>
    <w:rsid w:val="00D958AF"/>
    <w:rsid w:val="00D95ACB"/>
    <w:rsid w:val="00D95B59"/>
    <w:rsid w:val="00D95B7D"/>
    <w:rsid w:val="00D95C17"/>
    <w:rsid w:val="00D95DC8"/>
    <w:rsid w:val="00D96013"/>
    <w:rsid w:val="00D96214"/>
    <w:rsid w:val="00D9630C"/>
    <w:rsid w:val="00D96964"/>
    <w:rsid w:val="00D96B11"/>
    <w:rsid w:val="00D96D97"/>
    <w:rsid w:val="00D96DE5"/>
    <w:rsid w:val="00D9728C"/>
    <w:rsid w:val="00D975B3"/>
    <w:rsid w:val="00D97739"/>
    <w:rsid w:val="00D97809"/>
    <w:rsid w:val="00D979FB"/>
    <w:rsid w:val="00D97C02"/>
    <w:rsid w:val="00DA00D9"/>
    <w:rsid w:val="00DA01FA"/>
    <w:rsid w:val="00DA038F"/>
    <w:rsid w:val="00DA06D2"/>
    <w:rsid w:val="00DA0CCF"/>
    <w:rsid w:val="00DA1063"/>
    <w:rsid w:val="00DA1443"/>
    <w:rsid w:val="00DA1618"/>
    <w:rsid w:val="00DA168E"/>
    <w:rsid w:val="00DA18C9"/>
    <w:rsid w:val="00DA1E57"/>
    <w:rsid w:val="00DA2535"/>
    <w:rsid w:val="00DA289B"/>
    <w:rsid w:val="00DA2A84"/>
    <w:rsid w:val="00DA32D3"/>
    <w:rsid w:val="00DA331F"/>
    <w:rsid w:val="00DA3998"/>
    <w:rsid w:val="00DA3A45"/>
    <w:rsid w:val="00DA4936"/>
    <w:rsid w:val="00DA4B6D"/>
    <w:rsid w:val="00DA4C10"/>
    <w:rsid w:val="00DA4CA7"/>
    <w:rsid w:val="00DA5306"/>
    <w:rsid w:val="00DA5384"/>
    <w:rsid w:val="00DA5A13"/>
    <w:rsid w:val="00DA5A8F"/>
    <w:rsid w:val="00DA5D30"/>
    <w:rsid w:val="00DA5EEF"/>
    <w:rsid w:val="00DA5F06"/>
    <w:rsid w:val="00DA6119"/>
    <w:rsid w:val="00DA6384"/>
    <w:rsid w:val="00DA68E0"/>
    <w:rsid w:val="00DA68E9"/>
    <w:rsid w:val="00DA6FD0"/>
    <w:rsid w:val="00DA6FE7"/>
    <w:rsid w:val="00DA6FEB"/>
    <w:rsid w:val="00DA70BC"/>
    <w:rsid w:val="00DA70F0"/>
    <w:rsid w:val="00DA713B"/>
    <w:rsid w:val="00DA7678"/>
    <w:rsid w:val="00DA76B0"/>
    <w:rsid w:val="00DA79A4"/>
    <w:rsid w:val="00DA7F59"/>
    <w:rsid w:val="00DB0266"/>
    <w:rsid w:val="00DB052E"/>
    <w:rsid w:val="00DB082F"/>
    <w:rsid w:val="00DB0C0F"/>
    <w:rsid w:val="00DB0D50"/>
    <w:rsid w:val="00DB0DF7"/>
    <w:rsid w:val="00DB11C9"/>
    <w:rsid w:val="00DB11CC"/>
    <w:rsid w:val="00DB1262"/>
    <w:rsid w:val="00DB1315"/>
    <w:rsid w:val="00DB15B7"/>
    <w:rsid w:val="00DB192C"/>
    <w:rsid w:val="00DB199E"/>
    <w:rsid w:val="00DB1E98"/>
    <w:rsid w:val="00DB1ED3"/>
    <w:rsid w:val="00DB21FD"/>
    <w:rsid w:val="00DB2703"/>
    <w:rsid w:val="00DB2756"/>
    <w:rsid w:val="00DB2972"/>
    <w:rsid w:val="00DB29FE"/>
    <w:rsid w:val="00DB2B43"/>
    <w:rsid w:val="00DB2C51"/>
    <w:rsid w:val="00DB2CC4"/>
    <w:rsid w:val="00DB2EDB"/>
    <w:rsid w:val="00DB2FA5"/>
    <w:rsid w:val="00DB31E2"/>
    <w:rsid w:val="00DB3208"/>
    <w:rsid w:val="00DB3910"/>
    <w:rsid w:val="00DB39A2"/>
    <w:rsid w:val="00DB3D59"/>
    <w:rsid w:val="00DB3FFE"/>
    <w:rsid w:val="00DB4230"/>
    <w:rsid w:val="00DB44E0"/>
    <w:rsid w:val="00DB47D2"/>
    <w:rsid w:val="00DB488C"/>
    <w:rsid w:val="00DB4C96"/>
    <w:rsid w:val="00DB50E8"/>
    <w:rsid w:val="00DB515B"/>
    <w:rsid w:val="00DB5477"/>
    <w:rsid w:val="00DB5799"/>
    <w:rsid w:val="00DB5A8B"/>
    <w:rsid w:val="00DB5B34"/>
    <w:rsid w:val="00DB5BB8"/>
    <w:rsid w:val="00DB5F4B"/>
    <w:rsid w:val="00DB5FD8"/>
    <w:rsid w:val="00DB610C"/>
    <w:rsid w:val="00DB61E7"/>
    <w:rsid w:val="00DB6232"/>
    <w:rsid w:val="00DB65DC"/>
    <w:rsid w:val="00DB6B12"/>
    <w:rsid w:val="00DB6CF2"/>
    <w:rsid w:val="00DB6D37"/>
    <w:rsid w:val="00DB7033"/>
    <w:rsid w:val="00DB71AF"/>
    <w:rsid w:val="00DB71D5"/>
    <w:rsid w:val="00DB7489"/>
    <w:rsid w:val="00DB74E0"/>
    <w:rsid w:val="00DB7596"/>
    <w:rsid w:val="00DB760D"/>
    <w:rsid w:val="00DB78DA"/>
    <w:rsid w:val="00DB7BDE"/>
    <w:rsid w:val="00DB7E6E"/>
    <w:rsid w:val="00DB7E9C"/>
    <w:rsid w:val="00DC024A"/>
    <w:rsid w:val="00DC0560"/>
    <w:rsid w:val="00DC08FE"/>
    <w:rsid w:val="00DC106A"/>
    <w:rsid w:val="00DC12CC"/>
    <w:rsid w:val="00DC1343"/>
    <w:rsid w:val="00DC16B0"/>
    <w:rsid w:val="00DC1919"/>
    <w:rsid w:val="00DC1A46"/>
    <w:rsid w:val="00DC1B52"/>
    <w:rsid w:val="00DC1F56"/>
    <w:rsid w:val="00DC1FF8"/>
    <w:rsid w:val="00DC240F"/>
    <w:rsid w:val="00DC2432"/>
    <w:rsid w:val="00DC2D65"/>
    <w:rsid w:val="00DC2D7B"/>
    <w:rsid w:val="00DC2DC7"/>
    <w:rsid w:val="00DC2F9E"/>
    <w:rsid w:val="00DC3135"/>
    <w:rsid w:val="00DC3340"/>
    <w:rsid w:val="00DC3384"/>
    <w:rsid w:val="00DC33A3"/>
    <w:rsid w:val="00DC38F4"/>
    <w:rsid w:val="00DC3961"/>
    <w:rsid w:val="00DC3E60"/>
    <w:rsid w:val="00DC3F31"/>
    <w:rsid w:val="00DC3F4B"/>
    <w:rsid w:val="00DC40CE"/>
    <w:rsid w:val="00DC440D"/>
    <w:rsid w:val="00DC4977"/>
    <w:rsid w:val="00DC4984"/>
    <w:rsid w:val="00DC4A19"/>
    <w:rsid w:val="00DC4ACE"/>
    <w:rsid w:val="00DC4B50"/>
    <w:rsid w:val="00DC4D65"/>
    <w:rsid w:val="00DC4DEF"/>
    <w:rsid w:val="00DC4E80"/>
    <w:rsid w:val="00DC4E81"/>
    <w:rsid w:val="00DC4EDC"/>
    <w:rsid w:val="00DC4F1B"/>
    <w:rsid w:val="00DC4FDC"/>
    <w:rsid w:val="00DC5075"/>
    <w:rsid w:val="00DC5179"/>
    <w:rsid w:val="00DC5359"/>
    <w:rsid w:val="00DC5464"/>
    <w:rsid w:val="00DC5576"/>
    <w:rsid w:val="00DC579A"/>
    <w:rsid w:val="00DC57D9"/>
    <w:rsid w:val="00DC5CD2"/>
    <w:rsid w:val="00DC5E19"/>
    <w:rsid w:val="00DC60F8"/>
    <w:rsid w:val="00DC6284"/>
    <w:rsid w:val="00DC677A"/>
    <w:rsid w:val="00DC67B6"/>
    <w:rsid w:val="00DC6AAA"/>
    <w:rsid w:val="00DC6B88"/>
    <w:rsid w:val="00DC6F30"/>
    <w:rsid w:val="00DC6F91"/>
    <w:rsid w:val="00DC710D"/>
    <w:rsid w:val="00DC7423"/>
    <w:rsid w:val="00DC76DF"/>
    <w:rsid w:val="00DC77FB"/>
    <w:rsid w:val="00DC78E9"/>
    <w:rsid w:val="00DC7AAB"/>
    <w:rsid w:val="00DC7D84"/>
    <w:rsid w:val="00DD0282"/>
    <w:rsid w:val="00DD0285"/>
    <w:rsid w:val="00DD0442"/>
    <w:rsid w:val="00DD06E9"/>
    <w:rsid w:val="00DD0756"/>
    <w:rsid w:val="00DD08C5"/>
    <w:rsid w:val="00DD0944"/>
    <w:rsid w:val="00DD0955"/>
    <w:rsid w:val="00DD0CF4"/>
    <w:rsid w:val="00DD0E33"/>
    <w:rsid w:val="00DD11D0"/>
    <w:rsid w:val="00DD13AF"/>
    <w:rsid w:val="00DD14C5"/>
    <w:rsid w:val="00DD167F"/>
    <w:rsid w:val="00DD1714"/>
    <w:rsid w:val="00DD1758"/>
    <w:rsid w:val="00DD17BF"/>
    <w:rsid w:val="00DD1AD1"/>
    <w:rsid w:val="00DD1D2D"/>
    <w:rsid w:val="00DD1D56"/>
    <w:rsid w:val="00DD1E85"/>
    <w:rsid w:val="00DD1FEC"/>
    <w:rsid w:val="00DD210F"/>
    <w:rsid w:val="00DD22E6"/>
    <w:rsid w:val="00DD2387"/>
    <w:rsid w:val="00DD27D0"/>
    <w:rsid w:val="00DD2A0C"/>
    <w:rsid w:val="00DD2A0D"/>
    <w:rsid w:val="00DD2AE3"/>
    <w:rsid w:val="00DD2CC6"/>
    <w:rsid w:val="00DD31BA"/>
    <w:rsid w:val="00DD3566"/>
    <w:rsid w:val="00DD3662"/>
    <w:rsid w:val="00DD374B"/>
    <w:rsid w:val="00DD3AED"/>
    <w:rsid w:val="00DD3BF0"/>
    <w:rsid w:val="00DD3C35"/>
    <w:rsid w:val="00DD3CC1"/>
    <w:rsid w:val="00DD4250"/>
    <w:rsid w:val="00DD42AB"/>
    <w:rsid w:val="00DD4457"/>
    <w:rsid w:val="00DD449C"/>
    <w:rsid w:val="00DD451D"/>
    <w:rsid w:val="00DD4660"/>
    <w:rsid w:val="00DD46EF"/>
    <w:rsid w:val="00DD4720"/>
    <w:rsid w:val="00DD488C"/>
    <w:rsid w:val="00DD4AAE"/>
    <w:rsid w:val="00DD4C27"/>
    <w:rsid w:val="00DD4D3C"/>
    <w:rsid w:val="00DD4F19"/>
    <w:rsid w:val="00DD4F5A"/>
    <w:rsid w:val="00DD4FEC"/>
    <w:rsid w:val="00DD501D"/>
    <w:rsid w:val="00DD5118"/>
    <w:rsid w:val="00DD5729"/>
    <w:rsid w:val="00DD5882"/>
    <w:rsid w:val="00DD5AC9"/>
    <w:rsid w:val="00DD5CD6"/>
    <w:rsid w:val="00DD610B"/>
    <w:rsid w:val="00DD6116"/>
    <w:rsid w:val="00DD65A1"/>
    <w:rsid w:val="00DD65FB"/>
    <w:rsid w:val="00DD6770"/>
    <w:rsid w:val="00DD684B"/>
    <w:rsid w:val="00DD69FE"/>
    <w:rsid w:val="00DD6B83"/>
    <w:rsid w:val="00DD6C67"/>
    <w:rsid w:val="00DD6C7A"/>
    <w:rsid w:val="00DD6ECA"/>
    <w:rsid w:val="00DD74A8"/>
    <w:rsid w:val="00DD79DD"/>
    <w:rsid w:val="00DD7C39"/>
    <w:rsid w:val="00DD7C6A"/>
    <w:rsid w:val="00DE015B"/>
    <w:rsid w:val="00DE0260"/>
    <w:rsid w:val="00DE026A"/>
    <w:rsid w:val="00DE060C"/>
    <w:rsid w:val="00DE0910"/>
    <w:rsid w:val="00DE0B26"/>
    <w:rsid w:val="00DE0C98"/>
    <w:rsid w:val="00DE0F88"/>
    <w:rsid w:val="00DE11CB"/>
    <w:rsid w:val="00DE15C9"/>
    <w:rsid w:val="00DE208D"/>
    <w:rsid w:val="00DE219B"/>
    <w:rsid w:val="00DE2456"/>
    <w:rsid w:val="00DE2980"/>
    <w:rsid w:val="00DE2986"/>
    <w:rsid w:val="00DE2C82"/>
    <w:rsid w:val="00DE2CB2"/>
    <w:rsid w:val="00DE337D"/>
    <w:rsid w:val="00DE3425"/>
    <w:rsid w:val="00DE3C8D"/>
    <w:rsid w:val="00DE3DCC"/>
    <w:rsid w:val="00DE4477"/>
    <w:rsid w:val="00DE4CE5"/>
    <w:rsid w:val="00DE5141"/>
    <w:rsid w:val="00DE545C"/>
    <w:rsid w:val="00DE5543"/>
    <w:rsid w:val="00DE55BF"/>
    <w:rsid w:val="00DE5779"/>
    <w:rsid w:val="00DE57AB"/>
    <w:rsid w:val="00DE58F8"/>
    <w:rsid w:val="00DE5B80"/>
    <w:rsid w:val="00DE6621"/>
    <w:rsid w:val="00DE6791"/>
    <w:rsid w:val="00DE6F02"/>
    <w:rsid w:val="00DE6F31"/>
    <w:rsid w:val="00DE7137"/>
    <w:rsid w:val="00DE7279"/>
    <w:rsid w:val="00DE7558"/>
    <w:rsid w:val="00DE75EF"/>
    <w:rsid w:val="00DE7E32"/>
    <w:rsid w:val="00DF0393"/>
    <w:rsid w:val="00DF05FE"/>
    <w:rsid w:val="00DF070E"/>
    <w:rsid w:val="00DF07DE"/>
    <w:rsid w:val="00DF0B5D"/>
    <w:rsid w:val="00DF109B"/>
    <w:rsid w:val="00DF1358"/>
    <w:rsid w:val="00DF1816"/>
    <w:rsid w:val="00DF19A6"/>
    <w:rsid w:val="00DF1E8F"/>
    <w:rsid w:val="00DF1EF5"/>
    <w:rsid w:val="00DF20B3"/>
    <w:rsid w:val="00DF2108"/>
    <w:rsid w:val="00DF21ED"/>
    <w:rsid w:val="00DF2495"/>
    <w:rsid w:val="00DF26F2"/>
    <w:rsid w:val="00DF27E4"/>
    <w:rsid w:val="00DF2ACC"/>
    <w:rsid w:val="00DF2C53"/>
    <w:rsid w:val="00DF2E2E"/>
    <w:rsid w:val="00DF3005"/>
    <w:rsid w:val="00DF3168"/>
    <w:rsid w:val="00DF3678"/>
    <w:rsid w:val="00DF37C5"/>
    <w:rsid w:val="00DF3986"/>
    <w:rsid w:val="00DF39FA"/>
    <w:rsid w:val="00DF3D63"/>
    <w:rsid w:val="00DF3E6A"/>
    <w:rsid w:val="00DF410D"/>
    <w:rsid w:val="00DF4128"/>
    <w:rsid w:val="00DF41A3"/>
    <w:rsid w:val="00DF41AC"/>
    <w:rsid w:val="00DF42D4"/>
    <w:rsid w:val="00DF4440"/>
    <w:rsid w:val="00DF44C9"/>
    <w:rsid w:val="00DF4D1D"/>
    <w:rsid w:val="00DF5134"/>
    <w:rsid w:val="00DF52A4"/>
    <w:rsid w:val="00DF5C73"/>
    <w:rsid w:val="00DF5F1D"/>
    <w:rsid w:val="00DF6249"/>
    <w:rsid w:val="00DF6687"/>
    <w:rsid w:val="00DF68CB"/>
    <w:rsid w:val="00DF6BC2"/>
    <w:rsid w:val="00DF6D3E"/>
    <w:rsid w:val="00DF6D91"/>
    <w:rsid w:val="00DF6E0C"/>
    <w:rsid w:val="00DF6E64"/>
    <w:rsid w:val="00DF6ED0"/>
    <w:rsid w:val="00DF705A"/>
    <w:rsid w:val="00DF7108"/>
    <w:rsid w:val="00DF713F"/>
    <w:rsid w:val="00DF7299"/>
    <w:rsid w:val="00DF72E5"/>
    <w:rsid w:val="00DF78DB"/>
    <w:rsid w:val="00DF7FC8"/>
    <w:rsid w:val="00E00068"/>
    <w:rsid w:val="00E0008A"/>
    <w:rsid w:val="00E00230"/>
    <w:rsid w:val="00E004A8"/>
    <w:rsid w:val="00E0079E"/>
    <w:rsid w:val="00E0084E"/>
    <w:rsid w:val="00E00C73"/>
    <w:rsid w:val="00E00E95"/>
    <w:rsid w:val="00E00FCA"/>
    <w:rsid w:val="00E00FEE"/>
    <w:rsid w:val="00E011DD"/>
    <w:rsid w:val="00E012B0"/>
    <w:rsid w:val="00E015B7"/>
    <w:rsid w:val="00E01649"/>
    <w:rsid w:val="00E017B8"/>
    <w:rsid w:val="00E017BC"/>
    <w:rsid w:val="00E019BF"/>
    <w:rsid w:val="00E019FA"/>
    <w:rsid w:val="00E01ADD"/>
    <w:rsid w:val="00E01BF1"/>
    <w:rsid w:val="00E01BFE"/>
    <w:rsid w:val="00E01C89"/>
    <w:rsid w:val="00E01DEE"/>
    <w:rsid w:val="00E02122"/>
    <w:rsid w:val="00E02509"/>
    <w:rsid w:val="00E02511"/>
    <w:rsid w:val="00E02C15"/>
    <w:rsid w:val="00E02F4F"/>
    <w:rsid w:val="00E03159"/>
    <w:rsid w:val="00E03464"/>
    <w:rsid w:val="00E037E7"/>
    <w:rsid w:val="00E03B1A"/>
    <w:rsid w:val="00E03EB2"/>
    <w:rsid w:val="00E0427C"/>
    <w:rsid w:val="00E043C0"/>
    <w:rsid w:val="00E04456"/>
    <w:rsid w:val="00E045F5"/>
    <w:rsid w:val="00E04633"/>
    <w:rsid w:val="00E046E9"/>
    <w:rsid w:val="00E048CB"/>
    <w:rsid w:val="00E04CF4"/>
    <w:rsid w:val="00E04D86"/>
    <w:rsid w:val="00E05087"/>
    <w:rsid w:val="00E0511C"/>
    <w:rsid w:val="00E05181"/>
    <w:rsid w:val="00E0523A"/>
    <w:rsid w:val="00E0563A"/>
    <w:rsid w:val="00E05795"/>
    <w:rsid w:val="00E059D0"/>
    <w:rsid w:val="00E05A09"/>
    <w:rsid w:val="00E05B87"/>
    <w:rsid w:val="00E05CCB"/>
    <w:rsid w:val="00E05D96"/>
    <w:rsid w:val="00E0603C"/>
    <w:rsid w:val="00E060D6"/>
    <w:rsid w:val="00E06106"/>
    <w:rsid w:val="00E06757"/>
    <w:rsid w:val="00E067E6"/>
    <w:rsid w:val="00E07014"/>
    <w:rsid w:val="00E0723C"/>
    <w:rsid w:val="00E07462"/>
    <w:rsid w:val="00E0753A"/>
    <w:rsid w:val="00E07A72"/>
    <w:rsid w:val="00E07C7A"/>
    <w:rsid w:val="00E07F12"/>
    <w:rsid w:val="00E10519"/>
    <w:rsid w:val="00E105A9"/>
    <w:rsid w:val="00E10720"/>
    <w:rsid w:val="00E108AD"/>
    <w:rsid w:val="00E10A43"/>
    <w:rsid w:val="00E10A68"/>
    <w:rsid w:val="00E10B9D"/>
    <w:rsid w:val="00E10D2A"/>
    <w:rsid w:val="00E11047"/>
    <w:rsid w:val="00E1107A"/>
    <w:rsid w:val="00E11245"/>
    <w:rsid w:val="00E112DE"/>
    <w:rsid w:val="00E112FB"/>
    <w:rsid w:val="00E117C5"/>
    <w:rsid w:val="00E11A24"/>
    <w:rsid w:val="00E11D9C"/>
    <w:rsid w:val="00E11EEF"/>
    <w:rsid w:val="00E11F32"/>
    <w:rsid w:val="00E11FC1"/>
    <w:rsid w:val="00E120F7"/>
    <w:rsid w:val="00E1213E"/>
    <w:rsid w:val="00E12175"/>
    <w:rsid w:val="00E123DF"/>
    <w:rsid w:val="00E12A9F"/>
    <w:rsid w:val="00E12C6D"/>
    <w:rsid w:val="00E12D0C"/>
    <w:rsid w:val="00E12D4E"/>
    <w:rsid w:val="00E12D6A"/>
    <w:rsid w:val="00E1376E"/>
    <w:rsid w:val="00E13A61"/>
    <w:rsid w:val="00E13B64"/>
    <w:rsid w:val="00E13E37"/>
    <w:rsid w:val="00E13EC1"/>
    <w:rsid w:val="00E1420C"/>
    <w:rsid w:val="00E142EE"/>
    <w:rsid w:val="00E148C2"/>
    <w:rsid w:val="00E149FC"/>
    <w:rsid w:val="00E14A86"/>
    <w:rsid w:val="00E14B5A"/>
    <w:rsid w:val="00E14ECE"/>
    <w:rsid w:val="00E14EF1"/>
    <w:rsid w:val="00E1506B"/>
    <w:rsid w:val="00E1512D"/>
    <w:rsid w:val="00E1546F"/>
    <w:rsid w:val="00E1565E"/>
    <w:rsid w:val="00E15A2A"/>
    <w:rsid w:val="00E15B75"/>
    <w:rsid w:val="00E15BD3"/>
    <w:rsid w:val="00E15E9A"/>
    <w:rsid w:val="00E160BD"/>
    <w:rsid w:val="00E162A5"/>
    <w:rsid w:val="00E163E6"/>
    <w:rsid w:val="00E1651F"/>
    <w:rsid w:val="00E16655"/>
    <w:rsid w:val="00E16C8D"/>
    <w:rsid w:val="00E16DAA"/>
    <w:rsid w:val="00E16E96"/>
    <w:rsid w:val="00E16F1D"/>
    <w:rsid w:val="00E16F22"/>
    <w:rsid w:val="00E16F4C"/>
    <w:rsid w:val="00E16F5C"/>
    <w:rsid w:val="00E17508"/>
    <w:rsid w:val="00E178A9"/>
    <w:rsid w:val="00E17A8F"/>
    <w:rsid w:val="00E17C8C"/>
    <w:rsid w:val="00E17F11"/>
    <w:rsid w:val="00E202D3"/>
    <w:rsid w:val="00E2065D"/>
    <w:rsid w:val="00E20ADF"/>
    <w:rsid w:val="00E20D1E"/>
    <w:rsid w:val="00E20E85"/>
    <w:rsid w:val="00E21421"/>
    <w:rsid w:val="00E2142A"/>
    <w:rsid w:val="00E217F5"/>
    <w:rsid w:val="00E21E3F"/>
    <w:rsid w:val="00E21E98"/>
    <w:rsid w:val="00E22832"/>
    <w:rsid w:val="00E22A99"/>
    <w:rsid w:val="00E22C01"/>
    <w:rsid w:val="00E22D13"/>
    <w:rsid w:val="00E22D93"/>
    <w:rsid w:val="00E22DB0"/>
    <w:rsid w:val="00E22EAB"/>
    <w:rsid w:val="00E23062"/>
    <w:rsid w:val="00E23509"/>
    <w:rsid w:val="00E2360F"/>
    <w:rsid w:val="00E2387D"/>
    <w:rsid w:val="00E23976"/>
    <w:rsid w:val="00E23AA3"/>
    <w:rsid w:val="00E23CC3"/>
    <w:rsid w:val="00E2409D"/>
    <w:rsid w:val="00E24603"/>
    <w:rsid w:val="00E24A7F"/>
    <w:rsid w:val="00E24D18"/>
    <w:rsid w:val="00E24D1E"/>
    <w:rsid w:val="00E24D82"/>
    <w:rsid w:val="00E24E8F"/>
    <w:rsid w:val="00E24F1B"/>
    <w:rsid w:val="00E25732"/>
    <w:rsid w:val="00E257C0"/>
    <w:rsid w:val="00E25882"/>
    <w:rsid w:val="00E25C5A"/>
    <w:rsid w:val="00E25E23"/>
    <w:rsid w:val="00E26158"/>
    <w:rsid w:val="00E261B0"/>
    <w:rsid w:val="00E264D0"/>
    <w:rsid w:val="00E265D3"/>
    <w:rsid w:val="00E26A4C"/>
    <w:rsid w:val="00E27255"/>
    <w:rsid w:val="00E275B5"/>
    <w:rsid w:val="00E2770D"/>
    <w:rsid w:val="00E278C7"/>
    <w:rsid w:val="00E27A32"/>
    <w:rsid w:val="00E27ABA"/>
    <w:rsid w:val="00E27AEC"/>
    <w:rsid w:val="00E30011"/>
    <w:rsid w:val="00E30899"/>
    <w:rsid w:val="00E30AE8"/>
    <w:rsid w:val="00E30DD9"/>
    <w:rsid w:val="00E30E0B"/>
    <w:rsid w:val="00E30F92"/>
    <w:rsid w:val="00E31040"/>
    <w:rsid w:val="00E31324"/>
    <w:rsid w:val="00E31680"/>
    <w:rsid w:val="00E319C7"/>
    <w:rsid w:val="00E31A75"/>
    <w:rsid w:val="00E3249E"/>
    <w:rsid w:val="00E32546"/>
    <w:rsid w:val="00E32684"/>
    <w:rsid w:val="00E32AF7"/>
    <w:rsid w:val="00E32E84"/>
    <w:rsid w:val="00E3303A"/>
    <w:rsid w:val="00E33171"/>
    <w:rsid w:val="00E33343"/>
    <w:rsid w:val="00E33DF7"/>
    <w:rsid w:val="00E33EBE"/>
    <w:rsid w:val="00E33EF6"/>
    <w:rsid w:val="00E34278"/>
    <w:rsid w:val="00E34328"/>
    <w:rsid w:val="00E34380"/>
    <w:rsid w:val="00E34598"/>
    <w:rsid w:val="00E349DF"/>
    <w:rsid w:val="00E34DD3"/>
    <w:rsid w:val="00E34F4C"/>
    <w:rsid w:val="00E35015"/>
    <w:rsid w:val="00E351D9"/>
    <w:rsid w:val="00E35485"/>
    <w:rsid w:val="00E356A3"/>
    <w:rsid w:val="00E35B97"/>
    <w:rsid w:val="00E35CE4"/>
    <w:rsid w:val="00E3640B"/>
    <w:rsid w:val="00E3645B"/>
    <w:rsid w:val="00E365CB"/>
    <w:rsid w:val="00E36610"/>
    <w:rsid w:val="00E36668"/>
    <w:rsid w:val="00E366FF"/>
    <w:rsid w:val="00E3698A"/>
    <w:rsid w:val="00E369F8"/>
    <w:rsid w:val="00E36BD2"/>
    <w:rsid w:val="00E36BF6"/>
    <w:rsid w:val="00E37032"/>
    <w:rsid w:val="00E37456"/>
    <w:rsid w:val="00E37567"/>
    <w:rsid w:val="00E378E3"/>
    <w:rsid w:val="00E378FB"/>
    <w:rsid w:val="00E37938"/>
    <w:rsid w:val="00E37A14"/>
    <w:rsid w:val="00E37A3B"/>
    <w:rsid w:val="00E37CCF"/>
    <w:rsid w:val="00E37F2A"/>
    <w:rsid w:val="00E40119"/>
    <w:rsid w:val="00E40365"/>
    <w:rsid w:val="00E40AAF"/>
    <w:rsid w:val="00E40AF5"/>
    <w:rsid w:val="00E40B44"/>
    <w:rsid w:val="00E40B80"/>
    <w:rsid w:val="00E40C1A"/>
    <w:rsid w:val="00E41647"/>
    <w:rsid w:val="00E41906"/>
    <w:rsid w:val="00E41C7C"/>
    <w:rsid w:val="00E41E93"/>
    <w:rsid w:val="00E4232A"/>
    <w:rsid w:val="00E4255C"/>
    <w:rsid w:val="00E42BFF"/>
    <w:rsid w:val="00E42C39"/>
    <w:rsid w:val="00E42DD9"/>
    <w:rsid w:val="00E42EB1"/>
    <w:rsid w:val="00E431A3"/>
    <w:rsid w:val="00E43297"/>
    <w:rsid w:val="00E435C1"/>
    <w:rsid w:val="00E436EC"/>
    <w:rsid w:val="00E44402"/>
    <w:rsid w:val="00E44474"/>
    <w:rsid w:val="00E44994"/>
    <w:rsid w:val="00E44CCF"/>
    <w:rsid w:val="00E44FB8"/>
    <w:rsid w:val="00E45442"/>
    <w:rsid w:val="00E4587D"/>
    <w:rsid w:val="00E459CF"/>
    <w:rsid w:val="00E45C76"/>
    <w:rsid w:val="00E45E00"/>
    <w:rsid w:val="00E461B0"/>
    <w:rsid w:val="00E463CB"/>
    <w:rsid w:val="00E46510"/>
    <w:rsid w:val="00E467E0"/>
    <w:rsid w:val="00E4698C"/>
    <w:rsid w:val="00E46D56"/>
    <w:rsid w:val="00E4748E"/>
    <w:rsid w:val="00E474E2"/>
    <w:rsid w:val="00E4769E"/>
    <w:rsid w:val="00E47E38"/>
    <w:rsid w:val="00E47ECC"/>
    <w:rsid w:val="00E50473"/>
    <w:rsid w:val="00E50655"/>
    <w:rsid w:val="00E50670"/>
    <w:rsid w:val="00E5074E"/>
    <w:rsid w:val="00E5096C"/>
    <w:rsid w:val="00E5098E"/>
    <w:rsid w:val="00E50B55"/>
    <w:rsid w:val="00E50C31"/>
    <w:rsid w:val="00E50E57"/>
    <w:rsid w:val="00E51172"/>
    <w:rsid w:val="00E51681"/>
    <w:rsid w:val="00E5198F"/>
    <w:rsid w:val="00E51B0F"/>
    <w:rsid w:val="00E51C1D"/>
    <w:rsid w:val="00E51CDE"/>
    <w:rsid w:val="00E51EF5"/>
    <w:rsid w:val="00E520F3"/>
    <w:rsid w:val="00E522F7"/>
    <w:rsid w:val="00E5254B"/>
    <w:rsid w:val="00E52563"/>
    <w:rsid w:val="00E5285C"/>
    <w:rsid w:val="00E52975"/>
    <w:rsid w:val="00E529E4"/>
    <w:rsid w:val="00E52CBF"/>
    <w:rsid w:val="00E52CFD"/>
    <w:rsid w:val="00E52DC0"/>
    <w:rsid w:val="00E52E01"/>
    <w:rsid w:val="00E52F6A"/>
    <w:rsid w:val="00E538C0"/>
    <w:rsid w:val="00E5391B"/>
    <w:rsid w:val="00E53C69"/>
    <w:rsid w:val="00E53C8D"/>
    <w:rsid w:val="00E5416A"/>
    <w:rsid w:val="00E541E3"/>
    <w:rsid w:val="00E54276"/>
    <w:rsid w:val="00E54887"/>
    <w:rsid w:val="00E54C08"/>
    <w:rsid w:val="00E54D9F"/>
    <w:rsid w:val="00E54E01"/>
    <w:rsid w:val="00E54FEE"/>
    <w:rsid w:val="00E55060"/>
    <w:rsid w:val="00E550B5"/>
    <w:rsid w:val="00E55311"/>
    <w:rsid w:val="00E558EC"/>
    <w:rsid w:val="00E55CA4"/>
    <w:rsid w:val="00E55D3B"/>
    <w:rsid w:val="00E56143"/>
    <w:rsid w:val="00E56268"/>
    <w:rsid w:val="00E56271"/>
    <w:rsid w:val="00E56BB0"/>
    <w:rsid w:val="00E56BBF"/>
    <w:rsid w:val="00E56C92"/>
    <w:rsid w:val="00E56F7F"/>
    <w:rsid w:val="00E5705C"/>
    <w:rsid w:val="00E570D0"/>
    <w:rsid w:val="00E570D2"/>
    <w:rsid w:val="00E57418"/>
    <w:rsid w:val="00E575B5"/>
    <w:rsid w:val="00E57A59"/>
    <w:rsid w:val="00E57AF4"/>
    <w:rsid w:val="00E57B10"/>
    <w:rsid w:val="00E57CFF"/>
    <w:rsid w:val="00E57EC3"/>
    <w:rsid w:val="00E602CA"/>
    <w:rsid w:val="00E602ED"/>
    <w:rsid w:val="00E60698"/>
    <w:rsid w:val="00E606D6"/>
    <w:rsid w:val="00E60866"/>
    <w:rsid w:val="00E60ADA"/>
    <w:rsid w:val="00E60CC0"/>
    <w:rsid w:val="00E6103E"/>
    <w:rsid w:val="00E611F9"/>
    <w:rsid w:val="00E6125D"/>
    <w:rsid w:val="00E61335"/>
    <w:rsid w:val="00E61483"/>
    <w:rsid w:val="00E6149D"/>
    <w:rsid w:val="00E61694"/>
    <w:rsid w:val="00E61728"/>
    <w:rsid w:val="00E61751"/>
    <w:rsid w:val="00E61AA9"/>
    <w:rsid w:val="00E61F18"/>
    <w:rsid w:val="00E624C3"/>
    <w:rsid w:val="00E62528"/>
    <w:rsid w:val="00E6254B"/>
    <w:rsid w:val="00E6261F"/>
    <w:rsid w:val="00E6266D"/>
    <w:rsid w:val="00E62681"/>
    <w:rsid w:val="00E62982"/>
    <w:rsid w:val="00E629ED"/>
    <w:rsid w:val="00E62A1A"/>
    <w:rsid w:val="00E62B59"/>
    <w:rsid w:val="00E62BC7"/>
    <w:rsid w:val="00E62F14"/>
    <w:rsid w:val="00E62F1F"/>
    <w:rsid w:val="00E62F3C"/>
    <w:rsid w:val="00E631FF"/>
    <w:rsid w:val="00E6348F"/>
    <w:rsid w:val="00E635AA"/>
    <w:rsid w:val="00E636D3"/>
    <w:rsid w:val="00E63904"/>
    <w:rsid w:val="00E63C79"/>
    <w:rsid w:val="00E63F7A"/>
    <w:rsid w:val="00E640A7"/>
    <w:rsid w:val="00E640E6"/>
    <w:rsid w:val="00E640FF"/>
    <w:rsid w:val="00E6438C"/>
    <w:rsid w:val="00E6452E"/>
    <w:rsid w:val="00E645F7"/>
    <w:rsid w:val="00E646FD"/>
    <w:rsid w:val="00E64762"/>
    <w:rsid w:val="00E6487D"/>
    <w:rsid w:val="00E64FD4"/>
    <w:rsid w:val="00E64FF9"/>
    <w:rsid w:val="00E6508F"/>
    <w:rsid w:val="00E651C5"/>
    <w:rsid w:val="00E6523E"/>
    <w:rsid w:val="00E65290"/>
    <w:rsid w:val="00E6541C"/>
    <w:rsid w:val="00E655DF"/>
    <w:rsid w:val="00E657B5"/>
    <w:rsid w:val="00E65C98"/>
    <w:rsid w:val="00E65EE5"/>
    <w:rsid w:val="00E65F62"/>
    <w:rsid w:val="00E66013"/>
    <w:rsid w:val="00E66579"/>
    <w:rsid w:val="00E667D0"/>
    <w:rsid w:val="00E66851"/>
    <w:rsid w:val="00E668BB"/>
    <w:rsid w:val="00E66B9C"/>
    <w:rsid w:val="00E66D76"/>
    <w:rsid w:val="00E674DD"/>
    <w:rsid w:val="00E67E51"/>
    <w:rsid w:val="00E67F78"/>
    <w:rsid w:val="00E70083"/>
    <w:rsid w:val="00E7008C"/>
    <w:rsid w:val="00E70187"/>
    <w:rsid w:val="00E70382"/>
    <w:rsid w:val="00E703F5"/>
    <w:rsid w:val="00E705E9"/>
    <w:rsid w:val="00E706B0"/>
    <w:rsid w:val="00E707D1"/>
    <w:rsid w:val="00E708A8"/>
    <w:rsid w:val="00E7090A"/>
    <w:rsid w:val="00E70931"/>
    <w:rsid w:val="00E70985"/>
    <w:rsid w:val="00E70B66"/>
    <w:rsid w:val="00E70CAC"/>
    <w:rsid w:val="00E70CFF"/>
    <w:rsid w:val="00E70E77"/>
    <w:rsid w:val="00E70F20"/>
    <w:rsid w:val="00E71195"/>
    <w:rsid w:val="00E713A4"/>
    <w:rsid w:val="00E713C9"/>
    <w:rsid w:val="00E715CB"/>
    <w:rsid w:val="00E718F9"/>
    <w:rsid w:val="00E718FE"/>
    <w:rsid w:val="00E71990"/>
    <w:rsid w:val="00E71A52"/>
    <w:rsid w:val="00E71B37"/>
    <w:rsid w:val="00E71DEF"/>
    <w:rsid w:val="00E71EB6"/>
    <w:rsid w:val="00E720D2"/>
    <w:rsid w:val="00E72346"/>
    <w:rsid w:val="00E72455"/>
    <w:rsid w:val="00E72F17"/>
    <w:rsid w:val="00E731C5"/>
    <w:rsid w:val="00E7334C"/>
    <w:rsid w:val="00E73392"/>
    <w:rsid w:val="00E7340E"/>
    <w:rsid w:val="00E7356F"/>
    <w:rsid w:val="00E738D7"/>
    <w:rsid w:val="00E73F83"/>
    <w:rsid w:val="00E74169"/>
    <w:rsid w:val="00E74496"/>
    <w:rsid w:val="00E746D3"/>
    <w:rsid w:val="00E74989"/>
    <w:rsid w:val="00E74A67"/>
    <w:rsid w:val="00E74CBE"/>
    <w:rsid w:val="00E74D55"/>
    <w:rsid w:val="00E75434"/>
    <w:rsid w:val="00E75436"/>
    <w:rsid w:val="00E75652"/>
    <w:rsid w:val="00E75718"/>
    <w:rsid w:val="00E75749"/>
    <w:rsid w:val="00E7594E"/>
    <w:rsid w:val="00E75BA2"/>
    <w:rsid w:val="00E75ED1"/>
    <w:rsid w:val="00E761F7"/>
    <w:rsid w:val="00E763D6"/>
    <w:rsid w:val="00E764FB"/>
    <w:rsid w:val="00E76940"/>
    <w:rsid w:val="00E76A21"/>
    <w:rsid w:val="00E76B36"/>
    <w:rsid w:val="00E76EAE"/>
    <w:rsid w:val="00E76F07"/>
    <w:rsid w:val="00E77355"/>
    <w:rsid w:val="00E77555"/>
    <w:rsid w:val="00E77683"/>
    <w:rsid w:val="00E77793"/>
    <w:rsid w:val="00E77F12"/>
    <w:rsid w:val="00E8080A"/>
    <w:rsid w:val="00E8092C"/>
    <w:rsid w:val="00E80A51"/>
    <w:rsid w:val="00E80C0A"/>
    <w:rsid w:val="00E80DB8"/>
    <w:rsid w:val="00E8120B"/>
    <w:rsid w:val="00E81465"/>
    <w:rsid w:val="00E81A5F"/>
    <w:rsid w:val="00E81C06"/>
    <w:rsid w:val="00E81E7B"/>
    <w:rsid w:val="00E81F28"/>
    <w:rsid w:val="00E8206B"/>
    <w:rsid w:val="00E821C5"/>
    <w:rsid w:val="00E824C6"/>
    <w:rsid w:val="00E8258B"/>
    <w:rsid w:val="00E8260E"/>
    <w:rsid w:val="00E828BC"/>
    <w:rsid w:val="00E82A84"/>
    <w:rsid w:val="00E82BDC"/>
    <w:rsid w:val="00E8315D"/>
    <w:rsid w:val="00E832CA"/>
    <w:rsid w:val="00E83316"/>
    <w:rsid w:val="00E83A81"/>
    <w:rsid w:val="00E83C43"/>
    <w:rsid w:val="00E83C97"/>
    <w:rsid w:val="00E83F5F"/>
    <w:rsid w:val="00E84530"/>
    <w:rsid w:val="00E84656"/>
    <w:rsid w:val="00E84A69"/>
    <w:rsid w:val="00E84BCC"/>
    <w:rsid w:val="00E84D0D"/>
    <w:rsid w:val="00E8517E"/>
    <w:rsid w:val="00E85221"/>
    <w:rsid w:val="00E8527E"/>
    <w:rsid w:val="00E852AE"/>
    <w:rsid w:val="00E855A5"/>
    <w:rsid w:val="00E857E7"/>
    <w:rsid w:val="00E859FF"/>
    <w:rsid w:val="00E86134"/>
    <w:rsid w:val="00E86648"/>
    <w:rsid w:val="00E86844"/>
    <w:rsid w:val="00E873D9"/>
    <w:rsid w:val="00E874AA"/>
    <w:rsid w:val="00E8751A"/>
    <w:rsid w:val="00E87A73"/>
    <w:rsid w:val="00E87C77"/>
    <w:rsid w:val="00E87ECB"/>
    <w:rsid w:val="00E87F04"/>
    <w:rsid w:val="00E87F7D"/>
    <w:rsid w:val="00E9010F"/>
    <w:rsid w:val="00E901E9"/>
    <w:rsid w:val="00E90521"/>
    <w:rsid w:val="00E90DEC"/>
    <w:rsid w:val="00E9146F"/>
    <w:rsid w:val="00E91527"/>
    <w:rsid w:val="00E91B84"/>
    <w:rsid w:val="00E9298B"/>
    <w:rsid w:val="00E929AD"/>
    <w:rsid w:val="00E92D3C"/>
    <w:rsid w:val="00E930C8"/>
    <w:rsid w:val="00E93109"/>
    <w:rsid w:val="00E93130"/>
    <w:rsid w:val="00E931EF"/>
    <w:rsid w:val="00E9333C"/>
    <w:rsid w:val="00E9333E"/>
    <w:rsid w:val="00E93C0C"/>
    <w:rsid w:val="00E93C98"/>
    <w:rsid w:val="00E94158"/>
    <w:rsid w:val="00E94325"/>
    <w:rsid w:val="00E94767"/>
    <w:rsid w:val="00E948FB"/>
    <w:rsid w:val="00E94906"/>
    <w:rsid w:val="00E94A7E"/>
    <w:rsid w:val="00E94CC4"/>
    <w:rsid w:val="00E94CD9"/>
    <w:rsid w:val="00E94D3F"/>
    <w:rsid w:val="00E94E6F"/>
    <w:rsid w:val="00E94EC7"/>
    <w:rsid w:val="00E954BA"/>
    <w:rsid w:val="00E955F1"/>
    <w:rsid w:val="00E95BA9"/>
    <w:rsid w:val="00E95E68"/>
    <w:rsid w:val="00E95F2A"/>
    <w:rsid w:val="00E96115"/>
    <w:rsid w:val="00E96291"/>
    <w:rsid w:val="00E9629B"/>
    <w:rsid w:val="00E96335"/>
    <w:rsid w:val="00E96786"/>
    <w:rsid w:val="00E967B5"/>
    <w:rsid w:val="00E96B5D"/>
    <w:rsid w:val="00E970FB"/>
    <w:rsid w:val="00E97140"/>
    <w:rsid w:val="00E97324"/>
    <w:rsid w:val="00E975C4"/>
    <w:rsid w:val="00E97756"/>
    <w:rsid w:val="00E97836"/>
    <w:rsid w:val="00E97BEC"/>
    <w:rsid w:val="00E97CAA"/>
    <w:rsid w:val="00EA01F8"/>
    <w:rsid w:val="00EA04E7"/>
    <w:rsid w:val="00EA05EE"/>
    <w:rsid w:val="00EA072C"/>
    <w:rsid w:val="00EA076B"/>
    <w:rsid w:val="00EA0AD1"/>
    <w:rsid w:val="00EA0BCF"/>
    <w:rsid w:val="00EA0FAE"/>
    <w:rsid w:val="00EA1759"/>
    <w:rsid w:val="00EA17C0"/>
    <w:rsid w:val="00EA1AC4"/>
    <w:rsid w:val="00EA1E89"/>
    <w:rsid w:val="00EA2728"/>
    <w:rsid w:val="00EA2C19"/>
    <w:rsid w:val="00EA2EB5"/>
    <w:rsid w:val="00EA30D0"/>
    <w:rsid w:val="00EA3109"/>
    <w:rsid w:val="00EA32CA"/>
    <w:rsid w:val="00EA3631"/>
    <w:rsid w:val="00EA37D7"/>
    <w:rsid w:val="00EA38AE"/>
    <w:rsid w:val="00EA3DE0"/>
    <w:rsid w:val="00EA3FC2"/>
    <w:rsid w:val="00EA47CB"/>
    <w:rsid w:val="00EA4981"/>
    <w:rsid w:val="00EA4AC3"/>
    <w:rsid w:val="00EA4B68"/>
    <w:rsid w:val="00EA5301"/>
    <w:rsid w:val="00EA5348"/>
    <w:rsid w:val="00EA57C3"/>
    <w:rsid w:val="00EA57D0"/>
    <w:rsid w:val="00EA5811"/>
    <w:rsid w:val="00EA595C"/>
    <w:rsid w:val="00EA5B53"/>
    <w:rsid w:val="00EA5E87"/>
    <w:rsid w:val="00EA6523"/>
    <w:rsid w:val="00EA66A8"/>
    <w:rsid w:val="00EA6A72"/>
    <w:rsid w:val="00EA6D61"/>
    <w:rsid w:val="00EA6F24"/>
    <w:rsid w:val="00EA7035"/>
    <w:rsid w:val="00EA704A"/>
    <w:rsid w:val="00EA7426"/>
    <w:rsid w:val="00EA7866"/>
    <w:rsid w:val="00EA7E47"/>
    <w:rsid w:val="00EA7EF7"/>
    <w:rsid w:val="00EB00A8"/>
    <w:rsid w:val="00EB0217"/>
    <w:rsid w:val="00EB031C"/>
    <w:rsid w:val="00EB03DE"/>
    <w:rsid w:val="00EB064B"/>
    <w:rsid w:val="00EB0A91"/>
    <w:rsid w:val="00EB0BF4"/>
    <w:rsid w:val="00EB0E5E"/>
    <w:rsid w:val="00EB1169"/>
    <w:rsid w:val="00EB143B"/>
    <w:rsid w:val="00EB14EC"/>
    <w:rsid w:val="00EB1720"/>
    <w:rsid w:val="00EB1812"/>
    <w:rsid w:val="00EB1840"/>
    <w:rsid w:val="00EB19F3"/>
    <w:rsid w:val="00EB1B75"/>
    <w:rsid w:val="00EB1D52"/>
    <w:rsid w:val="00EB1DA3"/>
    <w:rsid w:val="00EB1EE9"/>
    <w:rsid w:val="00EB21C3"/>
    <w:rsid w:val="00EB2321"/>
    <w:rsid w:val="00EB262E"/>
    <w:rsid w:val="00EB278B"/>
    <w:rsid w:val="00EB2ADA"/>
    <w:rsid w:val="00EB34D6"/>
    <w:rsid w:val="00EB387F"/>
    <w:rsid w:val="00EB38FE"/>
    <w:rsid w:val="00EB3A15"/>
    <w:rsid w:val="00EB3AB9"/>
    <w:rsid w:val="00EB3CFB"/>
    <w:rsid w:val="00EB3DA5"/>
    <w:rsid w:val="00EB4088"/>
    <w:rsid w:val="00EB43E3"/>
    <w:rsid w:val="00EB44B4"/>
    <w:rsid w:val="00EB4537"/>
    <w:rsid w:val="00EB4937"/>
    <w:rsid w:val="00EB4AD9"/>
    <w:rsid w:val="00EB4AF7"/>
    <w:rsid w:val="00EB4BF9"/>
    <w:rsid w:val="00EB5202"/>
    <w:rsid w:val="00EB5255"/>
    <w:rsid w:val="00EB52D2"/>
    <w:rsid w:val="00EB5458"/>
    <w:rsid w:val="00EB5741"/>
    <w:rsid w:val="00EB5CBA"/>
    <w:rsid w:val="00EB5E36"/>
    <w:rsid w:val="00EB5FF2"/>
    <w:rsid w:val="00EB604A"/>
    <w:rsid w:val="00EB62CC"/>
    <w:rsid w:val="00EB650A"/>
    <w:rsid w:val="00EB68F8"/>
    <w:rsid w:val="00EB6C4A"/>
    <w:rsid w:val="00EB72D6"/>
    <w:rsid w:val="00EB739A"/>
    <w:rsid w:val="00EB7D00"/>
    <w:rsid w:val="00EB7D7E"/>
    <w:rsid w:val="00EB7FCF"/>
    <w:rsid w:val="00EC0097"/>
    <w:rsid w:val="00EC033C"/>
    <w:rsid w:val="00EC08B0"/>
    <w:rsid w:val="00EC0C5A"/>
    <w:rsid w:val="00EC0FBA"/>
    <w:rsid w:val="00EC0FC1"/>
    <w:rsid w:val="00EC11F0"/>
    <w:rsid w:val="00EC1454"/>
    <w:rsid w:val="00EC149F"/>
    <w:rsid w:val="00EC1B76"/>
    <w:rsid w:val="00EC1DC0"/>
    <w:rsid w:val="00EC2047"/>
    <w:rsid w:val="00EC209C"/>
    <w:rsid w:val="00EC20CD"/>
    <w:rsid w:val="00EC276D"/>
    <w:rsid w:val="00EC29BB"/>
    <w:rsid w:val="00EC2F57"/>
    <w:rsid w:val="00EC3369"/>
    <w:rsid w:val="00EC33EF"/>
    <w:rsid w:val="00EC3583"/>
    <w:rsid w:val="00EC37A1"/>
    <w:rsid w:val="00EC3805"/>
    <w:rsid w:val="00EC3865"/>
    <w:rsid w:val="00EC4328"/>
    <w:rsid w:val="00EC44A6"/>
    <w:rsid w:val="00EC4504"/>
    <w:rsid w:val="00EC45C3"/>
    <w:rsid w:val="00EC4735"/>
    <w:rsid w:val="00EC4889"/>
    <w:rsid w:val="00EC492C"/>
    <w:rsid w:val="00EC4971"/>
    <w:rsid w:val="00EC4B51"/>
    <w:rsid w:val="00EC4E1F"/>
    <w:rsid w:val="00EC4E4D"/>
    <w:rsid w:val="00EC50B6"/>
    <w:rsid w:val="00EC519F"/>
    <w:rsid w:val="00EC52BF"/>
    <w:rsid w:val="00EC5410"/>
    <w:rsid w:val="00EC59EE"/>
    <w:rsid w:val="00EC59F1"/>
    <w:rsid w:val="00EC5AD1"/>
    <w:rsid w:val="00EC5BF3"/>
    <w:rsid w:val="00EC5E2F"/>
    <w:rsid w:val="00EC603F"/>
    <w:rsid w:val="00EC616A"/>
    <w:rsid w:val="00EC65D3"/>
    <w:rsid w:val="00EC6613"/>
    <w:rsid w:val="00EC6747"/>
    <w:rsid w:val="00EC6B78"/>
    <w:rsid w:val="00EC6C8F"/>
    <w:rsid w:val="00EC6ED5"/>
    <w:rsid w:val="00EC6F2A"/>
    <w:rsid w:val="00EC6FEE"/>
    <w:rsid w:val="00EC736F"/>
    <w:rsid w:val="00EC769D"/>
    <w:rsid w:val="00EC76BE"/>
    <w:rsid w:val="00EC7905"/>
    <w:rsid w:val="00ED01F4"/>
    <w:rsid w:val="00ED051F"/>
    <w:rsid w:val="00ED07BE"/>
    <w:rsid w:val="00ED0BFE"/>
    <w:rsid w:val="00ED0E6D"/>
    <w:rsid w:val="00ED10A6"/>
    <w:rsid w:val="00ED18AF"/>
    <w:rsid w:val="00ED1C05"/>
    <w:rsid w:val="00ED1D52"/>
    <w:rsid w:val="00ED1E84"/>
    <w:rsid w:val="00ED1EC1"/>
    <w:rsid w:val="00ED20D3"/>
    <w:rsid w:val="00ED22D1"/>
    <w:rsid w:val="00ED2602"/>
    <w:rsid w:val="00ED297A"/>
    <w:rsid w:val="00ED2A90"/>
    <w:rsid w:val="00ED2AFE"/>
    <w:rsid w:val="00ED2B2F"/>
    <w:rsid w:val="00ED2C27"/>
    <w:rsid w:val="00ED2C72"/>
    <w:rsid w:val="00ED2C81"/>
    <w:rsid w:val="00ED2F9F"/>
    <w:rsid w:val="00ED30C0"/>
    <w:rsid w:val="00ED30CE"/>
    <w:rsid w:val="00ED31BF"/>
    <w:rsid w:val="00ED33DD"/>
    <w:rsid w:val="00ED3453"/>
    <w:rsid w:val="00ED375E"/>
    <w:rsid w:val="00ED3B93"/>
    <w:rsid w:val="00ED3DA1"/>
    <w:rsid w:val="00ED3E9E"/>
    <w:rsid w:val="00ED3EF3"/>
    <w:rsid w:val="00ED419B"/>
    <w:rsid w:val="00ED431C"/>
    <w:rsid w:val="00ED44B2"/>
    <w:rsid w:val="00ED4582"/>
    <w:rsid w:val="00ED4A99"/>
    <w:rsid w:val="00ED524C"/>
    <w:rsid w:val="00ED54F9"/>
    <w:rsid w:val="00ED5502"/>
    <w:rsid w:val="00ED586D"/>
    <w:rsid w:val="00ED5FF4"/>
    <w:rsid w:val="00ED61B8"/>
    <w:rsid w:val="00ED63D9"/>
    <w:rsid w:val="00ED66CA"/>
    <w:rsid w:val="00ED68CE"/>
    <w:rsid w:val="00ED6901"/>
    <w:rsid w:val="00ED6CF0"/>
    <w:rsid w:val="00ED7035"/>
    <w:rsid w:val="00ED72A9"/>
    <w:rsid w:val="00ED74A6"/>
    <w:rsid w:val="00ED7581"/>
    <w:rsid w:val="00ED7677"/>
    <w:rsid w:val="00ED7708"/>
    <w:rsid w:val="00ED79FB"/>
    <w:rsid w:val="00ED7CDF"/>
    <w:rsid w:val="00ED7F59"/>
    <w:rsid w:val="00EE00FD"/>
    <w:rsid w:val="00EE0174"/>
    <w:rsid w:val="00EE068E"/>
    <w:rsid w:val="00EE06C2"/>
    <w:rsid w:val="00EE06E3"/>
    <w:rsid w:val="00EE090E"/>
    <w:rsid w:val="00EE0A09"/>
    <w:rsid w:val="00EE0A24"/>
    <w:rsid w:val="00EE141C"/>
    <w:rsid w:val="00EE17A1"/>
    <w:rsid w:val="00EE1800"/>
    <w:rsid w:val="00EE1AB0"/>
    <w:rsid w:val="00EE1C24"/>
    <w:rsid w:val="00EE1CF0"/>
    <w:rsid w:val="00EE1D2F"/>
    <w:rsid w:val="00EE23F3"/>
    <w:rsid w:val="00EE2AAA"/>
    <w:rsid w:val="00EE2F8B"/>
    <w:rsid w:val="00EE3169"/>
    <w:rsid w:val="00EE3636"/>
    <w:rsid w:val="00EE367F"/>
    <w:rsid w:val="00EE3E4E"/>
    <w:rsid w:val="00EE40D6"/>
    <w:rsid w:val="00EE4127"/>
    <w:rsid w:val="00EE44E4"/>
    <w:rsid w:val="00EE4855"/>
    <w:rsid w:val="00EE49C5"/>
    <w:rsid w:val="00EE4C07"/>
    <w:rsid w:val="00EE4DF1"/>
    <w:rsid w:val="00EE4EB2"/>
    <w:rsid w:val="00EE4EB7"/>
    <w:rsid w:val="00EE50C4"/>
    <w:rsid w:val="00EE515D"/>
    <w:rsid w:val="00EE5324"/>
    <w:rsid w:val="00EE5377"/>
    <w:rsid w:val="00EE5578"/>
    <w:rsid w:val="00EE595E"/>
    <w:rsid w:val="00EE5D90"/>
    <w:rsid w:val="00EE6092"/>
    <w:rsid w:val="00EE60F0"/>
    <w:rsid w:val="00EE63D0"/>
    <w:rsid w:val="00EE65E6"/>
    <w:rsid w:val="00EE682B"/>
    <w:rsid w:val="00EE6889"/>
    <w:rsid w:val="00EE6981"/>
    <w:rsid w:val="00EE6B6B"/>
    <w:rsid w:val="00EE7083"/>
    <w:rsid w:val="00EE7545"/>
    <w:rsid w:val="00EE777D"/>
    <w:rsid w:val="00EE7FC6"/>
    <w:rsid w:val="00EF03B3"/>
    <w:rsid w:val="00EF0671"/>
    <w:rsid w:val="00EF0E4A"/>
    <w:rsid w:val="00EF0F15"/>
    <w:rsid w:val="00EF1181"/>
    <w:rsid w:val="00EF1280"/>
    <w:rsid w:val="00EF1632"/>
    <w:rsid w:val="00EF185B"/>
    <w:rsid w:val="00EF1F3A"/>
    <w:rsid w:val="00EF1F93"/>
    <w:rsid w:val="00EF1FA4"/>
    <w:rsid w:val="00EF228B"/>
    <w:rsid w:val="00EF2388"/>
    <w:rsid w:val="00EF23D8"/>
    <w:rsid w:val="00EF2540"/>
    <w:rsid w:val="00EF2583"/>
    <w:rsid w:val="00EF2801"/>
    <w:rsid w:val="00EF2ADA"/>
    <w:rsid w:val="00EF2B5C"/>
    <w:rsid w:val="00EF2C80"/>
    <w:rsid w:val="00EF2D38"/>
    <w:rsid w:val="00EF2EC7"/>
    <w:rsid w:val="00EF3220"/>
    <w:rsid w:val="00EF358A"/>
    <w:rsid w:val="00EF403D"/>
    <w:rsid w:val="00EF4375"/>
    <w:rsid w:val="00EF4422"/>
    <w:rsid w:val="00EF4635"/>
    <w:rsid w:val="00EF4855"/>
    <w:rsid w:val="00EF4EE0"/>
    <w:rsid w:val="00EF521A"/>
    <w:rsid w:val="00EF54C4"/>
    <w:rsid w:val="00EF5541"/>
    <w:rsid w:val="00EF573B"/>
    <w:rsid w:val="00EF5935"/>
    <w:rsid w:val="00EF5A1D"/>
    <w:rsid w:val="00EF5DB1"/>
    <w:rsid w:val="00EF5E37"/>
    <w:rsid w:val="00EF60C1"/>
    <w:rsid w:val="00EF632A"/>
    <w:rsid w:val="00EF64B3"/>
    <w:rsid w:val="00EF6996"/>
    <w:rsid w:val="00EF6BC6"/>
    <w:rsid w:val="00EF713C"/>
    <w:rsid w:val="00EF71CC"/>
    <w:rsid w:val="00EF7457"/>
    <w:rsid w:val="00EF7570"/>
    <w:rsid w:val="00EF75B6"/>
    <w:rsid w:val="00EF7B00"/>
    <w:rsid w:val="00EF7C1B"/>
    <w:rsid w:val="00EF7C63"/>
    <w:rsid w:val="00EF7D56"/>
    <w:rsid w:val="00EF7DB4"/>
    <w:rsid w:val="00EF7F4F"/>
    <w:rsid w:val="00F008F3"/>
    <w:rsid w:val="00F00A2D"/>
    <w:rsid w:val="00F00CDB"/>
    <w:rsid w:val="00F00FFC"/>
    <w:rsid w:val="00F01831"/>
    <w:rsid w:val="00F01CBA"/>
    <w:rsid w:val="00F01D1B"/>
    <w:rsid w:val="00F01E8C"/>
    <w:rsid w:val="00F01E9E"/>
    <w:rsid w:val="00F02039"/>
    <w:rsid w:val="00F020B3"/>
    <w:rsid w:val="00F02505"/>
    <w:rsid w:val="00F025BF"/>
    <w:rsid w:val="00F029C3"/>
    <w:rsid w:val="00F02A13"/>
    <w:rsid w:val="00F02B42"/>
    <w:rsid w:val="00F030C8"/>
    <w:rsid w:val="00F032F4"/>
    <w:rsid w:val="00F035B2"/>
    <w:rsid w:val="00F03714"/>
    <w:rsid w:val="00F037CE"/>
    <w:rsid w:val="00F03892"/>
    <w:rsid w:val="00F0428F"/>
    <w:rsid w:val="00F04528"/>
    <w:rsid w:val="00F04764"/>
    <w:rsid w:val="00F04CF7"/>
    <w:rsid w:val="00F04D78"/>
    <w:rsid w:val="00F04DF4"/>
    <w:rsid w:val="00F04EE7"/>
    <w:rsid w:val="00F04F32"/>
    <w:rsid w:val="00F04F64"/>
    <w:rsid w:val="00F05067"/>
    <w:rsid w:val="00F05087"/>
    <w:rsid w:val="00F054D1"/>
    <w:rsid w:val="00F05A5F"/>
    <w:rsid w:val="00F05DA6"/>
    <w:rsid w:val="00F05DEC"/>
    <w:rsid w:val="00F05F84"/>
    <w:rsid w:val="00F0606D"/>
    <w:rsid w:val="00F0681E"/>
    <w:rsid w:val="00F06877"/>
    <w:rsid w:val="00F0694A"/>
    <w:rsid w:val="00F06F01"/>
    <w:rsid w:val="00F07049"/>
    <w:rsid w:val="00F070CE"/>
    <w:rsid w:val="00F0722A"/>
    <w:rsid w:val="00F07648"/>
    <w:rsid w:val="00F077D8"/>
    <w:rsid w:val="00F0786C"/>
    <w:rsid w:val="00F079BC"/>
    <w:rsid w:val="00F07B86"/>
    <w:rsid w:val="00F07ED1"/>
    <w:rsid w:val="00F07F02"/>
    <w:rsid w:val="00F10383"/>
    <w:rsid w:val="00F104FD"/>
    <w:rsid w:val="00F10588"/>
    <w:rsid w:val="00F109F7"/>
    <w:rsid w:val="00F10E45"/>
    <w:rsid w:val="00F10E7E"/>
    <w:rsid w:val="00F10F7C"/>
    <w:rsid w:val="00F11425"/>
    <w:rsid w:val="00F117D9"/>
    <w:rsid w:val="00F118CC"/>
    <w:rsid w:val="00F119E5"/>
    <w:rsid w:val="00F11A38"/>
    <w:rsid w:val="00F11C24"/>
    <w:rsid w:val="00F11D42"/>
    <w:rsid w:val="00F11E04"/>
    <w:rsid w:val="00F12041"/>
    <w:rsid w:val="00F126FC"/>
    <w:rsid w:val="00F127CB"/>
    <w:rsid w:val="00F12C2D"/>
    <w:rsid w:val="00F12D49"/>
    <w:rsid w:val="00F1326F"/>
    <w:rsid w:val="00F132B3"/>
    <w:rsid w:val="00F133DF"/>
    <w:rsid w:val="00F1363F"/>
    <w:rsid w:val="00F13856"/>
    <w:rsid w:val="00F138FE"/>
    <w:rsid w:val="00F13916"/>
    <w:rsid w:val="00F13C45"/>
    <w:rsid w:val="00F14174"/>
    <w:rsid w:val="00F1429E"/>
    <w:rsid w:val="00F144F6"/>
    <w:rsid w:val="00F14554"/>
    <w:rsid w:val="00F14856"/>
    <w:rsid w:val="00F148C3"/>
    <w:rsid w:val="00F14A5B"/>
    <w:rsid w:val="00F14DB9"/>
    <w:rsid w:val="00F14DD4"/>
    <w:rsid w:val="00F14ED5"/>
    <w:rsid w:val="00F15122"/>
    <w:rsid w:val="00F1535D"/>
    <w:rsid w:val="00F154C7"/>
    <w:rsid w:val="00F15B27"/>
    <w:rsid w:val="00F15DFC"/>
    <w:rsid w:val="00F15F29"/>
    <w:rsid w:val="00F162FC"/>
    <w:rsid w:val="00F1676A"/>
    <w:rsid w:val="00F16A25"/>
    <w:rsid w:val="00F16A54"/>
    <w:rsid w:val="00F16A7A"/>
    <w:rsid w:val="00F16C87"/>
    <w:rsid w:val="00F16E82"/>
    <w:rsid w:val="00F1704A"/>
    <w:rsid w:val="00F1714B"/>
    <w:rsid w:val="00F179B5"/>
    <w:rsid w:val="00F17F77"/>
    <w:rsid w:val="00F20284"/>
    <w:rsid w:val="00F2047C"/>
    <w:rsid w:val="00F205EC"/>
    <w:rsid w:val="00F20871"/>
    <w:rsid w:val="00F208C8"/>
    <w:rsid w:val="00F20A1E"/>
    <w:rsid w:val="00F20B3A"/>
    <w:rsid w:val="00F20B70"/>
    <w:rsid w:val="00F210AF"/>
    <w:rsid w:val="00F217F7"/>
    <w:rsid w:val="00F21E3D"/>
    <w:rsid w:val="00F21FED"/>
    <w:rsid w:val="00F22024"/>
    <w:rsid w:val="00F22417"/>
    <w:rsid w:val="00F224B0"/>
    <w:rsid w:val="00F225F5"/>
    <w:rsid w:val="00F22700"/>
    <w:rsid w:val="00F228BD"/>
    <w:rsid w:val="00F228F7"/>
    <w:rsid w:val="00F22D30"/>
    <w:rsid w:val="00F22F56"/>
    <w:rsid w:val="00F230E5"/>
    <w:rsid w:val="00F234BD"/>
    <w:rsid w:val="00F2362F"/>
    <w:rsid w:val="00F236AA"/>
    <w:rsid w:val="00F23A0F"/>
    <w:rsid w:val="00F23B0E"/>
    <w:rsid w:val="00F23F72"/>
    <w:rsid w:val="00F2432B"/>
    <w:rsid w:val="00F24538"/>
    <w:rsid w:val="00F24C46"/>
    <w:rsid w:val="00F24D71"/>
    <w:rsid w:val="00F254BF"/>
    <w:rsid w:val="00F25755"/>
    <w:rsid w:val="00F25ED5"/>
    <w:rsid w:val="00F26B89"/>
    <w:rsid w:val="00F26D0A"/>
    <w:rsid w:val="00F26F9A"/>
    <w:rsid w:val="00F27376"/>
    <w:rsid w:val="00F274A7"/>
    <w:rsid w:val="00F276F0"/>
    <w:rsid w:val="00F2770C"/>
    <w:rsid w:val="00F2791D"/>
    <w:rsid w:val="00F2796F"/>
    <w:rsid w:val="00F27BEC"/>
    <w:rsid w:val="00F27C1D"/>
    <w:rsid w:val="00F27CF5"/>
    <w:rsid w:val="00F27D1D"/>
    <w:rsid w:val="00F300CF"/>
    <w:rsid w:val="00F301A6"/>
    <w:rsid w:val="00F3053E"/>
    <w:rsid w:val="00F30B03"/>
    <w:rsid w:val="00F30CC2"/>
    <w:rsid w:val="00F30EA1"/>
    <w:rsid w:val="00F3139A"/>
    <w:rsid w:val="00F3196C"/>
    <w:rsid w:val="00F319EF"/>
    <w:rsid w:val="00F31B55"/>
    <w:rsid w:val="00F31BBF"/>
    <w:rsid w:val="00F31BC6"/>
    <w:rsid w:val="00F31FA8"/>
    <w:rsid w:val="00F32552"/>
    <w:rsid w:val="00F329CC"/>
    <w:rsid w:val="00F32C2F"/>
    <w:rsid w:val="00F32D70"/>
    <w:rsid w:val="00F32E76"/>
    <w:rsid w:val="00F32E7F"/>
    <w:rsid w:val="00F331C8"/>
    <w:rsid w:val="00F336B4"/>
    <w:rsid w:val="00F33737"/>
    <w:rsid w:val="00F33877"/>
    <w:rsid w:val="00F3388D"/>
    <w:rsid w:val="00F33900"/>
    <w:rsid w:val="00F33913"/>
    <w:rsid w:val="00F339DB"/>
    <w:rsid w:val="00F33EAC"/>
    <w:rsid w:val="00F33FD0"/>
    <w:rsid w:val="00F34262"/>
    <w:rsid w:val="00F3464F"/>
    <w:rsid w:val="00F34839"/>
    <w:rsid w:val="00F34D62"/>
    <w:rsid w:val="00F34F1F"/>
    <w:rsid w:val="00F34F56"/>
    <w:rsid w:val="00F34FB3"/>
    <w:rsid w:val="00F3530A"/>
    <w:rsid w:val="00F35538"/>
    <w:rsid w:val="00F35639"/>
    <w:rsid w:val="00F356BE"/>
    <w:rsid w:val="00F35754"/>
    <w:rsid w:val="00F3577F"/>
    <w:rsid w:val="00F35830"/>
    <w:rsid w:val="00F359ED"/>
    <w:rsid w:val="00F35D75"/>
    <w:rsid w:val="00F3643F"/>
    <w:rsid w:val="00F36832"/>
    <w:rsid w:val="00F36937"/>
    <w:rsid w:val="00F369B9"/>
    <w:rsid w:val="00F36A01"/>
    <w:rsid w:val="00F36DB4"/>
    <w:rsid w:val="00F36EF2"/>
    <w:rsid w:val="00F36F51"/>
    <w:rsid w:val="00F37229"/>
    <w:rsid w:val="00F37847"/>
    <w:rsid w:val="00F3786B"/>
    <w:rsid w:val="00F37943"/>
    <w:rsid w:val="00F37C47"/>
    <w:rsid w:val="00F37F1D"/>
    <w:rsid w:val="00F401AB"/>
    <w:rsid w:val="00F402B7"/>
    <w:rsid w:val="00F4034F"/>
    <w:rsid w:val="00F4081E"/>
    <w:rsid w:val="00F40CDE"/>
    <w:rsid w:val="00F40CE4"/>
    <w:rsid w:val="00F40EE6"/>
    <w:rsid w:val="00F4110E"/>
    <w:rsid w:val="00F413DA"/>
    <w:rsid w:val="00F41412"/>
    <w:rsid w:val="00F41762"/>
    <w:rsid w:val="00F41867"/>
    <w:rsid w:val="00F41CB2"/>
    <w:rsid w:val="00F41D68"/>
    <w:rsid w:val="00F41E02"/>
    <w:rsid w:val="00F420A3"/>
    <w:rsid w:val="00F427D0"/>
    <w:rsid w:val="00F428CD"/>
    <w:rsid w:val="00F42AA9"/>
    <w:rsid w:val="00F42B8D"/>
    <w:rsid w:val="00F42BE4"/>
    <w:rsid w:val="00F42C04"/>
    <w:rsid w:val="00F42D5E"/>
    <w:rsid w:val="00F42E45"/>
    <w:rsid w:val="00F42E4E"/>
    <w:rsid w:val="00F42F27"/>
    <w:rsid w:val="00F4332C"/>
    <w:rsid w:val="00F43785"/>
    <w:rsid w:val="00F4397E"/>
    <w:rsid w:val="00F43BBC"/>
    <w:rsid w:val="00F43ECA"/>
    <w:rsid w:val="00F43F57"/>
    <w:rsid w:val="00F4498C"/>
    <w:rsid w:val="00F44C67"/>
    <w:rsid w:val="00F44D19"/>
    <w:rsid w:val="00F44D32"/>
    <w:rsid w:val="00F44D3B"/>
    <w:rsid w:val="00F44FE9"/>
    <w:rsid w:val="00F451E6"/>
    <w:rsid w:val="00F45423"/>
    <w:rsid w:val="00F45526"/>
    <w:rsid w:val="00F457CD"/>
    <w:rsid w:val="00F4595D"/>
    <w:rsid w:val="00F45A75"/>
    <w:rsid w:val="00F45C10"/>
    <w:rsid w:val="00F45F97"/>
    <w:rsid w:val="00F4649E"/>
    <w:rsid w:val="00F46592"/>
    <w:rsid w:val="00F468CB"/>
    <w:rsid w:val="00F46B33"/>
    <w:rsid w:val="00F46BB9"/>
    <w:rsid w:val="00F46C23"/>
    <w:rsid w:val="00F46D38"/>
    <w:rsid w:val="00F46DEC"/>
    <w:rsid w:val="00F46E7C"/>
    <w:rsid w:val="00F472BE"/>
    <w:rsid w:val="00F472FA"/>
    <w:rsid w:val="00F474AC"/>
    <w:rsid w:val="00F47A3A"/>
    <w:rsid w:val="00F47C89"/>
    <w:rsid w:val="00F47D36"/>
    <w:rsid w:val="00F506BC"/>
    <w:rsid w:val="00F50F59"/>
    <w:rsid w:val="00F51583"/>
    <w:rsid w:val="00F516FA"/>
    <w:rsid w:val="00F5175E"/>
    <w:rsid w:val="00F51C79"/>
    <w:rsid w:val="00F51D9D"/>
    <w:rsid w:val="00F51DF4"/>
    <w:rsid w:val="00F51EF5"/>
    <w:rsid w:val="00F52261"/>
    <w:rsid w:val="00F52605"/>
    <w:rsid w:val="00F5260D"/>
    <w:rsid w:val="00F52711"/>
    <w:rsid w:val="00F52C11"/>
    <w:rsid w:val="00F52EA3"/>
    <w:rsid w:val="00F52F50"/>
    <w:rsid w:val="00F5305D"/>
    <w:rsid w:val="00F53240"/>
    <w:rsid w:val="00F534CF"/>
    <w:rsid w:val="00F534DE"/>
    <w:rsid w:val="00F539EE"/>
    <w:rsid w:val="00F53A98"/>
    <w:rsid w:val="00F542F2"/>
    <w:rsid w:val="00F5437C"/>
    <w:rsid w:val="00F54386"/>
    <w:rsid w:val="00F54A15"/>
    <w:rsid w:val="00F54A1B"/>
    <w:rsid w:val="00F54B83"/>
    <w:rsid w:val="00F55075"/>
    <w:rsid w:val="00F55673"/>
    <w:rsid w:val="00F556FB"/>
    <w:rsid w:val="00F55998"/>
    <w:rsid w:val="00F55BAE"/>
    <w:rsid w:val="00F55D7A"/>
    <w:rsid w:val="00F56020"/>
    <w:rsid w:val="00F560FA"/>
    <w:rsid w:val="00F56356"/>
    <w:rsid w:val="00F56709"/>
    <w:rsid w:val="00F56718"/>
    <w:rsid w:val="00F5698C"/>
    <w:rsid w:val="00F56AA3"/>
    <w:rsid w:val="00F570A5"/>
    <w:rsid w:val="00F573F0"/>
    <w:rsid w:val="00F574FD"/>
    <w:rsid w:val="00F57CAB"/>
    <w:rsid w:val="00F57DAE"/>
    <w:rsid w:val="00F57EBC"/>
    <w:rsid w:val="00F600A1"/>
    <w:rsid w:val="00F6018E"/>
    <w:rsid w:val="00F6038F"/>
    <w:rsid w:val="00F605A5"/>
    <w:rsid w:val="00F605D4"/>
    <w:rsid w:val="00F606E4"/>
    <w:rsid w:val="00F60776"/>
    <w:rsid w:val="00F609BF"/>
    <w:rsid w:val="00F60BD3"/>
    <w:rsid w:val="00F60BD4"/>
    <w:rsid w:val="00F60C5F"/>
    <w:rsid w:val="00F61176"/>
    <w:rsid w:val="00F612EB"/>
    <w:rsid w:val="00F6133F"/>
    <w:rsid w:val="00F61432"/>
    <w:rsid w:val="00F615FD"/>
    <w:rsid w:val="00F616CF"/>
    <w:rsid w:val="00F619F8"/>
    <w:rsid w:val="00F61B4E"/>
    <w:rsid w:val="00F6201F"/>
    <w:rsid w:val="00F6263C"/>
    <w:rsid w:val="00F62B28"/>
    <w:rsid w:val="00F62D28"/>
    <w:rsid w:val="00F62E72"/>
    <w:rsid w:val="00F62FD4"/>
    <w:rsid w:val="00F6304E"/>
    <w:rsid w:val="00F630C6"/>
    <w:rsid w:val="00F630F6"/>
    <w:rsid w:val="00F63420"/>
    <w:rsid w:val="00F6382B"/>
    <w:rsid w:val="00F63999"/>
    <w:rsid w:val="00F63B48"/>
    <w:rsid w:val="00F63BB0"/>
    <w:rsid w:val="00F63C01"/>
    <w:rsid w:val="00F63D14"/>
    <w:rsid w:val="00F64062"/>
    <w:rsid w:val="00F640FE"/>
    <w:rsid w:val="00F64146"/>
    <w:rsid w:val="00F641D6"/>
    <w:rsid w:val="00F64321"/>
    <w:rsid w:val="00F64B5D"/>
    <w:rsid w:val="00F64CB6"/>
    <w:rsid w:val="00F64F28"/>
    <w:rsid w:val="00F65538"/>
    <w:rsid w:val="00F655CE"/>
    <w:rsid w:val="00F656F1"/>
    <w:rsid w:val="00F65777"/>
    <w:rsid w:val="00F65991"/>
    <w:rsid w:val="00F65B67"/>
    <w:rsid w:val="00F65E99"/>
    <w:rsid w:val="00F65F54"/>
    <w:rsid w:val="00F66015"/>
    <w:rsid w:val="00F66248"/>
    <w:rsid w:val="00F66364"/>
    <w:rsid w:val="00F664BC"/>
    <w:rsid w:val="00F664E8"/>
    <w:rsid w:val="00F6673E"/>
    <w:rsid w:val="00F667C6"/>
    <w:rsid w:val="00F66996"/>
    <w:rsid w:val="00F66A9D"/>
    <w:rsid w:val="00F66BD8"/>
    <w:rsid w:val="00F66BEF"/>
    <w:rsid w:val="00F66EF6"/>
    <w:rsid w:val="00F66FF5"/>
    <w:rsid w:val="00F671C5"/>
    <w:rsid w:val="00F67299"/>
    <w:rsid w:val="00F6769C"/>
    <w:rsid w:val="00F67B28"/>
    <w:rsid w:val="00F67D2E"/>
    <w:rsid w:val="00F70178"/>
    <w:rsid w:val="00F70425"/>
    <w:rsid w:val="00F70808"/>
    <w:rsid w:val="00F70C86"/>
    <w:rsid w:val="00F70DEE"/>
    <w:rsid w:val="00F71016"/>
    <w:rsid w:val="00F71020"/>
    <w:rsid w:val="00F710B1"/>
    <w:rsid w:val="00F713C8"/>
    <w:rsid w:val="00F71418"/>
    <w:rsid w:val="00F714BE"/>
    <w:rsid w:val="00F71752"/>
    <w:rsid w:val="00F71929"/>
    <w:rsid w:val="00F71BA5"/>
    <w:rsid w:val="00F71C5D"/>
    <w:rsid w:val="00F71F52"/>
    <w:rsid w:val="00F7204A"/>
    <w:rsid w:val="00F720EC"/>
    <w:rsid w:val="00F722DF"/>
    <w:rsid w:val="00F725CA"/>
    <w:rsid w:val="00F72615"/>
    <w:rsid w:val="00F7267F"/>
    <w:rsid w:val="00F72752"/>
    <w:rsid w:val="00F72770"/>
    <w:rsid w:val="00F729C3"/>
    <w:rsid w:val="00F72CF4"/>
    <w:rsid w:val="00F72DDE"/>
    <w:rsid w:val="00F72E9C"/>
    <w:rsid w:val="00F7307A"/>
    <w:rsid w:val="00F73258"/>
    <w:rsid w:val="00F73392"/>
    <w:rsid w:val="00F73690"/>
    <w:rsid w:val="00F73706"/>
    <w:rsid w:val="00F737A3"/>
    <w:rsid w:val="00F739C9"/>
    <w:rsid w:val="00F73CFF"/>
    <w:rsid w:val="00F74195"/>
    <w:rsid w:val="00F747E9"/>
    <w:rsid w:val="00F74817"/>
    <w:rsid w:val="00F74A4A"/>
    <w:rsid w:val="00F755A5"/>
    <w:rsid w:val="00F7575B"/>
    <w:rsid w:val="00F75BCE"/>
    <w:rsid w:val="00F7617A"/>
    <w:rsid w:val="00F761C6"/>
    <w:rsid w:val="00F76523"/>
    <w:rsid w:val="00F765D1"/>
    <w:rsid w:val="00F7693C"/>
    <w:rsid w:val="00F76ACB"/>
    <w:rsid w:val="00F76B54"/>
    <w:rsid w:val="00F76B99"/>
    <w:rsid w:val="00F7724F"/>
    <w:rsid w:val="00F773FF"/>
    <w:rsid w:val="00F77415"/>
    <w:rsid w:val="00F7743E"/>
    <w:rsid w:val="00F775A7"/>
    <w:rsid w:val="00F77A71"/>
    <w:rsid w:val="00F77C87"/>
    <w:rsid w:val="00F77CE0"/>
    <w:rsid w:val="00F77D1E"/>
    <w:rsid w:val="00F77FED"/>
    <w:rsid w:val="00F8020C"/>
    <w:rsid w:val="00F802FA"/>
    <w:rsid w:val="00F806A3"/>
    <w:rsid w:val="00F806AB"/>
    <w:rsid w:val="00F80834"/>
    <w:rsid w:val="00F8086A"/>
    <w:rsid w:val="00F809A6"/>
    <w:rsid w:val="00F80A4B"/>
    <w:rsid w:val="00F80DBA"/>
    <w:rsid w:val="00F80FD6"/>
    <w:rsid w:val="00F81111"/>
    <w:rsid w:val="00F8129A"/>
    <w:rsid w:val="00F815B3"/>
    <w:rsid w:val="00F81964"/>
    <w:rsid w:val="00F81CC6"/>
    <w:rsid w:val="00F81E39"/>
    <w:rsid w:val="00F81F41"/>
    <w:rsid w:val="00F82369"/>
    <w:rsid w:val="00F827B5"/>
    <w:rsid w:val="00F82945"/>
    <w:rsid w:val="00F82DCA"/>
    <w:rsid w:val="00F82E3F"/>
    <w:rsid w:val="00F82FB9"/>
    <w:rsid w:val="00F8304D"/>
    <w:rsid w:val="00F832EB"/>
    <w:rsid w:val="00F83684"/>
    <w:rsid w:val="00F836B0"/>
    <w:rsid w:val="00F838AC"/>
    <w:rsid w:val="00F838C4"/>
    <w:rsid w:val="00F83B66"/>
    <w:rsid w:val="00F83E8E"/>
    <w:rsid w:val="00F8406D"/>
    <w:rsid w:val="00F84123"/>
    <w:rsid w:val="00F84168"/>
    <w:rsid w:val="00F842B5"/>
    <w:rsid w:val="00F8455E"/>
    <w:rsid w:val="00F84628"/>
    <w:rsid w:val="00F8492D"/>
    <w:rsid w:val="00F84A0F"/>
    <w:rsid w:val="00F84BBE"/>
    <w:rsid w:val="00F84CAB"/>
    <w:rsid w:val="00F84DDA"/>
    <w:rsid w:val="00F84E9C"/>
    <w:rsid w:val="00F85231"/>
    <w:rsid w:val="00F852E9"/>
    <w:rsid w:val="00F857E1"/>
    <w:rsid w:val="00F859E6"/>
    <w:rsid w:val="00F85C43"/>
    <w:rsid w:val="00F85E62"/>
    <w:rsid w:val="00F8630D"/>
    <w:rsid w:val="00F86719"/>
    <w:rsid w:val="00F86AE2"/>
    <w:rsid w:val="00F86DA3"/>
    <w:rsid w:val="00F86FF9"/>
    <w:rsid w:val="00F87B61"/>
    <w:rsid w:val="00F90211"/>
    <w:rsid w:val="00F90360"/>
    <w:rsid w:val="00F9053C"/>
    <w:rsid w:val="00F907AA"/>
    <w:rsid w:val="00F90B39"/>
    <w:rsid w:val="00F90D08"/>
    <w:rsid w:val="00F90DB8"/>
    <w:rsid w:val="00F91005"/>
    <w:rsid w:val="00F91161"/>
    <w:rsid w:val="00F91422"/>
    <w:rsid w:val="00F9154A"/>
    <w:rsid w:val="00F9173B"/>
    <w:rsid w:val="00F9187D"/>
    <w:rsid w:val="00F91F3A"/>
    <w:rsid w:val="00F91FFD"/>
    <w:rsid w:val="00F9266E"/>
    <w:rsid w:val="00F92957"/>
    <w:rsid w:val="00F930DD"/>
    <w:rsid w:val="00F933D5"/>
    <w:rsid w:val="00F93C2A"/>
    <w:rsid w:val="00F93D2F"/>
    <w:rsid w:val="00F94137"/>
    <w:rsid w:val="00F94198"/>
    <w:rsid w:val="00F942C9"/>
    <w:rsid w:val="00F9462B"/>
    <w:rsid w:val="00F9492F"/>
    <w:rsid w:val="00F94A67"/>
    <w:rsid w:val="00F94B50"/>
    <w:rsid w:val="00F94E2E"/>
    <w:rsid w:val="00F94FD2"/>
    <w:rsid w:val="00F951BE"/>
    <w:rsid w:val="00F95301"/>
    <w:rsid w:val="00F953DD"/>
    <w:rsid w:val="00F95401"/>
    <w:rsid w:val="00F9554E"/>
    <w:rsid w:val="00F9555B"/>
    <w:rsid w:val="00F955F1"/>
    <w:rsid w:val="00F956EE"/>
    <w:rsid w:val="00F95712"/>
    <w:rsid w:val="00F957E9"/>
    <w:rsid w:val="00F95950"/>
    <w:rsid w:val="00F95BBC"/>
    <w:rsid w:val="00F95D62"/>
    <w:rsid w:val="00F95DB5"/>
    <w:rsid w:val="00F95FCC"/>
    <w:rsid w:val="00F960D3"/>
    <w:rsid w:val="00F9639F"/>
    <w:rsid w:val="00F9641B"/>
    <w:rsid w:val="00F96800"/>
    <w:rsid w:val="00F96976"/>
    <w:rsid w:val="00F96A2E"/>
    <w:rsid w:val="00F96D90"/>
    <w:rsid w:val="00F973E6"/>
    <w:rsid w:val="00F9758D"/>
    <w:rsid w:val="00F975C5"/>
    <w:rsid w:val="00F978AD"/>
    <w:rsid w:val="00F978EE"/>
    <w:rsid w:val="00F97B4F"/>
    <w:rsid w:val="00F97B51"/>
    <w:rsid w:val="00F97E2A"/>
    <w:rsid w:val="00FA0307"/>
    <w:rsid w:val="00FA091D"/>
    <w:rsid w:val="00FA0A43"/>
    <w:rsid w:val="00FA0CCE"/>
    <w:rsid w:val="00FA0D25"/>
    <w:rsid w:val="00FA1006"/>
    <w:rsid w:val="00FA10B6"/>
    <w:rsid w:val="00FA1116"/>
    <w:rsid w:val="00FA15F0"/>
    <w:rsid w:val="00FA16FF"/>
    <w:rsid w:val="00FA1ADC"/>
    <w:rsid w:val="00FA1D41"/>
    <w:rsid w:val="00FA25F0"/>
    <w:rsid w:val="00FA26A2"/>
    <w:rsid w:val="00FA26CF"/>
    <w:rsid w:val="00FA2A43"/>
    <w:rsid w:val="00FA2E4F"/>
    <w:rsid w:val="00FA3078"/>
    <w:rsid w:val="00FA346D"/>
    <w:rsid w:val="00FA3D86"/>
    <w:rsid w:val="00FA3E42"/>
    <w:rsid w:val="00FA4104"/>
    <w:rsid w:val="00FA425F"/>
    <w:rsid w:val="00FA43B2"/>
    <w:rsid w:val="00FA4538"/>
    <w:rsid w:val="00FA48CE"/>
    <w:rsid w:val="00FA4997"/>
    <w:rsid w:val="00FA4EB8"/>
    <w:rsid w:val="00FA4F08"/>
    <w:rsid w:val="00FA503B"/>
    <w:rsid w:val="00FA507A"/>
    <w:rsid w:val="00FA5C76"/>
    <w:rsid w:val="00FA5D5D"/>
    <w:rsid w:val="00FA5EB7"/>
    <w:rsid w:val="00FA6156"/>
    <w:rsid w:val="00FA626A"/>
    <w:rsid w:val="00FA62F8"/>
    <w:rsid w:val="00FA636B"/>
    <w:rsid w:val="00FA6399"/>
    <w:rsid w:val="00FA64FC"/>
    <w:rsid w:val="00FA67A7"/>
    <w:rsid w:val="00FA67F7"/>
    <w:rsid w:val="00FA68DF"/>
    <w:rsid w:val="00FA6AED"/>
    <w:rsid w:val="00FA71CC"/>
    <w:rsid w:val="00FA7904"/>
    <w:rsid w:val="00FA7AB4"/>
    <w:rsid w:val="00FA7D4A"/>
    <w:rsid w:val="00FA7F6B"/>
    <w:rsid w:val="00FA7F7B"/>
    <w:rsid w:val="00FB0646"/>
    <w:rsid w:val="00FB070A"/>
    <w:rsid w:val="00FB0A15"/>
    <w:rsid w:val="00FB0DCF"/>
    <w:rsid w:val="00FB1268"/>
    <w:rsid w:val="00FB12A2"/>
    <w:rsid w:val="00FB135D"/>
    <w:rsid w:val="00FB17EB"/>
    <w:rsid w:val="00FB222F"/>
    <w:rsid w:val="00FB22A8"/>
    <w:rsid w:val="00FB231E"/>
    <w:rsid w:val="00FB2AB2"/>
    <w:rsid w:val="00FB2FBD"/>
    <w:rsid w:val="00FB311D"/>
    <w:rsid w:val="00FB31EC"/>
    <w:rsid w:val="00FB34AD"/>
    <w:rsid w:val="00FB38F1"/>
    <w:rsid w:val="00FB3B07"/>
    <w:rsid w:val="00FB3B3A"/>
    <w:rsid w:val="00FB3DB8"/>
    <w:rsid w:val="00FB3DEA"/>
    <w:rsid w:val="00FB401A"/>
    <w:rsid w:val="00FB40FE"/>
    <w:rsid w:val="00FB459B"/>
    <w:rsid w:val="00FB470A"/>
    <w:rsid w:val="00FB478F"/>
    <w:rsid w:val="00FB47CE"/>
    <w:rsid w:val="00FB4819"/>
    <w:rsid w:val="00FB49FE"/>
    <w:rsid w:val="00FB4A8B"/>
    <w:rsid w:val="00FB4A9D"/>
    <w:rsid w:val="00FB4B36"/>
    <w:rsid w:val="00FB501A"/>
    <w:rsid w:val="00FB50F1"/>
    <w:rsid w:val="00FB54DD"/>
    <w:rsid w:val="00FB559B"/>
    <w:rsid w:val="00FB55B0"/>
    <w:rsid w:val="00FB56F7"/>
    <w:rsid w:val="00FB57EE"/>
    <w:rsid w:val="00FB6123"/>
    <w:rsid w:val="00FB6557"/>
    <w:rsid w:val="00FB6567"/>
    <w:rsid w:val="00FB7040"/>
    <w:rsid w:val="00FB71B8"/>
    <w:rsid w:val="00FB72D1"/>
    <w:rsid w:val="00FB735A"/>
    <w:rsid w:val="00FB74D4"/>
    <w:rsid w:val="00FB74DA"/>
    <w:rsid w:val="00FB74E3"/>
    <w:rsid w:val="00FB7876"/>
    <w:rsid w:val="00FB78BE"/>
    <w:rsid w:val="00FB7C5A"/>
    <w:rsid w:val="00FB7EEC"/>
    <w:rsid w:val="00FC02B6"/>
    <w:rsid w:val="00FC02D0"/>
    <w:rsid w:val="00FC0CA5"/>
    <w:rsid w:val="00FC156B"/>
    <w:rsid w:val="00FC15E7"/>
    <w:rsid w:val="00FC1906"/>
    <w:rsid w:val="00FC2222"/>
    <w:rsid w:val="00FC222E"/>
    <w:rsid w:val="00FC22EC"/>
    <w:rsid w:val="00FC23B8"/>
    <w:rsid w:val="00FC2702"/>
    <w:rsid w:val="00FC29C9"/>
    <w:rsid w:val="00FC2CCE"/>
    <w:rsid w:val="00FC2FAE"/>
    <w:rsid w:val="00FC30AB"/>
    <w:rsid w:val="00FC32A3"/>
    <w:rsid w:val="00FC3E3A"/>
    <w:rsid w:val="00FC4015"/>
    <w:rsid w:val="00FC4040"/>
    <w:rsid w:val="00FC4132"/>
    <w:rsid w:val="00FC4223"/>
    <w:rsid w:val="00FC4227"/>
    <w:rsid w:val="00FC4272"/>
    <w:rsid w:val="00FC4780"/>
    <w:rsid w:val="00FC48BE"/>
    <w:rsid w:val="00FC4993"/>
    <w:rsid w:val="00FC4A48"/>
    <w:rsid w:val="00FC4CFC"/>
    <w:rsid w:val="00FC533D"/>
    <w:rsid w:val="00FC56F2"/>
    <w:rsid w:val="00FC590F"/>
    <w:rsid w:val="00FC59B9"/>
    <w:rsid w:val="00FC5AE5"/>
    <w:rsid w:val="00FC5BF8"/>
    <w:rsid w:val="00FC5C72"/>
    <w:rsid w:val="00FC5D73"/>
    <w:rsid w:val="00FC6055"/>
    <w:rsid w:val="00FC611A"/>
    <w:rsid w:val="00FC63BA"/>
    <w:rsid w:val="00FC649E"/>
    <w:rsid w:val="00FC64FC"/>
    <w:rsid w:val="00FC6916"/>
    <w:rsid w:val="00FC698F"/>
    <w:rsid w:val="00FC6ABD"/>
    <w:rsid w:val="00FC6E4D"/>
    <w:rsid w:val="00FC6EF9"/>
    <w:rsid w:val="00FC71C6"/>
    <w:rsid w:val="00FC75D6"/>
    <w:rsid w:val="00FC7770"/>
    <w:rsid w:val="00FC78D7"/>
    <w:rsid w:val="00FC7BD5"/>
    <w:rsid w:val="00FC7D7F"/>
    <w:rsid w:val="00FC7F3B"/>
    <w:rsid w:val="00FD03B7"/>
    <w:rsid w:val="00FD0677"/>
    <w:rsid w:val="00FD0A35"/>
    <w:rsid w:val="00FD0B36"/>
    <w:rsid w:val="00FD0CBC"/>
    <w:rsid w:val="00FD12FF"/>
    <w:rsid w:val="00FD14A2"/>
    <w:rsid w:val="00FD15E5"/>
    <w:rsid w:val="00FD1DFD"/>
    <w:rsid w:val="00FD1F38"/>
    <w:rsid w:val="00FD1F81"/>
    <w:rsid w:val="00FD2F12"/>
    <w:rsid w:val="00FD3117"/>
    <w:rsid w:val="00FD3238"/>
    <w:rsid w:val="00FD3490"/>
    <w:rsid w:val="00FD3D70"/>
    <w:rsid w:val="00FD3E79"/>
    <w:rsid w:val="00FD416A"/>
    <w:rsid w:val="00FD439D"/>
    <w:rsid w:val="00FD48C2"/>
    <w:rsid w:val="00FD4E94"/>
    <w:rsid w:val="00FD50BE"/>
    <w:rsid w:val="00FD51CF"/>
    <w:rsid w:val="00FD5690"/>
    <w:rsid w:val="00FD580D"/>
    <w:rsid w:val="00FD5B17"/>
    <w:rsid w:val="00FD5D45"/>
    <w:rsid w:val="00FD5EA8"/>
    <w:rsid w:val="00FD65FB"/>
    <w:rsid w:val="00FD6621"/>
    <w:rsid w:val="00FD67B8"/>
    <w:rsid w:val="00FD69F4"/>
    <w:rsid w:val="00FD6A96"/>
    <w:rsid w:val="00FD6A9C"/>
    <w:rsid w:val="00FD6AB8"/>
    <w:rsid w:val="00FD7720"/>
    <w:rsid w:val="00FD7853"/>
    <w:rsid w:val="00FD7D93"/>
    <w:rsid w:val="00FD7E8B"/>
    <w:rsid w:val="00FE003B"/>
    <w:rsid w:val="00FE0497"/>
    <w:rsid w:val="00FE04F9"/>
    <w:rsid w:val="00FE059A"/>
    <w:rsid w:val="00FE07A9"/>
    <w:rsid w:val="00FE0898"/>
    <w:rsid w:val="00FE0A64"/>
    <w:rsid w:val="00FE0BA8"/>
    <w:rsid w:val="00FE0D13"/>
    <w:rsid w:val="00FE0E19"/>
    <w:rsid w:val="00FE100F"/>
    <w:rsid w:val="00FE1100"/>
    <w:rsid w:val="00FE14B1"/>
    <w:rsid w:val="00FE1A40"/>
    <w:rsid w:val="00FE1B36"/>
    <w:rsid w:val="00FE1FC1"/>
    <w:rsid w:val="00FE21C9"/>
    <w:rsid w:val="00FE237F"/>
    <w:rsid w:val="00FE24CB"/>
    <w:rsid w:val="00FE26F6"/>
    <w:rsid w:val="00FE2C84"/>
    <w:rsid w:val="00FE2C9C"/>
    <w:rsid w:val="00FE2EF1"/>
    <w:rsid w:val="00FE2F49"/>
    <w:rsid w:val="00FE3298"/>
    <w:rsid w:val="00FE3396"/>
    <w:rsid w:val="00FE33E6"/>
    <w:rsid w:val="00FE36D7"/>
    <w:rsid w:val="00FE383E"/>
    <w:rsid w:val="00FE38ED"/>
    <w:rsid w:val="00FE39C7"/>
    <w:rsid w:val="00FE3E25"/>
    <w:rsid w:val="00FE4149"/>
    <w:rsid w:val="00FE4275"/>
    <w:rsid w:val="00FE4331"/>
    <w:rsid w:val="00FE467D"/>
    <w:rsid w:val="00FE4B65"/>
    <w:rsid w:val="00FE4C68"/>
    <w:rsid w:val="00FE4F8B"/>
    <w:rsid w:val="00FE50F7"/>
    <w:rsid w:val="00FE513E"/>
    <w:rsid w:val="00FE522C"/>
    <w:rsid w:val="00FE5460"/>
    <w:rsid w:val="00FE5763"/>
    <w:rsid w:val="00FE58F6"/>
    <w:rsid w:val="00FE59C2"/>
    <w:rsid w:val="00FE5FF0"/>
    <w:rsid w:val="00FE6551"/>
    <w:rsid w:val="00FE663A"/>
    <w:rsid w:val="00FE6674"/>
    <w:rsid w:val="00FE6684"/>
    <w:rsid w:val="00FE66D0"/>
    <w:rsid w:val="00FE6933"/>
    <w:rsid w:val="00FE698F"/>
    <w:rsid w:val="00FE69FC"/>
    <w:rsid w:val="00FE6B7F"/>
    <w:rsid w:val="00FE6B82"/>
    <w:rsid w:val="00FE7323"/>
    <w:rsid w:val="00FE758D"/>
    <w:rsid w:val="00FE766A"/>
    <w:rsid w:val="00FE76BD"/>
    <w:rsid w:val="00FE7774"/>
    <w:rsid w:val="00FE77B0"/>
    <w:rsid w:val="00FE7830"/>
    <w:rsid w:val="00FE78BC"/>
    <w:rsid w:val="00FE79AB"/>
    <w:rsid w:val="00FE7A7C"/>
    <w:rsid w:val="00FE7F02"/>
    <w:rsid w:val="00FE7F68"/>
    <w:rsid w:val="00FF0124"/>
    <w:rsid w:val="00FF018B"/>
    <w:rsid w:val="00FF03A4"/>
    <w:rsid w:val="00FF0409"/>
    <w:rsid w:val="00FF0741"/>
    <w:rsid w:val="00FF0755"/>
    <w:rsid w:val="00FF08F5"/>
    <w:rsid w:val="00FF0AB5"/>
    <w:rsid w:val="00FF0E6B"/>
    <w:rsid w:val="00FF1364"/>
    <w:rsid w:val="00FF1BA0"/>
    <w:rsid w:val="00FF1CD5"/>
    <w:rsid w:val="00FF207C"/>
    <w:rsid w:val="00FF2286"/>
    <w:rsid w:val="00FF25AA"/>
    <w:rsid w:val="00FF26F0"/>
    <w:rsid w:val="00FF2709"/>
    <w:rsid w:val="00FF2789"/>
    <w:rsid w:val="00FF29CE"/>
    <w:rsid w:val="00FF2CF2"/>
    <w:rsid w:val="00FF2DAB"/>
    <w:rsid w:val="00FF300B"/>
    <w:rsid w:val="00FF30C1"/>
    <w:rsid w:val="00FF3538"/>
    <w:rsid w:val="00FF39C5"/>
    <w:rsid w:val="00FF3A8B"/>
    <w:rsid w:val="00FF3C76"/>
    <w:rsid w:val="00FF3F61"/>
    <w:rsid w:val="00FF43CF"/>
    <w:rsid w:val="00FF44A8"/>
    <w:rsid w:val="00FF4DE5"/>
    <w:rsid w:val="00FF53A6"/>
    <w:rsid w:val="00FF57D9"/>
    <w:rsid w:val="00FF5A56"/>
    <w:rsid w:val="00FF5AE3"/>
    <w:rsid w:val="00FF5B11"/>
    <w:rsid w:val="00FF5B17"/>
    <w:rsid w:val="00FF5C9B"/>
    <w:rsid w:val="00FF5EC7"/>
    <w:rsid w:val="00FF5ECA"/>
    <w:rsid w:val="00FF5F98"/>
    <w:rsid w:val="00FF601A"/>
    <w:rsid w:val="00FF64E9"/>
    <w:rsid w:val="00FF6D79"/>
    <w:rsid w:val="00FF6F48"/>
    <w:rsid w:val="00FF6F80"/>
    <w:rsid w:val="00FF7074"/>
    <w:rsid w:val="00FF70AE"/>
    <w:rsid w:val="00FF7226"/>
    <w:rsid w:val="00FF7234"/>
    <w:rsid w:val="00FF741E"/>
    <w:rsid w:val="00FF74B3"/>
    <w:rsid w:val="00FF7712"/>
    <w:rsid w:val="00FF7923"/>
    <w:rsid w:val="00FF7C6C"/>
    <w:rsid w:val="00FF7D8D"/>
    <w:rsid w:val="01466012"/>
    <w:rsid w:val="0181F3C1"/>
    <w:rsid w:val="01EC6C8A"/>
    <w:rsid w:val="025639A8"/>
    <w:rsid w:val="027900F8"/>
    <w:rsid w:val="02A5F238"/>
    <w:rsid w:val="02FBF37D"/>
    <w:rsid w:val="03246E10"/>
    <w:rsid w:val="03294C5A"/>
    <w:rsid w:val="0331A583"/>
    <w:rsid w:val="03DB0CBB"/>
    <w:rsid w:val="04DA423C"/>
    <w:rsid w:val="0501CBAC"/>
    <w:rsid w:val="050CAB57"/>
    <w:rsid w:val="0570B6F9"/>
    <w:rsid w:val="05E7131C"/>
    <w:rsid w:val="0744D612"/>
    <w:rsid w:val="08D8901E"/>
    <w:rsid w:val="092995C1"/>
    <w:rsid w:val="09C4E234"/>
    <w:rsid w:val="0AF4CC1C"/>
    <w:rsid w:val="0B2D7B57"/>
    <w:rsid w:val="0B694BB6"/>
    <w:rsid w:val="0BC5A927"/>
    <w:rsid w:val="0CE2B01D"/>
    <w:rsid w:val="0D3C03EA"/>
    <w:rsid w:val="0E89E121"/>
    <w:rsid w:val="0EE25B3A"/>
    <w:rsid w:val="0F4CFADF"/>
    <w:rsid w:val="0FEC5071"/>
    <w:rsid w:val="104D001E"/>
    <w:rsid w:val="10527188"/>
    <w:rsid w:val="10C72E09"/>
    <w:rsid w:val="114495A1"/>
    <w:rsid w:val="11A86338"/>
    <w:rsid w:val="11ACC335"/>
    <w:rsid w:val="126CB3BB"/>
    <w:rsid w:val="134AA755"/>
    <w:rsid w:val="1437AD82"/>
    <w:rsid w:val="1492F78E"/>
    <w:rsid w:val="149659D5"/>
    <w:rsid w:val="150C73E3"/>
    <w:rsid w:val="1578262E"/>
    <w:rsid w:val="157A76DF"/>
    <w:rsid w:val="15A15612"/>
    <w:rsid w:val="16BE0013"/>
    <w:rsid w:val="1730F178"/>
    <w:rsid w:val="173EA79C"/>
    <w:rsid w:val="175D2CCE"/>
    <w:rsid w:val="178C8950"/>
    <w:rsid w:val="17BE9867"/>
    <w:rsid w:val="17DDB832"/>
    <w:rsid w:val="17E99312"/>
    <w:rsid w:val="180A2F05"/>
    <w:rsid w:val="1829D4A6"/>
    <w:rsid w:val="182EA661"/>
    <w:rsid w:val="188792DD"/>
    <w:rsid w:val="192CB84C"/>
    <w:rsid w:val="1987E240"/>
    <w:rsid w:val="1A029200"/>
    <w:rsid w:val="1A1138A6"/>
    <w:rsid w:val="1A1BB5E2"/>
    <w:rsid w:val="1AEFC4B3"/>
    <w:rsid w:val="1B251BEC"/>
    <w:rsid w:val="1B2DD3C5"/>
    <w:rsid w:val="1B664CAB"/>
    <w:rsid w:val="1BCDBFB8"/>
    <w:rsid w:val="1BFA5223"/>
    <w:rsid w:val="1D7016A0"/>
    <w:rsid w:val="1DEEAB6B"/>
    <w:rsid w:val="1E23258F"/>
    <w:rsid w:val="1E409335"/>
    <w:rsid w:val="1EA1DF24"/>
    <w:rsid w:val="1EB0A417"/>
    <w:rsid w:val="1FA157A0"/>
    <w:rsid w:val="204FA236"/>
    <w:rsid w:val="207C34F5"/>
    <w:rsid w:val="208111A2"/>
    <w:rsid w:val="20C65EDF"/>
    <w:rsid w:val="20D273BB"/>
    <w:rsid w:val="2163B2D8"/>
    <w:rsid w:val="21DA40D5"/>
    <w:rsid w:val="22215F35"/>
    <w:rsid w:val="224F6F2B"/>
    <w:rsid w:val="226D87BF"/>
    <w:rsid w:val="22FCA7D4"/>
    <w:rsid w:val="23D600AF"/>
    <w:rsid w:val="23E67A2F"/>
    <w:rsid w:val="246C7696"/>
    <w:rsid w:val="24F2CD0C"/>
    <w:rsid w:val="255CDDE4"/>
    <w:rsid w:val="2576DAD4"/>
    <w:rsid w:val="258CC1F5"/>
    <w:rsid w:val="25CF8BB5"/>
    <w:rsid w:val="25D40F4D"/>
    <w:rsid w:val="26129162"/>
    <w:rsid w:val="2802687A"/>
    <w:rsid w:val="288768C2"/>
    <w:rsid w:val="28DD67B7"/>
    <w:rsid w:val="29174055"/>
    <w:rsid w:val="2A2054DD"/>
    <w:rsid w:val="2A3927C3"/>
    <w:rsid w:val="2B05FCF8"/>
    <w:rsid w:val="2B0DEE72"/>
    <w:rsid w:val="2B11057D"/>
    <w:rsid w:val="2B5D096C"/>
    <w:rsid w:val="2B73CA8A"/>
    <w:rsid w:val="2B8038E7"/>
    <w:rsid w:val="2BD38A39"/>
    <w:rsid w:val="2BFAAAA2"/>
    <w:rsid w:val="2C413B86"/>
    <w:rsid w:val="2CC0A2B7"/>
    <w:rsid w:val="2CF70A06"/>
    <w:rsid w:val="2F17BF2E"/>
    <w:rsid w:val="2F98C367"/>
    <w:rsid w:val="2FB5DFDC"/>
    <w:rsid w:val="2FB6B546"/>
    <w:rsid w:val="3058CA42"/>
    <w:rsid w:val="31280BBF"/>
    <w:rsid w:val="31413EB4"/>
    <w:rsid w:val="31D36DAF"/>
    <w:rsid w:val="320474B4"/>
    <w:rsid w:val="33293D29"/>
    <w:rsid w:val="3354096A"/>
    <w:rsid w:val="335856FA"/>
    <w:rsid w:val="337F302D"/>
    <w:rsid w:val="339C020A"/>
    <w:rsid w:val="33CFD24A"/>
    <w:rsid w:val="34301F49"/>
    <w:rsid w:val="346DB281"/>
    <w:rsid w:val="34BAA396"/>
    <w:rsid w:val="34CDBB02"/>
    <w:rsid w:val="34D0E96C"/>
    <w:rsid w:val="352CFDB7"/>
    <w:rsid w:val="353B1160"/>
    <w:rsid w:val="3543FB05"/>
    <w:rsid w:val="364F59BA"/>
    <w:rsid w:val="3654F416"/>
    <w:rsid w:val="36590F4E"/>
    <w:rsid w:val="36632D30"/>
    <w:rsid w:val="37057AD1"/>
    <w:rsid w:val="376E859D"/>
    <w:rsid w:val="3785D13D"/>
    <w:rsid w:val="38363E95"/>
    <w:rsid w:val="38374574"/>
    <w:rsid w:val="384CA50C"/>
    <w:rsid w:val="38626D43"/>
    <w:rsid w:val="38D1AD4B"/>
    <w:rsid w:val="38F17861"/>
    <w:rsid w:val="39819E8A"/>
    <w:rsid w:val="399667C2"/>
    <w:rsid w:val="39ACB22D"/>
    <w:rsid w:val="39C34A26"/>
    <w:rsid w:val="3AC93F18"/>
    <w:rsid w:val="3AF2735C"/>
    <w:rsid w:val="3AFE7C06"/>
    <w:rsid w:val="3B4A7FDF"/>
    <w:rsid w:val="3BE56C06"/>
    <w:rsid w:val="3C0BA8DB"/>
    <w:rsid w:val="3C0ED31B"/>
    <w:rsid w:val="3C3BEC23"/>
    <w:rsid w:val="3CA87DCC"/>
    <w:rsid w:val="3CC5C76D"/>
    <w:rsid w:val="3DAC4F78"/>
    <w:rsid w:val="3DC43321"/>
    <w:rsid w:val="3E7B5A74"/>
    <w:rsid w:val="3ED61D9B"/>
    <w:rsid w:val="3EED112F"/>
    <w:rsid w:val="3EF073ED"/>
    <w:rsid w:val="3EF0A6BE"/>
    <w:rsid w:val="3F304C24"/>
    <w:rsid w:val="3F478BD6"/>
    <w:rsid w:val="3F5B77F2"/>
    <w:rsid w:val="400995BD"/>
    <w:rsid w:val="4038CD18"/>
    <w:rsid w:val="404DC445"/>
    <w:rsid w:val="409A1CA4"/>
    <w:rsid w:val="40AC9F0D"/>
    <w:rsid w:val="40C9236B"/>
    <w:rsid w:val="4131043D"/>
    <w:rsid w:val="4140D2C9"/>
    <w:rsid w:val="414200BE"/>
    <w:rsid w:val="415C84B8"/>
    <w:rsid w:val="4210CCD8"/>
    <w:rsid w:val="42C5F142"/>
    <w:rsid w:val="4311DDD8"/>
    <w:rsid w:val="434B3BF6"/>
    <w:rsid w:val="4360CE91"/>
    <w:rsid w:val="43AD5B25"/>
    <w:rsid w:val="446A2A74"/>
    <w:rsid w:val="4578B595"/>
    <w:rsid w:val="45798379"/>
    <w:rsid w:val="460024A6"/>
    <w:rsid w:val="46C7333D"/>
    <w:rsid w:val="46D3F03D"/>
    <w:rsid w:val="471823DB"/>
    <w:rsid w:val="47183024"/>
    <w:rsid w:val="48215767"/>
    <w:rsid w:val="48256311"/>
    <w:rsid w:val="490A14ED"/>
    <w:rsid w:val="49FC7194"/>
    <w:rsid w:val="4A77E3B6"/>
    <w:rsid w:val="4A9041CA"/>
    <w:rsid w:val="4A9967DD"/>
    <w:rsid w:val="4AFEAA66"/>
    <w:rsid w:val="4B2D75F3"/>
    <w:rsid w:val="4C32DA65"/>
    <w:rsid w:val="4CC8AE35"/>
    <w:rsid w:val="4D0681E7"/>
    <w:rsid w:val="4D1610B4"/>
    <w:rsid w:val="4D684653"/>
    <w:rsid w:val="4D787658"/>
    <w:rsid w:val="4E93B2E7"/>
    <w:rsid w:val="4F1153E2"/>
    <w:rsid w:val="4F1E140A"/>
    <w:rsid w:val="4F4755C6"/>
    <w:rsid w:val="4F5182F3"/>
    <w:rsid w:val="503D8B31"/>
    <w:rsid w:val="50F4282A"/>
    <w:rsid w:val="5138D608"/>
    <w:rsid w:val="519F0CB9"/>
    <w:rsid w:val="5261E712"/>
    <w:rsid w:val="52E5AF6A"/>
    <w:rsid w:val="53DDB12B"/>
    <w:rsid w:val="54226460"/>
    <w:rsid w:val="54579FFB"/>
    <w:rsid w:val="54902AEC"/>
    <w:rsid w:val="54E26B3B"/>
    <w:rsid w:val="54F45AE3"/>
    <w:rsid w:val="5527C6D1"/>
    <w:rsid w:val="554FFC7D"/>
    <w:rsid w:val="55984A4E"/>
    <w:rsid w:val="562EA3FB"/>
    <w:rsid w:val="568FFC83"/>
    <w:rsid w:val="57372924"/>
    <w:rsid w:val="57480002"/>
    <w:rsid w:val="57D77432"/>
    <w:rsid w:val="57F2397A"/>
    <w:rsid w:val="583018A5"/>
    <w:rsid w:val="58B2722B"/>
    <w:rsid w:val="58EB5271"/>
    <w:rsid w:val="59CB77EB"/>
    <w:rsid w:val="59F249F1"/>
    <w:rsid w:val="5A104D4B"/>
    <w:rsid w:val="5A45DFA5"/>
    <w:rsid w:val="5A6DDDFB"/>
    <w:rsid w:val="5A8E0780"/>
    <w:rsid w:val="5A8FF104"/>
    <w:rsid w:val="5ACA5D6E"/>
    <w:rsid w:val="5B534056"/>
    <w:rsid w:val="5B6E9663"/>
    <w:rsid w:val="5B81A88B"/>
    <w:rsid w:val="5B8632D1"/>
    <w:rsid w:val="5C199929"/>
    <w:rsid w:val="5C3E447E"/>
    <w:rsid w:val="5C7263A3"/>
    <w:rsid w:val="5CC56FD5"/>
    <w:rsid w:val="5CFB89CD"/>
    <w:rsid w:val="5DCC2E23"/>
    <w:rsid w:val="5E0E2BDF"/>
    <w:rsid w:val="5F37820D"/>
    <w:rsid w:val="5FB077D3"/>
    <w:rsid w:val="5FB55480"/>
    <w:rsid w:val="60C50BF4"/>
    <w:rsid w:val="61BA954F"/>
    <w:rsid w:val="61DE5F89"/>
    <w:rsid w:val="6206B060"/>
    <w:rsid w:val="62763260"/>
    <w:rsid w:val="6310D749"/>
    <w:rsid w:val="631FBDE5"/>
    <w:rsid w:val="632A74BC"/>
    <w:rsid w:val="63397EAD"/>
    <w:rsid w:val="6367B7A3"/>
    <w:rsid w:val="64447430"/>
    <w:rsid w:val="649416C5"/>
    <w:rsid w:val="652A4923"/>
    <w:rsid w:val="657C43ED"/>
    <w:rsid w:val="65D9C299"/>
    <w:rsid w:val="667087F7"/>
    <w:rsid w:val="669D51FD"/>
    <w:rsid w:val="66C30DD8"/>
    <w:rsid w:val="66DB2689"/>
    <w:rsid w:val="672F4E4E"/>
    <w:rsid w:val="674AFCDE"/>
    <w:rsid w:val="675FA52B"/>
    <w:rsid w:val="67BFCC62"/>
    <w:rsid w:val="684034B2"/>
    <w:rsid w:val="685E6605"/>
    <w:rsid w:val="68E4C52C"/>
    <w:rsid w:val="69FCA7D3"/>
    <w:rsid w:val="6A01E74F"/>
    <w:rsid w:val="6A15B578"/>
    <w:rsid w:val="6A786750"/>
    <w:rsid w:val="6AA60DE0"/>
    <w:rsid w:val="6AD3F831"/>
    <w:rsid w:val="6AD44E48"/>
    <w:rsid w:val="6B041783"/>
    <w:rsid w:val="6B25C2DD"/>
    <w:rsid w:val="6BE316E9"/>
    <w:rsid w:val="6C1B610F"/>
    <w:rsid w:val="6C335B57"/>
    <w:rsid w:val="6C5CC26C"/>
    <w:rsid w:val="6C989CE5"/>
    <w:rsid w:val="6C9E50B5"/>
    <w:rsid w:val="6D56647A"/>
    <w:rsid w:val="6DFAFB9A"/>
    <w:rsid w:val="6E40C5BE"/>
    <w:rsid w:val="6EA726FB"/>
    <w:rsid w:val="6F1FE345"/>
    <w:rsid w:val="6FD664C5"/>
    <w:rsid w:val="7012B762"/>
    <w:rsid w:val="709735E9"/>
    <w:rsid w:val="70EA1C17"/>
    <w:rsid w:val="710396FA"/>
    <w:rsid w:val="71359064"/>
    <w:rsid w:val="71BA5DDB"/>
    <w:rsid w:val="71D61EE0"/>
    <w:rsid w:val="71F6BC95"/>
    <w:rsid w:val="721C3BCD"/>
    <w:rsid w:val="7237721C"/>
    <w:rsid w:val="726A626E"/>
    <w:rsid w:val="736174C6"/>
    <w:rsid w:val="737102DC"/>
    <w:rsid w:val="73984D60"/>
    <w:rsid w:val="73B6DD3E"/>
    <w:rsid w:val="741AE41F"/>
    <w:rsid w:val="74BAE7DB"/>
    <w:rsid w:val="74E9D21E"/>
    <w:rsid w:val="750CBA91"/>
    <w:rsid w:val="75482BD6"/>
    <w:rsid w:val="7578233D"/>
    <w:rsid w:val="75A646BA"/>
    <w:rsid w:val="760FC515"/>
    <w:rsid w:val="7646EC9B"/>
    <w:rsid w:val="764797C9"/>
    <w:rsid w:val="764D2E2D"/>
    <w:rsid w:val="76FC89B2"/>
    <w:rsid w:val="7736D18F"/>
    <w:rsid w:val="774AA413"/>
    <w:rsid w:val="777FC0F1"/>
    <w:rsid w:val="778302A0"/>
    <w:rsid w:val="778E076B"/>
    <w:rsid w:val="77BE5EEC"/>
    <w:rsid w:val="77CAAC2D"/>
    <w:rsid w:val="781436A3"/>
    <w:rsid w:val="787BDF03"/>
    <w:rsid w:val="788BE390"/>
    <w:rsid w:val="78973CCA"/>
    <w:rsid w:val="78A83C1B"/>
    <w:rsid w:val="79199C32"/>
    <w:rsid w:val="793F9FBA"/>
    <w:rsid w:val="7947A0FD"/>
    <w:rsid w:val="79B6739D"/>
    <w:rsid w:val="7A908B4F"/>
    <w:rsid w:val="7AA081B2"/>
    <w:rsid w:val="7AFC0A0A"/>
    <w:rsid w:val="7B6A5B9C"/>
    <w:rsid w:val="7B747431"/>
    <w:rsid w:val="7BF30A4F"/>
    <w:rsid w:val="7BFD004E"/>
    <w:rsid w:val="7C42FB35"/>
    <w:rsid w:val="7C4F4198"/>
    <w:rsid w:val="7CB0AE2B"/>
    <w:rsid w:val="7CF76829"/>
    <w:rsid w:val="7D0F7A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670D144"/>
  <w15:docId w15:val="{D2E9B333-797E-45EE-AFD6-F046ABEA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4E50E8"/>
    <w:pPr>
      <w:suppressAutoHyphens/>
      <w:spacing w:before="120" w:line="280" w:lineRule="atLeast"/>
      <w:jc w:val="both"/>
    </w:pPr>
    <w:rPr>
      <w:rFonts w:ascii="Arial" w:hAnsi="Arial"/>
      <w:color w:val="2C2624"/>
      <w:sz w:val="20"/>
      <w:lang w:val="en-AU" w:eastAsia="en-US"/>
    </w:rPr>
  </w:style>
  <w:style w:type="paragraph" w:styleId="Heading1">
    <w:name w:val="heading 1"/>
    <w:basedOn w:val="ReportTitle"/>
    <w:next w:val="BodyText"/>
    <w:qFormat/>
    <w:rsid w:val="00D87759"/>
    <w:pPr>
      <w:spacing w:before="2300" w:after="0" w:line="360" w:lineRule="auto"/>
      <w:outlineLvl w:val="0"/>
    </w:pPr>
    <w:rPr>
      <w:rFonts w:cs="Arial"/>
    </w:rPr>
  </w:style>
  <w:style w:type="paragraph" w:styleId="Heading2">
    <w:name w:val="heading 2"/>
    <w:basedOn w:val="Normal"/>
    <w:next w:val="BodyText"/>
    <w:link w:val="Heading2Char"/>
    <w:qFormat/>
    <w:rsid w:val="00222BC6"/>
    <w:pPr>
      <w:keepNext/>
      <w:keepLines/>
      <w:pageBreakBefore/>
      <w:spacing w:line="360" w:lineRule="auto"/>
      <w:jc w:val="left"/>
      <w:outlineLvl w:val="1"/>
    </w:pPr>
    <w:rPr>
      <w:color w:val="ED0C64"/>
      <w:kern w:val="32"/>
      <w:sz w:val="44"/>
      <w:szCs w:val="44"/>
    </w:rPr>
  </w:style>
  <w:style w:type="paragraph" w:styleId="Heading3">
    <w:name w:val="heading 3"/>
    <w:basedOn w:val="Normal"/>
    <w:next w:val="BodyText"/>
    <w:link w:val="Heading3Char"/>
    <w:qFormat/>
    <w:rsid w:val="00BB54C3"/>
    <w:pPr>
      <w:spacing w:before="240" w:after="120" w:line="240" w:lineRule="auto"/>
      <w:jc w:val="left"/>
      <w:outlineLvl w:val="2"/>
    </w:pPr>
    <w:rPr>
      <w:color w:val="62136D"/>
      <w:kern w:val="32"/>
      <w:sz w:val="38"/>
      <w:szCs w:val="38"/>
    </w:rPr>
  </w:style>
  <w:style w:type="paragraph" w:styleId="Heading4">
    <w:name w:val="heading 4"/>
    <w:basedOn w:val="Normal"/>
    <w:next w:val="BodyText"/>
    <w:link w:val="Heading4Char"/>
    <w:qFormat/>
    <w:rsid w:val="000544F5"/>
    <w:pPr>
      <w:spacing w:before="240" w:after="120" w:line="360" w:lineRule="auto"/>
      <w:outlineLvl w:val="3"/>
    </w:pPr>
    <w:rPr>
      <w:color w:val="241C44"/>
      <w:sz w:val="32"/>
      <w:szCs w:val="32"/>
    </w:rPr>
  </w:style>
  <w:style w:type="paragraph" w:styleId="Heading5">
    <w:name w:val="heading 5"/>
    <w:basedOn w:val="Normal"/>
    <w:next w:val="Normal"/>
    <w:link w:val="Heading5Char"/>
    <w:uiPriority w:val="9"/>
    <w:rsid w:val="004E50E8"/>
    <w:pPr>
      <w:spacing w:before="240" w:after="120" w:line="360" w:lineRule="auto"/>
      <w:outlineLvl w:val="4"/>
    </w:pPr>
    <w:rPr>
      <w:color w:val="241C4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74C57"/>
    <w:pPr>
      <w:jc w:val="left"/>
    </w:pPr>
    <w:rPr>
      <w:rFonts w:eastAsia="Times New Roman"/>
      <w:lang w:bidi="en-US"/>
    </w:rPr>
  </w:style>
  <w:style w:type="character" w:customStyle="1" w:styleId="BodyTextChar">
    <w:name w:val="Body Text Char"/>
    <w:basedOn w:val="DefaultParagraphFont"/>
    <w:link w:val="BodyText"/>
    <w:rsid w:val="006318E1"/>
    <w:rPr>
      <w:rFonts w:ascii="Arial" w:eastAsia="Times New Roman" w:hAnsi="Arial"/>
      <w:color w:val="2C2624"/>
      <w:sz w:val="20"/>
      <w:lang w:val="en-AU" w:eastAsia="en-US" w:bidi="en-US"/>
    </w:rPr>
  </w:style>
  <w:style w:type="character" w:customStyle="1" w:styleId="Heading3Char">
    <w:name w:val="Heading 3 Char"/>
    <w:basedOn w:val="DefaultParagraphFont"/>
    <w:link w:val="Heading3"/>
    <w:rsid w:val="00BB54C3"/>
    <w:rPr>
      <w:rFonts w:ascii="Arial" w:hAnsi="Arial"/>
      <w:color w:val="62136D"/>
      <w:kern w:val="32"/>
      <w:sz w:val="38"/>
      <w:szCs w:val="38"/>
      <w:lang w:val="en-AU" w:eastAsia="en-US"/>
    </w:rPr>
  </w:style>
  <w:style w:type="character" w:customStyle="1" w:styleId="Heading4Char">
    <w:name w:val="Heading 4 Char"/>
    <w:basedOn w:val="DefaultParagraphFont"/>
    <w:link w:val="Heading4"/>
    <w:rsid w:val="000544F5"/>
    <w:rPr>
      <w:rFonts w:ascii="Arial" w:hAnsi="Arial"/>
      <w:color w:val="241C44"/>
      <w:sz w:val="32"/>
      <w:szCs w:val="32"/>
      <w:lang w:val="en-AU" w:eastAsia="en-US"/>
    </w:rPr>
  </w:style>
  <w:style w:type="table" w:styleId="TableGrid">
    <w:name w:val="Table Grid"/>
    <w:aliases w:val="DPS Table Grid"/>
    <w:basedOn w:val="TableNormal"/>
    <w:rsid w:val="00774D3B"/>
    <w:pPr>
      <w:spacing w:before="120"/>
    </w:pPr>
    <w:rPr>
      <w:rFonts w:ascii="Arial" w:hAnsi="Arial"/>
      <w:color w:val="2C2624"/>
      <w:sz w:val="18"/>
      <w:szCs w:val="18"/>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paragraph" w:styleId="ListBullet">
    <w:name w:val="List Bullet"/>
    <w:basedOn w:val="BodyText"/>
    <w:qFormat/>
    <w:rsid w:val="00CC4D0F"/>
    <w:pPr>
      <w:numPr>
        <w:numId w:val="1"/>
      </w:numPr>
      <w:spacing w:before="60"/>
    </w:pPr>
  </w:style>
  <w:style w:type="paragraph" w:styleId="ListNumber">
    <w:name w:val="List Number"/>
    <w:basedOn w:val="BodyText"/>
    <w:rsid w:val="002805D2"/>
    <w:pPr>
      <w:numPr>
        <w:numId w:val="4"/>
      </w:numPr>
      <w:spacing w:before="60"/>
    </w:pPr>
  </w:style>
  <w:style w:type="paragraph" w:styleId="ListBullet2">
    <w:name w:val="List Bullet 2"/>
    <w:basedOn w:val="ListBullet"/>
    <w:qFormat/>
    <w:rsid w:val="00CC4D0F"/>
    <w:pPr>
      <w:numPr>
        <w:numId w:val="2"/>
      </w:numPr>
      <w:ind w:left="850" w:hanging="425"/>
    </w:pPr>
  </w:style>
  <w:style w:type="paragraph" w:styleId="ListNumber2">
    <w:name w:val="List Number 2"/>
    <w:basedOn w:val="ListNumber"/>
    <w:rsid w:val="002805D2"/>
    <w:pPr>
      <w:numPr>
        <w:numId w:val="3"/>
      </w:numPr>
    </w:pPr>
  </w:style>
  <w:style w:type="paragraph" w:styleId="Footer">
    <w:name w:val="footer"/>
    <w:basedOn w:val="Normal"/>
    <w:link w:val="FooterChar"/>
    <w:uiPriority w:val="99"/>
    <w:rsid w:val="00526EC6"/>
    <w:pPr>
      <w:tabs>
        <w:tab w:val="right" w:pos="8505"/>
      </w:tabs>
    </w:pPr>
    <w:rPr>
      <w:color w:val="241C44"/>
      <w:sz w:val="16"/>
      <w:szCs w:val="16"/>
    </w:rPr>
  </w:style>
  <w:style w:type="paragraph" w:styleId="Header">
    <w:name w:val="header"/>
    <w:basedOn w:val="Normal"/>
    <w:rsid w:val="00526EC6"/>
    <w:pPr>
      <w:spacing w:before="0" w:line="240" w:lineRule="auto"/>
    </w:pPr>
    <w:rPr>
      <w:noProof/>
      <w:color w:val="241C44"/>
      <w:sz w:val="16"/>
      <w:szCs w:val="16"/>
      <w:lang w:val="en-US"/>
    </w:rPr>
  </w:style>
  <w:style w:type="paragraph" w:styleId="BalloonText">
    <w:name w:val="Balloon Text"/>
    <w:basedOn w:val="Normal"/>
    <w:semiHidden/>
    <w:rsid w:val="000B343E"/>
    <w:rPr>
      <w:rFonts w:ascii="Lucida Grande" w:hAnsi="Lucida Grande"/>
      <w:sz w:val="18"/>
      <w:szCs w:val="18"/>
    </w:rPr>
  </w:style>
  <w:style w:type="paragraph" w:customStyle="1" w:styleId="FigureCaption">
    <w:name w:val="Figure Caption"/>
    <w:basedOn w:val="BodyText"/>
    <w:next w:val="BodyText"/>
    <w:qFormat/>
    <w:rsid w:val="00BC3528"/>
    <w:pPr>
      <w:keepNext/>
      <w:keepLines/>
      <w:spacing w:before="320"/>
    </w:pPr>
    <w:rPr>
      <w:rFonts w:cs="Arial"/>
      <w:b/>
      <w:color w:val="ED0C64"/>
      <w:lang w:val="en-US" w:eastAsia="ja-JP"/>
    </w:rPr>
  </w:style>
  <w:style w:type="paragraph" w:customStyle="1" w:styleId="HeaderCover">
    <w:name w:val="Header Cover"/>
    <w:basedOn w:val="Header"/>
    <w:rsid w:val="008C3543"/>
    <w:pPr>
      <w:ind w:left="-1701" w:right="-1701"/>
      <w:jc w:val="center"/>
    </w:pPr>
  </w:style>
  <w:style w:type="paragraph" w:customStyle="1" w:styleId="ReportTitle">
    <w:name w:val="Report Title"/>
    <w:rsid w:val="001D176F"/>
    <w:pPr>
      <w:keepLines/>
      <w:suppressAutoHyphens/>
      <w:spacing w:before="1680" w:after="240"/>
      <w:jc w:val="center"/>
    </w:pPr>
    <w:rPr>
      <w:rFonts w:ascii="Arial" w:eastAsia="Times New Roman" w:hAnsi="Arial"/>
      <w:color w:val="ED0C64"/>
      <w:sz w:val="56"/>
      <w:szCs w:val="56"/>
      <w:lang w:val="en-AU" w:eastAsia="en-US" w:bidi="en-US"/>
    </w:rPr>
  </w:style>
  <w:style w:type="paragraph" w:customStyle="1" w:styleId="ReportSubtitle">
    <w:name w:val="Report Subtitle"/>
    <w:rsid w:val="005D0819"/>
    <w:pPr>
      <w:spacing w:before="240"/>
      <w:jc w:val="center"/>
    </w:pPr>
    <w:rPr>
      <w:rFonts w:ascii="Arial" w:eastAsia="Times New Roman" w:hAnsi="Arial"/>
      <w:color w:val="241C44"/>
      <w:sz w:val="36"/>
      <w:szCs w:val="28"/>
      <w:lang w:val="en-AU" w:eastAsia="en-US" w:bidi="en-US"/>
    </w:rPr>
  </w:style>
  <w:style w:type="paragraph" w:customStyle="1" w:styleId="PlaceholderImage">
    <w:name w:val="Placeholder Image"/>
    <w:basedOn w:val="BodyText"/>
    <w:rsid w:val="00D718FB"/>
    <w:pPr>
      <w:spacing w:before="360" w:after="360"/>
      <w:jc w:val="center"/>
    </w:pPr>
  </w:style>
  <w:style w:type="paragraph" w:customStyle="1" w:styleId="CoverDetails">
    <w:name w:val="Cover Details"/>
    <w:basedOn w:val="BodyText"/>
    <w:rsid w:val="00B05718"/>
    <w:pPr>
      <w:spacing w:before="240"/>
      <w:jc w:val="center"/>
    </w:pPr>
    <w:rPr>
      <w:color w:val="241C44"/>
      <w:sz w:val="22"/>
      <w:szCs w:val="22"/>
    </w:rPr>
  </w:style>
  <w:style w:type="character" w:styleId="PageNumber">
    <w:name w:val="page number"/>
    <w:basedOn w:val="DefaultParagraphFont"/>
    <w:uiPriority w:val="99"/>
    <w:semiHidden/>
    <w:unhideWhenUsed/>
    <w:rsid w:val="00034106"/>
  </w:style>
  <w:style w:type="paragraph" w:customStyle="1" w:styleId="Heading1Outline">
    <w:name w:val="Heading 1 Outline"/>
    <w:basedOn w:val="Heading1"/>
    <w:next w:val="BodyText"/>
    <w:rsid w:val="00CC4D0F"/>
    <w:pPr>
      <w:numPr>
        <w:numId w:val="5"/>
      </w:numPr>
    </w:pPr>
  </w:style>
  <w:style w:type="paragraph" w:customStyle="1" w:styleId="Heading2Outline">
    <w:name w:val="Heading 2 Outline"/>
    <w:basedOn w:val="Heading1Outline"/>
    <w:next w:val="BodyText"/>
    <w:rsid w:val="00CC4D0F"/>
    <w:pPr>
      <w:numPr>
        <w:ilvl w:val="1"/>
      </w:numPr>
      <w:spacing w:before="240"/>
      <w:outlineLvl w:val="1"/>
    </w:pPr>
    <w:rPr>
      <w:color w:val="62136D"/>
      <w:sz w:val="38"/>
      <w:szCs w:val="38"/>
    </w:rPr>
  </w:style>
  <w:style w:type="paragraph" w:styleId="ListParagraph">
    <w:name w:val="List Paragraph"/>
    <w:basedOn w:val="BodyText"/>
    <w:uiPriority w:val="34"/>
    <w:qFormat/>
    <w:rsid w:val="00E77355"/>
    <w:pPr>
      <w:spacing w:before="60"/>
      <w:ind w:left="425"/>
      <w:contextualSpacing/>
    </w:pPr>
  </w:style>
  <w:style w:type="paragraph" w:customStyle="1" w:styleId="TableCaption">
    <w:name w:val="Table Caption"/>
    <w:basedOn w:val="BodyText"/>
    <w:rsid w:val="00CC4D0F"/>
    <w:pPr>
      <w:keepNext/>
      <w:spacing w:before="240" w:after="120"/>
    </w:pPr>
    <w:rPr>
      <w:b/>
      <w:color w:val="ED0C64"/>
    </w:rPr>
  </w:style>
  <w:style w:type="paragraph" w:customStyle="1" w:styleId="FigureNotes">
    <w:name w:val="Figure Notes"/>
    <w:basedOn w:val="BodyText"/>
    <w:qFormat/>
    <w:rsid w:val="00CC4D0F"/>
    <w:pPr>
      <w:keepNext/>
      <w:spacing w:before="240" w:line="240" w:lineRule="auto"/>
      <w:contextualSpacing/>
    </w:pPr>
    <w:rPr>
      <w:rFonts w:cs="Arial"/>
      <w:sz w:val="16"/>
      <w:szCs w:val="16"/>
      <w:lang w:val="en-US" w:eastAsia="ja-JP"/>
    </w:rPr>
  </w:style>
  <w:style w:type="paragraph" w:customStyle="1" w:styleId="FigurePlaceholder">
    <w:name w:val="Figure Placeholder"/>
    <w:basedOn w:val="BodyText"/>
    <w:qFormat/>
    <w:rsid w:val="00BC3528"/>
    <w:pPr>
      <w:keepNext/>
      <w:spacing w:before="240" w:after="240" w:line="240" w:lineRule="auto"/>
      <w:jc w:val="center"/>
    </w:pPr>
    <w:rPr>
      <w:lang w:val="en-US" w:eastAsia="ja-JP"/>
    </w:rPr>
  </w:style>
  <w:style w:type="character" w:styleId="CommentReference">
    <w:name w:val="annotation reference"/>
    <w:basedOn w:val="DefaultParagraphFont"/>
    <w:uiPriority w:val="99"/>
    <w:semiHidden/>
    <w:unhideWhenUsed/>
    <w:rsid w:val="00BF1C95"/>
    <w:rPr>
      <w:sz w:val="18"/>
      <w:szCs w:val="18"/>
    </w:rPr>
  </w:style>
  <w:style w:type="paragraph" w:styleId="CommentText">
    <w:name w:val="annotation text"/>
    <w:link w:val="CommentTextChar"/>
    <w:uiPriority w:val="99"/>
    <w:unhideWhenUsed/>
    <w:rsid w:val="001A2A21"/>
    <w:rPr>
      <w:rFonts w:ascii="Arial Narrow" w:hAnsi="Arial Narrow"/>
      <w:color w:val="FF0000"/>
      <w:sz w:val="16"/>
      <w:lang w:val="en-AU" w:eastAsia="en-US"/>
    </w:rPr>
  </w:style>
  <w:style w:type="character" w:customStyle="1" w:styleId="CommentTextChar">
    <w:name w:val="Comment Text Char"/>
    <w:basedOn w:val="DefaultParagraphFont"/>
    <w:link w:val="CommentText"/>
    <w:uiPriority w:val="99"/>
    <w:rsid w:val="001A2A21"/>
    <w:rPr>
      <w:rFonts w:ascii="Arial Narrow" w:hAnsi="Arial Narrow"/>
      <w:color w:val="FF0000"/>
      <w:sz w:val="16"/>
      <w:lang w:val="en-AU" w:eastAsia="en-US"/>
    </w:rPr>
  </w:style>
  <w:style w:type="paragraph" w:styleId="CommentSubject">
    <w:name w:val="annotation subject"/>
    <w:basedOn w:val="CommentText"/>
    <w:next w:val="CommentText"/>
    <w:link w:val="CommentSubjectChar"/>
    <w:uiPriority w:val="99"/>
    <w:semiHidden/>
    <w:unhideWhenUsed/>
    <w:rsid w:val="00BF1C95"/>
    <w:rPr>
      <w:b/>
      <w:bCs/>
      <w:sz w:val="20"/>
      <w:szCs w:val="20"/>
    </w:rPr>
  </w:style>
  <w:style w:type="character" w:customStyle="1" w:styleId="CommentSubjectChar">
    <w:name w:val="Comment Subject Char"/>
    <w:basedOn w:val="CommentTextChar"/>
    <w:link w:val="CommentSubject"/>
    <w:uiPriority w:val="99"/>
    <w:semiHidden/>
    <w:rsid w:val="00BF1C95"/>
    <w:rPr>
      <w:rFonts w:ascii="Arial Narrow" w:hAnsi="Arial Narrow"/>
      <w:b/>
      <w:bCs/>
      <w:color w:val="FF0000"/>
      <w:sz w:val="20"/>
      <w:szCs w:val="20"/>
      <w:lang w:val="en-AU" w:eastAsia="en-US"/>
    </w:rPr>
  </w:style>
  <w:style w:type="paragraph" w:customStyle="1" w:styleId="CommentTextBullet">
    <w:name w:val="Comment Text Bullet"/>
    <w:basedOn w:val="CommentText"/>
    <w:rsid w:val="0014636E"/>
    <w:pPr>
      <w:numPr>
        <w:numId w:val="6"/>
      </w:numPr>
    </w:pPr>
  </w:style>
  <w:style w:type="paragraph" w:customStyle="1" w:styleId="ListParagraph2">
    <w:name w:val="List Paragraph 2"/>
    <w:basedOn w:val="ListParagraph"/>
    <w:rsid w:val="00DF52A4"/>
    <w:pPr>
      <w:ind w:left="851"/>
    </w:pPr>
  </w:style>
  <w:style w:type="table" w:customStyle="1" w:styleId="TableBox">
    <w:name w:val="Table Box"/>
    <w:basedOn w:val="TableNormal"/>
    <w:uiPriority w:val="99"/>
    <w:rsid w:val="00DD374B"/>
    <w:rPr>
      <w:rFonts w:ascii="Arial" w:hAnsi="Arial"/>
      <w:sz w:val="20"/>
    </w:rPr>
    <w:tblPr>
      <w:tblBorders>
        <w:top w:val="single" w:sz="4" w:space="0" w:color="auto"/>
        <w:left w:val="single" w:sz="4" w:space="0" w:color="auto"/>
        <w:bottom w:val="single" w:sz="4" w:space="0" w:color="auto"/>
        <w:right w:val="single" w:sz="4" w:space="0" w:color="auto"/>
      </w:tblBorders>
      <w:tblCellMar>
        <w:top w:w="113" w:type="dxa"/>
        <w:bottom w:w="113" w:type="dxa"/>
      </w:tblCellMar>
    </w:tblPr>
  </w:style>
  <w:style w:type="paragraph" w:customStyle="1" w:styleId="PrelimHeading1">
    <w:name w:val="Prelim Heading 1"/>
    <w:basedOn w:val="Heading1"/>
    <w:next w:val="BodyText"/>
    <w:rsid w:val="009A278B"/>
    <w:pPr>
      <w:pageBreakBefore/>
    </w:pPr>
  </w:style>
  <w:style w:type="paragraph" w:styleId="TOC1">
    <w:name w:val="toc 1"/>
    <w:basedOn w:val="Normal"/>
    <w:next w:val="Normal"/>
    <w:autoRedefine/>
    <w:uiPriority w:val="39"/>
    <w:unhideWhenUsed/>
    <w:rsid w:val="004E0154"/>
    <w:pPr>
      <w:tabs>
        <w:tab w:val="right" w:leader="dot" w:pos="8489"/>
      </w:tabs>
      <w:jc w:val="left"/>
    </w:pPr>
    <w:rPr>
      <w:bCs/>
      <w:szCs w:val="22"/>
    </w:rPr>
  </w:style>
  <w:style w:type="paragraph" w:styleId="TOC2">
    <w:name w:val="toc 2"/>
    <w:basedOn w:val="Normal"/>
    <w:next w:val="Normal"/>
    <w:autoRedefine/>
    <w:uiPriority w:val="39"/>
    <w:unhideWhenUsed/>
    <w:rsid w:val="008616A3"/>
    <w:pPr>
      <w:tabs>
        <w:tab w:val="right" w:leader="dot" w:pos="8489"/>
      </w:tabs>
      <w:spacing w:line="360" w:lineRule="auto"/>
      <w:ind w:left="200"/>
      <w:jc w:val="left"/>
    </w:pPr>
    <w:rPr>
      <w:iCs/>
      <w:szCs w:val="22"/>
    </w:rPr>
  </w:style>
  <w:style w:type="paragraph" w:styleId="TOC3">
    <w:name w:val="toc 3"/>
    <w:basedOn w:val="Normal"/>
    <w:next w:val="Normal"/>
    <w:autoRedefine/>
    <w:uiPriority w:val="39"/>
    <w:unhideWhenUsed/>
    <w:rsid w:val="00545404"/>
    <w:pPr>
      <w:spacing w:before="0"/>
      <w:ind w:left="400"/>
      <w:jc w:val="left"/>
    </w:pPr>
    <w:rPr>
      <w:szCs w:val="22"/>
    </w:rPr>
  </w:style>
  <w:style w:type="paragraph" w:styleId="TOC4">
    <w:name w:val="toc 4"/>
    <w:basedOn w:val="Normal"/>
    <w:next w:val="Normal"/>
    <w:autoRedefine/>
    <w:uiPriority w:val="39"/>
    <w:unhideWhenUsed/>
    <w:rsid w:val="00B44E9B"/>
    <w:pPr>
      <w:ind w:left="600"/>
    </w:pPr>
  </w:style>
  <w:style w:type="paragraph" w:styleId="TOC5">
    <w:name w:val="toc 5"/>
    <w:basedOn w:val="Normal"/>
    <w:next w:val="Normal"/>
    <w:autoRedefine/>
    <w:uiPriority w:val="39"/>
    <w:unhideWhenUsed/>
    <w:rsid w:val="00B44E9B"/>
    <w:pPr>
      <w:ind w:left="800"/>
    </w:pPr>
  </w:style>
  <w:style w:type="paragraph" w:styleId="TOC6">
    <w:name w:val="toc 6"/>
    <w:basedOn w:val="Normal"/>
    <w:next w:val="Normal"/>
    <w:autoRedefine/>
    <w:uiPriority w:val="39"/>
    <w:unhideWhenUsed/>
    <w:rsid w:val="00B44E9B"/>
    <w:pPr>
      <w:ind w:left="1000"/>
    </w:pPr>
  </w:style>
  <w:style w:type="paragraph" w:styleId="TOC7">
    <w:name w:val="toc 7"/>
    <w:basedOn w:val="Normal"/>
    <w:next w:val="Normal"/>
    <w:autoRedefine/>
    <w:uiPriority w:val="39"/>
    <w:unhideWhenUsed/>
    <w:rsid w:val="00B44E9B"/>
    <w:pPr>
      <w:ind w:left="1200"/>
    </w:pPr>
  </w:style>
  <w:style w:type="paragraph" w:styleId="TOC8">
    <w:name w:val="toc 8"/>
    <w:basedOn w:val="Normal"/>
    <w:next w:val="Normal"/>
    <w:autoRedefine/>
    <w:uiPriority w:val="39"/>
    <w:unhideWhenUsed/>
    <w:rsid w:val="00B44E9B"/>
    <w:pPr>
      <w:ind w:left="1400"/>
    </w:pPr>
  </w:style>
  <w:style w:type="paragraph" w:styleId="TOC9">
    <w:name w:val="toc 9"/>
    <w:basedOn w:val="Normal"/>
    <w:next w:val="Normal"/>
    <w:autoRedefine/>
    <w:uiPriority w:val="39"/>
    <w:unhideWhenUsed/>
    <w:rsid w:val="00B44E9B"/>
    <w:pPr>
      <w:ind w:left="1600"/>
    </w:pPr>
  </w:style>
  <w:style w:type="paragraph" w:styleId="FootnoteText">
    <w:name w:val="footnote text"/>
    <w:basedOn w:val="Normal"/>
    <w:link w:val="FootnoteTextChar"/>
    <w:uiPriority w:val="99"/>
    <w:unhideWhenUsed/>
    <w:rsid w:val="00CC4D0F"/>
    <w:pPr>
      <w:spacing w:before="0" w:line="240" w:lineRule="auto"/>
      <w:ind w:left="284" w:hanging="284"/>
      <w:jc w:val="left"/>
    </w:pPr>
    <w:rPr>
      <w:sz w:val="16"/>
      <w:szCs w:val="16"/>
    </w:rPr>
  </w:style>
  <w:style w:type="character" w:customStyle="1" w:styleId="FootnoteTextChar">
    <w:name w:val="Footnote Text Char"/>
    <w:basedOn w:val="DefaultParagraphFont"/>
    <w:link w:val="FootnoteText"/>
    <w:uiPriority w:val="99"/>
    <w:rsid w:val="00CC4D0F"/>
    <w:rPr>
      <w:rFonts w:ascii="Arial" w:hAnsi="Arial"/>
      <w:color w:val="2C2624"/>
      <w:sz w:val="16"/>
      <w:szCs w:val="16"/>
      <w:lang w:val="en-AU" w:eastAsia="en-US"/>
    </w:rPr>
  </w:style>
  <w:style w:type="character" w:styleId="FootnoteReference">
    <w:name w:val="footnote reference"/>
    <w:basedOn w:val="DefaultParagraphFont"/>
    <w:uiPriority w:val="99"/>
    <w:unhideWhenUsed/>
    <w:rsid w:val="006C1D0B"/>
    <w:rPr>
      <w:vertAlign w:val="superscript"/>
    </w:rPr>
  </w:style>
  <w:style w:type="paragraph" w:customStyle="1" w:styleId="AppendixHeading1">
    <w:name w:val="Appendix Heading 1"/>
    <w:basedOn w:val="Heading1"/>
    <w:next w:val="BodyText"/>
    <w:qFormat/>
    <w:rsid w:val="00CC4D0F"/>
    <w:pPr>
      <w:pageBreakBefore/>
      <w:spacing w:before="0"/>
    </w:pPr>
  </w:style>
  <w:style w:type="paragraph" w:customStyle="1" w:styleId="AppendixHeading2">
    <w:name w:val="Appendix Heading 2"/>
    <w:basedOn w:val="Heading2"/>
    <w:next w:val="BodyText"/>
    <w:qFormat/>
    <w:rsid w:val="00CC4D0F"/>
  </w:style>
  <w:style w:type="paragraph" w:customStyle="1" w:styleId="AppendixHeading3">
    <w:name w:val="Appendix Heading 3"/>
    <w:basedOn w:val="Heading3"/>
    <w:next w:val="BodyText"/>
    <w:rsid w:val="00DF6249"/>
  </w:style>
  <w:style w:type="paragraph" w:customStyle="1" w:styleId="Reportauthors">
    <w:name w:val="Report authors"/>
    <w:basedOn w:val="AppendixHeading2"/>
    <w:next w:val="Authoraffiliation"/>
    <w:rsid w:val="005D0819"/>
    <w:pPr>
      <w:jc w:val="center"/>
      <w:outlineLvl w:val="9"/>
    </w:pPr>
    <w:rPr>
      <w:sz w:val="28"/>
    </w:rPr>
  </w:style>
  <w:style w:type="paragraph" w:customStyle="1" w:styleId="Authoraffiliation">
    <w:name w:val="Author affiliation"/>
    <w:basedOn w:val="BodyText"/>
    <w:next w:val="StaffInfoHeading"/>
    <w:rsid w:val="00C5318D"/>
    <w:pPr>
      <w:keepNext/>
      <w:keepLines/>
      <w:spacing w:before="0"/>
      <w:jc w:val="center"/>
    </w:pPr>
    <w:rPr>
      <w:i/>
      <w:color w:val="241C44"/>
      <w:sz w:val="24"/>
      <w:szCs w:val="26"/>
    </w:rPr>
  </w:style>
  <w:style w:type="paragraph" w:customStyle="1" w:styleId="StaffInfoHeading">
    <w:name w:val="Staff Info Heading"/>
    <w:basedOn w:val="Authoraffiliation"/>
    <w:next w:val="BodyText"/>
    <w:rsid w:val="00636093"/>
    <w:pPr>
      <w:spacing w:before="240" w:after="120"/>
    </w:pPr>
    <w:rPr>
      <w:i w:val="0"/>
      <w:sz w:val="32"/>
    </w:rPr>
  </w:style>
  <w:style w:type="paragraph" w:customStyle="1" w:styleId="ContentsHeading">
    <w:name w:val="Contents Heading"/>
    <w:basedOn w:val="PrelimHeading1"/>
    <w:next w:val="TOC1"/>
    <w:rsid w:val="009A278B"/>
    <w:pPr>
      <w:outlineLvl w:val="9"/>
    </w:pPr>
  </w:style>
  <w:style w:type="paragraph" w:customStyle="1" w:styleId="References">
    <w:name w:val="References"/>
    <w:basedOn w:val="BodyText"/>
    <w:qFormat/>
    <w:rsid w:val="00C16130"/>
    <w:pPr>
      <w:spacing w:before="60" w:line="240" w:lineRule="auto"/>
      <w:ind w:left="284" w:hanging="284"/>
    </w:pPr>
    <w:rPr>
      <w:sz w:val="18"/>
      <w:szCs w:val="18"/>
    </w:rPr>
  </w:style>
  <w:style w:type="paragraph" w:customStyle="1" w:styleId="Heading1Part">
    <w:name w:val="Heading 1 Part"/>
    <w:basedOn w:val="Heading1"/>
    <w:rsid w:val="00252337"/>
    <w:pPr>
      <w:numPr>
        <w:numId w:val="7"/>
      </w:numPr>
      <w:ind w:left="1560" w:hanging="1560"/>
    </w:pPr>
  </w:style>
  <w:style w:type="paragraph" w:styleId="NoSpacing">
    <w:name w:val="No Spacing"/>
    <w:uiPriority w:val="1"/>
    <w:rsid w:val="00C51FBB"/>
    <w:pPr>
      <w:suppressAutoHyphens/>
      <w:jc w:val="both"/>
    </w:pPr>
    <w:rPr>
      <w:rFonts w:ascii="Arial" w:hAnsi="Arial"/>
      <w:color w:val="2C2624"/>
      <w:sz w:val="20"/>
      <w:lang w:val="en-AU" w:eastAsia="en-US"/>
    </w:rPr>
  </w:style>
  <w:style w:type="paragraph" w:styleId="Title">
    <w:name w:val="Title"/>
    <w:basedOn w:val="Normal"/>
    <w:next w:val="Normal"/>
    <w:link w:val="TitleChar"/>
    <w:uiPriority w:val="10"/>
    <w:rsid w:val="00C51FBB"/>
    <w:pPr>
      <w:pBdr>
        <w:bottom w:val="single" w:sz="8" w:space="4" w:color="ED0C6E" w:themeColor="accent1"/>
      </w:pBdr>
      <w:spacing w:before="0" w:after="300" w:line="240" w:lineRule="auto"/>
      <w:contextualSpacing/>
    </w:pPr>
    <w:rPr>
      <w:rFonts w:asciiTheme="majorHAnsi" w:eastAsiaTheme="majorEastAsia" w:hAnsiTheme="majorHAnsi" w:cstheme="majorBidi"/>
      <w:color w:val="1A1532" w:themeColor="text2" w:themeShade="BF"/>
      <w:spacing w:val="5"/>
      <w:kern w:val="28"/>
      <w:sz w:val="52"/>
      <w:szCs w:val="52"/>
    </w:rPr>
  </w:style>
  <w:style w:type="character" w:customStyle="1" w:styleId="TitleChar">
    <w:name w:val="Title Char"/>
    <w:basedOn w:val="DefaultParagraphFont"/>
    <w:link w:val="Title"/>
    <w:uiPriority w:val="10"/>
    <w:rsid w:val="00C51FBB"/>
    <w:rPr>
      <w:rFonts w:asciiTheme="majorHAnsi" w:eastAsiaTheme="majorEastAsia" w:hAnsiTheme="majorHAnsi" w:cstheme="majorBidi"/>
      <w:color w:val="1A1532" w:themeColor="text2" w:themeShade="BF"/>
      <w:spacing w:val="5"/>
      <w:kern w:val="28"/>
      <w:sz w:val="52"/>
      <w:szCs w:val="52"/>
      <w:lang w:val="en-AU" w:eastAsia="en-US"/>
    </w:rPr>
  </w:style>
  <w:style w:type="paragraph" w:styleId="Subtitle">
    <w:name w:val="Subtitle"/>
    <w:basedOn w:val="Normal"/>
    <w:next w:val="Normal"/>
    <w:link w:val="SubtitleChar"/>
    <w:uiPriority w:val="11"/>
    <w:rsid w:val="00C51FBB"/>
    <w:pPr>
      <w:numPr>
        <w:ilvl w:val="1"/>
      </w:numPr>
    </w:pPr>
    <w:rPr>
      <w:rFonts w:asciiTheme="majorHAnsi" w:eastAsiaTheme="majorEastAsia" w:hAnsiTheme="majorHAnsi" w:cstheme="majorBidi"/>
      <w:i/>
      <w:iCs/>
      <w:color w:val="ED0C6E" w:themeColor="accent1"/>
      <w:spacing w:val="15"/>
      <w:sz w:val="24"/>
    </w:rPr>
  </w:style>
  <w:style w:type="character" w:customStyle="1" w:styleId="SubtitleChar">
    <w:name w:val="Subtitle Char"/>
    <w:basedOn w:val="DefaultParagraphFont"/>
    <w:link w:val="Subtitle"/>
    <w:uiPriority w:val="11"/>
    <w:rsid w:val="00C51FBB"/>
    <w:rPr>
      <w:rFonts w:asciiTheme="majorHAnsi" w:eastAsiaTheme="majorEastAsia" w:hAnsiTheme="majorHAnsi" w:cstheme="majorBidi"/>
      <w:i/>
      <w:iCs/>
      <w:color w:val="ED0C6E" w:themeColor="accent1"/>
      <w:spacing w:val="15"/>
      <w:lang w:val="en-AU" w:eastAsia="en-US"/>
    </w:rPr>
  </w:style>
  <w:style w:type="character" w:styleId="SubtleEmphasis">
    <w:name w:val="Subtle Emphasis"/>
    <w:basedOn w:val="DefaultParagraphFont"/>
    <w:uiPriority w:val="19"/>
    <w:rsid w:val="00C51FBB"/>
    <w:rPr>
      <w:i/>
      <w:iCs/>
      <w:color w:val="808080" w:themeColor="text1" w:themeTint="7F"/>
    </w:rPr>
  </w:style>
  <w:style w:type="character" w:styleId="Emphasis">
    <w:name w:val="Emphasis"/>
    <w:basedOn w:val="DefaultParagraphFont"/>
    <w:uiPriority w:val="20"/>
    <w:qFormat/>
    <w:rsid w:val="00C51FBB"/>
    <w:rPr>
      <w:i/>
      <w:iCs/>
    </w:rPr>
  </w:style>
  <w:style w:type="character" w:styleId="IntenseEmphasis">
    <w:name w:val="Intense Emphasis"/>
    <w:basedOn w:val="DefaultParagraphFont"/>
    <w:uiPriority w:val="21"/>
    <w:rsid w:val="00C51FBB"/>
    <w:rPr>
      <w:b/>
      <w:bCs/>
      <w:i/>
      <w:iCs/>
      <w:color w:val="ED0C6E" w:themeColor="accent1"/>
    </w:rPr>
  </w:style>
  <w:style w:type="character" w:styleId="Strong">
    <w:name w:val="Strong"/>
    <w:basedOn w:val="DefaultParagraphFont"/>
    <w:uiPriority w:val="22"/>
    <w:qFormat/>
    <w:rsid w:val="00C51FBB"/>
    <w:rPr>
      <w:b/>
      <w:bCs/>
    </w:rPr>
  </w:style>
  <w:style w:type="paragraph" w:styleId="Quote">
    <w:name w:val="Quote"/>
    <w:basedOn w:val="Normal"/>
    <w:next w:val="Normal"/>
    <w:link w:val="QuoteChar"/>
    <w:uiPriority w:val="29"/>
    <w:qFormat/>
    <w:rsid w:val="00CC4D0F"/>
    <w:pPr>
      <w:spacing w:before="240" w:after="240"/>
      <w:ind w:left="567" w:right="567"/>
      <w:jc w:val="left"/>
    </w:pPr>
    <w:rPr>
      <w:iCs/>
      <w:color w:val="ED0C64"/>
    </w:rPr>
  </w:style>
  <w:style w:type="character" w:customStyle="1" w:styleId="QuoteChar">
    <w:name w:val="Quote Char"/>
    <w:basedOn w:val="DefaultParagraphFont"/>
    <w:link w:val="Quote"/>
    <w:uiPriority w:val="29"/>
    <w:rsid w:val="00CC4D0F"/>
    <w:rPr>
      <w:rFonts w:ascii="Arial" w:hAnsi="Arial"/>
      <w:iCs/>
      <w:color w:val="ED0C64"/>
      <w:sz w:val="20"/>
      <w:lang w:val="en-AU" w:eastAsia="en-US"/>
    </w:rPr>
  </w:style>
  <w:style w:type="paragraph" w:styleId="IntenseQuote">
    <w:name w:val="Intense Quote"/>
    <w:basedOn w:val="Normal"/>
    <w:next w:val="Normal"/>
    <w:link w:val="IntenseQuoteChar"/>
    <w:uiPriority w:val="30"/>
    <w:rsid w:val="00C51FBB"/>
    <w:pPr>
      <w:pBdr>
        <w:bottom w:val="single" w:sz="4" w:space="4" w:color="ED0C6E" w:themeColor="accent1"/>
      </w:pBdr>
      <w:spacing w:before="200" w:after="280"/>
      <w:ind w:left="936" w:right="936"/>
    </w:pPr>
    <w:rPr>
      <w:b/>
      <w:bCs/>
      <w:i/>
      <w:iCs/>
      <w:color w:val="ED0C6E" w:themeColor="accent1"/>
    </w:rPr>
  </w:style>
  <w:style w:type="character" w:customStyle="1" w:styleId="IntenseQuoteChar">
    <w:name w:val="Intense Quote Char"/>
    <w:basedOn w:val="DefaultParagraphFont"/>
    <w:link w:val="IntenseQuote"/>
    <w:uiPriority w:val="30"/>
    <w:rsid w:val="00C51FBB"/>
    <w:rPr>
      <w:rFonts w:ascii="Arial" w:hAnsi="Arial"/>
      <w:b/>
      <w:bCs/>
      <w:i/>
      <w:iCs/>
      <w:color w:val="ED0C6E" w:themeColor="accent1"/>
      <w:sz w:val="20"/>
      <w:lang w:val="en-AU" w:eastAsia="en-US"/>
    </w:rPr>
  </w:style>
  <w:style w:type="character" w:styleId="SubtleReference">
    <w:name w:val="Subtle Reference"/>
    <w:basedOn w:val="DefaultParagraphFont"/>
    <w:uiPriority w:val="31"/>
    <w:rsid w:val="00C51FBB"/>
    <w:rPr>
      <w:smallCaps/>
      <w:color w:val="62136D" w:themeColor="accent2"/>
      <w:u w:val="single"/>
    </w:rPr>
  </w:style>
  <w:style w:type="character" w:styleId="IntenseReference">
    <w:name w:val="Intense Reference"/>
    <w:basedOn w:val="DefaultParagraphFont"/>
    <w:uiPriority w:val="32"/>
    <w:rsid w:val="00C51FBB"/>
    <w:rPr>
      <w:b/>
      <w:bCs/>
      <w:smallCaps/>
      <w:color w:val="62136D" w:themeColor="accent2"/>
      <w:spacing w:val="5"/>
      <w:u w:val="single"/>
    </w:rPr>
  </w:style>
  <w:style w:type="character" w:styleId="BookTitle">
    <w:name w:val="Book Title"/>
    <w:basedOn w:val="DefaultParagraphFont"/>
    <w:uiPriority w:val="33"/>
    <w:rsid w:val="00C51FBB"/>
    <w:rPr>
      <w:b/>
      <w:bCs/>
      <w:smallCaps/>
      <w:spacing w:val="5"/>
    </w:rPr>
  </w:style>
  <w:style w:type="paragraph" w:customStyle="1" w:styleId="Comment">
    <w:name w:val="Comment"/>
    <w:basedOn w:val="CommentTextBullet"/>
    <w:rsid w:val="00C51FBB"/>
  </w:style>
  <w:style w:type="paragraph" w:styleId="Revision">
    <w:name w:val="Revision"/>
    <w:hidden/>
    <w:uiPriority w:val="99"/>
    <w:semiHidden/>
    <w:rsid w:val="000D0E99"/>
    <w:rPr>
      <w:rFonts w:ascii="Arial" w:hAnsi="Arial"/>
      <w:color w:val="2C2624"/>
      <w:sz w:val="20"/>
      <w:lang w:val="en-AU" w:eastAsia="en-US"/>
    </w:rPr>
  </w:style>
  <w:style w:type="table" w:styleId="TableClassic1">
    <w:name w:val="Table Classic 1"/>
    <w:basedOn w:val="TableNormal"/>
    <w:uiPriority w:val="99"/>
    <w:semiHidden/>
    <w:unhideWhenUsed/>
    <w:rsid w:val="000D0E99"/>
    <w:pPr>
      <w:suppressAutoHyphens/>
      <w:spacing w:before="120" w:line="28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LightShading">
    <w:name w:val="Light Shading"/>
    <w:basedOn w:val="TableNormal"/>
    <w:uiPriority w:val="60"/>
    <w:rsid w:val="000D0E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verviewText">
    <w:name w:val="Overview Text"/>
    <w:basedOn w:val="BodyText"/>
    <w:rsid w:val="002C204E"/>
    <w:rPr>
      <w:color w:val="7030A0"/>
      <w:sz w:val="24"/>
    </w:rPr>
  </w:style>
  <w:style w:type="paragraph" w:customStyle="1" w:styleId="KeyMessagesHeading">
    <w:name w:val="Key Messages Heading"/>
    <w:basedOn w:val="Heading1"/>
    <w:rsid w:val="002C204E"/>
    <w:rPr>
      <w:sz w:val="38"/>
    </w:rPr>
  </w:style>
  <w:style w:type="paragraph" w:customStyle="1" w:styleId="KeyMessageslistbullet">
    <w:name w:val="Key Messages list bullet"/>
    <w:basedOn w:val="ListBullet"/>
    <w:rsid w:val="002C204E"/>
    <w:rPr>
      <w:color w:val="7030A0"/>
      <w:sz w:val="24"/>
    </w:rPr>
  </w:style>
  <w:style w:type="paragraph" w:customStyle="1" w:styleId="Overview">
    <w:name w:val="Overview"/>
    <w:basedOn w:val="KeyMessagesHeading"/>
    <w:qFormat/>
    <w:rsid w:val="002F774A"/>
  </w:style>
  <w:style w:type="paragraph" w:customStyle="1" w:styleId="TableNotes">
    <w:name w:val="Table Notes"/>
    <w:basedOn w:val="FigureNotes"/>
    <w:autoRedefine/>
    <w:qFormat/>
    <w:rsid w:val="00273AA6"/>
  </w:style>
  <w:style w:type="paragraph" w:customStyle="1" w:styleId="ListParagraph1">
    <w:name w:val="List Paragraph 1"/>
    <w:basedOn w:val="ListBullet"/>
    <w:next w:val="ListBullet"/>
    <w:rsid w:val="00FA7AB4"/>
    <w:pPr>
      <w:numPr>
        <w:numId w:val="0"/>
      </w:numPr>
      <w:tabs>
        <w:tab w:val="left" w:pos="425"/>
      </w:tabs>
      <w:ind w:left="425"/>
    </w:pPr>
  </w:style>
  <w:style w:type="paragraph" w:customStyle="1" w:styleId="TableColHeadLeft">
    <w:name w:val="Table Col Head Left"/>
    <w:basedOn w:val="Normal"/>
    <w:rsid w:val="00B9573D"/>
    <w:pPr>
      <w:keepNext/>
      <w:spacing w:before="60" w:after="60" w:line="240" w:lineRule="auto"/>
      <w:jc w:val="left"/>
    </w:pPr>
    <w:rPr>
      <w:rFonts w:eastAsia="Times New Roman"/>
      <w:color w:val="FFFFFF" w:themeColor="background1"/>
      <w:sz w:val="16"/>
      <w:szCs w:val="18"/>
      <w:lang w:val="en-US" w:eastAsia="en-AU" w:bidi="en-US"/>
    </w:rPr>
  </w:style>
  <w:style w:type="paragraph" w:customStyle="1" w:styleId="TableColHeadCentre">
    <w:name w:val="Table Col Head Centre"/>
    <w:basedOn w:val="Normal"/>
    <w:rsid w:val="00B9573D"/>
    <w:pPr>
      <w:keepNext/>
      <w:spacing w:before="60" w:after="60" w:line="240" w:lineRule="auto"/>
      <w:jc w:val="center"/>
    </w:pPr>
    <w:rPr>
      <w:rFonts w:eastAsia="Times New Roman"/>
      <w:color w:val="FFFFFF" w:themeColor="background1"/>
      <w:sz w:val="16"/>
      <w:szCs w:val="18"/>
      <w:lang w:val="en-US" w:eastAsia="en-AU" w:bidi="en-US"/>
    </w:rPr>
  </w:style>
  <w:style w:type="paragraph" w:customStyle="1" w:styleId="TableHeading">
    <w:name w:val="Table Heading"/>
    <w:basedOn w:val="Normal"/>
    <w:rsid w:val="00B9573D"/>
    <w:pPr>
      <w:keepNext/>
      <w:spacing w:before="60" w:after="60" w:line="240" w:lineRule="auto"/>
      <w:jc w:val="left"/>
    </w:pPr>
    <w:rPr>
      <w:rFonts w:eastAsia="Times New Roman"/>
      <w:color w:val="62136D"/>
      <w:sz w:val="16"/>
      <w:szCs w:val="18"/>
      <w:lang w:val="en-US" w:eastAsia="en-AU" w:bidi="en-US"/>
    </w:rPr>
  </w:style>
  <w:style w:type="paragraph" w:customStyle="1" w:styleId="TableTextIndent">
    <w:name w:val="Table Text Indent"/>
    <w:basedOn w:val="Normal"/>
    <w:rsid w:val="00B9573D"/>
    <w:pPr>
      <w:keepNext/>
      <w:spacing w:before="60" w:after="60" w:line="240" w:lineRule="auto"/>
      <w:ind w:left="227"/>
      <w:jc w:val="left"/>
    </w:pPr>
    <w:rPr>
      <w:rFonts w:eastAsia="Times New Roman"/>
      <w:sz w:val="16"/>
      <w:szCs w:val="18"/>
      <w:lang w:val="en-US" w:eastAsia="en-AU" w:bidi="en-US"/>
    </w:rPr>
  </w:style>
  <w:style w:type="paragraph" w:customStyle="1" w:styleId="TableText">
    <w:name w:val="Table Text"/>
    <w:basedOn w:val="Normal"/>
    <w:rsid w:val="00EE090E"/>
    <w:pPr>
      <w:keepNext/>
      <w:spacing w:before="60" w:after="60" w:line="240" w:lineRule="auto"/>
      <w:jc w:val="left"/>
    </w:pPr>
    <w:rPr>
      <w:rFonts w:eastAsia="Times New Roman"/>
      <w:sz w:val="16"/>
      <w:szCs w:val="20"/>
      <w:lang w:eastAsia="en-AU" w:bidi="en-US"/>
    </w:rPr>
  </w:style>
  <w:style w:type="paragraph" w:customStyle="1" w:styleId="TableNumber1">
    <w:name w:val="Table Number 1"/>
    <w:basedOn w:val="Normal"/>
    <w:rsid w:val="00336A47"/>
    <w:pPr>
      <w:keepNext/>
      <w:numPr>
        <w:numId w:val="10"/>
      </w:numPr>
      <w:spacing w:before="60" w:after="60" w:line="240" w:lineRule="auto"/>
      <w:ind w:left="235" w:hanging="196"/>
      <w:jc w:val="left"/>
    </w:pPr>
    <w:rPr>
      <w:rFonts w:eastAsia="Times New Roman"/>
      <w:sz w:val="16"/>
      <w:szCs w:val="20"/>
      <w:lang w:val="en-US" w:eastAsia="en-AU" w:bidi="en-US"/>
    </w:rPr>
  </w:style>
  <w:style w:type="paragraph" w:customStyle="1" w:styleId="TableNumber2">
    <w:name w:val="Table Number 2"/>
    <w:basedOn w:val="Normal"/>
    <w:rsid w:val="00336A47"/>
    <w:pPr>
      <w:keepNext/>
      <w:numPr>
        <w:numId w:val="13"/>
      </w:numPr>
      <w:spacing w:before="60" w:after="60" w:line="240" w:lineRule="auto"/>
      <w:ind w:left="501" w:hanging="238"/>
      <w:jc w:val="left"/>
    </w:pPr>
    <w:rPr>
      <w:rFonts w:eastAsia="Times New Roman"/>
      <w:sz w:val="16"/>
      <w:szCs w:val="20"/>
      <w:lang w:val="en-US" w:eastAsia="en-AU" w:bidi="en-US"/>
    </w:rPr>
  </w:style>
  <w:style w:type="paragraph" w:customStyle="1" w:styleId="TableTextCentre">
    <w:name w:val="Table Text Centre"/>
    <w:basedOn w:val="Normal"/>
    <w:rsid w:val="00B9573D"/>
    <w:pPr>
      <w:keepNext/>
      <w:spacing w:before="60" w:after="60" w:line="240" w:lineRule="auto"/>
      <w:jc w:val="center"/>
    </w:pPr>
    <w:rPr>
      <w:rFonts w:eastAsia="Times New Roman"/>
      <w:sz w:val="16"/>
      <w:szCs w:val="20"/>
      <w:lang w:val="en-US" w:eastAsia="en-AU" w:bidi="en-US"/>
    </w:rPr>
  </w:style>
  <w:style w:type="paragraph" w:customStyle="1" w:styleId="TableTextAligned">
    <w:name w:val="Table Text Aligned"/>
    <w:basedOn w:val="Normal"/>
    <w:rsid w:val="00B9573D"/>
    <w:pPr>
      <w:keepNext/>
      <w:tabs>
        <w:tab w:val="decimal" w:pos="1038"/>
      </w:tabs>
      <w:spacing w:before="60" w:after="60" w:line="240" w:lineRule="auto"/>
      <w:jc w:val="left"/>
    </w:pPr>
    <w:rPr>
      <w:rFonts w:eastAsia="Times New Roman"/>
      <w:sz w:val="16"/>
      <w:szCs w:val="20"/>
      <w:lang w:val="en-US" w:eastAsia="en-AU" w:bidi="en-US"/>
    </w:rPr>
  </w:style>
  <w:style w:type="paragraph" w:customStyle="1" w:styleId="TableBullet1">
    <w:name w:val="Table Bullet 1"/>
    <w:basedOn w:val="Normal"/>
    <w:rsid w:val="00336A47"/>
    <w:pPr>
      <w:keepNext/>
      <w:numPr>
        <w:numId w:val="11"/>
      </w:numPr>
      <w:spacing w:before="60" w:after="60" w:line="240" w:lineRule="auto"/>
      <w:ind w:left="170" w:hanging="142"/>
      <w:jc w:val="left"/>
    </w:pPr>
    <w:rPr>
      <w:rFonts w:eastAsia="Times New Roman"/>
      <w:sz w:val="16"/>
      <w:szCs w:val="18"/>
      <w:lang w:val="en-US" w:eastAsia="en-AU" w:bidi="en-US"/>
    </w:rPr>
  </w:style>
  <w:style w:type="paragraph" w:customStyle="1" w:styleId="TableBullet2">
    <w:name w:val="Table Bullet 2"/>
    <w:basedOn w:val="Normal"/>
    <w:rsid w:val="00336A47"/>
    <w:pPr>
      <w:keepNext/>
      <w:numPr>
        <w:numId w:val="12"/>
      </w:numPr>
      <w:spacing w:before="60" w:after="60" w:line="240" w:lineRule="auto"/>
      <w:ind w:left="382" w:hanging="182"/>
      <w:jc w:val="left"/>
    </w:pPr>
    <w:rPr>
      <w:rFonts w:eastAsia="Times New Roman"/>
      <w:sz w:val="16"/>
      <w:szCs w:val="18"/>
      <w:lang w:val="en-US" w:eastAsia="en-AU" w:bidi="en-US"/>
    </w:rPr>
  </w:style>
  <w:style w:type="paragraph" w:customStyle="1" w:styleId="BoxHeading1">
    <w:name w:val="Box Heading 1"/>
    <w:basedOn w:val="Normal"/>
    <w:rsid w:val="00204B5C"/>
    <w:pPr>
      <w:keepNext/>
      <w:keepLines/>
      <w:shd w:val="pct5" w:color="auto" w:fill="auto"/>
      <w:spacing w:before="360" w:after="360" w:line="240" w:lineRule="auto"/>
      <w:jc w:val="left"/>
      <w:textboxTightWrap w:val="allLines"/>
    </w:pPr>
    <w:rPr>
      <w:rFonts w:cs="Arial"/>
      <w:color w:val="ED0C64"/>
      <w:kern w:val="32"/>
      <w:sz w:val="32"/>
      <w:szCs w:val="32"/>
    </w:rPr>
  </w:style>
  <w:style w:type="paragraph" w:customStyle="1" w:styleId="BoxText">
    <w:name w:val="Box Text"/>
    <w:basedOn w:val="Normal"/>
    <w:rsid w:val="00F725CA"/>
    <w:pPr>
      <w:shd w:val="pct5" w:color="auto" w:fill="auto"/>
      <w:jc w:val="left"/>
    </w:pPr>
    <w:rPr>
      <w:rFonts w:eastAsia="Times New Roman"/>
      <w:lang w:bidi="en-US"/>
    </w:rPr>
  </w:style>
  <w:style w:type="paragraph" w:customStyle="1" w:styleId="BoxBulletList">
    <w:name w:val="Box Bullet List"/>
    <w:basedOn w:val="Normal"/>
    <w:rsid w:val="00F725CA"/>
    <w:pPr>
      <w:numPr>
        <w:numId w:val="8"/>
      </w:numPr>
      <w:shd w:val="pct5" w:color="auto" w:fill="auto"/>
      <w:ind w:left="360"/>
      <w:jc w:val="left"/>
    </w:pPr>
    <w:rPr>
      <w:rFonts w:eastAsia="Times New Roman"/>
      <w:lang w:bidi="en-US"/>
    </w:rPr>
  </w:style>
  <w:style w:type="paragraph" w:customStyle="1" w:styleId="BoxHeading2">
    <w:name w:val="Box Heading 2"/>
    <w:basedOn w:val="Normal"/>
    <w:rsid w:val="00F725CA"/>
    <w:pPr>
      <w:keepNext/>
      <w:keepLines/>
      <w:shd w:val="pct5" w:color="auto" w:fill="auto"/>
      <w:spacing w:before="240" w:after="120" w:line="240" w:lineRule="auto"/>
      <w:jc w:val="left"/>
    </w:pPr>
    <w:rPr>
      <w:rFonts w:cs="Arial"/>
      <w:color w:val="62136D"/>
      <w:kern w:val="32"/>
      <w:sz w:val="26"/>
      <w:szCs w:val="26"/>
    </w:rPr>
  </w:style>
  <w:style w:type="paragraph" w:customStyle="1" w:styleId="BoxNumberedList">
    <w:name w:val="Box Numbered List"/>
    <w:basedOn w:val="Normal"/>
    <w:rsid w:val="00F725CA"/>
    <w:pPr>
      <w:numPr>
        <w:numId w:val="9"/>
      </w:numPr>
      <w:shd w:val="pct5" w:color="auto" w:fill="auto"/>
      <w:ind w:left="360"/>
      <w:jc w:val="left"/>
    </w:pPr>
    <w:rPr>
      <w:rFonts w:eastAsia="Times New Roman"/>
      <w:lang w:bidi="en-US"/>
    </w:rPr>
  </w:style>
  <w:style w:type="paragraph" w:customStyle="1" w:styleId="BoxNotesandSource">
    <w:name w:val="Box Notes and Source"/>
    <w:basedOn w:val="Normal"/>
    <w:rsid w:val="00CC4D0F"/>
    <w:pPr>
      <w:shd w:val="pct5" w:color="auto" w:fill="auto"/>
      <w:ind w:left="709" w:hanging="709"/>
      <w:jc w:val="left"/>
    </w:pPr>
    <w:rPr>
      <w:rFonts w:eastAsia="Times New Roman"/>
      <w:sz w:val="16"/>
      <w:szCs w:val="16"/>
      <w:lang w:bidi="en-US"/>
    </w:rPr>
  </w:style>
  <w:style w:type="character" w:customStyle="1" w:styleId="charItalic">
    <w:name w:val="char Italic"/>
    <w:basedOn w:val="DefaultParagraphFont"/>
    <w:uiPriority w:val="1"/>
    <w:rsid w:val="00594628"/>
    <w:rPr>
      <w:i/>
    </w:rPr>
  </w:style>
  <w:style w:type="character" w:customStyle="1" w:styleId="charBold">
    <w:name w:val="char Bold"/>
    <w:basedOn w:val="DefaultParagraphFont"/>
    <w:uiPriority w:val="1"/>
    <w:rsid w:val="00594628"/>
    <w:rPr>
      <w:b/>
    </w:rPr>
  </w:style>
  <w:style w:type="paragraph" w:customStyle="1" w:styleId="FigureSub-Caption">
    <w:name w:val="Figure Sub-Caption"/>
    <w:basedOn w:val="BodyText"/>
    <w:rsid w:val="00BC3528"/>
    <w:pPr>
      <w:spacing w:before="0" w:after="80"/>
    </w:pPr>
    <w:rPr>
      <w:b/>
      <w:color w:val="636667"/>
      <w:sz w:val="18"/>
      <w:szCs w:val="18"/>
      <w:lang w:val="en-US" w:eastAsia="ja-JP"/>
    </w:rPr>
  </w:style>
  <w:style w:type="character" w:customStyle="1" w:styleId="normaltextrun">
    <w:name w:val="normaltextrun"/>
    <w:basedOn w:val="DefaultParagraphFont"/>
    <w:rsid w:val="00B1011C"/>
  </w:style>
  <w:style w:type="table" w:styleId="PlainTable2">
    <w:name w:val="Plain Table 2"/>
    <w:basedOn w:val="TableNormal"/>
    <w:uiPriority w:val="42"/>
    <w:rsid w:val="00B1011C"/>
    <w:rPr>
      <w:rFonts w:asciiTheme="minorHAnsi" w:eastAsiaTheme="minorHAnsi" w:hAnsiTheme="minorHAnsi" w:cstheme="minorBidi"/>
      <w:kern w:val="2"/>
      <w:sz w:val="22"/>
      <w:szCs w:val="22"/>
      <w:lang w:val="en-A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s1">
    <w:name w:val="Bullets 1"/>
    <w:basedOn w:val="Normal"/>
    <w:qFormat/>
    <w:rsid w:val="00B1011C"/>
    <w:pPr>
      <w:numPr>
        <w:numId w:val="14"/>
      </w:numPr>
      <w:suppressAutoHyphens w:val="0"/>
      <w:spacing w:before="60" w:after="60" w:line="276" w:lineRule="auto"/>
      <w:ind w:left="1134" w:hanging="567"/>
      <w:jc w:val="left"/>
    </w:pPr>
    <w:rPr>
      <w:rFonts w:eastAsia="Times New Roman"/>
      <w:color w:val="auto"/>
      <w:szCs w:val="20"/>
    </w:rPr>
  </w:style>
  <w:style w:type="paragraph" w:customStyle="1" w:styleId="Bullets2">
    <w:name w:val="Bullets 2"/>
    <w:basedOn w:val="Normal"/>
    <w:autoRedefine/>
    <w:qFormat/>
    <w:rsid w:val="00B1011C"/>
    <w:pPr>
      <w:numPr>
        <w:ilvl w:val="1"/>
        <w:numId w:val="14"/>
      </w:numPr>
      <w:suppressAutoHyphens w:val="0"/>
      <w:spacing w:before="60" w:after="60" w:line="276" w:lineRule="auto"/>
      <w:ind w:left="1701" w:hanging="567"/>
      <w:jc w:val="left"/>
    </w:pPr>
    <w:rPr>
      <w:rFonts w:eastAsia="Times New Roman"/>
      <w:color w:val="auto"/>
      <w:szCs w:val="20"/>
    </w:rPr>
  </w:style>
  <w:style w:type="paragraph" w:customStyle="1" w:styleId="Bullets3">
    <w:name w:val="Bullets 3"/>
    <w:basedOn w:val="Normal"/>
    <w:qFormat/>
    <w:rsid w:val="00B1011C"/>
    <w:pPr>
      <w:numPr>
        <w:ilvl w:val="2"/>
        <w:numId w:val="14"/>
      </w:numPr>
      <w:suppressAutoHyphens w:val="0"/>
      <w:spacing w:before="60" w:after="60" w:line="276" w:lineRule="auto"/>
      <w:ind w:left="2268" w:hanging="566"/>
      <w:jc w:val="left"/>
    </w:pPr>
    <w:rPr>
      <w:rFonts w:eastAsia="Times New Roman"/>
      <w:color w:val="auto"/>
      <w:szCs w:val="20"/>
    </w:rPr>
  </w:style>
  <w:style w:type="paragraph" w:styleId="Caption">
    <w:name w:val="caption"/>
    <w:basedOn w:val="FigureCaption"/>
    <w:next w:val="Normal"/>
    <w:uiPriority w:val="35"/>
    <w:unhideWhenUsed/>
    <w:qFormat/>
    <w:rsid w:val="00B1011C"/>
  </w:style>
  <w:style w:type="character" w:customStyle="1" w:styleId="FooterChar">
    <w:name w:val="Footer Char"/>
    <w:basedOn w:val="DefaultParagraphFont"/>
    <w:link w:val="Footer"/>
    <w:uiPriority w:val="99"/>
    <w:rsid w:val="00B1011C"/>
    <w:rPr>
      <w:rFonts w:ascii="Arial" w:hAnsi="Arial"/>
      <w:color w:val="241C44"/>
      <w:sz w:val="16"/>
      <w:szCs w:val="16"/>
      <w:lang w:val="en-AU" w:eastAsia="en-US"/>
    </w:rPr>
  </w:style>
  <w:style w:type="paragraph" w:styleId="Bibliography">
    <w:name w:val="Bibliography"/>
    <w:basedOn w:val="Normal"/>
    <w:next w:val="Normal"/>
    <w:uiPriority w:val="37"/>
    <w:unhideWhenUsed/>
    <w:rsid w:val="00B1011C"/>
    <w:pPr>
      <w:suppressAutoHyphens w:val="0"/>
      <w:spacing w:before="0" w:after="160" w:line="259" w:lineRule="auto"/>
      <w:jc w:val="left"/>
    </w:pPr>
    <w:rPr>
      <w:rFonts w:asciiTheme="minorHAnsi" w:eastAsiaTheme="minorHAnsi" w:hAnsiTheme="minorHAnsi" w:cstheme="minorBidi"/>
      <w:color w:val="auto"/>
      <w:kern w:val="2"/>
      <w:sz w:val="22"/>
      <w:szCs w:val="22"/>
    </w:rPr>
  </w:style>
  <w:style w:type="character" w:styleId="Hyperlink">
    <w:name w:val="Hyperlink"/>
    <w:basedOn w:val="DefaultParagraphFont"/>
    <w:uiPriority w:val="99"/>
    <w:unhideWhenUsed/>
    <w:rsid w:val="00DF41AC"/>
    <w:rPr>
      <w:color w:val="0000FF" w:themeColor="hyperlink"/>
      <w:u w:val="single"/>
    </w:rPr>
  </w:style>
  <w:style w:type="character" w:styleId="UnresolvedMention">
    <w:name w:val="Unresolved Mention"/>
    <w:basedOn w:val="DefaultParagraphFont"/>
    <w:uiPriority w:val="99"/>
    <w:rsid w:val="00DF41AC"/>
    <w:rPr>
      <w:color w:val="605E5C"/>
      <w:shd w:val="clear" w:color="auto" w:fill="E1DFDD"/>
    </w:rPr>
  </w:style>
  <w:style w:type="character" w:customStyle="1" w:styleId="ui-provider">
    <w:name w:val="ui-provider"/>
    <w:basedOn w:val="DefaultParagraphFont"/>
    <w:rsid w:val="00A93A6F"/>
  </w:style>
  <w:style w:type="paragraph" w:styleId="TOCHeading">
    <w:name w:val="TOC Heading"/>
    <w:basedOn w:val="Heading1"/>
    <w:next w:val="Normal"/>
    <w:uiPriority w:val="39"/>
    <w:unhideWhenUsed/>
    <w:qFormat/>
    <w:rsid w:val="00D44ED0"/>
    <w:pPr>
      <w:suppressAutoHyphens w:val="0"/>
      <w:spacing w:before="240" w:line="259" w:lineRule="auto"/>
      <w:outlineLvl w:val="9"/>
    </w:pPr>
    <w:rPr>
      <w:rFonts w:asciiTheme="majorHAnsi" w:eastAsiaTheme="majorEastAsia" w:hAnsiTheme="majorHAnsi" w:cstheme="majorBidi"/>
      <w:color w:val="B10952" w:themeColor="accent1" w:themeShade="BF"/>
      <w:sz w:val="32"/>
      <w:szCs w:val="32"/>
      <w:lang w:val="en-US"/>
    </w:rPr>
  </w:style>
  <w:style w:type="paragraph" w:styleId="TableofFigures">
    <w:name w:val="table of figures"/>
    <w:basedOn w:val="Normal"/>
    <w:next w:val="Normal"/>
    <w:uiPriority w:val="99"/>
    <w:unhideWhenUsed/>
    <w:rsid w:val="000F3DEC"/>
  </w:style>
  <w:style w:type="table" w:customStyle="1" w:styleId="TableGrid1">
    <w:name w:val="Table Grid1"/>
    <w:basedOn w:val="TableNormal"/>
    <w:next w:val="TableGrid"/>
    <w:uiPriority w:val="39"/>
    <w:rsid w:val="00B22490"/>
    <w:rPr>
      <w:rFonts w:ascii="Aptos" w:eastAsia="Aptos" w:hAnsi="Aptos"/>
      <w:kern w:val="2"/>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4A4D"/>
    <w:rPr>
      <w:rFonts w:ascii="Aptos" w:eastAsia="Aptos" w:hAnsi="Aptos"/>
      <w:kern w:val="2"/>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6528C"/>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06528C"/>
    <w:rPr>
      <w:rFonts w:ascii="Arial" w:hAnsi="Arial" w:cs="Arial"/>
      <w:noProof/>
      <w:color w:val="2C2624"/>
      <w:sz w:val="20"/>
      <w:lang w:eastAsia="en-US"/>
    </w:rPr>
  </w:style>
  <w:style w:type="paragraph" w:customStyle="1" w:styleId="EndNoteBibliography">
    <w:name w:val="EndNote Bibliography"/>
    <w:basedOn w:val="Normal"/>
    <w:link w:val="EndNoteBibliographyChar"/>
    <w:rsid w:val="0006528C"/>
    <w:pPr>
      <w:spacing w:line="240" w:lineRule="atLeast"/>
    </w:pPr>
    <w:rPr>
      <w:rFonts w:cs="Arial"/>
      <w:noProof/>
      <w:lang w:val="en-US"/>
    </w:rPr>
  </w:style>
  <w:style w:type="character" w:customStyle="1" w:styleId="EndNoteBibliographyChar">
    <w:name w:val="EndNote Bibliography Char"/>
    <w:basedOn w:val="DefaultParagraphFont"/>
    <w:link w:val="EndNoteBibliography"/>
    <w:rsid w:val="0006528C"/>
    <w:rPr>
      <w:rFonts w:ascii="Arial" w:hAnsi="Arial" w:cs="Arial"/>
      <w:noProof/>
      <w:color w:val="2C2624"/>
      <w:sz w:val="20"/>
      <w:lang w:eastAsia="en-US"/>
    </w:rPr>
  </w:style>
  <w:style w:type="paragraph" w:styleId="NormalWeb">
    <w:name w:val="Normal (Web)"/>
    <w:basedOn w:val="Normal"/>
    <w:uiPriority w:val="99"/>
    <w:semiHidden/>
    <w:unhideWhenUsed/>
    <w:rsid w:val="00020688"/>
    <w:pPr>
      <w:suppressAutoHyphens w:val="0"/>
      <w:spacing w:before="100" w:beforeAutospacing="1" w:after="100" w:afterAutospacing="1" w:line="240" w:lineRule="auto"/>
      <w:jc w:val="left"/>
    </w:pPr>
    <w:rPr>
      <w:rFonts w:ascii="Times New Roman" w:eastAsia="Times New Roman" w:hAnsi="Times New Roman"/>
      <w:color w:val="auto"/>
      <w:sz w:val="24"/>
      <w:lang w:eastAsia="en-AU"/>
    </w:rPr>
  </w:style>
  <w:style w:type="character" w:styleId="Mention">
    <w:name w:val="Mention"/>
    <w:basedOn w:val="DefaultParagraphFont"/>
    <w:uiPriority w:val="99"/>
    <w:unhideWhenUsed/>
    <w:rsid w:val="009C25D2"/>
    <w:rPr>
      <w:color w:val="2B579A"/>
      <w:shd w:val="clear" w:color="auto" w:fill="E1DFDD"/>
    </w:rPr>
  </w:style>
  <w:style w:type="character" w:customStyle="1" w:styleId="cf01">
    <w:name w:val="cf01"/>
    <w:basedOn w:val="DefaultParagraphFont"/>
    <w:rsid w:val="00FB3DB8"/>
    <w:rPr>
      <w:rFonts w:ascii="Segoe UI" w:hAnsi="Segoe UI" w:cs="Segoe UI" w:hint="default"/>
      <w:color w:val="FF0000"/>
      <w:sz w:val="18"/>
      <w:szCs w:val="18"/>
    </w:rPr>
  </w:style>
  <w:style w:type="paragraph" w:customStyle="1" w:styleId="Default">
    <w:name w:val="Default"/>
    <w:rsid w:val="00DA00D9"/>
    <w:pPr>
      <w:autoSpaceDE w:val="0"/>
      <w:autoSpaceDN w:val="0"/>
      <w:adjustRightInd w:val="0"/>
    </w:pPr>
    <w:rPr>
      <w:rFonts w:ascii="Arial" w:hAnsi="Arial" w:cs="Arial"/>
      <w:color w:val="000000"/>
      <w:lang w:val="en-AU"/>
    </w:rPr>
  </w:style>
  <w:style w:type="character" w:customStyle="1" w:styleId="rg-author">
    <w:name w:val="rg-author"/>
    <w:basedOn w:val="DefaultParagraphFont"/>
    <w:rsid w:val="002F32D3"/>
  </w:style>
  <w:style w:type="character" w:customStyle="1" w:styleId="rg-year">
    <w:name w:val="rg-year"/>
    <w:basedOn w:val="DefaultParagraphFont"/>
    <w:rsid w:val="002F32D3"/>
  </w:style>
  <w:style w:type="character" w:customStyle="1" w:styleId="rg-title">
    <w:name w:val="rg-title"/>
    <w:basedOn w:val="DefaultParagraphFont"/>
    <w:rsid w:val="002F32D3"/>
  </w:style>
  <w:style w:type="character" w:customStyle="1" w:styleId="rg-editor">
    <w:name w:val="rg-editor"/>
    <w:basedOn w:val="DefaultParagraphFont"/>
    <w:rsid w:val="002F32D3"/>
  </w:style>
  <w:style w:type="character" w:customStyle="1" w:styleId="rg-eds">
    <w:name w:val="rg-eds"/>
    <w:basedOn w:val="DefaultParagraphFont"/>
    <w:rsid w:val="002F32D3"/>
  </w:style>
  <w:style w:type="character" w:customStyle="1" w:styleId="rg-publisher">
    <w:name w:val="rg-publisher"/>
    <w:basedOn w:val="DefaultParagraphFont"/>
    <w:rsid w:val="002F32D3"/>
  </w:style>
  <w:style w:type="character" w:customStyle="1" w:styleId="rg-place-published">
    <w:name w:val="rg-place-published"/>
    <w:basedOn w:val="DefaultParagraphFont"/>
    <w:rsid w:val="002F32D3"/>
  </w:style>
  <w:style w:type="character" w:customStyle="1" w:styleId="rg-page">
    <w:name w:val="rg-page"/>
    <w:basedOn w:val="DefaultParagraphFont"/>
    <w:rsid w:val="002F32D3"/>
  </w:style>
  <w:style w:type="paragraph" w:customStyle="1" w:styleId="pf0">
    <w:name w:val="pf0"/>
    <w:basedOn w:val="Normal"/>
    <w:rsid w:val="00E640FF"/>
    <w:pPr>
      <w:suppressAutoHyphens w:val="0"/>
      <w:spacing w:before="100" w:beforeAutospacing="1" w:after="100" w:afterAutospacing="1" w:line="240" w:lineRule="auto"/>
      <w:jc w:val="left"/>
    </w:pPr>
    <w:rPr>
      <w:rFonts w:ascii="Times New Roman" w:eastAsia="Times New Roman" w:hAnsi="Times New Roman"/>
      <w:color w:val="auto"/>
      <w:sz w:val="24"/>
      <w:lang w:eastAsia="en-AU"/>
    </w:rPr>
  </w:style>
  <w:style w:type="character" w:customStyle="1" w:styleId="Heading2Char">
    <w:name w:val="Heading 2 Char"/>
    <w:basedOn w:val="DefaultParagraphFont"/>
    <w:link w:val="Heading2"/>
    <w:rsid w:val="00222BC6"/>
    <w:rPr>
      <w:rFonts w:ascii="Arial" w:hAnsi="Arial"/>
      <w:color w:val="ED0C64"/>
      <w:kern w:val="32"/>
      <w:sz w:val="44"/>
      <w:szCs w:val="44"/>
      <w:lang w:val="en-AU" w:eastAsia="en-US"/>
    </w:rPr>
  </w:style>
  <w:style w:type="character" w:styleId="FollowedHyperlink">
    <w:name w:val="FollowedHyperlink"/>
    <w:basedOn w:val="DefaultParagraphFont"/>
    <w:uiPriority w:val="99"/>
    <w:semiHidden/>
    <w:unhideWhenUsed/>
    <w:rsid w:val="00E93C98"/>
    <w:rPr>
      <w:color w:val="800080" w:themeColor="followedHyperlink"/>
      <w:u w:val="single"/>
    </w:rPr>
  </w:style>
  <w:style w:type="paragraph" w:customStyle="1" w:styleId="pf1">
    <w:name w:val="pf1"/>
    <w:basedOn w:val="Normal"/>
    <w:rsid w:val="00DE0910"/>
    <w:pPr>
      <w:suppressAutoHyphens w:val="0"/>
      <w:spacing w:before="100" w:beforeAutospacing="1" w:after="100" w:afterAutospacing="1" w:line="240" w:lineRule="auto"/>
      <w:ind w:left="300"/>
      <w:jc w:val="left"/>
    </w:pPr>
    <w:rPr>
      <w:rFonts w:ascii="Times New Roman" w:eastAsia="Times New Roman" w:hAnsi="Times New Roman"/>
      <w:color w:val="auto"/>
      <w:sz w:val="24"/>
      <w:lang w:eastAsia="en-AU"/>
    </w:rPr>
  </w:style>
  <w:style w:type="character" w:customStyle="1" w:styleId="cf11">
    <w:name w:val="cf11"/>
    <w:basedOn w:val="DefaultParagraphFont"/>
    <w:rsid w:val="0071552E"/>
    <w:rPr>
      <w:rFonts w:ascii="Segoe UI" w:hAnsi="Segoe UI" w:cs="Segoe UI" w:hint="default"/>
      <w:sz w:val="18"/>
      <w:szCs w:val="18"/>
    </w:rPr>
  </w:style>
  <w:style w:type="table" w:styleId="GridTable1Light">
    <w:name w:val="Grid Table 1 Light"/>
    <w:basedOn w:val="TableNormal"/>
    <w:uiPriority w:val="46"/>
    <w:rsid w:val="00A17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4E50E8"/>
    <w:rPr>
      <w:rFonts w:ascii="Arial" w:hAnsi="Arial"/>
      <w:color w:val="241C44"/>
      <w:sz w:val="26"/>
      <w:szCs w:val="26"/>
      <w:lang w:val="en-AU" w:eastAsia="en-US"/>
    </w:rPr>
  </w:style>
  <w:style w:type="character" w:styleId="PlaceholderText">
    <w:name w:val="Placeholder Text"/>
    <w:basedOn w:val="DefaultParagraphFont"/>
    <w:uiPriority w:val="99"/>
    <w:semiHidden/>
    <w:rsid w:val="007A7F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6836">
      <w:bodyDiv w:val="1"/>
      <w:marLeft w:val="0"/>
      <w:marRight w:val="0"/>
      <w:marTop w:val="0"/>
      <w:marBottom w:val="0"/>
      <w:divBdr>
        <w:top w:val="none" w:sz="0" w:space="0" w:color="auto"/>
        <w:left w:val="none" w:sz="0" w:space="0" w:color="auto"/>
        <w:bottom w:val="none" w:sz="0" w:space="0" w:color="auto"/>
        <w:right w:val="none" w:sz="0" w:space="0" w:color="auto"/>
      </w:divBdr>
    </w:div>
    <w:div w:id="42756526">
      <w:bodyDiv w:val="1"/>
      <w:marLeft w:val="0"/>
      <w:marRight w:val="0"/>
      <w:marTop w:val="0"/>
      <w:marBottom w:val="0"/>
      <w:divBdr>
        <w:top w:val="none" w:sz="0" w:space="0" w:color="auto"/>
        <w:left w:val="none" w:sz="0" w:space="0" w:color="auto"/>
        <w:bottom w:val="none" w:sz="0" w:space="0" w:color="auto"/>
        <w:right w:val="none" w:sz="0" w:space="0" w:color="auto"/>
      </w:divBdr>
    </w:div>
    <w:div w:id="81688837">
      <w:bodyDiv w:val="1"/>
      <w:marLeft w:val="0"/>
      <w:marRight w:val="0"/>
      <w:marTop w:val="0"/>
      <w:marBottom w:val="0"/>
      <w:divBdr>
        <w:top w:val="none" w:sz="0" w:space="0" w:color="auto"/>
        <w:left w:val="none" w:sz="0" w:space="0" w:color="auto"/>
        <w:bottom w:val="none" w:sz="0" w:space="0" w:color="auto"/>
        <w:right w:val="none" w:sz="0" w:space="0" w:color="auto"/>
      </w:divBdr>
    </w:div>
    <w:div w:id="84307084">
      <w:bodyDiv w:val="1"/>
      <w:marLeft w:val="0"/>
      <w:marRight w:val="0"/>
      <w:marTop w:val="0"/>
      <w:marBottom w:val="0"/>
      <w:divBdr>
        <w:top w:val="none" w:sz="0" w:space="0" w:color="auto"/>
        <w:left w:val="none" w:sz="0" w:space="0" w:color="auto"/>
        <w:bottom w:val="none" w:sz="0" w:space="0" w:color="auto"/>
        <w:right w:val="none" w:sz="0" w:space="0" w:color="auto"/>
      </w:divBdr>
    </w:div>
    <w:div w:id="92670914">
      <w:bodyDiv w:val="1"/>
      <w:marLeft w:val="0"/>
      <w:marRight w:val="0"/>
      <w:marTop w:val="0"/>
      <w:marBottom w:val="0"/>
      <w:divBdr>
        <w:top w:val="none" w:sz="0" w:space="0" w:color="auto"/>
        <w:left w:val="none" w:sz="0" w:space="0" w:color="auto"/>
        <w:bottom w:val="none" w:sz="0" w:space="0" w:color="auto"/>
        <w:right w:val="none" w:sz="0" w:space="0" w:color="auto"/>
      </w:divBdr>
    </w:div>
    <w:div w:id="136537745">
      <w:bodyDiv w:val="1"/>
      <w:marLeft w:val="0"/>
      <w:marRight w:val="0"/>
      <w:marTop w:val="0"/>
      <w:marBottom w:val="0"/>
      <w:divBdr>
        <w:top w:val="none" w:sz="0" w:space="0" w:color="auto"/>
        <w:left w:val="none" w:sz="0" w:space="0" w:color="auto"/>
        <w:bottom w:val="none" w:sz="0" w:space="0" w:color="auto"/>
        <w:right w:val="none" w:sz="0" w:space="0" w:color="auto"/>
      </w:divBdr>
    </w:div>
    <w:div w:id="143469223">
      <w:bodyDiv w:val="1"/>
      <w:marLeft w:val="0"/>
      <w:marRight w:val="0"/>
      <w:marTop w:val="0"/>
      <w:marBottom w:val="0"/>
      <w:divBdr>
        <w:top w:val="none" w:sz="0" w:space="0" w:color="auto"/>
        <w:left w:val="none" w:sz="0" w:space="0" w:color="auto"/>
        <w:bottom w:val="none" w:sz="0" w:space="0" w:color="auto"/>
        <w:right w:val="none" w:sz="0" w:space="0" w:color="auto"/>
      </w:divBdr>
    </w:div>
    <w:div w:id="145364431">
      <w:bodyDiv w:val="1"/>
      <w:marLeft w:val="0"/>
      <w:marRight w:val="0"/>
      <w:marTop w:val="0"/>
      <w:marBottom w:val="0"/>
      <w:divBdr>
        <w:top w:val="none" w:sz="0" w:space="0" w:color="auto"/>
        <w:left w:val="none" w:sz="0" w:space="0" w:color="auto"/>
        <w:bottom w:val="none" w:sz="0" w:space="0" w:color="auto"/>
        <w:right w:val="none" w:sz="0" w:space="0" w:color="auto"/>
      </w:divBdr>
    </w:div>
    <w:div w:id="215169333">
      <w:bodyDiv w:val="1"/>
      <w:marLeft w:val="0"/>
      <w:marRight w:val="0"/>
      <w:marTop w:val="0"/>
      <w:marBottom w:val="0"/>
      <w:divBdr>
        <w:top w:val="none" w:sz="0" w:space="0" w:color="auto"/>
        <w:left w:val="none" w:sz="0" w:space="0" w:color="auto"/>
        <w:bottom w:val="none" w:sz="0" w:space="0" w:color="auto"/>
        <w:right w:val="none" w:sz="0" w:space="0" w:color="auto"/>
      </w:divBdr>
    </w:div>
    <w:div w:id="430786925">
      <w:bodyDiv w:val="1"/>
      <w:marLeft w:val="0"/>
      <w:marRight w:val="0"/>
      <w:marTop w:val="0"/>
      <w:marBottom w:val="0"/>
      <w:divBdr>
        <w:top w:val="none" w:sz="0" w:space="0" w:color="auto"/>
        <w:left w:val="none" w:sz="0" w:space="0" w:color="auto"/>
        <w:bottom w:val="none" w:sz="0" w:space="0" w:color="auto"/>
        <w:right w:val="none" w:sz="0" w:space="0" w:color="auto"/>
      </w:divBdr>
    </w:div>
    <w:div w:id="433094549">
      <w:bodyDiv w:val="1"/>
      <w:marLeft w:val="0"/>
      <w:marRight w:val="0"/>
      <w:marTop w:val="0"/>
      <w:marBottom w:val="0"/>
      <w:divBdr>
        <w:top w:val="none" w:sz="0" w:space="0" w:color="auto"/>
        <w:left w:val="none" w:sz="0" w:space="0" w:color="auto"/>
        <w:bottom w:val="none" w:sz="0" w:space="0" w:color="auto"/>
        <w:right w:val="none" w:sz="0" w:space="0" w:color="auto"/>
      </w:divBdr>
    </w:div>
    <w:div w:id="485322773">
      <w:bodyDiv w:val="1"/>
      <w:marLeft w:val="0"/>
      <w:marRight w:val="0"/>
      <w:marTop w:val="0"/>
      <w:marBottom w:val="0"/>
      <w:divBdr>
        <w:top w:val="none" w:sz="0" w:space="0" w:color="auto"/>
        <w:left w:val="none" w:sz="0" w:space="0" w:color="auto"/>
        <w:bottom w:val="none" w:sz="0" w:space="0" w:color="auto"/>
        <w:right w:val="none" w:sz="0" w:space="0" w:color="auto"/>
      </w:divBdr>
    </w:div>
    <w:div w:id="607466181">
      <w:bodyDiv w:val="1"/>
      <w:marLeft w:val="0"/>
      <w:marRight w:val="0"/>
      <w:marTop w:val="0"/>
      <w:marBottom w:val="0"/>
      <w:divBdr>
        <w:top w:val="none" w:sz="0" w:space="0" w:color="auto"/>
        <w:left w:val="none" w:sz="0" w:space="0" w:color="auto"/>
        <w:bottom w:val="none" w:sz="0" w:space="0" w:color="auto"/>
        <w:right w:val="none" w:sz="0" w:space="0" w:color="auto"/>
      </w:divBdr>
    </w:div>
    <w:div w:id="625894910">
      <w:bodyDiv w:val="1"/>
      <w:marLeft w:val="0"/>
      <w:marRight w:val="0"/>
      <w:marTop w:val="0"/>
      <w:marBottom w:val="0"/>
      <w:divBdr>
        <w:top w:val="none" w:sz="0" w:space="0" w:color="auto"/>
        <w:left w:val="none" w:sz="0" w:space="0" w:color="auto"/>
        <w:bottom w:val="none" w:sz="0" w:space="0" w:color="auto"/>
        <w:right w:val="none" w:sz="0" w:space="0" w:color="auto"/>
      </w:divBdr>
      <w:divsChild>
        <w:div w:id="778916361">
          <w:marLeft w:val="360"/>
          <w:marRight w:val="0"/>
          <w:marTop w:val="0"/>
          <w:marBottom w:val="0"/>
          <w:divBdr>
            <w:top w:val="none" w:sz="0" w:space="0" w:color="auto"/>
            <w:left w:val="none" w:sz="0" w:space="0" w:color="auto"/>
            <w:bottom w:val="none" w:sz="0" w:space="0" w:color="auto"/>
            <w:right w:val="none" w:sz="0" w:space="0" w:color="auto"/>
          </w:divBdr>
        </w:div>
        <w:div w:id="1195656370">
          <w:marLeft w:val="360"/>
          <w:marRight w:val="0"/>
          <w:marTop w:val="0"/>
          <w:marBottom w:val="0"/>
          <w:divBdr>
            <w:top w:val="none" w:sz="0" w:space="0" w:color="auto"/>
            <w:left w:val="none" w:sz="0" w:space="0" w:color="auto"/>
            <w:bottom w:val="none" w:sz="0" w:space="0" w:color="auto"/>
            <w:right w:val="none" w:sz="0" w:space="0" w:color="auto"/>
          </w:divBdr>
        </w:div>
        <w:div w:id="1235974195">
          <w:marLeft w:val="360"/>
          <w:marRight w:val="0"/>
          <w:marTop w:val="0"/>
          <w:marBottom w:val="0"/>
          <w:divBdr>
            <w:top w:val="none" w:sz="0" w:space="0" w:color="auto"/>
            <w:left w:val="none" w:sz="0" w:space="0" w:color="auto"/>
            <w:bottom w:val="none" w:sz="0" w:space="0" w:color="auto"/>
            <w:right w:val="none" w:sz="0" w:space="0" w:color="auto"/>
          </w:divBdr>
        </w:div>
        <w:div w:id="1755393657">
          <w:marLeft w:val="360"/>
          <w:marRight w:val="0"/>
          <w:marTop w:val="0"/>
          <w:marBottom w:val="0"/>
          <w:divBdr>
            <w:top w:val="none" w:sz="0" w:space="0" w:color="auto"/>
            <w:left w:val="none" w:sz="0" w:space="0" w:color="auto"/>
            <w:bottom w:val="none" w:sz="0" w:space="0" w:color="auto"/>
            <w:right w:val="none" w:sz="0" w:space="0" w:color="auto"/>
          </w:divBdr>
        </w:div>
        <w:div w:id="1946225667">
          <w:marLeft w:val="360"/>
          <w:marRight w:val="0"/>
          <w:marTop w:val="0"/>
          <w:marBottom w:val="0"/>
          <w:divBdr>
            <w:top w:val="none" w:sz="0" w:space="0" w:color="auto"/>
            <w:left w:val="none" w:sz="0" w:space="0" w:color="auto"/>
            <w:bottom w:val="none" w:sz="0" w:space="0" w:color="auto"/>
            <w:right w:val="none" w:sz="0" w:space="0" w:color="auto"/>
          </w:divBdr>
        </w:div>
      </w:divsChild>
    </w:div>
    <w:div w:id="626813274">
      <w:bodyDiv w:val="1"/>
      <w:marLeft w:val="0"/>
      <w:marRight w:val="0"/>
      <w:marTop w:val="0"/>
      <w:marBottom w:val="0"/>
      <w:divBdr>
        <w:top w:val="none" w:sz="0" w:space="0" w:color="auto"/>
        <w:left w:val="none" w:sz="0" w:space="0" w:color="auto"/>
        <w:bottom w:val="none" w:sz="0" w:space="0" w:color="auto"/>
        <w:right w:val="none" w:sz="0" w:space="0" w:color="auto"/>
      </w:divBdr>
    </w:div>
    <w:div w:id="626814758">
      <w:bodyDiv w:val="1"/>
      <w:marLeft w:val="0"/>
      <w:marRight w:val="0"/>
      <w:marTop w:val="0"/>
      <w:marBottom w:val="0"/>
      <w:divBdr>
        <w:top w:val="none" w:sz="0" w:space="0" w:color="auto"/>
        <w:left w:val="none" w:sz="0" w:space="0" w:color="auto"/>
        <w:bottom w:val="none" w:sz="0" w:space="0" w:color="auto"/>
        <w:right w:val="none" w:sz="0" w:space="0" w:color="auto"/>
      </w:divBdr>
    </w:div>
    <w:div w:id="626938561">
      <w:bodyDiv w:val="1"/>
      <w:marLeft w:val="0"/>
      <w:marRight w:val="0"/>
      <w:marTop w:val="0"/>
      <w:marBottom w:val="0"/>
      <w:divBdr>
        <w:top w:val="none" w:sz="0" w:space="0" w:color="auto"/>
        <w:left w:val="none" w:sz="0" w:space="0" w:color="auto"/>
        <w:bottom w:val="none" w:sz="0" w:space="0" w:color="auto"/>
        <w:right w:val="none" w:sz="0" w:space="0" w:color="auto"/>
      </w:divBdr>
    </w:div>
    <w:div w:id="634527857">
      <w:bodyDiv w:val="1"/>
      <w:marLeft w:val="0"/>
      <w:marRight w:val="0"/>
      <w:marTop w:val="0"/>
      <w:marBottom w:val="0"/>
      <w:divBdr>
        <w:top w:val="none" w:sz="0" w:space="0" w:color="auto"/>
        <w:left w:val="none" w:sz="0" w:space="0" w:color="auto"/>
        <w:bottom w:val="none" w:sz="0" w:space="0" w:color="auto"/>
        <w:right w:val="none" w:sz="0" w:space="0" w:color="auto"/>
      </w:divBdr>
    </w:div>
    <w:div w:id="839347912">
      <w:bodyDiv w:val="1"/>
      <w:marLeft w:val="0"/>
      <w:marRight w:val="0"/>
      <w:marTop w:val="0"/>
      <w:marBottom w:val="0"/>
      <w:divBdr>
        <w:top w:val="none" w:sz="0" w:space="0" w:color="auto"/>
        <w:left w:val="none" w:sz="0" w:space="0" w:color="auto"/>
        <w:bottom w:val="none" w:sz="0" w:space="0" w:color="auto"/>
        <w:right w:val="none" w:sz="0" w:space="0" w:color="auto"/>
      </w:divBdr>
    </w:div>
    <w:div w:id="855582829">
      <w:bodyDiv w:val="1"/>
      <w:marLeft w:val="0"/>
      <w:marRight w:val="0"/>
      <w:marTop w:val="0"/>
      <w:marBottom w:val="0"/>
      <w:divBdr>
        <w:top w:val="none" w:sz="0" w:space="0" w:color="auto"/>
        <w:left w:val="none" w:sz="0" w:space="0" w:color="auto"/>
        <w:bottom w:val="none" w:sz="0" w:space="0" w:color="auto"/>
        <w:right w:val="none" w:sz="0" w:space="0" w:color="auto"/>
      </w:divBdr>
      <w:divsChild>
        <w:div w:id="368148323">
          <w:marLeft w:val="403"/>
          <w:marRight w:val="0"/>
          <w:marTop w:val="90"/>
          <w:marBottom w:val="0"/>
          <w:divBdr>
            <w:top w:val="none" w:sz="0" w:space="0" w:color="auto"/>
            <w:left w:val="none" w:sz="0" w:space="0" w:color="auto"/>
            <w:bottom w:val="none" w:sz="0" w:space="0" w:color="auto"/>
            <w:right w:val="none" w:sz="0" w:space="0" w:color="auto"/>
          </w:divBdr>
        </w:div>
        <w:div w:id="560408016">
          <w:marLeft w:val="403"/>
          <w:marRight w:val="0"/>
          <w:marTop w:val="90"/>
          <w:marBottom w:val="0"/>
          <w:divBdr>
            <w:top w:val="none" w:sz="0" w:space="0" w:color="auto"/>
            <w:left w:val="none" w:sz="0" w:space="0" w:color="auto"/>
            <w:bottom w:val="none" w:sz="0" w:space="0" w:color="auto"/>
            <w:right w:val="none" w:sz="0" w:space="0" w:color="auto"/>
          </w:divBdr>
        </w:div>
      </w:divsChild>
    </w:div>
    <w:div w:id="870609987">
      <w:bodyDiv w:val="1"/>
      <w:marLeft w:val="0"/>
      <w:marRight w:val="0"/>
      <w:marTop w:val="0"/>
      <w:marBottom w:val="0"/>
      <w:divBdr>
        <w:top w:val="none" w:sz="0" w:space="0" w:color="auto"/>
        <w:left w:val="none" w:sz="0" w:space="0" w:color="auto"/>
        <w:bottom w:val="none" w:sz="0" w:space="0" w:color="auto"/>
        <w:right w:val="none" w:sz="0" w:space="0" w:color="auto"/>
      </w:divBdr>
    </w:div>
    <w:div w:id="923415517">
      <w:bodyDiv w:val="1"/>
      <w:marLeft w:val="0"/>
      <w:marRight w:val="0"/>
      <w:marTop w:val="0"/>
      <w:marBottom w:val="0"/>
      <w:divBdr>
        <w:top w:val="none" w:sz="0" w:space="0" w:color="auto"/>
        <w:left w:val="none" w:sz="0" w:space="0" w:color="auto"/>
        <w:bottom w:val="none" w:sz="0" w:space="0" w:color="auto"/>
        <w:right w:val="none" w:sz="0" w:space="0" w:color="auto"/>
      </w:divBdr>
    </w:div>
    <w:div w:id="966004590">
      <w:bodyDiv w:val="1"/>
      <w:marLeft w:val="0"/>
      <w:marRight w:val="0"/>
      <w:marTop w:val="0"/>
      <w:marBottom w:val="0"/>
      <w:divBdr>
        <w:top w:val="none" w:sz="0" w:space="0" w:color="auto"/>
        <w:left w:val="none" w:sz="0" w:space="0" w:color="auto"/>
        <w:bottom w:val="none" w:sz="0" w:space="0" w:color="auto"/>
        <w:right w:val="none" w:sz="0" w:space="0" w:color="auto"/>
      </w:divBdr>
    </w:div>
    <w:div w:id="968517410">
      <w:bodyDiv w:val="1"/>
      <w:marLeft w:val="0"/>
      <w:marRight w:val="0"/>
      <w:marTop w:val="0"/>
      <w:marBottom w:val="0"/>
      <w:divBdr>
        <w:top w:val="none" w:sz="0" w:space="0" w:color="auto"/>
        <w:left w:val="none" w:sz="0" w:space="0" w:color="auto"/>
        <w:bottom w:val="none" w:sz="0" w:space="0" w:color="auto"/>
        <w:right w:val="none" w:sz="0" w:space="0" w:color="auto"/>
      </w:divBdr>
    </w:div>
    <w:div w:id="1040521366">
      <w:bodyDiv w:val="1"/>
      <w:marLeft w:val="0"/>
      <w:marRight w:val="0"/>
      <w:marTop w:val="0"/>
      <w:marBottom w:val="0"/>
      <w:divBdr>
        <w:top w:val="none" w:sz="0" w:space="0" w:color="auto"/>
        <w:left w:val="none" w:sz="0" w:space="0" w:color="auto"/>
        <w:bottom w:val="none" w:sz="0" w:space="0" w:color="auto"/>
        <w:right w:val="none" w:sz="0" w:space="0" w:color="auto"/>
      </w:divBdr>
    </w:div>
    <w:div w:id="1056977464">
      <w:bodyDiv w:val="1"/>
      <w:marLeft w:val="0"/>
      <w:marRight w:val="0"/>
      <w:marTop w:val="0"/>
      <w:marBottom w:val="0"/>
      <w:divBdr>
        <w:top w:val="none" w:sz="0" w:space="0" w:color="auto"/>
        <w:left w:val="none" w:sz="0" w:space="0" w:color="auto"/>
        <w:bottom w:val="none" w:sz="0" w:space="0" w:color="auto"/>
        <w:right w:val="none" w:sz="0" w:space="0" w:color="auto"/>
      </w:divBdr>
      <w:divsChild>
        <w:div w:id="1535120159">
          <w:marLeft w:val="403"/>
          <w:marRight w:val="0"/>
          <w:marTop w:val="90"/>
          <w:marBottom w:val="0"/>
          <w:divBdr>
            <w:top w:val="none" w:sz="0" w:space="0" w:color="auto"/>
            <w:left w:val="none" w:sz="0" w:space="0" w:color="auto"/>
            <w:bottom w:val="none" w:sz="0" w:space="0" w:color="auto"/>
            <w:right w:val="none" w:sz="0" w:space="0" w:color="auto"/>
          </w:divBdr>
        </w:div>
        <w:div w:id="2051755909">
          <w:marLeft w:val="403"/>
          <w:marRight w:val="0"/>
          <w:marTop w:val="90"/>
          <w:marBottom w:val="0"/>
          <w:divBdr>
            <w:top w:val="none" w:sz="0" w:space="0" w:color="auto"/>
            <w:left w:val="none" w:sz="0" w:space="0" w:color="auto"/>
            <w:bottom w:val="none" w:sz="0" w:space="0" w:color="auto"/>
            <w:right w:val="none" w:sz="0" w:space="0" w:color="auto"/>
          </w:divBdr>
        </w:div>
      </w:divsChild>
    </w:div>
    <w:div w:id="1062019939">
      <w:bodyDiv w:val="1"/>
      <w:marLeft w:val="0"/>
      <w:marRight w:val="0"/>
      <w:marTop w:val="0"/>
      <w:marBottom w:val="0"/>
      <w:divBdr>
        <w:top w:val="none" w:sz="0" w:space="0" w:color="auto"/>
        <w:left w:val="none" w:sz="0" w:space="0" w:color="auto"/>
        <w:bottom w:val="none" w:sz="0" w:space="0" w:color="auto"/>
        <w:right w:val="none" w:sz="0" w:space="0" w:color="auto"/>
      </w:divBdr>
    </w:div>
    <w:div w:id="1090354655">
      <w:bodyDiv w:val="1"/>
      <w:marLeft w:val="0"/>
      <w:marRight w:val="0"/>
      <w:marTop w:val="0"/>
      <w:marBottom w:val="0"/>
      <w:divBdr>
        <w:top w:val="none" w:sz="0" w:space="0" w:color="auto"/>
        <w:left w:val="none" w:sz="0" w:space="0" w:color="auto"/>
        <w:bottom w:val="none" w:sz="0" w:space="0" w:color="auto"/>
        <w:right w:val="none" w:sz="0" w:space="0" w:color="auto"/>
      </w:divBdr>
    </w:div>
    <w:div w:id="1091851835">
      <w:bodyDiv w:val="1"/>
      <w:marLeft w:val="0"/>
      <w:marRight w:val="0"/>
      <w:marTop w:val="0"/>
      <w:marBottom w:val="0"/>
      <w:divBdr>
        <w:top w:val="none" w:sz="0" w:space="0" w:color="auto"/>
        <w:left w:val="none" w:sz="0" w:space="0" w:color="auto"/>
        <w:bottom w:val="none" w:sz="0" w:space="0" w:color="auto"/>
        <w:right w:val="none" w:sz="0" w:space="0" w:color="auto"/>
      </w:divBdr>
      <w:divsChild>
        <w:div w:id="115218809">
          <w:marLeft w:val="403"/>
          <w:marRight w:val="0"/>
          <w:marTop w:val="82"/>
          <w:marBottom w:val="0"/>
          <w:divBdr>
            <w:top w:val="none" w:sz="0" w:space="0" w:color="auto"/>
            <w:left w:val="none" w:sz="0" w:space="0" w:color="auto"/>
            <w:bottom w:val="none" w:sz="0" w:space="0" w:color="auto"/>
            <w:right w:val="none" w:sz="0" w:space="0" w:color="auto"/>
          </w:divBdr>
        </w:div>
        <w:div w:id="132798245">
          <w:marLeft w:val="403"/>
          <w:marRight w:val="0"/>
          <w:marTop w:val="82"/>
          <w:marBottom w:val="0"/>
          <w:divBdr>
            <w:top w:val="none" w:sz="0" w:space="0" w:color="auto"/>
            <w:left w:val="none" w:sz="0" w:space="0" w:color="auto"/>
            <w:bottom w:val="none" w:sz="0" w:space="0" w:color="auto"/>
            <w:right w:val="none" w:sz="0" w:space="0" w:color="auto"/>
          </w:divBdr>
        </w:div>
        <w:div w:id="396589620">
          <w:marLeft w:val="403"/>
          <w:marRight w:val="0"/>
          <w:marTop w:val="82"/>
          <w:marBottom w:val="0"/>
          <w:divBdr>
            <w:top w:val="none" w:sz="0" w:space="0" w:color="auto"/>
            <w:left w:val="none" w:sz="0" w:space="0" w:color="auto"/>
            <w:bottom w:val="none" w:sz="0" w:space="0" w:color="auto"/>
            <w:right w:val="none" w:sz="0" w:space="0" w:color="auto"/>
          </w:divBdr>
        </w:div>
      </w:divsChild>
    </w:div>
    <w:div w:id="1172911567">
      <w:bodyDiv w:val="1"/>
      <w:marLeft w:val="0"/>
      <w:marRight w:val="0"/>
      <w:marTop w:val="0"/>
      <w:marBottom w:val="0"/>
      <w:divBdr>
        <w:top w:val="none" w:sz="0" w:space="0" w:color="auto"/>
        <w:left w:val="none" w:sz="0" w:space="0" w:color="auto"/>
        <w:bottom w:val="none" w:sz="0" w:space="0" w:color="auto"/>
        <w:right w:val="none" w:sz="0" w:space="0" w:color="auto"/>
      </w:divBdr>
      <w:divsChild>
        <w:div w:id="464927933">
          <w:marLeft w:val="403"/>
          <w:marRight w:val="0"/>
          <w:marTop w:val="82"/>
          <w:marBottom w:val="0"/>
          <w:divBdr>
            <w:top w:val="none" w:sz="0" w:space="0" w:color="auto"/>
            <w:left w:val="none" w:sz="0" w:space="0" w:color="auto"/>
            <w:bottom w:val="none" w:sz="0" w:space="0" w:color="auto"/>
            <w:right w:val="none" w:sz="0" w:space="0" w:color="auto"/>
          </w:divBdr>
        </w:div>
        <w:div w:id="674110252">
          <w:marLeft w:val="403"/>
          <w:marRight w:val="0"/>
          <w:marTop w:val="82"/>
          <w:marBottom w:val="0"/>
          <w:divBdr>
            <w:top w:val="none" w:sz="0" w:space="0" w:color="auto"/>
            <w:left w:val="none" w:sz="0" w:space="0" w:color="auto"/>
            <w:bottom w:val="none" w:sz="0" w:space="0" w:color="auto"/>
            <w:right w:val="none" w:sz="0" w:space="0" w:color="auto"/>
          </w:divBdr>
        </w:div>
        <w:div w:id="901450724">
          <w:marLeft w:val="403"/>
          <w:marRight w:val="0"/>
          <w:marTop w:val="82"/>
          <w:marBottom w:val="0"/>
          <w:divBdr>
            <w:top w:val="none" w:sz="0" w:space="0" w:color="auto"/>
            <w:left w:val="none" w:sz="0" w:space="0" w:color="auto"/>
            <w:bottom w:val="none" w:sz="0" w:space="0" w:color="auto"/>
            <w:right w:val="none" w:sz="0" w:space="0" w:color="auto"/>
          </w:divBdr>
        </w:div>
        <w:div w:id="1234850174">
          <w:marLeft w:val="403"/>
          <w:marRight w:val="0"/>
          <w:marTop w:val="82"/>
          <w:marBottom w:val="0"/>
          <w:divBdr>
            <w:top w:val="none" w:sz="0" w:space="0" w:color="auto"/>
            <w:left w:val="none" w:sz="0" w:space="0" w:color="auto"/>
            <w:bottom w:val="none" w:sz="0" w:space="0" w:color="auto"/>
            <w:right w:val="none" w:sz="0" w:space="0" w:color="auto"/>
          </w:divBdr>
        </w:div>
      </w:divsChild>
    </w:div>
    <w:div w:id="1181165340">
      <w:bodyDiv w:val="1"/>
      <w:marLeft w:val="0"/>
      <w:marRight w:val="0"/>
      <w:marTop w:val="0"/>
      <w:marBottom w:val="0"/>
      <w:divBdr>
        <w:top w:val="none" w:sz="0" w:space="0" w:color="auto"/>
        <w:left w:val="none" w:sz="0" w:space="0" w:color="auto"/>
        <w:bottom w:val="none" w:sz="0" w:space="0" w:color="auto"/>
        <w:right w:val="none" w:sz="0" w:space="0" w:color="auto"/>
      </w:divBdr>
      <w:divsChild>
        <w:div w:id="429472250">
          <w:marLeft w:val="360"/>
          <w:marRight w:val="0"/>
          <w:marTop w:val="0"/>
          <w:marBottom w:val="0"/>
          <w:divBdr>
            <w:top w:val="none" w:sz="0" w:space="0" w:color="auto"/>
            <w:left w:val="none" w:sz="0" w:space="0" w:color="auto"/>
            <w:bottom w:val="none" w:sz="0" w:space="0" w:color="auto"/>
            <w:right w:val="none" w:sz="0" w:space="0" w:color="auto"/>
          </w:divBdr>
        </w:div>
        <w:div w:id="1334406797">
          <w:marLeft w:val="360"/>
          <w:marRight w:val="0"/>
          <w:marTop w:val="0"/>
          <w:marBottom w:val="0"/>
          <w:divBdr>
            <w:top w:val="none" w:sz="0" w:space="0" w:color="auto"/>
            <w:left w:val="none" w:sz="0" w:space="0" w:color="auto"/>
            <w:bottom w:val="none" w:sz="0" w:space="0" w:color="auto"/>
            <w:right w:val="none" w:sz="0" w:space="0" w:color="auto"/>
          </w:divBdr>
        </w:div>
        <w:div w:id="1454403139">
          <w:marLeft w:val="360"/>
          <w:marRight w:val="0"/>
          <w:marTop w:val="0"/>
          <w:marBottom w:val="0"/>
          <w:divBdr>
            <w:top w:val="none" w:sz="0" w:space="0" w:color="auto"/>
            <w:left w:val="none" w:sz="0" w:space="0" w:color="auto"/>
            <w:bottom w:val="none" w:sz="0" w:space="0" w:color="auto"/>
            <w:right w:val="none" w:sz="0" w:space="0" w:color="auto"/>
          </w:divBdr>
        </w:div>
        <w:div w:id="1692607694">
          <w:marLeft w:val="360"/>
          <w:marRight w:val="0"/>
          <w:marTop w:val="0"/>
          <w:marBottom w:val="0"/>
          <w:divBdr>
            <w:top w:val="none" w:sz="0" w:space="0" w:color="auto"/>
            <w:left w:val="none" w:sz="0" w:space="0" w:color="auto"/>
            <w:bottom w:val="none" w:sz="0" w:space="0" w:color="auto"/>
            <w:right w:val="none" w:sz="0" w:space="0" w:color="auto"/>
          </w:divBdr>
        </w:div>
        <w:div w:id="1982031644">
          <w:marLeft w:val="360"/>
          <w:marRight w:val="0"/>
          <w:marTop w:val="0"/>
          <w:marBottom w:val="0"/>
          <w:divBdr>
            <w:top w:val="none" w:sz="0" w:space="0" w:color="auto"/>
            <w:left w:val="none" w:sz="0" w:space="0" w:color="auto"/>
            <w:bottom w:val="none" w:sz="0" w:space="0" w:color="auto"/>
            <w:right w:val="none" w:sz="0" w:space="0" w:color="auto"/>
          </w:divBdr>
        </w:div>
      </w:divsChild>
    </w:div>
    <w:div w:id="1213074911">
      <w:bodyDiv w:val="1"/>
      <w:marLeft w:val="0"/>
      <w:marRight w:val="0"/>
      <w:marTop w:val="0"/>
      <w:marBottom w:val="0"/>
      <w:divBdr>
        <w:top w:val="none" w:sz="0" w:space="0" w:color="auto"/>
        <w:left w:val="none" w:sz="0" w:space="0" w:color="auto"/>
        <w:bottom w:val="none" w:sz="0" w:space="0" w:color="auto"/>
        <w:right w:val="none" w:sz="0" w:space="0" w:color="auto"/>
      </w:divBdr>
    </w:div>
    <w:div w:id="1215048605">
      <w:bodyDiv w:val="1"/>
      <w:marLeft w:val="0"/>
      <w:marRight w:val="0"/>
      <w:marTop w:val="0"/>
      <w:marBottom w:val="0"/>
      <w:divBdr>
        <w:top w:val="none" w:sz="0" w:space="0" w:color="auto"/>
        <w:left w:val="none" w:sz="0" w:space="0" w:color="auto"/>
        <w:bottom w:val="none" w:sz="0" w:space="0" w:color="auto"/>
        <w:right w:val="none" w:sz="0" w:space="0" w:color="auto"/>
      </w:divBdr>
    </w:div>
    <w:div w:id="1217281692">
      <w:bodyDiv w:val="1"/>
      <w:marLeft w:val="0"/>
      <w:marRight w:val="0"/>
      <w:marTop w:val="0"/>
      <w:marBottom w:val="0"/>
      <w:divBdr>
        <w:top w:val="none" w:sz="0" w:space="0" w:color="auto"/>
        <w:left w:val="none" w:sz="0" w:space="0" w:color="auto"/>
        <w:bottom w:val="none" w:sz="0" w:space="0" w:color="auto"/>
        <w:right w:val="none" w:sz="0" w:space="0" w:color="auto"/>
      </w:divBdr>
    </w:div>
    <w:div w:id="1230844520">
      <w:bodyDiv w:val="1"/>
      <w:marLeft w:val="0"/>
      <w:marRight w:val="0"/>
      <w:marTop w:val="0"/>
      <w:marBottom w:val="0"/>
      <w:divBdr>
        <w:top w:val="none" w:sz="0" w:space="0" w:color="auto"/>
        <w:left w:val="none" w:sz="0" w:space="0" w:color="auto"/>
        <w:bottom w:val="none" w:sz="0" w:space="0" w:color="auto"/>
        <w:right w:val="none" w:sz="0" w:space="0" w:color="auto"/>
      </w:divBdr>
    </w:div>
    <w:div w:id="1253777259">
      <w:bodyDiv w:val="1"/>
      <w:marLeft w:val="0"/>
      <w:marRight w:val="0"/>
      <w:marTop w:val="0"/>
      <w:marBottom w:val="0"/>
      <w:divBdr>
        <w:top w:val="none" w:sz="0" w:space="0" w:color="auto"/>
        <w:left w:val="none" w:sz="0" w:space="0" w:color="auto"/>
        <w:bottom w:val="none" w:sz="0" w:space="0" w:color="auto"/>
        <w:right w:val="none" w:sz="0" w:space="0" w:color="auto"/>
      </w:divBdr>
    </w:div>
    <w:div w:id="1270240319">
      <w:bodyDiv w:val="1"/>
      <w:marLeft w:val="0"/>
      <w:marRight w:val="0"/>
      <w:marTop w:val="0"/>
      <w:marBottom w:val="0"/>
      <w:divBdr>
        <w:top w:val="none" w:sz="0" w:space="0" w:color="auto"/>
        <w:left w:val="none" w:sz="0" w:space="0" w:color="auto"/>
        <w:bottom w:val="none" w:sz="0" w:space="0" w:color="auto"/>
        <w:right w:val="none" w:sz="0" w:space="0" w:color="auto"/>
      </w:divBdr>
      <w:divsChild>
        <w:div w:id="60641885">
          <w:marLeft w:val="274"/>
          <w:marRight w:val="0"/>
          <w:marTop w:val="53"/>
          <w:marBottom w:val="0"/>
          <w:divBdr>
            <w:top w:val="none" w:sz="0" w:space="0" w:color="auto"/>
            <w:left w:val="none" w:sz="0" w:space="0" w:color="auto"/>
            <w:bottom w:val="none" w:sz="0" w:space="0" w:color="auto"/>
            <w:right w:val="none" w:sz="0" w:space="0" w:color="auto"/>
          </w:divBdr>
        </w:div>
      </w:divsChild>
    </w:div>
    <w:div w:id="1278025830">
      <w:bodyDiv w:val="1"/>
      <w:marLeft w:val="0"/>
      <w:marRight w:val="0"/>
      <w:marTop w:val="0"/>
      <w:marBottom w:val="0"/>
      <w:divBdr>
        <w:top w:val="none" w:sz="0" w:space="0" w:color="auto"/>
        <w:left w:val="none" w:sz="0" w:space="0" w:color="auto"/>
        <w:bottom w:val="none" w:sz="0" w:space="0" w:color="auto"/>
        <w:right w:val="none" w:sz="0" w:space="0" w:color="auto"/>
      </w:divBdr>
    </w:div>
    <w:div w:id="1281568588">
      <w:bodyDiv w:val="1"/>
      <w:marLeft w:val="0"/>
      <w:marRight w:val="0"/>
      <w:marTop w:val="0"/>
      <w:marBottom w:val="0"/>
      <w:divBdr>
        <w:top w:val="none" w:sz="0" w:space="0" w:color="auto"/>
        <w:left w:val="none" w:sz="0" w:space="0" w:color="auto"/>
        <w:bottom w:val="none" w:sz="0" w:space="0" w:color="auto"/>
        <w:right w:val="none" w:sz="0" w:space="0" w:color="auto"/>
      </w:divBdr>
    </w:div>
    <w:div w:id="1282956414">
      <w:bodyDiv w:val="1"/>
      <w:marLeft w:val="0"/>
      <w:marRight w:val="0"/>
      <w:marTop w:val="0"/>
      <w:marBottom w:val="0"/>
      <w:divBdr>
        <w:top w:val="none" w:sz="0" w:space="0" w:color="auto"/>
        <w:left w:val="none" w:sz="0" w:space="0" w:color="auto"/>
        <w:bottom w:val="none" w:sz="0" w:space="0" w:color="auto"/>
        <w:right w:val="none" w:sz="0" w:space="0" w:color="auto"/>
      </w:divBdr>
    </w:div>
    <w:div w:id="1431007082">
      <w:bodyDiv w:val="1"/>
      <w:marLeft w:val="0"/>
      <w:marRight w:val="0"/>
      <w:marTop w:val="0"/>
      <w:marBottom w:val="0"/>
      <w:divBdr>
        <w:top w:val="none" w:sz="0" w:space="0" w:color="auto"/>
        <w:left w:val="none" w:sz="0" w:space="0" w:color="auto"/>
        <w:bottom w:val="none" w:sz="0" w:space="0" w:color="auto"/>
        <w:right w:val="none" w:sz="0" w:space="0" w:color="auto"/>
      </w:divBdr>
    </w:div>
    <w:div w:id="1447189835">
      <w:bodyDiv w:val="1"/>
      <w:marLeft w:val="0"/>
      <w:marRight w:val="0"/>
      <w:marTop w:val="0"/>
      <w:marBottom w:val="0"/>
      <w:divBdr>
        <w:top w:val="none" w:sz="0" w:space="0" w:color="auto"/>
        <w:left w:val="none" w:sz="0" w:space="0" w:color="auto"/>
        <w:bottom w:val="none" w:sz="0" w:space="0" w:color="auto"/>
        <w:right w:val="none" w:sz="0" w:space="0" w:color="auto"/>
      </w:divBdr>
      <w:divsChild>
        <w:div w:id="721059005">
          <w:marLeft w:val="403"/>
          <w:marRight w:val="0"/>
          <w:marTop w:val="90"/>
          <w:marBottom w:val="0"/>
          <w:divBdr>
            <w:top w:val="none" w:sz="0" w:space="0" w:color="auto"/>
            <w:left w:val="none" w:sz="0" w:space="0" w:color="auto"/>
            <w:bottom w:val="none" w:sz="0" w:space="0" w:color="auto"/>
            <w:right w:val="none" w:sz="0" w:space="0" w:color="auto"/>
          </w:divBdr>
        </w:div>
        <w:div w:id="1061102198">
          <w:marLeft w:val="403"/>
          <w:marRight w:val="0"/>
          <w:marTop w:val="90"/>
          <w:marBottom w:val="0"/>
          <w:divBdr>
            <w:top w:val="none" w:sz="0" w:space="0" w:color="auto"/>
            <w:left w:val="none" w:sz="0" w:space="0" w:color="auto"/>
            <w:bottom w:val="none" w:sz="0" w:space="0" w:color="auto"/>
            <w:right w:val="none" w:sz="0" w:space="0" w:color="auto"/>
          </w:divBdr>
        </w:div>
        <w:div w:id="1370107612">
          <w:marLeft w:val="403"/>
          <w:marRight w:val="0"/>
          <w:marTop w:val="90"/>
          <w:marBottom w:val="0"/>
          <w:divBdr>
            <w:top w:val="none" w:sz="0" w:space="0" w:color="auto"/>
            <w:left w:val="none" w:sz="0" w:space="0" w:color="auto"/>
            <w:bottom w:val="none" w:sz="0" w:space="0" w:color="auto"/>
            <w:right w:val="none" w:sz="0" w:space="0" w:color="auto"/>
          </w:divBdr>
        </w:div>
        <w:div w:id="1605265067">
          <w:marLeft w:val="403"/>
          <w:marRight w:val="0"/>
          <w:marTop w:val="90"/>
          <w:marBottom w:val="0"/>
          <w:divBdr>
            <w:top w:val="none" w:sz="0" w:space="0" w:color="auto"/>
            <w:left w:val="none" w:sz="0" w:space="0" w:color="auto"/>
            <w:bottom w:val="none" w:sz="0" w:space="0" w:color="auto"/>
            <w:right w:val="none" w:sz="0" w:space="0" w:color="auto"/>
          </w:divBdr>
        </w:div>
        <w:div w:id="1741782734">
          <w:marLeft w:val="403"/>
          <w:marRight w:val="0"/>
          <w:marTop w:val="90"/>
          <w:marBottom w:val="0"/>
          <w:divBdr>
            <w:top w:val="none" w:sz="0" w:space="0" w:color="auto"/>
            <w:left w:val="none" w:sz="0" w:space="0" w:color="auto"/>
            <w:bottom w:val="none" w:sz="0" w:space="0" w:color="auto"/>
            <w:right w:val="none" w:sz="0" w:space="0" w:color="auto"/>
          </w:divBdr>
        </w:div>
      </w:divsChild>
    </w:div>
    <w:div w:id="1469976464">
      <w:bodyDiv w:val="1"/>
      <w:marLeft w:val="0"/>
      <w:marRight w:val="0"/>
      <w:marTop w:val="0"/>
      <w:marBottom w:val="0"/>
      <w:divBdr>
        <w:top w:val="none" w:sz="0" w:space="0" w:color="auto"/>
        <w:left w:val="none" w:sz="0" w:space="0" w:color="auto"/>
        <w:bottom w:val="none" w:sz="0" w:space="0" w:color="auto"/>
        <w:right w:val="none" w:sz="0" w:space="0" w:color="auto"/>
      </w:divBdr>
    </w:div>
    <w:div w:id="1501233465">
      <w:bodyDiv w:val="1"/>
      <w:marLeft w:val="0"/>
      <w:marRight w:val="0"/>
      <w:marTop w:val="0"/>
      <w:marBottom w:val="0"/>
      <w:divBdr>
        <w:top w:val="none" w:sz="0" w:space="0" w:color="auto"/>
        <w:left w:val="none" w:sz="0" w:space="0" w:color="auto"/>
        <w:bottom w:val="none" w:sz="0" w:space="0" w:color="auto"/>
        <w:right w:val="none" w:sz="0" w:space="0" w:color="auto"/>
      </w:divBdr>
      <w:divsChild>
        <w:div w:id="496923085">
          <w:marLeft w:val="274"/>
          <w:marRight w:val="0"/>
          <w:marTop w:val="53"/>
          <w:marBottom w:val="0"/>
          <w:divBdr>
            <w:top w:val="none" w:sz="0" w:space="0" w:color="auto"/>
            <w:left w:val="none" w:sz="0" w:space="0" w:color="auto"/>
            <w:bottom w:val="none" w:sz="0" w:space="0" w:color="auto"/>
            <w:right w:val="none" w:sz="0" w:space="0" w:color="auto"/>
          </w:divBdr>
        </w:div>
        <w:div w:id="777600193">
          <w:marLeft w:val="749"/>
          <w:marRight w:val="0"/>
          <w:marTop w:val="53"/>
          <w:marBottom w:val="0"/>
          <w:divBdr>
            <w:top w:val="none" w:sz="0" w:space="0" w:color="auto"/>
            <w:left w:val="none" w:sz="0" w:space="0" w:color="auto"/>
            <w:bottom w:val="none" w:sz="0" w:space="0" w:color="auto"/>
            <w:right w:val="none" w:sz="0" w:space="0" w:color="auto"/>
          </w:divBdr>
        </w:div>
        <w:div w:id="978996475">
          <w:marLeft w:val="749"/>
          <w:marRight w:val="0"/>
          <w:marTop w:val="53"/>
          <w:marBottom w:val="0"/>
          <w:divBdr>
            <w:top w:val="none" w:sz="0" w:space="0" w:color="auto"/>
            <w:left w:val="none" w:sz="0" w:space="0" w:color="auto"/>
            <w:bottom w:val="none" w:sz="0" w:space="0" w:color="auto"/>
            <w:right w:val="none" w:sz="0" w:space="0" w:color="auto"/>
          </w:divBdr>
        </w:div>
        <w:div w:id="1102797977">
          <w:marLeft w:val="749"/>
          <w:marRight w:val="0"/>
          <w:marTop w:val="53"/>
          <w:marBottom w:val="0"/>
          <w:divBdr>
            <w:top w:val="none" w:sz="0" w:space="0" w:color="auto"/>
            <w:left w:val="none" w:sz="0" w:space="0" w:color="auto"/>
            <w:bottom w:val="none" w:sz="0" w:space="0" w:color="auto"/>
            <w:right w:val="none" w:sz="0" w:space="0" w:color="auto"/>
          </w:divBdr>
        </w:div>
        <w:div w:id="2048797569">
          <w:marLeft w:val="749"/>
          <w:marRight w:val="0"/>
          <w:marTop w:val="53"/>
          <w:marBottom w:val="0"/>
          <w:divBdr>
            <w:top w:val="none" w:sz="0" w:space="0" w:color="auto"/>
            <w:left w:val="none" w:sz="0" w:space="0" w:color="auto"/>
            <w:bottom w:val="none" w:sz="0" w:space="0" w:color="auto"/>
            <w:right w:val="none" w:sz="0" w:space="0" w:color="auto"/>
          </w:divBdr>
        </w:div>
      </w:divsChild>
    </w:div>
    <w:div w:id="1509245674">
      <w:bodyDiv w:val="1"/>
      <w:marLeft w:val="0"/>
      <w:marRight w:val="0"/>
      <w:marTop w:val="0"/>
      <w:marBottom w:val="0"/>
      <w:divBdr>
        <w:top w:val="none" w:sz="0" w:space="0" w:color="auto"/>
        <w:left w:val="none" w:sz="0" w:space="0" w:color="auto"/>
        <w:bottom w:val="none" w:sz="0" w:space="0" w:color="auto"/>
        <w:right w:val="none" w:sz="0" w:space="0" w:color="auto"/>
      </w:divBdr>
    </w:div>
    <w:div w:id="1557660617">
      <w:bodyDiv w:val="1"/>
      <w:marLeft w:val="0"/>
      <w:marRight w:val="0"/>
      <w:marTop w:val="0"/>
      <w:marBottom w:val="0"/>
      <w:divBdr>
        <w:top w:val="none" w:sz="0" w:space="0" w:color="auto"/>
        <w:left w:val="none" w:sz="0" w:space="0" w:color="auto"/>
        <w:bottom w:val="none" w:sz="0" w:space="0" w:color="auto"/>
        <w:right w:val="none" w:sz="0" w:space="0" w:color="auto"/>
      </w:divBdr>
    </w:div>
    <w:div w:id="1565405904">
      <w:bodyDiv w:val="1"/>
      <w:marLeft w:val="0"/>
      <w:marRight w:val="0"/>
      <w:marTop w:val="0"/>
      <w:marBottom w:val="0"/>
      <w:divBdr>
        <w:top w:val="none" w:sz="0" w:space="0" w:color="auto"/>
        <w:left w:val="none" w:sz="0" w:space="0" w:color="auto"/>
        <w:bottom w:val="none" w:sz="0" w:space="0" w:color="auto"/>
        <w:right w:val="none" w:sz="0" w:space="0" w:color="auto"/>
      </w:divBdr>
    </w:div>
    <w:div w:id="1601915459">
      <w:bodyDiv w:val="1"/>
      <w:marLeft w:val="0"/>
      <w:marRight w:val="0"/>
      <w:marTop w:val="0"/>
      <w:marBottom w:val="0"/>
      <w:divBdr>
        <w:top w:val="none" w:sz="0" w:space="0" w:color="auto"/>
        <w:left w:val="none" w:sz="0" w:space="0" w:color="auto"/>
        <w:bottom w:val="none" w:sz="0" w:space="0" w:color="auto"/>
        <w:right w:val="none" w:sz="0" w:space="0" w:color="auto"/>
      </w:divBdr>
    </w:div>
    <w:div w:id="1607732099">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171408687">
          <w:marLeft w:val="274"/>
          <w:marRight w:val="0"/>
          <w:marTop w:val="53"/>
          <w:marBottom w:val="0"/>
          <w:divBdr>
            <w:top w:val="none" w:sz="0" w:space="0" w:color="auto"/>
            <w:left w:val="none" w:sz="0" w:space="0" w:color="auto"/>
            <w:bottom w:val="none" w:sz="0" w:space="0" w:color="auto"/>
            <w:right w:val="none" w:sz="0" w:space="0" w:color="auto"/>
          </w:divBdr>
        </w:div>
      </w:divsChild>
    </w:div>
    <w:div w:id="1688680696">
      <w:bodyDiv w:val="1"/>
      <w:marLeft w:val="0"/>
      <w:marRight w:val="0"/>
      <w:marTop w:val="0"/>
      <w:marBottom w:val="0"/>
      <w:divBdr>
        <w:top w:val="none" w:sz="0" w:space="0" w:color="auto"/>
        <w:left w:val="none" w:sz="0" w:space="0" w:color="auto"/>
        <w:bottom w:val="none" w:sz="0" w:space="0" w:color="auto"/>
        <w:right w:val="none" w:sz="0" w:space="0" w:color="auto"/>
      </w:divBdr>
    </w:div>
    <w:div w:id="1712998010">
      <w:bodyDiv w:val="1"/>
      <w:marLeft w:val="0"/>
      <w:marRight w:val="0"/>
      <w:marTop w:val="0"/>
      <w:marBottom w:val="0"/>
      <w:divBdr>
        <w:top w:val="none" w:sz="0" w:space="0" w:color="auto"/>
        <w:left w:val="none" w:sz="0" w:space="0" w:color="auto"/>
        <w:bottom w:val="none" w:sz="0" w:space="0" w:color="auto"/>
        <w:right w:val="none" w:sz="0" w:space="0" w:color="auto"/>
      </w:divBdr>
    </w:div>
    <w:div w:id="1727021510">
      <w:bodyDiv w:val="1"/>
      <w:marLeft w:val="0"/>
      <w:marRight w:val="0"/>
      <w:marTop w:val="0"/>
      <w:marBottom w:val="0"/>
      <w:divBdr>
        <w:top w:val="none" w:sz="0" w:space="0" w:color="auto"/>
        <w:left w:val="none" w:sz="0" w:space="0" w:color="auto"/>
        <w:bottom w:val="none" w:sz="0" w:space="0" w:color="auto"/>
        <w:right w:val="none" w:sz="0" w:space="0" w:color="auto"/>
      </w:divBdr>
    </w:div>
    <w:div w:id="1792480998">
      <w:bodyDiv w:val="1"/>
      <w:marLeft w:val="0"/>
      <w:marRight w:val="0"/>
      <w:marTop w:val="0"/>
      <w:marBottom w:val="0"/>
      <w:divBdr>
        <w:top w:val="none" w:sz="0" w:space="0" w:color="auto"/>
        <w:left w:val="none" w:sz="0" w:space="0" w:color="auto"/>
        <w:bottom w:val="none" w:sz="0" w:space="0" w:color="auto"/>
        <w:right w:val="none" w:sz="0" w:space="0" w:color="auto"/>
      </w:divBdr>
    </w:div>
    <w:div w:id="1800219370">
      <w:bodyDiv w:val="1"/>
      <w:marLeft w:val="0"/>
      <w:marRight w:val="0"/>
      <w:marTop w:val="0"/>
      <w:marBottom w:val="0"/>
      <w:divBdr>
        <w:top w:val="none" w:sz="0" w:space="0" w:color="auto"/>
        <w:left w:val="none" w:sz="0" w:space="0" w:color="auto"/>
        <w:bottom w:val="none" w:sz="0" w:space="0" w:color="auto"/>
        <w:right w:val="none" w:sz="0" w:space="0" w:color="auto"/>
      </w:divBdr>
    </w:div>
    <w:div w:id="1848593106">
      <w:bodyDiv w:val="1"/>
      <w:marLeft w:val="0"/>
      <w:marRight w:val="0"/>
      <w:marTop w:val="0"/>
      <w:marBottom w:val="0"/>
      <w:divBdr>
        <w:top w:val="none" w:sz="0" w:space="0" w:color="auto"/>
        <w:left w:val="none" w:sz="0" w:space="0" w:color="auto"/>
        <w:bottom w:val="none" w:sz="0" w:space="0" w:color="auto"/>
        <w:right w:val="none" w:sz="0" w:space="0" w:color="auto"/>
      </w:divBdr>
    </w:div>
    <w:div w:id="1936353542">
      <w:bodyDiv w:val="1"/>
      <w:marLeft w:val="0"/>
      <w:marRight w:val="0"/>
      <w:marTop w:val="0"/>
      <w:marBottom w:val="0"/>
      <w:divBdr>
        <w:top w:val="none" w:sz="0" w:space="0" w:color="auto"/>
        <w:left w:val="none" w:sz="0" w:space="0" w:color="auto"/>
        <w:bottom w:val="none" w:sz="0" w:space="0" w:color="auto"/>
        <w:right w:val="none" w:sz="0" w:space="0" w:color="auto"/>
      </w:divBdr>
    </w:div>
    <w:div w:id="1992710784">
      <w:bodyDiv w:val="1"/>
      <w:marLeft w:val="0"/>
      <w:marRight w:val="0"/>
      <w:marTop w:val="0"/>
      <w:marBottom w:val="0"/>
      <w:divBdr>
        <w:top w:val="none" w:sz="0" w:space="0" w:color="auto"/>
        <w:left w:val="none" w:sz="0" w:space="0" w:color="auto"/>
        <w:bottom w:val="none" w:sz="0" w:space="0" w:color="auto"/>
        <w:right w:val="none" w:sz="0" w:space="0" w:color="auto"/>
      </w:divBdr>
      <w:divsChild>
        <w:div w:id="1232232371">
          <w:marLeft w:val="403"/>
          <w:marRight w:val="0"/>
          <w:marTop w:val="82"/>
          <w:marBottom w:val="0"/>
          <w:divBdr>
            <w:top w:val="none" w:sz="0" w:space="0" w:color="auto"/>
            <w:left w:val="none" w:sz="0" w:space="0" w:color="auto"/>
            <w:bottom w:val="none" w:sz="0" w:space="0" w:color="auto"/>
            <w:right w:val="none" w:sz="0" w:space="0" w:color="auto"/>
          </w:divBdr>
        </w:div>
      </w:divsChild>
    </w:div>
    <w:div w:id="2018070516">
      <w:bodyDiv w:val="1"/>
      <w:marLeft w:val="0"/>
      <w:marRight w:val="0"/>
      <w:marTop w:val="0"/>
      <w:marBottom w:val="0"/>
      <w:divBdr>
        <w:top w:val="none" w:sz="0" w:space="0" w:color="auto"/>
        <w:left w:val="none" w:sz="0" w:space="0" w:color="auto"/>
        <w:bottom w:val="none" w:sz="0" w:space="0" w:color="auto"/>
        <w:right w:val="none" w:sz="0" w:space="0" w:color="auto"/>
      </w:divBdr>
    </w:div>
    <w:div w:id="2018650973">
      <w:bodyDiv w:val="1"/>
      <w:marLeft w:val="0"/>
      <w:marRight w:val="0"/>
      <w:marTop w:val="0"/>
      <w:marBottom w:val="0"/>
      <w:divBdr>
        <w:top w:val="none" w:sz="0" w:space="0" w:color="auto"/>
        <w:left w:val="none" w:sz="0" w:space="0" w:color="auto"/>
        <w:bottom w:val="none" w:sz="0" w:space="0" w:color="auto"/>
        <w:right w:val="none" w:sz="0" w:space="0" w:color="auto"/>
      </w:divBdr>
    </w:div>
    <w:div w:id="205862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rints.whiterose.ac.uk/72622/1/Documen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mpaign2000.ca/wp-content/uploads/2016/03/CostOfRaisingChildren_Eng_Sep_2017.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ifsau.sharepoint.com/sites/FamiliesandSociety/Shared%20Documents/Research%20activities/Cost%20of%20children/final%20post%20DSS%20with%20full%20ref%20check/Updated%20Costs%20of%20Children%20Using%20Australian%20Budget%20Standards%20(d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IFS2022">
      <a:dk1>
        <a:srgbClr val="000000"/>
      </a:dk1>
      <a:lt1>
        <a:srgbClr val="FFFFFF"/>
      </a:lt1>
      <a:dk2>
        <a:srgbClr val="241C44"/>
      </a:dk2>
      <a:lt2>
        <a:srgbClr val="EEECE1"/>
      </a:lt2>
      <a:accent1>
        <a:srgbClr val="ED0C6E"/>
      </a:accent1>
      <a:accent2>
        <a:srgbClr val="62136D"/>
      </a:accent2>
      <a:accent3>
        <a:srgbClr val="F26522"/>
      </a:accent3>
      <a:accent4>
        <a:srgbClr val="005BA3"/>
      </a:accent4>
      <a:accent5>
        <a:srgbClr val="048C45"/>
      </a:accent5>
      <a:accent6>
        <a:srgbClr val="0A93D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Gar21</b:Tag>
    <b:SourceType>JournalArticle</b:SourceType>
    <b:Guid>{8FA909A7-7A3E-4933-8667-734CBF51B752}</b:Guid>
    <b:Title>Cochrane Rapid Reviews Methods Group offers evidence-informed guidance to conduct rapid reviews</b:Title>
    <b:Year>2021</b:Year>
    <b:JournalName>Journal of Clinical Epidemiology</b:JournalName>
    <b:Pages>13-22</b:Pages>
    <b:Author>
      <b:Author>
        <b:NameList>
          <b:Person>
            <b:Last>Garritty</b:Last>
            <b:First>Chantelle</b:First>
          </b:Person>
          <b:Person>
            <b:Last>Gartlehnerc</b:Last>
            <b:First>Gerald</b:First>
          </b:Person>
          <b:Person>
            <b:Last>Nussbaumer-Streit</b:Last>
            <b:First>Barbara</b:First>
          </b:Person>
          <b:Person>
            <b:Last>King</b:Last>
            <b:Middle>J</b:Middle>
            <b:First>Valerie</b:First>
          </b:Person>
          <b:Person>
            <b:Last>Hamel</b:Last>
            <b:First>Candyce</b:First>
          </b:Person>
          <b:Person>
            <b:Last>Kamel</b:Last>
            <b:First>Chris</b:First>
          </b:Person>
          <b:Person>
            <b:Last>Affengruber</b:Last>
            <b:First>Lisa </b:First>
          </b:Person>
          <b:Person>
            <b:Last>Stevens</b:Last>
            <b:First>Adrienne</b:First>
          </b:Person>
        </b:NameList>
      </b:Author>
    </b:Author>
    <b:Volume>130</b:Volume>
    <b:RefOrder>1</b:RefOrder>
  </b:Source>
</b:Sources>
</file>

<file path=customXml/itemProps1.xml><?xml version="1.0" encoding="utf-8"?>
<ds:datastoreItem xmlns:ds="http://schemas.openxmlformats.org/officeDocument/2006/customXml" ds:itemID="{1C19A6B6-8FB5-40AF-9CE1-EE626C3D953F}">
  <ds:schemaRefs>
    <ds:schemaRef ds:uri="http://schemas.openxmlformats.org/officeDocument/2006/bibliography"/>
  </ds:schemaRefs>
</ds:datastoreItem>
</file>

<file path=docMetadata/LabelInfo.xml><?xml version="1.0" encoding="utf-8"?>
<clbl:labelList xmlns:clbl="http://schemas.microsoft.com/office/2020/mipLabelMetadata">
  <clbl:label id="{7e4647b9-61bf-4599-8b05-e1bb72778f97}" enabled="1" method="Privileged" siteId="{02f5d965-790b-4b52-9f49-2cd447eb85e1}"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30</Pages>
  <Words>10789</Words>
  <Characters>59019</Characters>
  <Application>Microsoft Office Word</Application>
  <DocSecurity>0</DocSecurity>
  <Lines>1735</Lines>
  <Paragraphs>1163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the costs of children</dc:title>
  <dc:subject/>
  <dc:creator/>
  <cp:keywords>[SEC=OFFICIAL]</cp:keywords>
  <dc:description/>
  <cp:revision>7</cp:revision>
  <dcterms:created xsi:type="dcterms:W3CDTF">2026-05-26T07:07:00Z</dcterms:created>
  <dcterms:modified xsi:type="dcterms:W3CDTF">2026-06-02T05:28:00Z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ote">
    <vt:lpwstr/>
  </property>
  <property fmtid="{D5CDD505-2E9C-101B-9397-08002B2CF9AE}" pid="3" name="MSIP_Label_eb34d90b-fc41-464d-af60-f74d721d0790_Name">
    <vt:lpwstr>OFFICIAL</vt:lpwstr>
  </property>
  <property fmtid="{D5CDD505-2E9C-101B-9397-08002B2CF9AE}" pid="4" name="PM_OriginationTimeStamp">
    <vt:lpwstr>2026-05-26T01:40:11Z</vt:lpwstr>
  </property>
  <property fmtid="{D5CDD505-2E9C-101B-9397-08002B2CF9AE}" pid="5" name="PM_ProtectiveMarkingValue_Header">
    <vt:lpwstr>OFFICIAL</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DowngradeTo">
    <vt:lpwstr/>
  </property>
  <property fmtid="{D5CDD505-2E9C-101B-9397-08002B2CF9AE}" pid="9" name="PM_InsertionValue">
    <vt:lpwstr>OFFICIAL</vt:lpwstr>
  </property>
  <property fmtid="{D5CDD505-2E9C-101B-9397-08002B2CF9AE}" pid="10" name="PM_Originator_Hash_SHA1">
    <vt:lpwstr>0B524DBA7AD74F8F3962690EDE0F354151EAA816</vt:lpwstr>
  </property>
  <property fmtid="{D5CDD505-2E9C-101B-9397-08002B2CF9AE}" pid="11" name="PM_ProtectiveMarkingValue_Footer">
    <vt:lpwstr>OFFICIAL</vt:lpwstr>
  </property>
  <property fmtid="{D5CDD505-2E9C-101B-9397-08002B2CF9AE}" pid="12" name="PM_Originating_FileId">
    <vt:lpwstr>26A4DB59408341C9B8E2C7A60C2A0C0D</vt:lpwstr>
  </property>
  <property fmtid="{D5CDD505-2E9C-101B-9397-08002B2CF9AE}" pid="13" name="PM_Display">
    <vt:lpwstr>OFFICIAL</vt:lpwstr>
  </property>
  <property fmtid="{D5CDD505-2E9C-101B-9397-08002B2CF9AE}" pid="14" name="PM_OriginatorUserAccountName_SHA256">
    <vt:lpwstr>E50CF0764EC30192DCAD31D379EB115F7CA78B4CEF49B6803B3AA14977548476</vt:lpwstr>
  </property>
  <property fmtid="{D5CDD505-2E9C-101B-9397-08002B2CF9AE}" pid="15" name="PM_OriginatorDomainName_SHA256">
    <vt:lpwstr>E83A2A66C4061446A7E3732E8D44762184B6B377D962B96C83DC624302585857</vt:lpwstr>
  </property>
  <property fmtid="{D5CDD505-2E9C-101B-9397-08002B2CF9AE}" pid="16" name="PMUuid">
    <vt:lpwstr>v=2022.2;d=gov.au;g=46DD6D7C-8107-577B-BC6E-F348953B2E44</vt:lpwstr>
  </property>
  <property fmtid="{D5CDD505-2E9C-101B-9397-08002B2CF9AE}" pid="17" name="PM_Hash_Version">
    <vt:lpwstr>2024.1</vt:lpwstr>
  </property>
  <property fmtid="{D5CDD505-2E9C-101B-9397-08002B2CF9AE}" pid="18" name="PM_Hash_Salt_Prev">
    <vt:lpwstr>F502FBEF62D5B62335B01E7827E6EC5D</vt:lpwstr>
  </property>
  <property fmtid="{D5CDD505-2E9C-101B-9397-08002B2CF9AE}" pid="19" name="PM_Hash_Salt">
    <vt:lpwstr>34D059A4DD334B7E4A779C0E9FA154C0</vt:lpwstr>
  </property>
  <property fmtid="{D5CDD505-2E9C-101B-9397-08002B2CF9AE}" pid="20" name="PM_Hash_SHA1">
    <vt:lpwstr>CF7AFE77E2643748E8E102576F90E25F9AF8191B</vt:lpwstr>
  </property>
  <property fmtid="{D5CDD505-2E9C-101B-9397-08002B2CF9AE}" pid="21" name="MSIP_Label_eb34d90b-fc41-464d-af60-f74d721d0790_SiteId">
    <vt:lpwstr>61e36dd1-ca6e-4d61-aa0a-2b4eb88317a3</vt:lpwstr>
  </property>
  <property fmtid="{D5CDD505-2E9C-101B-9397-08002B2CF9AE}" pid="22" name="MSIP_Label_eb34d90b-fc41-464d-af60-f74d721d0790_Enabled">
    <vt:lpwstr>true</vt:lpwstr>
  </property>
  <property fmtid="{D5CDD505-2E9C-101B-9397-08002B2CF9AE}" pid="23" name="MSIP_Label_eb34d90b-fc41-464d-af60-f74d721d0790_ContentBits">
    <vt:lpwstr>3</vt:lpwstr>
  </property>
  <property fmtid="{D5CDD505-2E9C-101B-9397-08002B2CF9AE}" pid="24" name="MSIP_Label_eb34d90b-fc41-464d-af60-f74d721d0790_SetDate">
    <vt:lpwstr>2026-05-26T01:40:11Z</vt:lpwstr>
  </property>
  <property fmtid="{D5CDD505-2E9C-101B-9397-08002B2CF9AE}" pid="25" name="MSIP_Label_eb34d90b-fc41-464d-af60-f74d721d0790_Method">
    <vt:lpwstr>Privileged</vt:lpwstr>
  </property>
  <property fmtid="{D5CDD505-2E9C-101B-9397-08002B2CF9AE}" pid="26" name="MSIP_Label_eb34d90b-fc41-464d-af60-f74d721d0790_ActionId">
    <vt:lpwstr>c5f11e6b7b4c424088a5b0966615edc4</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_Namespace">
    <vt:lpwstr>gov.au</vt:lpwstr>
  </property>
  <property fmtid="{D5CDD505-2E9C-101B-9397-08002B2CF9AE}" pid="30" name="PM_Version">
    <vt:lpwstr>2018.4</vt:lpwstr>
  </property>
  <property fmtid="{D5CDD505-2E9C-101B-9397-08002B2CF9AE}" pid="31" name="PM_SecurityClassification">
    <vt:lpwstr>OFFICIAL</vt:lpwstr>
  </property>
  <property fmtid="{D5CDD505-2E9C-101B-9397-08002B2CF9AE}" pid="32" name="PMHMAC">
    <vt:lpwstr>v=2024.1;a=SHA256;h=B96AE46E0423C879393C1B60F85F076CC528D071F2444B212A90CC8CF359D47A</vt:lpwstr>
  </property>
  <property fmtid="{D5CDD505-2E9C-101B-9397-08002B2CF9AE}" pid="33" name="PM_Qualifier">
    <vt:lpwstr/>
  </property>
  <property fmtid="{D5CDD505-2E9C-101B-9397-08002B2CF9AE}" pid="34" name="PM_Markers">
    <vt:lpwstr/>
  </property>
  <property fmtid="{D5CDD505-2E9C-101B-9397-08002B2CF9AE}" pid="35" name="PM_Caveats_Count">
    <vt:lpwstr>0</vt:lpwstr>
  </property>
  <property fmtid="{D5CDD505-2E9C-101B-9397-08002B2CF9AE}" pid="36" name="PM_DownTo">
    <vt:lpwstr/>
  </property>
</Properties>
</file>